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16" w:tblpY="189"/>
        <w:tblOverlap w:val="never"/>
        <w:tblW w:w="91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0"/>
        <w:gridCol w:w="1350"/>
        <w:gridCol w:w="1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黑体" w:hAnsi="黑体" w:eastAsia="黑体"/>
                <w:color w:val="000000"/>
                <w:sz w:val="44"/>
              </w:rPr>
            </w:pPr>
            <w:r>
              <w:rPr>
                <w:rFonts w:hint="eastAsia" w:ascii="黑体" w:hAnsi="黑体" w:eastAsia="黑体"/>
                <w:color w:val="000000"/>
                <w:sz w:val="44"/>
                <w:lang w:eastAsia="zh-CN"/>
              </w:rPr>
              <w:t>湘乡市</w:t>
            </w:r>
            <w:r>
              <w:rPr>
                <w:rFonts w:hint="eastAsia" w:ascii="黑体" w:hAnsi="黑体" w:eastAsia="黑体"/>
                <w:color w:val="000000"/>
                <w:sz w:val="44"/>
                <w:lang w:val="en-US" w:eastAsia="zh-CN"/>
              </w:rPr>
              <w:t>司法局</w:t>
            </w:r>
            <w:r>
              <w:rPr>
                <w:rFonts w:hint="eastAsia" w:ascii="黑体" w:hAnsi="黑体" w:eastAsia="黑体"/>
                <w:color w:val="000000"/>
                <w:sz w:val="44"/>
              </w:rPr>
              <w:t>政府信息公开情况统计表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（201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年</w:t>
            </w:r>
            <w:r>
              <w:rPr>
                <w:rFonts w:hint="eastAsia" w:ascii="仿宋_GB2312" w:hAnsi="仿宋_GB2312" w:eastAsia="仿宋_GB2312"/>
                <w:color w:val="000000"/>
                <w:sz w:val="32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165" w:type="dxa"/>
            <w:gridSpan w:val="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统计指标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统计数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一、主动公开情况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（一）主动公开政府信息数</w:t>
            </w:r>
          </w:p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（不同渠道和方式公开相同的信息列为1条）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其中：主动公开规范性文件数</w:t>
            </w:r>
          </w:p>
        </w:tc>
        <w:tc>
          <w:tcPr>
            <w:tcW w:w="13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制发规范性文件总数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（二）通过不同渠道和方式公开政府信息的情况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1、政府公报公开政府信息数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3、政务微博公开政府信息数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4、政务微信公开政府信息数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5、其他方式公开政府信息数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二、回应解读情况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（一）回应公众关注热点或重大舆情数 （不同方式回应同一热点或舆情计1次）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（二）通过不同渠道和方式回应解读的情况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1、参加或举办新闻发布会总次数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其中：主要负责同志参加新闻发布会次数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其中：主要负责同志参加政府网站在线访谈次数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篇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3、政策解读稿件发布数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4、微博微信回应事件数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5、其他方式回应事件数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三、依申请公开情况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（一）收到申请数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1、当面申请数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2、传真申请数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3、网络申请数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4、信函申请数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（二）申请办结数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1、按时办结数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2、延期办结数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（三）申请答复数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1、属于已主动公开范围数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3、同意部分公开答复数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4、不同意公开答复数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其中：涉及国家秘密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涉及商业秘密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涉及个人隐私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 危及国家安全、公共安全、经济安全和社会稳定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不是《条例》所指政府信息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      法律法规规定的其他情形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5、不属于本行政机关公开数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6、申请信息不存在数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7、告知作出更改补充数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8、告知通过其他途径办理数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四、行政复议数量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（二）被依法纠错数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五、行政诉讼数量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（一）维持具体行政行为或者驳回原告诉讼请求数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（二）依法纠错数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（三）其他情形数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六、举报投诉数量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件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七、依申请公开信息收取的费用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八、机构建设和保障经费情况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（一）政府信息公开工作专门机构数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（二）设置政府信息公开查阅点数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个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（三）从事政府信息公开工作人数员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1、专职人员数（不包括政府公报及政府网站工作人员数）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  2、兼职人员数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（四）政府信息公开专项经费（不包括用于政府公报编辑管理及政府网站建设维护等方面的经费）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万元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8.5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九、政府信息公开会议和培训情况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（一）召开政府信息公开工作会议或专题会议数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（二）举办各类培训班数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top"/>
          </w:tcPr>
          <w:p>
            <w:pPr>
              <w:spacing w:beforeLines="0" w:afterLines="0"/>
              <w:jc w:val="left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   （三）接受培训人员数</w:t>
            </w:r>
          </w:p>
        </w:tc>
        <w:tc>
          <w:tcPr>
            <w:tcW w:w="13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人次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40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351A2"/>
    <w:rsid w:val="03776723"/>
    <w:rsid w:val="049E62DE"/>
    <w:rsid w:val="1BD95069"/>
    <w:rsid w:val="2F3351A2"/>
    <w:rsid w:val="3A475F7B"/>
    <w:rsid w:val="3F752AD2"/>
    <w:rsid w:val="471454D8"/>
    <w:rsid w:val="5407413A"/>
    <w:rsid w:val="57576420"/>
    <w:rsid w:val="7A0B7FBC"/>
    <w:rsid w:val="7B7E374C"/>
    <w:rsid w:val="7F461DFA"/>
    <w:rsid w:val="7FE409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2018-03-06T01:40:00Z</dcterms:created>
  <dc:creator>Administrator</dc:creator>
  <cp:lastModifiedBy>jdbgs</cp:lastModifiedBy>
  <dcterms:modified xsi:type="dcterms:W3CDTF">2020-02-28T02:47:16Z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