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湘乡统计月报</w:t>
      </w: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2020·2</w:t>
      </w: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湘乡市统计局</w:t>
      </w: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br w:type="page"/>
      </w: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目    录</w:t>
      </w: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ind w:firstLine="1014" w:firstLineChars="3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经济运行概况………………………………（1）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全市经济指标完成情况……………………（2）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财税 ……………………………………… （3）</w:t>
      </w:r>
    </w:p>
    <w:p>
      <w:pPr>
        <w:spacing w:line="380" w:lineRule="exact"/>
        <w:ind w:firstLine="986" w:firstLineChars="292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固定资产投资………………………………（4）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房地产 …………………………………… （5）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工业…………………………………………（6）</w:t>
      </w:r>
    </w:p>
    <w:p>
      <w:pPr>
        <w:spacing w:line="380" w:lineRule="exact"/>
        <w:ind w:firstLine="1014" w:firstLineChars="3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贸易外经……………………………………（7）</w:t>
      </w:r>
    </w:p>
    <w:p>
      <w:pPr>
        <w:spacing w:line="380" w:lineRule="exact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     金融…………………………………………（8）</w:t>
      </w:r>
    </w:p>
    <w:p>
      <w:pPr>
        <w:spacing w:line="380" w:lineRule="exact"/>
        <w:ind w:firstLine="986" w:firstLineChars="292"/>
        <w:jc w:val="left"/>
        <w:rPr>
          <w:rFonts w:ascii="黑体" w:eastAsia="黑体"/>
          <w:sz w:val="32"/>
          <w:szCs w:val="32"/>
        </w:rPr>
      </w:pPr>
      <w:bookmarkStart w:id="0" w:name="OLE_LINK5"/>
      <w:r>
        <w:rPr>
          <w:rFonts w:hint="eastAsia" w:ascii="黑体" w:eastAsia="黑体"/>
          <w:sz w:val="32"/>
          <w:szCs w:val="32"/>
        </w:rPr>
        <w:t>社会保障 ………………………………… （9）</w:t>
      </w:r>
    </w:p>
    <w:bookmarkEnd w:id="0"/>
    <w:p>
      <w:pPr>
        <w:spacing w:line="380" w:lineRule="exact"/>
        <w:jc w:val="left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left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left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sz w:val="32"/>
          <w:szCs w:val="32"/>
        </w:rPr>
      </w:pPr>
    </w:p>
    <w:p>
      <w:pPr>
        <w:spacing w:line="380" w:lineRule="exact"/>
        <w:jc w:val="center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湘乡市统计信息网址：</w:t>
      </w:r>
      <w:r>
        <w:rPr>
          <w:rFonts w:ascii="楷体_GB2312" w:eastAsia="楷体_GB2312"/>
          <w:sz w:val="32"/>
          <w:szCs w:val="32"/>
        </w:rPr>
        <w:t xml:space="preserve">http://www.xxs.gov.cn/zwwzdh/zfbm/tjj/ </w:t>
      </w: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ind w:firstLine="2778" w:firstLineChars="735"/>
        <w:rPr>
          <w:rFonts w:ascii="宋体" w:hAnsi="宋体" w:cs="宋体"/>
          <w:color w:val="000000" w:themeColor="text1"/>
        </w:rPr>
      </w:pPr>
      <w:r>
        <w:rPr>
          <w:rFonts w:hint="eastAsia" w:ascii="黑体" w:hAnsi="黑体" w:eastAsia="黑体" w:cs="黑体"/>
          <w:color w:val="000000" w:themeColor="text1"/>
          <w:sz w:val="36"/>
          <w:szCs w:val="36"/>
        </w:rPr>
        <w:t>一、经济运行概况</w:t>
      </w:r>
    </w:p>
    <w:p>
      <w:pPr>
        <w:ind w:firstLine="583" w:firstLineChars="196"/>
        <w:rPr>
          <w:rFonts w:ascii="宋体" w:hAnsi="宋体"/>
          <w:iCs/>
          <w:color w:val="000000" w:themeColor="text1"/>
        </w:rPr>
      </w:pPr>
      <w:r>
        <w:rPr>
          <w:rFonts w:hint="eastAsia" w:ascii="宋体" w:hAnsi="宋体"/>
          <w:iCs/>
          <w:color w:val="000000" w:themeColor="text1"/>
        </w:rPr>
        <w:t>今年1-2月，受新冠肺炎疫情影响，全市经济面临较大的下行压力，主要经济指标出现不同程度下滑。</w:t>
      </w:r>
    </w:p>
    <w:p>
      <w:pPr>
        <w:ind w:firstLine="596" w:firstLineChars="200"/>
      </w:pPr>
      <w:r>
        <w:rPr>
          <w:rFonts w:hint="eastAsia" w:ascii="宋体" w:hAnsi="宋体"/>
          <w:b/>
          <w:iCs/>
          <w:color w:val="000000" w:themeColor="text1"/>
        </w:rPr>
        <w:t>规模</w:t>
      </w:r>
      <w:r>
        <w:rPr>
          <w:rFonts w:hint="eastAsia" w:ascii="宋体" w:hAnsi="宋体"/>
          <w:b/>
          <w:bCs/>
          <w:iCs/>
          <w:color w:val="000000" w:themeColor="text1"/>
        </w:rPr>
        <w:t>工业生产下滑。</w:t>
      </w:r>
      <w:r>
        <w:rPr>
          <w:rFonts w:ascii="宋体" w:hAnsi="宋体"/>
          <w:iCs/>
          <w:color w:val="000000" w:themeColor="text1"/>
        </w:rPr>
        <w:t>1-2</w:t>
      </w:r>
      <w:r>
        <w:rPr>
          <w:rFonts w:hint="eastAsia" w:ascii="宋体" w:hAnsi="宋体"/>
          <w:iCs/>
          <w:color w:val="000000" w:themeColor="text1"/>
        </w:rPr>
        <w:t>月，全市规模以上工业增加值同比下降14.4</w:t>
      </w:r>
      <w:r>
        <w:rPr>
          <w:rFonts w:ascii="宋体" w:hAnsi="宋体"/>
          <w:iCs/>
          <w:color w:val="000000" w:themeColor="text1"/>
        </w:rPr>
        <w:t>%</w:t>
      </w:r>
      <w:r>
        <w:rPr>
          <w:rFonts w:hint="eastAsia" w:ascii="宋体" w:hAnsi="宋体"/>
          <w:iCs/>
          <w:color w:val="000000" w:themeColor="text1"/>
        </w:rPr>
        <w:t>，其中，采矿业下降21.7</w:t>
      </w:r>
      <w:r>
        <w:rPr>
          <w:rFonts w:ascii="宋体" w:hAnsi="宋体"/>
          <w:iCs/>
          <w:color w:val="000000" w:themeColor="text1"/>
        </w:rPr>
        <w:t>%</w:t>
      </w:r>
      <w:r>
        <w:rPr>
          <w:rFonts w:hint="eastAsia" w:ascii="宋体" w:hAnsi="宋体"/>
          <w:iCs/>
          <w:color w:val="000000" w:themeColor="text1"/>
        </w:rPr>
        <w:t>，制造业下降14</w:t>
      </w:r>
      <w:r>
        <w:rPr>
          <w:rFonts w:ascii="宋体" w:hAnsi="宋体"/>
          <w:iCs/>
          <w:color w:val="000000" w:themeColor="text1"/>
        </w:rPr>
        <w:t>%</w:t>
      </w:r>
      <w:r>
        <w:rPr>
          <w:rFonts w:hint="eastAsia" w:ascii="宋体" w:hAnsi="宋体"/>
          <w:iCs/>
          <w:color w:val="000000" w:themeColor="text1"/>
        </w:rPr>
        <w:t>，电力、热力、燃气及水生产和供应业增长29.5</w:t>
      </w:r>
      <w:r>
        <w:rPr>
          <w:rFonts w:ascii="宋体" w:hAnsi="宋体"/>
          <w:iCs/>
          <w:color w:val="000000" w:themeColor="text1"/>
        </w:rPr>
        <w:t>%</w:t>
      </w:r>
      <w:r>
        <w:rPr>
          <w:rFonts w:hint="eastAsia" w:ascii="宋体" w:hAnsi="宋体"/>
          <w:iCs/>
          <w:color w:val="000000" w:themeColor="text1"/>
        </w:rPr>
        <w:t>。</w:t>
      </w:r>
      <w:r>
        <w:rPr>
          <w:rFonts w:hint="eastAsia"/>
          <w:color w:val="000000" w:themeColor="text1"/>
          <w:szCs w:val="22"/>
        </w:rPr>
        <w:t>重点监测的</w:t>
      </w:r>
      <w:r>
        <w:rPr>
          <w:color w:val="000000" w:themeColor="text1"/>
          <w:szCs w:val="22"/>
        </w:rPr>
        <w:t>规上工业</w:t>
      </w:r>
      <w:r>
        <w:rPr>
          <w:rFonts w:hint="eastAsia"/>
          <w:color w:val="000000" w:themeColor="text1"/>
          <w:szCs w:val="22"/>
        </w:rPr>
        <w:t>企业</w:t>
      </w:r>
      <w:r>
        <w:rPr>
          <w:rFonts w:hint="eastAsia"/>
          <w:color w:val="000000" w:themeColor="text1"/>
        </w:rPr>
        <w:t>6</w:t>
      </w:r>
      <w:r>
        <w:rPr>
          <w:rFonts w:hint="eastAsia"/>
          <w:color w:val="000000" w:themeColor="text1"/>
          <w:szCs w:val="22"/>
        </w:rPr>
        <w:t>种主要工业品中</w:t>
      </w:r>
      <w:r>
        <w:rPr>
          <w:rFonts w:hint="eastAsia"/>
          <w:color w:val="000000" w:themeColor="text1"/>
        </w:rPr>
        <w:t>5</w:t>
      </w:r>
      <w:r>
        <w:rPr>
          <w:rFonts w:hint="eastAsia"/>
          <w:color w:val="000000" w:themeColor="text1"/>
          <w:szCs w:val="22"/>
        </w:rPr>
        <w:t>种出现了不同程度下降，下降面超8成。</w:t>
      </w:r>
      <w:r>
        <w:rPr>
          <w:rFonts w:hint="eastAsia"/>
          <w:iCs/>
          <w:color w:val="000000" w:themeColor="text1"/>
        </w:rPr>
        <w:t>其中，食品同比下降19.5</w:t>
      </w:r>
      <w:r>
        <w:rPr>
          <w:iCs/>
          <w:color w:val="000000" w:themeColor="text1"/>
        </w:rPr>
        <w:t>%</w:t>
      </w:r>
      <w:r>
        <w:rPr>
          <w:rFonts w:hint="eastAsia"/>
          <w:iCs/>
          <w:color w:val="000000" w:themeColor="text1"/>
        </w:rPr>
        <w:t>，皮革同比下降20.5</w:t>
      </w:r>
      <w:r>
        <w:rPr>
          <w:iCs/>
          <w:color w:val="000000" w:themeColor="text1"/>
        </w:rPr>
        <w:t>%</w:t>
      </w:r>
      <w:r>
        <w:rPr>
          <w:rFonts w:hint="eastAsia"/>
          <w:iCs/>
          <w:color w:val="000000" w:themeColor="text1"/>
        </w:rPr>
        <w:t>，建材同比下降12</w:t>
      </w:r>
      <w:r>
        <w:rPr>
          <w:iCs/>
          <w:color w:val="000000" w:themeColor="text1"/>
        </w:rPr>
        <w:t>%</w:t>
      </w:r>
      <w:r>
        <w:rPr>
          <w:rFonts w:hint="eastAsia"/>
          <w:iCs/>
          <w:color w:val="000000" w:themeColor="text1"/>
        </w:rPr>
        <w:t>，冶金同比下降3.7</w:t>
      </w:r>
      <w:r>
        <w:rPr>
          <w:iCs/>
          <w:color w:val="000000" w:themeColor="text1"/>
        </w:rPr>
        <w:t>%</w:t>
      </w:r>
      <w:r>
        <w:rPr>
          <w:rFonts w:hint="eastAsia"/>
          <w:iCs/>
          <w:color w:val="000000" w:themeColor="text1"/>
        </w:rPr>
        <w:t>，机电同比下降2.7</w:t>
      </w:r>
      <w:r>
        <w:rPr>
          <w:iCs/>
          <w:color w:val="000000" w:themeColor="text1"/>
        </w:rPr>
        <w:t>%</w:t>
      </w:r>
      <w:r>
        <w:rPr>
          <w:rFonts w:hint="eastAsia"/>
          <w:iCs/>
          <w:color w:val="000000" w:themeColor="text1"/>
        </w:rPr>
        <w:t>，化工同比增长1.9%。</w:t>
      </w:r>
    </w:p>
    <w:p>
      <w:pPr>
        <w:widowControl/>
        <w:autoSpaceDE w:val="0"/>
        <w:ind w:firstLine="596" w:firstLineChars="200"/>
        <w:rPr>
          <w:rFonts w:ascii="宋体" w:hAnsi="宋体"/>
          <w:bCs/>
          <w:iCs/>
          <w:color w:val="000000" w:themeColor="text1"/>
        </w:rPr>
      </w:pPr>
      <w:r>
        <w:rPr>
          <w:rFonts w:ascii="宋体" w:hAnsi="宋体"/>
          <w:b/>
          <w:bCs/>
          <w:iCs/>
          <w:color w:val="000000" w:themeColor="text1"/>
        </w:rPr>
        <w:t>固定资产投资</w:t>
      </w:r>
      <w:r>
        <w:rPr>
          <w:rFonts w:hint="eastAsia" w:ascii="宋体" w:hAnsi="宋体"/>
          <w:b/>
          <w:bCs/>
          <w:iCs/>
          <w:color w:val="000000" w:themeColor="text1"/>
        </w:rPr>
        <w:t>下降。</w:t>
      </w:r>
      <w:r>
        <w:rPr>
          <w:rFonts w:ascii="宋体" w:hAnsi="宋体"/>
          <w:bCs/>
          <w:iCs/>
          <w:color w:val="000000" w:themeColor="text1"/>
        </w:rPr>
        <w:t>1-2月，全市固定资产投资同比下降18.9%。</w:t>
      </w:r>
      <w:r>
        <w:rPr>
          <w:rFonts w:hint="eastAsia" w:ascii="宋体" w:hAnsi="宋体"/>
          <w:bCs/>
          <w:iCs/>
          <w:color w:val="000000" w:themeColor="text1"/>
        </w:rPr>
        <w:t>分</w:t>
      </w:r>
      <w:r>
        <w:rPr>
          <w:rFonts w:ascii="宋体" w:hAnsi="宋体"/>
          <w:bCs/>
          <w:iCs/>
          <w:color w:val="000000" w:themeColor="text1"/>
        </w:rPr>
        <w:t>经济类型来看，国有经济投资同比增长393.6%；非国有经济下降53.6%。</w:t>
      </w:r>
      <w:r>
        <w:rPr>
          <w:rFonts w:hint="eastAsia" w:ascii="宋体" w:hAnsi="宋体"/>
          <w:bCs/>
          <w:iCs/>
          <w:color w:val="000000" w:themeColor="text1"/>
        </w:rPr>
        <w:t>分</w:t>
      </w:r>
      <w:r>
        <w:rPr>
          <w:rFonts w:ascii="宋体" w:hAnsi="宋体"/>
          <w:bCs/>
          <w:iCs/>
          <w:color w:val="000000" w:themeColor="text1"/>
        </w:rPr>
        <w:t>三次产业来看，第二产业投资同比下降69.3%；第三产业投资同比增长43.4%。</w:t>
      </w:r>
      <w:r>
        <w:rPr>
          <w:rFonts w:hint="eastAsia" w:ascii="宋体" w:hAnsi="宋体"/>
          <w:bCs/>
          <w:iCs/>
          <w:color w:val="000000" w:themeColor="text1"/>
        </w:rPr>
        <w:t>分</w:t>
      </w:r>
      <w:r>
        <w:rPr>
          <w:rFonts w:ascii="宋体" w:hAnsi="宋体"/>
          <w:bCs/>
          <w:iCs/>
          <w:color w:val="000000" w:themeColor="text1"/>
        </w:rPr>
        <w:t>投资方向来看</w:t>
      </w:r>
      <w:r>
        <w:rPr>
          <w:rFonts w:hint="eastAsia" w:ascii="宋体" w:hAnsi="宋体"/>
          <w:bCs/>
          <w:iCs/>
          <w:color w:val="000000" w:themeColor="text1"/>
        </w:rPr>
        <w:t>，</w:t>
      </w:r>
      <w:r>
        <w:rPr>
          <w:rFonts w:ascii="宋体" w:hAnsi="宋体"/>
          <w:bCs/>
          <w:iCs/>
          <w:color w:val="000000" w:themeColor="text1"/>
        </w:rPr>
        <w:t>工业投资同比下降69.3%；基础设施投资同比增长78.7%；房地产开发投资同比增长7.8%。</w:t>
      </w:r>
    </w:p>
    <w:p>
      <w:pPr>
        <w:pStyle w:val="7"/>
        <w:widowControl/>
        <w:spacing w:before="0" w:beforeAutospacing="0" w:after="0" w:afterAutospacing="0"/>
        <w:ind w:firstLine="596" w:firstLineChars="200"/>
        <w:jc w:val="both"/>
        <w:rPr>
          <w:rFonts w:ascii="宋体" w:hAnsi="宋体" w:cs="Times New Roman"/>
          <w:bCs/>
          <w:iCs/>
          <w:color w:val="000000" w:themeColor="text1"/>
          <w:kern w:val="2"/>
          <w:sz w:val="28"/>
          <w:szCs w:val="28"/>
        </w:rPr>
      </w:pPr>
      <w:r>
        <w:rPr>
          <w:rFonts w:hint="eastAsia" w:ascii="宋体" w:hAnsi="宋体" w:cs="Times New Roman"/>
          <w:b/>
          <w:bCs/>
          <w:iCs/>
          <w:color w:val="000000" w:themeColor="text1"/>
          <w:kern w:val="2"/>
          <w:sz w:val="28"/>
          <w:szCs w:val="28"/>
        </w:rPr>
        <w:t>市场销售减少。</w:t>
      </w:r>
      <w:r>
        <w:rPr>
          <w:rFonts w:hint="eastAsia" w:ascii="宋体" w:hAnsi="宋体" w:cs="Times New Roman"/>
          <w:iCs/>
          <w:color w:val="000000" w:themeColor="text1"/>
          <w:kern w:val="2"/>
          <w:sz w:val="28"/>
          <w:szCs w:val="28"/>
        </w:rPr>
        <w:t>1-2月，全市完成社会消费品零售总额18.16亿元，同比下降14 %，</w:t>
      </w:r>
      <w:r>
        <w:rPr>
          <w:rFonts w:hint="eastAsia" w:ascii="宋体" w:hAnsi="宋体" w:cs="Times New Roman"/>
          <w:bCs/>
          <w:iCs/>
          <w:color w:val="000000" w:themeColor="text1"/>
          <w:kern w:val="2"/>
          <w:sz w:val="28"/>
          <w:szCs w:val="28"/>
        </w:rPr>
        <w:t>按经营单位所在地分，城镇消费品零售额8.76亿元，下降12</w:t>
      </w:r>
      <w:r>
        <w:rPr>
          <w:rFonts w:ascii="宋体" w:hAnsi="宋体" w:cs="Times New Roman"/>
          <w:bCs/>
          <w:iCs/>
          <w:color w:val="000000" w:themeColor="text1"/>
          <w:kern w:val="2"/>
          <w:sz w:val="28"/>
          <w:szCs w:val="28"/>
        </w:rPr>
        <w:t>%</w:t>
      </w:r>
      <w:r>
        <w:rPr>
          <w:rFonts w:hint="eastAsia" w:ascii="宋体" w:hAnsi="宋体" w:cs="Times New Roman"/>
          <w:bCs/>
          <w:iCs/>
          <w:color w:val="000000" w:themeColor="text1"/>
          <w:kern w:val="2"/>
          <w:sz w:val="28"/>
          <w:szCs w:val="28"/>
        </w:rPr>
        <w:t>；乡村消费品零售额9.4亿元，下降15.8</w:t>
      </w:r>
      <w:r>
        <w:rPr>
          <w:rFonts w:ascii="宋体" w:hAnsi="宋体" w:cs="Times New Roman"/>
          <w:bCs/>
          <w:iCs/>
          <w:color w:val="000000" w:themeColor="text1"/>
          <w:kern w:val="2"/>
          <w:sz w:val="28"/>
          <w:szCs w:val="28"/>
        </w:rPr>
        <w:t>%</w:t>
      </w:r>
      <w:r>
        <w:rPr>
          <w:rFonts w:hint="eastAsia" w:ascii="宋体" w:hAnsi="宋体" w:cs="Times New Roman"/>
          <w:bCs/>
          <w:iCs/>
          <w:color w:val="000000" w:themeColor="text1"/>
          <w:kern w:val="2"/>
          <w:sz w:val="28"/>
          <w:szCs w:val="28"/>
        </w:rPr>
        <w:t>。按消费类型分，商品零售12.93亿元，下降13.7</w:t>
      </w:r>
      <w:r>
        <w:rPr>
          <w:rFonts w:ascii="宋体" w:hAnsi="宋体" w:cs="Times New Roman"/>
          <w:bCs/>
          <w:iCs/>
          <w:color w:val="000000" w:themeColor="text1"/>
          <w:kern w:val="2"/>
          <w:sz w:val="28"/>
          <w:szCs w:val="28"/>
        </w:rPr>
        <w:t>%</w:t>
      </w:r>
      <w:r>
        <w:rPr>
          <w:rFonts w:hint="eastAsia" w:ascii="宋体" w:hAnsi="宋体" w:cs="Times New Roman"/>
          <w:bCs/>
          <w:iCs/>
          <w:color w:val="000000" w:themeColor="text1"/>
          <w:kern w:val="2"/>
          <w:sz w:val="28"/>
          <w:szCs w:val="28"/>
        </w:rPr>
        <w:t>；批发业销售3.98亿元，下降9.5%；餐饮收入1.09亿元，下降28.7</w:t>
      </w:r>
      <w:r>
        <w:rPr>
          <w:rFonts w:ascii="宋体" w:hAnsi="宋体" w:cs="Times New Roman"/>
          <w:bCs/>
          <w:iCs/>
          <w:color w:val="000000" w:themeColor="text1"/>
          <w:kern w:val="2"/>
          <w:sz w:val="28"/>
          <w:szCs w:val="28"/>
        </w:rPr>
        <w:t>%</w:t>
      </w:r>
      <w:r>
        <w:rPr>
          <w:rFonts w:hint="eastAsia" w:ascii="宋体" w:hAnsi="宋体" w:cs="Times New Roman"/>
          <w:bCs/>
          <w:iCs/>
          <w:color w:val="000000" w:themeColor="text1"/>
          <w:kern w:val="2"/>
          <w:sz w:val="28"/>
          <w:szCs w:val="28"/>
        </w:rPr>
        <w:t>；住宿业收入0.15亿元，同比下降26.7%。与居民生活密切相关的商品呈现增长态势，限额以上单位肉禽蛋类、水产品类、蔬菜类和饮料类商品分别增长13.9</w:t>
      </w:r>
      <w:r>
        <w:rPr>
          <w:rFonts w:ascii="宋体" w:hAnsi="宋体" w:cs="Times New Roman"/>
          <w:bCs/>
          <w:iCs/>
          <w:color w:val="000000" w:themeColor="text1"/>
          <w:kern w:val="2"/>
          <w:sz w:val="28"/>
          <w:szCs w:val="28"/>
        </w:rPr>
        <w:t>%</w:t>
      </w:r>
      <w:r>
        <w:rPr>
          <w:rFonts w:hint="eastAsia" w:ascii="宋体" w:hAnsi="宋体" w:cs="Times New Roman"/>
          <w:bCs/>
          <w:iCs/>
          <w:color w:val="000000" w:themeColor="text1"/>
          <w:kern w:val="2"/>
          <w:sz w:val="28"/>
          <w:szCs w:val="28"/>
        </w:rPr>
        <w:t>、15.2</w:t>
      </w:r>
      <w:r>
        <w:rPr>
          <w:rFonts w:ascii="宋体" w:hAnsi="宋体" w:cs="Times New Roman"/>
          <w:bCs/>
          <w:iCs/>
          <w:color w:val="000000" w:themeColor="text1"/>
          <w:kern w:val="2"/>
          <w:sz w:val="28"/>
          <w:szCs w:val="28"/>
        </w:rPr>
        <w:t>%</w:t>
      </w:r>
      <w:r>
        <w:rPr>
          <w:rFonts w:hint="eastAsia" w:ascii="宋体" w:hAnsi="宋体" w:cs="Times New Roman"/>
          <w:bCs/>
          <w:iCs/>
          <w:color w:val="000000" w:themeColor="text1"/>
          <w:kern w:val="2"/>
          <w:sz w:val="28"/>
          <w:szCs w:val="28"/>
        </w:rPr>
        <w:t>、25%和5.7</w:t>
      </w:r>
      <w:r>
        <w:rPr>
          <w:rFonts w:ascii="宋体" w:hAnsi="宋体" w:cs="Times New Roman"/>
          <w:bCs/>
          <w:iCs/>
          <w:color w:val="000000" w:themeColor="text1"/>
          <w:kern w:val="2"/>
          <w:sz w:val="28"/>
          <w:szCs w:val="28"/>
        </w:rPr>
        <w:t>%</w:t>
      </w:r>
      <w:r>
        <w:rPr>
          <w:rFonts w:hint="eastAsia" w:ascii="宋体" w:hAnsi="宋体" w:cs="Times New Roman"/>
          <w:bCs/>
          <w:iCs/>
          <w:color w:val="000000" w:themeColor="text1"/>
          <w:kern w:val="2"/>
          <w:sz w:val="28"/>
          <w:szCs w:val="28"/>
        </w:rPr>
        <w:t>。</w:t>
      </w:r>
    </w:p>
    <w:p>
      <w:pPr>
        <w:pStyle w:val="21"/>
        <w:ind w:firstLine="596" w:firstLineChars="200"/>
        <w:rPr>
          <w:rFonts w:ascii="宋体" w:hAnsi="宋体"/>
          <w:iCs/>
          <w:color w:val="FF0000"/>
          <w:sz w:val="28"/>
          <w:szCs w:val="28"/>
        </w:rPr>
      </w:pPr>
      <w:r>
        <w:rPr>
          <w:rFonts w:hint="eastAsia" w:ascii="宋体" w:hAnsi="宋体"/>
          <w:b/>
          <w:iCs/>
          <w:color w:val="000000" w:themeColor="text1"/>
          <w:sz w:val="28"/>
          <w:szCs w:val="28"/>
        </w:rPr>
        <w:t>财税增长平稳</w:t>
      </w:r>
      <w:r>
        <w:rPr>
          <w:rFonts w:hint="eastAsia" w:ascii="宋体" w:hAnsi="宋体"/>
          <w:b/>
          <w:bCs/>
          <w:iCs/>
          <w:color w:val="000000" w:themeColor="text1"/>
        </w:rPr>
        <w:t>。</w:t>
      </w:r>
      <w:r>
        <w:rPr>
          <w:rFonts w:hint="eastAsia" w:ascii="宋体" w:hAnsi="宋体"/>
          <w:iCs/>
          <w:color w:val="000000" w:themeColor="text1"/>
          <w:sz w:val="28"/>
          <w:szCs w:val="28"/>
        </w:rPr>
        <w:t>1-2月，全市完成财政总收入4.16亿元，同比增长4.8%。其中，地方收入完成2.14亿元，同比增长8.4%。税收收入完成3.95亿元，同比增长12%；非税收入完成0.21亿元，同比下降52.9%。全口径税收收入占财政总收入的比重为94.99%，比上年同期提高6.14个百分点。财政总支出17.47亿元，同比增长17.3%；其中一般预算支出16.39亿元，同比下增长12.9%。</w:t>
      </w:r>
    </w:p>
    <w:p>
      <w:pPr>
        <w:widowControl/>
        <w:autoSpaceDE w:val="0"/>
        <w:ind w:firstLine="596" w:firstLineChars="200"/>
        <w:rPr>
          <w:rFonts w:ascii="宋体" w:hAnsi="宋体"/>
          <w:iCs/>
          <w:color w:val="000000" w:themeColor="text1"/>
        </w:rPr>
      </w:pPr>
      <w:r>
        <w:rPr>
          <w:rFonts w:hint="eastAsia" w:ascii="宋体" w:hAnsi="宋体"/>
          <w:b/>
          <w:bCs/>
          <w:iCs/>
          <w:color w:val="000000" w:themeColor="text1"/>
        </w:rPr>
        <w:t>房屋销售快速增长。</w:t>
      </w:r>
      <w:r>
        <w:rPr>
          <w:rFonts w:hint="eastAsia" w:ascii="宋体" w:hAnsi="宋体"/>
          <w:iCs/>
          <w:color w:val="000000" w:themeColor="text1"/>
        </w:rPr>
        <w:t>在第二届房地产博览会的推动下，商品房销售火热。1-2月份，全市商品房销售面积10.39万平方米，同比增长63.6%，其中住宅销售面积8.91万平方米，同比增长49.2%。商品房销售额5.81亿元，同比增长87.9%，其中住宅销售额5.06亿元，同比增长72.5%。</w:t>
      </w:r>
    </w:p>
    <w:p>
      <w:pPr>
        <w:ind w:firstLine="437" w:firstLineChars="147"/>
        <w:rPr>
          <w:rFonts w:ascii="宋体" w:hAnsi="宋体"/>
          <w:iCs/>
          <w:color w:val="FF0000"/>
        </w:rPr>
      </w:pPr>
    </w:p>
    <w:p>
      <w:pPr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ind w:firstLine="1980" w:firstLineChars="586"/>
        <w:rPr>
          <w:rFonts w:ascii="黑体" w:eastAsia="黑体"/>
          <w:color w:val="FF0000"/>
          <w:sz w:val="32"/>
          <w:szCs w:val="32"/>
        </w:rPr>
      </w:pPr>
    </w:p>
    <w:p>
      <w:pPr>
        <w:ind w:firstLine="1980" w:firstLineChars="586"/>
        <w:rPr>
          <w:rFonts w:ascii="黑体" w:eastAsia="黑体"/>
          <w:color w:val="FF0000"/>
          <w:sz w:val="32"/>
          <w:szCs w:val="32"/>
        </w:rPr>
      </w:pPr>
    </w:p>
    <w:p>
      <w:pPr>
        <w:ind w:firstLine="1980" w:firstLineChars="586"/>
        <w:rPr>
          <w:rFonts w:ascii="黑体" w:eastAsia="黑体"/>
          <w:color w:val="FF0000"/>
          <w:sz w:val="32"/>
          <w:szCs w:val="32"/>
        </w:rPr>
      </w:pPr>
    </w:p>
    <w:p>
      <w:pPr>
        <w:ind w:firstLine="1980" w:firstLineChars="586"/>
        <w:rPr>
          <w:rFonts w:ascii="黑体" w:eastAsia="黑体"/>
          <w:color w:val="FF0000"/>
          <w:sz w:val="32"/>
          <w:szCs w:val="32"/>
        </w:rPr>
      </w:pPr>
    </w:p>
    <w:p>
      <w:pPr>
        <w:ind w:firstLine="1980" w:firstLineChars="586"/>
        <w:rPr>
          <w:rFonts w:ascii="黑体" w:eastAsia="黑体"/>
          <w:color w:val="FF0000"/>
          <w:sz w:val="32"/>
          <w:szCs w:val="32"/>
        </w:rPr>
      </w:pPr>
    </w:p>
    <w:p>
      <w:pPr>
        <w:ind w:firstLine="1980" w:firstLineChars="586"/>
        <w:rPr>
          <w:rFonts w:ascii="黑体" w:eastAsia="黑体"/>
          <w:color w:val="FF0000"/>
          <w:sz w:val="32"/>
          <w:szCs w:val="32"/>
        </w:rPr>
      </w:pPr>
    </w:p>
    <w:p>
      <w:pPr>
        <w:ind w:firstLine="1980" w:firstLineChars="586"/>
        <w:rPr>
          <w:rFonts w:ascii="黑体" w:eastAsia="黑体"/>
          <w:color w:val="FF0000"/>
          <w:sz w:val="32"/>
          <w:szCs w:val="32"/>
        </w:rPr>
      </w:pPr>
    </w:p>
    <w:p>
      <w:pPr>
        <w:ind w:firstLine="1980" w:firstLineChars="586"/>
        <w:rPr>
          <w:rFonts w:ascii="黑体" w:eastAsia="黑体"/>
          <w:color w:val="FF0000"/>
          <w:sz w:val="32"/>
          <w:szCs w:val="32"/>
        </w:rPr>
      </w:pPr>
    </w:p>
    <w:p>
      <w:pPr>
        <w:ind w:firstLine="1980" w:firstLineChars="586"/>
        <w:rPr>
          <w:rFonts w:ascii="黑体" w:eastAsia="黑体"/>
          <w:color w:val="FF0000"/>
          <w:sz w:val="32"/>
          <w:szCs w:val="32"/>
        </w:rPr>
      </w:pPr>
    </w:p>
    <w:p>
      <w:pPr>
        <w:ind w:firstLine="1980" w:firstLineChars="586"/>
        <w:rPr>
          <w:rFonts w:ascii="黑体" w:eastAsia="黑体"/>
          <w:color w:val="FF0000"/>
          <w:sz w:val="32"/>
          <w:szCs w:val="32"/>
        </w:rPr>
      </w:pPr>
    </w:p>
    <w:p>
      <w:pPr>
        <w:ind w:firstLine="2311" w:firstLineChars="684"/>
        <w:rPr>
          <w:rFonts w:ascii="黑体" w:eastAsia="黑体"/>
          <w:color w:val="FF0000"/>
          <w:sz w:val="32"/>
          <w:szCs w:val="32"/>
        </w:rPr>
      </w:pPr>
    </w:p>
    <w:p>
      <w:pPr>
        <w:ind w:firstLine="2311" w:firstLineChars="684"/>
        <w:rPr>
          <w:rFonts w:ascii="黑体" w:eastAsia="黑体"/>
          <w:color w:val="FF0000"/>
          <w:sz w:val="32"/>
          <w:szCs w:val="32"/>
        </w:rPr>
      </w:pPr>
    </w:p>
    <w:p>
      <w:pPr>
        <w:ind w:firstLine="2311" w:firstLineChars="684"/>
        <w:rPr>
          <w:rFonts w:ascii="黑体" w:eastAsia="黑体"/>
          <w:color w:val="000000" w:themeColor="text1"/>
          <w:sz w:val="32"/>
          <w:szCs w:val="32"/>
        </w:rPr>
      </w:pPr>
    </w:p>
    <w:p>
      <w:pPr>
        <w:ind w:firstLine="2311" w:firstLineChars="684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二、1-2月主要经济指标完成情况</w:t>
      </w:r>
    </w:p>
    <w:tbl>
      <w:tblPr>
        <w:tblStyle w:val="8"/>
        <w:tblW w:w="7903" w:type="dxa"/>
        <w:tblInd w:w="8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6"/>
        <w:gridCol w:w="1196"/>
        <w:gridCol w:w="1495"/>
        <w:gridCol w:w="1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6" w:type="dxa"/>
            <w:vMerge w:val="restart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196" w:type="dxa"/>
            <w:vMerge w:val="restart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计量</w:t>
            </w:r>
          </w:p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2691" w:type="dxa"/>
            <w:gridSpan w:val="2"/>
            <w:tcBorders>
              <w:left w:val="nil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本年完成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6" w:type="dxa"/>
            <w:vMerge w:val="continue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96" w:type="dxa"/>
            <w:vMerge w:val="continue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9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实际完成</w:t>
            </w:r>
          </w:p>
        </w:tc>
        <w:tc>
          <w:tcPr>
            <w:tcW w:w="1196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401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工业总产值</w:t>
            </w:r>
          </w:p>
        </w:tc>
        <w:tc>
          <w:tcPr>
            <w:tcW w:w="1196" w:type="dxa"/>
            <w:tcBorders>
              <w:left w:val="nil"/>
            </w:tcBorders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规模以上工业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增加值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社会消费品零售总额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18.16</w:t>
            </w:r>
          </w:p>
        </w:tc>
        <w:tc>
          <w:tcPr>
            <w:tcW w:w="1196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固定资产投资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196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财政总收入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4.16</w:t>
            </w:r>
          </w:p>
        </w:tc>
        <w:tc>
          <w:tcPr>
            <w:tcW w:w="1196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其中：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地方</w:t>
            </w:r>
            <w:r>
              <w:rPr>
                <w:color w:val="000000" w:themeColor="text1"/>
                <w:sz w:val="24"/>
                <w:szCs w:val="24"/>
              </w:rPr>
              <w:t>收入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2.14</w:t>
            </w:r>
          </w:p>
        </w:tc>
        <w:tc>
          <w:tcPr>
            <w:tcW w:w="1196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016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税收占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财政</w:t>
            </w:r>
            <w:r>
              <w:rPr>
                <w:color w:val="000000" w:themeColor="text1"/>
                <w:sz w:val="24"/>
                <w:szCs w:val="24"/>
              </w:rPr>
              <w:t>收入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的</w:t>
            </w:r>
            <w:r>
              <w:rPr>
                <w:color w:val="000000" w:themeColor="text1"/>
                <w:sz w:val="24"/>
                <w:szCs w:val="24"/>
              </w:rPr>
              <w:t>比重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49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94.99</w:t>
            </w:r>
          </w:p>
        </w:tc>
        <w:tc>
          <w:tcPr>
            <w:tcW w:w="1196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01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财政总支出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亿元</w:t>
            </w:r>
          </w:p>
        </w:tc>
        <w:tc>
          <w:tcPr>
            <w:tcW w:w="149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17.47</w:t>
            </w:r>
          </w:p>
        </w:tc>
        <w:tc>
          <w:tcPr>
            <w:tcW w:w="1196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016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出口创汇</w:t>
            </w:r>
          </w:p>
        </w:tc>
        <w:tc>
          <w:tcPr>
            <w:tcW w:w="1196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万美元</w:t>
            </w:r>
          </w:p>
        </w:tc>
        <w:tc>
          <w:tcPr>
            <w:tcW w:w="149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1331</w:t>
            </w:r>
          </w:p>
        </w:tc>
        <w:tc>
          <w:tcPr>
            <w:tcW w:w="1196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-41.9</w:t>
            </w:r>
            <w:bookmarkStart w:id="1" w:name="_GoBack"/>
            <w:bookmarkEnd w:id="1"/>
          </w:p>
        </w:tc>
      </w:tr>
    </w:tbl>
    <w:p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三、财    税</w:t>
      </w:r>
    </w:p>
    <w:p>
      <w:pPr>
        <w:spacing w:line="380" w:lineRule="exact"/>
        <w:ind w:right="516" w:firstLine="6364" w:firstLineChars="2467"/>
        <w:outlineLvl w:val="0"/>
        <w:rPr>
          <w:rFonts w:ascii="黑体" w:eastAsia="黑体"/>
          <w:color w:val="000000" w:themeColor="text1"/>
          <w:sz w:val="24"/>
          <w:szCs w:val="24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（单位：万元）</w:t>
      </w:r>
    </w:p>
    <w:tbl>
      <w:tblPr>
        <w:tblStyle w:val="8"/>
        <w:tblW w:w="7286" w:type="dxa"/>
        <w:tblInd w:w="6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1888"/>
        <w:gridCol w:w="1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一、财政总收入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41614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（一）地方收入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21438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1、税收收入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19353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26.0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ind w:firstLine="378" w:firstLineChars="14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其中：增值税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2554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37.2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营业税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企业所得税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2025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-1.8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个人所得税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333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-27.5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耕地占用税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-81.8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契税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5452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247.3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2、非税收入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2085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-52.9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ind w:firstLine="378" w:firstLineChars="14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其中：行政性收费收入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175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113.4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罚没收入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-83.3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专项收入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1780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28.1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（二）上划中央收入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16265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（三）上划省级收入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3911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财政总收入中：纯税收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39529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二、财政总支出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174733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其中：一般预算支出</w:t>
            </w:r>
          </w:p>
        </w:tc>
        <w:tc>
          <w:tcPr>
            <w:tcW w:w="188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163946</w:t>
            </w:r>
          </w:p>
        </w:tc>
        <w:tc>
          <w:tcPr>
            <w:tcW w:w="188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12.9</w:t>
            </w:r>
          </w:p>
        </w:tc>
      </w:tr>
    </w:tbl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  <w:r>
        <w:rPr>
          <w:rFonts w:ascii="黑体" w:eastAsia="黑体"/>
          <w:color w:val="FF0000"/>
          <w:sz w:val="32"/>
          <w:szCs w:val="32"/>
        </w:rPr>
        <w:br w:type="page"/>
      </w:r>
    </w:p>
    <w:p>
      <w:pPr>
        <w:spacing w:line="380" w:lineRule="exact"/>
        <w:ind w:firstLine="3143" w:firstLineChars="930"/>
        <w:outlineLvl w:val="0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四、固定资产投资</w:t>
      </w:r>
    </w:p>
    <w:p>
      <w:pPr>
        <w:spacing w:line="380" w:lineRule="exact"/>
        <w:ind w:right="387"/>
        <w:jc w:val="right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 xml:space="preserve"> </w:t>
      </w:r>
    </w:p>
    <w:tbl>
      <w:tblPr>
        <w:tblStyle w:val="8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3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指标名称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固定资产投资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-18.9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      其中：房地产开发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            产业投资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            技术改造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-78.5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632" w:firstLineChars="245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一、按经济类型分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国有投资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393.6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非国有投资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-53.4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其中：民间投资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-54.2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二、按产业结构分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       （一）一产业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       （二）二产业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-69.3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       （三）三产业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三、按投资方向分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工业投资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-69.3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61" w:firstLineChars="45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高新技术产业投资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375.1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61" w:firstLineChars="45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民生工程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61" w:firstLineChars="45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生态环境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161" w:firstLineChars="45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基础设施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78.7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1247" w:leftChars="249" w:hanging="505" w:hangingChars="196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四、高新技术产业投资占产业投资比重</w:t>
            </w:r>
          </w:p>
        </w:tc>
        <w:tc>
          <w:tcPr>
            <w:tcW w:w="38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--</w:t>
            </w:r>
          </w:p>
        </w:tc>
      </w:tr>
    </w:tbl>
    <w:p>
      <w:pPr>
        <w:spacing w:line="380" w:lineRule="exact"/>
        <w:ind w:firstLine="3791" w:firstLineChars="1122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3467" w:firstLineChars="1026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五、房地产</w:t>
      </w:r>
    </w:p>
    <w:p>
      <w:pPr>
        <w:spacing w:line="380" w:lineRule="exact"/>
        <w:ind w:right="516"/>
        <w:jc w:val="right"/>
        <w:outlineLvl w:val="0"/>
        <w:rPr>
          <w:rFonts w:hint="eastAsia" w:ascii="黑体" w:eastAsia="黑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（单位：万元）</w:t>
      </w:r>
    </w:p>
    <w:tbl>
      <w:tblPr>
        <w:tblStyle w:val="8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1291"/>
        <w:gridCol w:w="1280"/>
        <w:gridCol w:w="1280"/>
        <w:gridCol w:w="1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指标名称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累计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上年同期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一、本年完成投资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万元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20682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19190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499" w:firstLineChars="194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其中：本月完成投资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万元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（一）商品房销售额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万元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58133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30943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87.9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516" w:firstLineChars="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其中：住宅销售额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万元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50598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29327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（二）商品房屋销售面积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10.39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6.35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其中：住宅销售面积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8.91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5.97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（三）房屋施工面积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179.1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166.92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其中：房屋新开工面积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1.36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18.68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-92.7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（四）房屋竣工面积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万平方米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8.2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1.7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381.2</w:t>
            </w:r>
          </w:p>
        </w:tc>
      </w:tr>
    </w:tbl>
    <w:p>
      <w:pPr>
        <w:spacing w:line="380" w:lineRule="exact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2318" w:firstLineChars="686"/>
        <w:outlineLvl w:val="0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2484" w:firstLineChars="735"/>
        <w:outlineLvl w:val="0"/>
        <w:rPr>
          <w:rFonts w:hint="eastAsia" w:ascii="黑体" w:hAnsi="黑体" w:eastAsia="黑体"/>
          <w:sz w:val="32"/>
          <w:szCs w:val="32"/>
        </w:rPr>
      </w:pPr>
    </w:p>
    <w:p>
      <w:pPr>
        <w:spacing w:line="380" w:lineRule="exact"/>
        <w:ind w:firstLine="2484" w:firstLineChars="735"/>
        <w:outlineLvl w:val="0"/>
        <w:rPr>
          <w:rFonts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房地产投资项目完成进度表</w:t>
      </w:r>
    </w:p>
    <w:p>
      <w:pPr>
        <w:spacing w:line="380" w:lineRule="exact"/>
        <w:ind w:firstLine="7301" w:firstLineChars="2830"/>
        <w:outlineLvl w:val="0"/>
        <w:rPr>
          <w:rFonts w:hint="eastAsia" w:ascii="黑体" w:eastAsia="黑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（单位：万元）</w:t>
      </w:r>
    </w:p>
    <w:tbl>
      <w:tblPr>
        <w:tblStyle w:val="9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2"/>
        <w:gridCol w:w="1281"/>
        <w:gridCol w:w="1873"/>
        <w:gridCol w:w="1872"/>
        <w:gridCol w:w="1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建设性质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计划总投资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累计完成投资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本年完成投资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尚品国际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32166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百嘉香阳光城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50320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玉泉天颐花园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8680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碧桂园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30927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30834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霞光名府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19500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18990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湘乡碧桂园豪园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39781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35422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明月山水湾二期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21961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16296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燕兴华城六期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55650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30959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龙城盛悦府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27450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裕源懿府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69736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54417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2670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中南国际汽车城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32344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18362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滨江熙苑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54758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12190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长河湾一期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28055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万汇北城壹号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14000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4591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缇香名苑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10638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8425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东台御景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新建</w:t>
            </w:r>
          </w:p>
        </w:tc>
        <w:tc>
          <w:tcPr>
            <w:tcW w:w="1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20500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10895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1267</w:t>
            </w:r>
          </w:p>
        </w:tc>
      </w:tr>
    </w:tbl>
    <w:p>
      <w:pPr>
        <w:spacing w:line="380" w:lineRule="exact"/>
        <w:jc w:val="center"/>
        <w:outlineLvl w:val="0"/>
        <w:rPr>
          <w:rFonts w:hint="eastAsia"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hint="eastAsia"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六、工    业</w:t>
      </w:r>
    </w:p>
    <w:tbl>
      <w:tblPr>
        <w:tblStyle w:val="8"/>
        <w:tblW w:w="9488" w:type="dxa"/>
        <w:tblInd w:w="-3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5"/>
        <w:gridCol w:w="1783"/>
        <w:gridCol w:w="1843"/>
        <w:gridCol w:w="1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4375" w:type="dxa"/>
            <w:vMerge w:val="restart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5113" w:type="dxa"/>
            <w:gridSpan w:val="3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现价工业总产值 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4375" w:type="dxa"/>
            <w:vMerge w:val="continue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84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上年同期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4" w:firstLineChars="9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一、全部工业总产值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-14.5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其中：（一）规模以上工业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-13.5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其中：工业园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</w:rPr>
              <w:t>485623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</w:rPr>
              <w:t>568223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-14.5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（二）规模以下工业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49434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63061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-21.6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二、规模以上工业按行业分：</w:t>
            </w:r>
          </w:p>
        </w:tc>
        <w:tc>
          <w:tcPr>
            <w:tcW w:w="178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（一）采矿业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</w:rPr>
              <w:t>25451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</w:rPr>
              <w:t>32179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-20.9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（二）制造业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650651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756362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-14.0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其中：1、食品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143108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177834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-19.5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2、皮革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77265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97195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-20.5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3、化工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45755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44883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4、建材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59804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67989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-12.0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5、冶金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50421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52368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-3.7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6、机电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205704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211350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-2.7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（三）电力及水生产和供应业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6940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5223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32.9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三、规模以上工业产品销售率（%）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四、规模以上工业增加值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--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--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-14.4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370" w:firstLineChars="144"/>
              <w:rPr>
                <w:rFonts w:hint="eastAsia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其中（一）采矿业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--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--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-21.7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884" w:firstLineChars="343"/>
              <w:rPr>
                <w:rFonts w:hint="eastAsia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（二）制造业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--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--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-14.0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890" w:firstLineChars="345"/>
              <w:rPr>
                <w:rFonts w:hint="eastAsia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（三）电力及水生产和供应业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--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--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29.5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五</w:t>
            </w:r>
            <w:r>
              <w:rPr>
                <w:color w:val="000000" w:themeColor="text1"/>
                <w:sz w:val="24"/>
                <w:szCs w:val="24"/>
              </w:rPr>
              <w:t>、工业用电量（万千瓦·时）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10704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13546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-21.0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437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 xml:space="preserve">   </w:t>
            </w:r>
            <w:r>
              <w:rPr>
                <w:rFonts w:ascii="宋体" w:hAnsi="宋体"/>
                <w:color w:val="000000" w:themeColor="text1"/>
                <w:sz w:val="21"/>
                <w:szCs w:val="21"/>
              </w:rPr>
              <w:t>其中：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</w:rPr>
              <w:t>三</w:t>
            </w:r>
            <w:r>
              <w:rPr>
                <w:rFonts w:ascii="宋体" w:hAnsi="宋体"/>
                <w:color w:val="000000" w:themeColor="text1"/>
                <w:sz w:val="21"/>
                <w:szCs w:val="21"/>
              </w:rPr>
              <w:t>大厂矿用电量（万千瓦·时）</w:t>
            </w:r>
          </w:p>
        </w:tc>
        <w:tc>
          <w:tcPr>
            <w:tcW w:w="17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1969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2903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-32.2</w:t>
            </w:r>
          </w:p>
        </w:tc>
      </w:tr>
    </w:tbl>
    <w:p>
      <w:pPr>
        <w:spacing w:line="380" w:lineRule="exact"/>
        <w:rPr>
          <w:color w:val="FF0000"/>
          <w:sz w:val="24"/>
          <w:szCs w:val="24"/>
        </w:rPr>
      </w:pPr>
    </w:p>
    <w:p>
      <w:pPr>
        <w:spacing w:line="380" w:lineRule="exact"/>
        <w:rPr>
          <w:color w:val="FF0000"/>
          <w:sz w:val="24"/>
          <w:szCs w:val="24"/>
        </w:rPr>
      </w:pPr>
    </w:p>
    <w:p>
      <w:pPr>
        <w:spacing w:line="380" w:lineRule="exact"/>
        <w:rPr>
          <w:color w:val="FF0000"/>
          <w:sz w:val="24"/>
          <w:szCs w:val="24"/>
        </w:rPr>
      </w:pPr>
    </w:p>
    <w:p>
      <w:pPr>
        <w:spacing w:line="380" w:lineRule="exact"/>
        <w:rPr>
          <w:color w:val="FF0000"/>
          <w:sz w:val="24"/>
          <w:szCs w:val="24"/>
        </w:rPr>
      </w:pPr>
    </w:p>
    <w:p>
      <w:pPr>
        <w:spacing w:line="380" w:lineRule="exact"/>
        <w:jc w:val="center"/>
        <w:rPr>
          <w:rFonts w:ascii="黑体" w:hAnsi="黑体" w:eastAsia="黑体"/>
          <w:color w:val="FF0000"/>
        </w:rPr>
      </w:pPr>
    </w:p>
    <w:p>
      <w:pPr>
        <w:spacing w:line="380" w:lineRule="exact"/>
        <w:jc w:val="center"/>
        <w:rPr>
          <w:rFonts w:ascii="黑体" w:hAnsi="黑体" w:eastAsia="黑体"/>
          <w:color w:val="000000" w:themeColor="text1"/>
        </w:rPr>
      </w:pPr>
    </w:p>
    <w:p>
      <w:pPr>
        <w:spacing w:line="380" w:lineRule="exact"/>
        <w:jc w:val="center"/>
        <w:rPr>
          <w:rFonts w:ascii="黑体" w:hAnsi="黑体" w:eastAsia="黑体"/>
          <w:color w:val="000000" w:themeColor="text1"/>
        </w:rPr>
      </w:pPr>
      <w:r>
        <w:rPr>
          <w:rFonts w:hint="eastAsia" w:ascii="黑体" w:hAnsi="黑体" w:eastAsia="黑体"/>
          <w:color w:val="000000" w:themeColor="text1"/>
        </w:rPr>
        <w:t>（一）大厂矿生产经营情况</w:t>
      </w:r>
    </w:p>
    <w:p>
      <w:pPr>
        <w:spacing w:line="380" w:lineRule="exact"/>
        <w:jc w:val="center"/>
        <w:rPr>
          <w:rFonts w:ascii="宋体" w:hAnsi="宋体"/>
          <w:color w:val="000000" w:themeColor="text1"/>
        </w:rPr>
      </w:pPr>
    </w:p>
    <w:tbl>
      <w:tblPr>
        <w:tblStyle w:val="8"/>
        <w:tblW w:w="8620" w:type="dxa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2"/>
        <w:gridCol w:w="2015"/>
        <w:gridCol w:w="1841"/>
        <w:gridCol w:w="1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902" w:type="dxa"/>
            <w:vMerge w:val="restart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单位名称</w:t>
            </w:r>
          </w:p>
        </w:tc>
        <w:tc>
          <w:tcPr>
            <w:tcW w:w="5718" w:type="dxa"/>
            <w:gridSpan w:val="3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现价工业总产值 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902" w:type="dxa"/>
            <w:vMerge w:val="continue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841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上年同期</w:t>
            </w:r>
          </w:p>
        </w:tc>
        <w:tc>
          <w:tcPr>
            <w:tcW w:w="1862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902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韶峰</w:t>
            </w:r>
          </w:p>
        </w:tc>
        <w:tc>
          <w:tcPr>
            <w:tcW w:w="20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7229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6593</w:t>
            </w:r>
          </w:p>
        </w:tc>
        <w:tc>
          <w:tcPr>
            <w:tcW w:w="1862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902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巨强</w:t>
            </w:r>
          </w:p>
        </w:tc>
        <w:tc>
          <w:tcPr>
            <w:tcW w:w="20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3108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2553</w:t>
            </w:r>
          </w:p>
        </w:tc>
        <w:tc>
          <w:tcPr>
            <w:tcW w:w="1862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21.7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902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燕京啤酒</w:t>
            </w:r>
          </w:p>
        </w:tc>
        <w:tc>
          <w:tcPr>
            <w:tcW w:w="201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873</w:t>
            </w:r>
          </w:p>
        </w:tc>
        <w:tc>
          <w:tcPr>
            <w:tcW w:w="1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1245</w:t>
            </w:r>
          </w:p>
        </w:tc>
        <w:tc>
          <w:tcPr>
            <w:tcW w:w="1862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-29.9</w:t>
            </w:r>
          </w:p>
        </w:tc>
      </w:tr>
    </w:tbl>
    <w:p>
      <w:pPr>
        <w:spacing w:line="380" w:lineRule="exact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2980" w:firstLineChars="882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 xml:space="preserve">主要工业产品产量                            </w:t>
      </w:r>
    </w:p>
    <w:tbl>
      <w:tblPr>
        <w:tblStyle w:val="8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1"/>
        <w:gridCol w:w="1261"/>
        <w:gridCol w:w="1595"/>
        <w:gridCol w:w="1561"/>
        <w:gridCol w:w="1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971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企业产品名称</w:t>
            </w:r>
          </w:p>
        </w:tc>
        <w:tc>
          <w:tcPr>
            <w:tcW w:w="1261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计量单位</w:t>
            </w:r>
          </w:p>
        </w:tc>
        <w:tc>
          <w:tcPr>
            <w:tcW w:w="1595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本月止累计</w:t>
            </w:r>
          </w:p>
        </w:tc>
        <w:tc>
          <w:tcPr>
            <w:tcW w:w="1561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同期累计</w:t>
            </w:r>
          </w:p>
        </w:tc>
        <w:tc>
          <w:tcPr>
            <w:tcW w:w="1372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971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韶峰南方水泥</w:t>
            </w:r>
          </w:p>
        </w:tc>
        <w:tc>
          <w:tcPr>
            <w:tcW w:w="1261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万吨</w:t>
            </w:r>
          </w:p>
        </w:tc>
        <w:tc>
          <w:tcPr>
            <w:tcW w:w="15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19.72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18.35</w:t>
            </w:r>
          </w:p>
        </w:tc>
        <w:tc>
          <w:tcPr>
            <w:tcW w:w="1372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971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玻璃</w:t>
            </w:r>
          </w:p>
        </w:tc>
        <w:tc>
          <w:tcPr>
            <w:tcW w:w="1261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万吨</w:t>
            </w:r>
          </w:p>
        </w:tc>
        <w:tc>
          <w:tcPr>
            <w:tcW w:w="15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31180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38267</w:t>
            </w:r>
          </w:p>
        </w:tc>
        <w:tc>
          <w:tcPr>
            <w:tcW w:w="1372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-18.5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971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燕京啤酒</w:t>
            </w:r>
          </w:p>
        </w:tc>
        <w:tc>
          <w:tcPr>
            <w:tcW w:w="1261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千升</w:t>
            </w:r>
          </w:p>
        </w:tc>
        <w:tc>
          <w:tcPr>
            <w:tcW w:w="15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2026</w:t>
            </w:r>
          </w:p>
        </w:tc>
        <w:tc>
          <w:tcPr>
            <w:tcW w:w="15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2852</w:t>
            </w:r>
          </w:p>
        </w:tc>
        <w:tc>
          <w:tcPr>
            <w:tcW w:w="1372" w:type="dxa"/>
            <w:tcBorders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-29.0</w:t>
            </w:r>
          </w:p>
        </w:tc>
      </w:tr>
    </w:tbl>
    <w:p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七、贸易外经</w:t>
      </w:r>
    </w:p>
    <w:p>
      <w:pPr>
        <w:spacing w:line="380" w:lineRule="exact"/>
        <w:jc w:val="center"/>
        <w:outlineLvl w:val="0"/>
        <w:rPr>
          <w:rFonts w:ascii="黑体" w:hAnsi="黑体" w:eastAsia="黑体"/>
          <w:color w:val="000000" w:themeColor="text1"/>
        </w:rPr>
      </w:pPr>
    </w:p>
    <w:p>
      <w:pPr>
        <w:spacing w:line="380" w:lineRule="exact"/>
        <w:jc w:val="center"/>
        <w:outlineLvl w:val="0"/>
        <w:rPr>
          <w:rFonts w:ascii="黑体" w:hAnsi="黑体" w:eastAsia="黑体"/>
          <w:color w:val="000000" w:themeColor="text1"/>
        </w:rPr>
      </w:pPr>
      <w:r>
        <w:rPr>
          <w:rFonts w:hint="eastAsia" w:ascii="黑体" w:hAnsi="黑体" w:eastAsia="黑体"/>
          <w:color w:val="000000" w:themeColor="text1"/>
        </w:rPr>
        <w:t>（一）国内贸易</w:t>
      </w:r>
    </w:p>
    <w:p>
      <w:pPr>
        <w:spacing w:line="380" w:lineRule="exact"/>
        <w:jc w:val="right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（单位：万元）</w:t>
      </w:r>
    </w:p>
    <w:tbl>
      <w:tblPr>
        <w:tblStyle w:val="8"/>
        <w:tblW w:w="9322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1134"/>
        <w:gridCol w:w="1134"/>
        <w:gridCol w:w="1134"/>
        <w:gridCol w:w="1134"/>
        <w:gridCol w:w="1080"/>
        <w:gridCol w:w="1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660" w:type="dxa"/>
            <w:vMerge w:val="restart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上年同期</w:t>
            </w:r>
          </w:p>
        </w:tc>
        <w:tc>
          <w:tcPr>
            <w:tcW w:w="2126" w:type="dxa"/>
            <w:gridSpan w:val="2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660" w:type="dxa"/>
            <w:vMerge w:val="continue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1-本月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1-本月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1-本月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社会消费品零售总额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74086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181555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101615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211110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-27.1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1、分区域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城镇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38543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87548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49521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99512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-22.2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48" w:firstLineChars="29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其中：市区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6943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19267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11549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22790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-39.9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乡村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35543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94007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52094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111598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-31.8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2、分行业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批发业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16396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39116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21183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43941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-22.6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限额以上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1172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3561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1662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3787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-29.5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-6.0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65" w:firstLineChars="29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限额以下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15224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36215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19521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40154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-22.0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零售业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56215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129353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71127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149803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-21.0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-13.7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63" w:firstLineChars="296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限额以上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3658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11669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6315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12820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-42.1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-9.0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39" w:firstLineChars="287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限额以下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52557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117684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64812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136983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-18.9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8" w:firstLineChars="10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住宿业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111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1513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1065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2063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-89.6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-26.7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限额以上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758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531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948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-90.6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限额以下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755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534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1115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-88.6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-32.3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餐饮业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1364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10913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8240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15303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-83.4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-28.7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757" w:firstLineChars="294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限额以上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663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418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782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-90.7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限额以下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1325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10250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7822</w:t>
            </w:r>
          </w:p>
        </w:tc>
        <w:tc>
          <w:tcPr>
            <w:tcW w:w="1134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14521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-83.1</w:t>
            </w:r>
          </w:p>
        </w:tc>
        <w:tc>
          <w:tcPr>
            <w:tcW w:w="1046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-29.4</w:t>
            </w:r>
          </w:p>
        </w:tc>
      </w:tr>
    </w:tbl>
    <w:p>
      <w:pPr>
        <w:spacing w:line="380" w:lineRule="exact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ind w:firstLine="2914" w:firstLineChars="978"/>
        <w:outlineLvl w:val="0"/>
        <w:rPr>
          <w:rFonts w:ascii="黑体" w:hAnsi="黑体" w:eastAsia="黑体"/>
          <w:color w:val="000000" w:themeColor="text1"/>
        </w:rPr>
      </w:pPr>
      <w:r>
        <w:rPr>
          <w:rFonts w:hint="eastAsia" w:ascii="黑体" w:hAnsi="黑体" w:eastAsia="黑体"/>
          <w:color w:val="000000" w:themeColor="text1"/>
        </w:rPr>
        <w:t>（二）对外贸易</w:t>
      </w:r>
    </w:p>
    <w:p>
      <w:pPr>
        <w:spacing w:line="380" w:lineRule="exact"/>
        <w:jc w:val="right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（单位：万元）</w:t>
      </w:r>
    </w:p>
    <w:tbl>
      <w:tblPr>
        <w:tblStyle w:val="8"/>
        <w:tblW w:w="9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1997"/>
        <w:gridCol w:w="1998"/>
        <w:gridCol w:w="1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308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997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998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本来累计</w:t>
            </w:r>
          </w:p>
        </w:tc>
        <w:tc>
          <w:tcPr>
            <w:tcW w:w="199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进出口总值</w:t>
            </w:r>
          </w:p>
        </w:tc>
        <w:tc>
          <w:tcPr>
            <w:tcW w:w="1997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315</w:t>
            </w:r>
          </w:p>
        </w:tc>
        <w:tc>
          <w:tcPr>
            <w:tcW w:w="199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1331</w:t>
            </w:r>
          </w:p>
        </w:tc>
        <w:tc>
          <w:tcPr>
            <w:tcW w:w="199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-41.9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085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出口</w:t>
            </w:r>
          </w:p>
        </w:tc>
        <w:tc>
          <w:tcPr>
            <w:tcW w:w="1997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117</w:t>
            </w:r>
          </w:p>
        </w:tc>
        <w:tc>
          <w:tcPr>
            <w:tcW w:w="199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844</w:t>
            </w:r>
          </w:p>
        </w:tc>
        <w:tc>
          <w:tcPr>
            <w:tcW w:w="199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-51.2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tcBorders>
              <w:left w:val="nil"/>
            </w:tcBorders>
            <w:vAlign w:val="center"/>
          </w:tcPr>
          <w:p>
            <w:pPr>
              <w:spacing w:line="380" w:lineRule="exact"/>
              <w:ind w:firstLine="1137" w:firstLineChars="4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进口</w:t>
            </w:r>
          </w:p>
        </w:tc>
        <w:tc>
          <w:tcPr>
            <w:tcW w:w="1997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206</w:t>
            </w:r>
          </w:p>
        </w:tc>
        <w:tc>
          <w:tcPr>
            <w:tcW w:w="1998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479</w:t>
            </w:r>
          </w:p>
        </w:tc>
        <w:tc>
          <w:tcPr>
            <w:tcW w:w="1998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-12.3</w:t>
            </w:r>
          </w:p>
        </w:tc>
      </w:tr>
    </w:tbl>
    <w:p>
      <w:pPr>
        <w:spacing w:line="380" w:lineRule="exact"/>
        <w:outlineLvl w:val="0"/>
        <w:rPr>
          <w:rFonts w:ascii="宋体" w:hAnsi="宋体" w:cs="宋体"/>
          <w:color w:val="000000" w:themeColor="text1"/>
          <w:sz w:val="21"/>
          <w:szCs w:val="21"/>
        </w:rPr>
      </w:pPr>
      <w:r>
        <w:rPr>
          <w:rFonts w:hint="eastAsia" w:ascii="宋体" w:hAnsi="宋体" w:cs="宋体"/>
          <w:color w:val="000000" w:themeColor="text1"/>
          <w:sz w:val="21"/>
          <w:szCs w:val="21"/>
        </w:rPr>
        <w:t>注：因四舍五入的原因，部分数据总计不等于分项之和。</w:t>
      </w: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</w:p>
    <w:p>
      <w:pPr>
        <w:spacing w:line="380" w:lineRule="exact"/>
        <w:jc w:val="center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八、金    融</w:t>
      </w:r>
    </w:p>
    <w:p>
      <w:pPr>
        <w:spacing w:line="380" w:lineRule="exact"/>
        <w:jc w:val="right"/>
        <w:outlineLvl w:val="0"/>
        <w:rPr>
          <w:rFonts w:ascii="黑体" w:eastAsia="黑体"/>
          <w:color w:val="000000" w:themeColor="text1"/>
          <w:sz w:val="24"/>
          <w:szCs w:val="24"/>
        </w:rPr>
      </w:pPr>
      <w:r>
        <w:rPr>
          <w:rFonts w:hint="eastAsia" w:ascii="宋体" w:hAnsi="宋体"/>
          <w:color w:val="000000" w:themeColor="text1"/>
          <w:sz w:val="24"/>
          <w:szCs w:val="24"/>
        </w:rPr>
        <w:t>（单位：万元）</w:t>
      </w:r>
    </w:p>
    <w:tbl>
      <w:tblPr>
        <w:tblStyle w:val="8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  <w:gridCol w:w="2480"/>
        <w:gridCol w:w="2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219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480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本月余额</w:t>
            </w:r>
          </w:p>
        </w:tc>
        <w:tc>
          <w:tcPr>
            <w:tcW w:w="248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比年初</w:t>
            </w:r>
            <w:r>
              <w:rPr>
                <w:rFonts w:hint="eastAsia" w:ascii="宋体" w:hAnsi="宋体"/>
                <w:color w:val="000000" w:themeColor="text1"/>
                <w:sz w:val="24"/>
                <w:szCs w:val="24"/>
              </w:rPr>
              <w:t>±额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一、金融机构各项存款余额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4021223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191919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ind w:firstLine="626" w:firstLineChars="243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住户存款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3300910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246212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非金融企业存款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430998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-60078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广义政府存款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289014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-12564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ind w:firstLine="645" w:firstLineChars="250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非银行金融机构存款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二、金融机构各项贷款余额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2277367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90193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tabs>
                <w:tab w:val="left" w:pos="495"/>
              </w:tabs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住户贷款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948076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17705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ind w:firstLine="1010" w:firstLineChars="392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其中：短期贷款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297518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-2743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tabs>
                <w:tab w:val="left" w:pos="1365"/>
              </w:tabs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   中长期贷款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650558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20449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tabs>
                <w:tab w:val="left" w:pos="1335"/>
              </w:tabs>
              <w:spacing w:line="380" w:lineRule="exact"/>
              <w:ind w:firstLine="505" w:firstLineChars="196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非金融企业及机关团体贷款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1329195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72489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其中：短期贷款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455585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-465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       中长期贷款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866269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71972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tcBorders>
              <w:left w:val="nil"/>
            </w:tcBorders>
          </w:tcPr>
          <w:p>
            <w:pPr>
              <w:spacing w:line="380" w:lineRule="exact"/>
              <w:ind w:firstLine="1795" w:firstLineChars="696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票据融资</w:t>
            </w:r>
          </w:p>
        </w:tc>
        <w:tc>
          <w:tcPr>
            <w:tcW w:w="2480" w:type="dxa"/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7340</w:t>
            </w:r>
          </w:p>
        </w:tc>
        <w:tc>
          <w:tcPr>
            <w:tcW w:w="2481" w:type="dxa"/>
            <w:tcBorders>
              <w:right w:val="nil"/>
            </w:tcBorders>
            <w:vAlign w:val="bottom"/>
          </w:tcPr>
          <w:p>
            <w:pPr>
              <w:spacing w:line="380" w:lineRule="exact"/>
              <w:jc w:val="center"/>
              <w:rPr>
                <w:rFonts w:ascii="宋体" w:hAnsi="宋体" w:cs="Arial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Arial"/>
                <w:color w:val="000000" w:themeColor="text1"/>
                <w:sz w:val="24"/>
                <w:szCs w:val="24"/>
              </w:rPr>
              <w:t>982</w:t>
            </w:r>
          </w:p>
        </w:tc>
      </w:tr>
    </w:tbl>
    <w:p>
      <w:pPr>
        <w:spacing w:line="380" w:lineRule="exact"/>
        <w:rPr>
          <w:b/>
          <w:color w:val="FF0000"/>
          <w:sz w:val="21"/>
          <w:szCs w:val="21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FF0000"/>
          <w:sz w:val="32"/>
          <w:szCs w:val="32"/>
        </w:rPr>
      </w:pPr>
    </w:p>
    <w:p>
      <w:pPr>
        <w:spacing w:line="380" w:lineRule="exact"/>
        <w:ind w:firstLine="3629" w:firstLineChars="1074"/>
        <w:outlineLvl w:val="0"/>
        <w:rPr>
          <w:rFonts w:ascii="黑体" w:eastAsia="黑体"/>
          <w:color w:val="000000" w:themeColor="text1"/>
          <w:sz w:val="32"/>
          <w:szCs w:val="32"/>
        </w:rPr>
      </w:pPr>
      <w:r>
        <w:rPr>
          <w:rFonts w:hint="eastAsia" w:ascii="黑体" w:eastAsia="黑体"/>
          <w:color w:val="000000" w:themeColor="text1"/>
          <w:sz w:val="32"/>
          <w:szCs w:val="32"/>
        </w:rPr>
        <w:t>九、社会保障</w:t>
      </w:r>
    </w:p>
    <w:tbl>
      <w:tblPr>
        <w:tblStyle w:val="8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1345"/>
        <w:gridCol w:w="448"/>
        <w:gridCol w:w="897"/>
        <w:gridCol w:w="896"/>
        <w:gridCol w:w="449"/>
        <w:gridCol w:w="1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/>
                <w:color w:val="000000" w:themeColor="text1"/>
              </w:rPr>
            </w:pPr>
            <w:r>
              <w:rPr>
                <w:rFonts w:hint="eastAsia" w:ascii="黑体" w:hAnsi="黑体" w:eastAsia="黑体"/>
                <w:color w:val="000000" w:themeColor="text1"/>
              </w:rPr>
              <w:t>（一）企业职工养老保险情况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345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同期累计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同比±%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参保单位数（户）</w:t>
            </w:r>
          </w:p>
        </w:tc>
        <w:tc>
          <w:tcPr>
            <w:tcW w:w="1345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684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578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18.3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参保人数（人）</w:t>
            </w:r>
          </w:p>
        </w:tc>
        <w:tc>
          <w:tcPr>
            <w:tcW w:w="1345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ind w:firstLine="254" w:firstLineChars="9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49938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ind w:firstLine="254" w:firstLineChars="99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47313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离退休人数（人）</w:t>
            </w:r>
          </w:p>
        </w:tc>
        <w:tc>
          <w:tcPr>
            <w:tcW w:w="1345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29934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29306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实收保费（万元）</w:t>
            </w:r>
          </w:p>
        </w:tc>
        <w:tc>
          <w:tcPr>
            <w:tcW w:w="1345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828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13830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15132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8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实付养老金（万元）</w:t>
            </w:r>
          </w:p>
        </w:tc>
        <w:tc>
          <w:tcPr>
            <w:tcW w:w="1345" w:type="dxa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12367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11350</w:t>
            </w:r>
          </w:p>
        </w:tc>
        <w:tc>
          <w:tcPr>
            <w:tcW w:w="1351" w:type="dxa"/>
            <w:tcBorders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ind w:firstLine="2467" w:firstLineChars="828"/>
              <w:rPr>
                <w:rFonts w:ascii="黑体" w:hAnsi="黑体" w:eastAsia="黑体"/>
                <w:color w:val="000000" w:themeColor="text1"/>
              </w:rPr>
            </w:pPr>
            <w:r>
              <w:rPr>
                <w:rFonts w:hint="eastAsia" w:ascii="黑体" w:hAnsi="黑体" w:eastAsia="黑体"/>
                <w:color w:val="000000" w:themeColor="text1"/>
              </w:rPr>
              <w:t>（二）机关事业单位养老保险情况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3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34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345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同期累计</w:t>
            </w:r>
          </w:p>
        </w:tc>
        <w:tc>
          <w:tcPr>
            <w:tcW w:w="135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市本级参保人数（人）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  <w:tc>
          <w:tcPr>
            <w:tcW w:w="1345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16186</w:t>
            </w:r>
          </w:p>
        </w:tc>
        <w:tc>
          <w:tcPr>
            <w:tcW w:w="1345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16667</w:t>
            </w:r>
          </w:p>
        </w:tc>
        <w:tc>
          <w:tcPr>
            <w:tcW w:w="135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市本级养老保险基金收入(万元)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>
            <w:pPr>
              <w:tabs>
                <w:tab w:val="left" w:pos="523"/>
              </w:tabs>
              <w:spacing w:line="380" w:lineRule="exact"/>
              <w:ind w:firstLine="125" w:firstLineChars="49"/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3721.12</w:t>
            </w:r>
          </w:p>
        </w:tc>
        <w:tc>
          <w:tcPr>
            <w:tcW w:w="1345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8077.01</w:t>
            </w:r>
          </w:p>
        </w:tc>
        <w:tc>
          <w:tcPr>
            <w:tcW w:w="1345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7159.24</w:t>
            </w:r>
          </w:p>
        </w:tc>
        <w:tc>
          <w:tcPr>
            <w:tcW w:w="135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市级养老保险基金支出（万元）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3787.44</w:t>
            </w:r>
          </w:p>
        </w:tc>
        <w:tc>
          <w:tcPr>
            <w:tcW w:w="1345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7563.26</w:t>
            </w:r>
          </w:p>
        </w:tc>
        <w:tc>
          <w:tcPr>
            <w:tcW w:w="1345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7184.92</w:t>
            </w:r>
          </w:p>
        </w:tc>
        <w:tc>
          <w:tcPr>
            <w:tcW w:w="135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期末养老保险金结余（万元）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-66.32</w:t>
            </w:r>
          </w:p>
        </w:tc>
        <w:tc>
          <w:tcPr>
            <w:tcW w:w="1345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513.75</w:t>
            </w:r>
          </w:p>
        </w:tc>
        <w:tc>
          <w:tcPr>
            <w:tcW w:w="1345" w:type="dxa"/>
            <w:gridSpan w:val="2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3551.7</w:t>
            </w:r>
          </w:p>
        </w:tc>
        <w:tc>
          <w:tcPr>
            <w:tcW w:w="1351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7"/>
            <w:tcBorders>
              <w:left w:val="nil"/>
              <w:right w:val="nil"/>
            </w:tcBorders>
            <w:vAlign w:val="center"/>
          </w:tcPr>
          <w:p>
            <w:pPr>
              <w:spacing w:line="360" w:lineRule="exact"/>
              <w:ind w:firstLine="2753" w:firstLineChars="924"/>
              <w:rPr>
                <w:rFonts w:ascii="黑体" w:hAnsi="黑体" w:eastAsia="黑体"/>
                <w:color w:val="000000" w:themeColor="text1"/>
              </w:rPr>
            </w:pPr>
            <w:r>
              <w:rPr>
                <w:rFonts w:hint="eastAsia" w:ascii="黑体" w:hAnsi="黑体" w:eastAsia="黑体"/>
                <w:color w:val="000000" w:themeColor="text1"/>
              </w:rPr>
              <w:t>（三）失业保险情况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690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2696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期末参保人数（人）</w:t>
            </w:r>
          </w:p>
        </w:tc>
        <w:tc>
          <w:tcPr>
            <w:tcW w:w="2690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2696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32456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失业保险基金收入（万元）</w:t>
            </w:r>
          </w:p>
        </w:tc>
        <w:tc>
          <w:tcPr>
            <w:tcW w:w="2690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81.95</w:t>
            </w:r>
          </w:p>
        </w:tc>
        <w:tc>
          <w:tcPr>
            <w:tcW w:w="2696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110.72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失业保险基金支出（万元）</w:t>
            </w:r>
          </w:p>
        </w:tc>
        <w:tc>
          <w:tcPr>
            <w:tcW w:w="2690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268.34</w:t>
            </w:r>
          </w:p>
        </w:tc>
        <w:tc>
          <w:tcPr>
            <w:tcW w:w="2696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506.5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领取失业保险金人数（人）</w:t>
            </w:r>
          </w:p>
        </w:tc>
        <w:tc>
          <w:tcPr>
            <w:tcW w:w="2690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2696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1673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失业保险基金结余（万元）</w:t>
            </w:r>
          </w:p>
        </w:tc>
        <w:tc>
          <w:tcPr>
            <w:tcW w:w="2690" w:type="dxa"/>
            <w:gridSpan w:val="3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2696" w:type="dxa"/>
            <w:gridSpan w:val="3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1922.52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7"/>
            <w:tcBorders>
              <w:left w:val="nil"/>
              <w:right w:val="nil"/>
            </w:tcBorders>
            <w:vAlign w:val="center"/>
          </w:tcPr>
          <w:p>
            <w:pPr>
              <w:spacing w:line="360" w:lineRule="exact"/>
              <w:ind w:firstLine="2741" w:firstLineChars="920"/>
              <w:rPr>
                <w:rFonts w:ascii="黑体" w:hAnsi="黑体" w:eastAsia="黑体"/>
                <w:color w:val="000000" w:themeColor="text1"/>
              </w:rPr>
            </w:pPr>
            <w:r>
              <w:rPr>
                <w:rFonts w:hint="eastAsia" w:ascii="黑体" w:hAnsi="黑体" w:eastAsia="黑体"/>
                <w:color w:val="000000" w:themeColor="text1"/>
              </w:rPr>
              <w:t>（四）最低生活保障情况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当月发放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户数（户）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当月发放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人数（人）</w:t>
            </w:r>
          </w:p>
        </w:tc>
        <w:tc>
          <w:tcPr>
            <w:tcW w:w="1800" w:type="dxa"/>
            <w:gridSpan w:val="2"/>
            <w:tcBorders>
              <w:left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当月发放</w:t>
            </w:r>
          </w:p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总 计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8512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15364</w:t>
            </w:r>
          </w:p>
        </w:tc>
        <w:tc>
          <w:tcPr>
            <w:tcW w:w="1800" w:type="dxa"/>
            <w:gridSpan w:val="2"/>
            <w:tcBorders>
              <w:left w:val="nil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420.05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 xml:space="preserve">       城 镇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3112</w:t>
            </w:r>
          </w:p>
        </w:tc>
        <w:tc>
          <w:tcPr>
            <w:tcW w:w="1793" w:type="dxa"/>
            <w:gridSpan w:val="2"/>
            <w:tcBorders>
              <w:lef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4546</w:t>
            </w:r>
          </w:p>
        </w:tc>
        <w:tc>
          <w:tcPr>
            <w:tcW w:w="1800" w:type="dxa"/>
            <w:gridSpan w:val="2"/>
            <w:tcBorders>
              <w:left w:val="nil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156.04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794" w:type="dxa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879" w:firstLineChars="341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农 村</w:t>
            </w:r>
          </w:p>
        </w:tc>
        <w:tc>
          <w:tcPr>
            <w:tcW w:w="1793" w:type="dxa"/>
            <w:gridSpan w:val="2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5400</w:t>
            </w:r>
          </w:p>
        </w:tc>
        <w:tc>
          <w:tcPr>
            <w:tcW w:w="1793" w:type="dxa"/>
            <w:gridSpan w:val="2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10818</w:t>
            </w:r>
          </w:p>
        </w:tc>
        <w:tc>
          <w:tcPr>
            <w:tcW w:w="1800" w:type="dxa"/>
            <w:gridSpan w:val="2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264.01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color w:val="000000" w:themeColor="text1"/>
              </w:rPr>
            </w:pPr>
          </w:p>
          <w:p>
            <w:pPr>
              <w:spacing w:line="360" w:lineRule="exact"/>
              <w:ind w:firstLine="2753" w:firstLineChars="924"/>
              <w:rPr>
                <w:rFonts w:ascii="黑体" w:hAnsi="黑体" w:eastAsia="黑体"/>
                <w:color w:val="000000" w:themeColor="text1"/>
              </w:rPr>
            </w:pPr>
            <w:r>
              <w:rPr>
                <w:rFonts w:hint="eastAsia" w:ascii="黑体" w:hAnsi="黑体" w:eastAsia="黑体"/>
                <w:color w:val="000000" w:themeColor="text1"/>
              </w:rPr>
              <w:t>（五）医疗保险情况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vMerge w:val="restart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2690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2696" w:type="dxa"/>
            <w:gridSpan w:val="3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vMerge w:val="continue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34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职工</w:t>
            </w:r>
          </w:p>
        </w:tc>
        <w:tc>
          <w:tcPr>
            <w:tcW w:w="134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合计</w:t>
            </w:r>
          </w:p>
        </w:tc>
        <w:tc>
          <w:tcPr>
            <w:tcW w:w="134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职工</w:t>
            </w:r>
          </w:p>
        </w:tc>
        <w:tc>
          <w:tcPr>
            <w:tcW w:w="1351" w:type="dxa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参保人数（人）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-5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56366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59472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731568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医疗基金收入（万元）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1212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7511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2695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24231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医疗基金支出（万元）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2335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252" w:firstLineChars="98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10582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4785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20794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医疗基金结余（万元）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-1123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-3071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-2090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3437</w:t>
            </w:r>
          </w:p>
        </w:tc>
      </w:tr>
    </w:tbl>
    <w:p>
      <w:pPr>
        <w:spacing w:line="380" w:lineRule="exact"/>
        <w:jc w:val="center"/>
        <w:rPr>
          <w:rFonts w:ascii="黑体" w:hAnsi="黑体" w:eastAsia="黑体"/>
          <w:color w:val="000000" w:themeColor="text1"/>
        </w:rPr>
      </w:pPr>
    </w:p>
    <w:p>
      <w:pPr>
        <w:spacing w:line="380" w:lineRule="exact"/>
        <w:jc w:val="center"/>
        <w:rPr>
          <w:rFonts w:ascii="黑体" w:hAnsi="黑体" w:eastAsia="黑体"/>
          <w:color w:val="FF0000"/>
        </w:rPr>
      </w:pPr>
    </w:p>
    <w:p>
      <w:pPr>
        <w:spacing w:line="380" w:lineRule="exact"/>
        <w:ind w:firstLine="2895" w:firstLineChars="972"/>
        <w:rPr>
          <w:rFonts w:ascii="黑体" w:hAnsi="黑体" w:eastAsia="黑体"/>
          <w:color w:val="FF0000"/>
        </w:rPr>
      </w:pPr>
    </w:p>
    <w:p>
      <w:pPr>
        <w:spacing w:line="380" w:lineRule="exact"/>
        <w:ind w:firstLine="2324" w:firstLineChars="780"/>
        <w:rPr>
          <w:rFonts w:ascii="黑体" w:hAnsi="黑体" w:eastAsia="黑体"/>
          <w:color w:val="000000" w:themeColor="text1"/>
        </w:rPr>
      </w:pPr>
      <w:r>
        <w:rPr>
          <w:rFonts w:hint="eastAsia" w:ascii="黑体" w:hAnsi="黑体" w:eastAsia="黑体"/>
          <w:color w:val="000000" w:themeColor="text1"/>
        </w:rPr>
        <w:t>（六）职工工伤保险情况</w:t>
      </w:r>
    </w:p>
    <w:tbl>
      <w:tblPr>
        <w:tblStyle w:val="8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1345"/>
        <w:gridCol w:w="1345"/>
        <w:gridCol w:w="1345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指标名称</w:t>
            </w:r>
          </w:p>
        </w:tc>
        <w:tc>
          <w:tcPr>
            <w:tcW w:w="13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本月</w:t>
            </w:r>
          </w:p>
        </w:tc>
        <w:tc>
          <w:tcPr>
            <w:tcW w:w="134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累计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同期累计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8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同比±%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参保人数（人）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-512</w:t>
            </w:r>
          </w:p>
        </w:tc>
        <w:tc>
          <w:tcPr>
            <w:tcW w:w="134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41911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36535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14.7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保费收入(万元)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134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288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231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24.7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保费支出（万元）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134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270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240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4" w:type="dxa"/>
            <w:tcBorders>
              <w:left w:val="nil"/>
            </w:tcBorders>
            <w:vAlign w:val="center"/>
          </w:tcPr>
          <w:p>
            <w:pPr>
              <w:spacing w:line="360" w:lineRule="exac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保费结余（万元）</w:t>
            </w:r>
          </w:p>
        </w:tc>
        <w:tc>
          <w:tcPr>
            <w:tcW w:w="1345" w:type="dxa"/>
            <w:tcBorders>
              <w:lef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345" w:type="dxa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-9</w:t>
            </w:r>
          </w:p>
        </w:tc>
        <w:tc>
          <w:tcPr>
            <w:tcW w:w="1345" w:type="dxa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300.0</w:t>
            </w:r>
          </w:p>
        </w:tc>
      </w:tr>
    </w:tbl>
    <w:p>
      <w:pPr>
        <w:jc w:val="left"/>
        <w:outlineLvl w:val="0"/>
        <w:rPr>
          <w:rFonts w:ascii="宋体" w:hAnsi="宋体" w:cs="宋体"/>
          <w:color w:val="FF0000"/>
          <w:sz w:val="24"/>
          <w:szCs w:val="24"/>
        </w:rPr>
      </w:pPr>
    </w:p>
    <w:sectPr>
      <w:pgSz w:w="11906" w:h="16838"/>
      <w:pgMar w:top="1701" w:right="843" w:bottom="1361" w:left="1701" w:header="851" w:footer="1361" w:gutter="0"/>
      <w:cols w:space="720" w:num="1"/>
      <w:docGrid w:type="linesAndChars" w:linePitch="574" w:charSpace="38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99"/>
  <w:drawingGridVerticalSpacing w:val="287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0804"/>
    <w:rsid w:val="00000B21"/>
    <w:rsid w:val="00000CBE"/>
    <w:rsid w:val="00001BF2"/>
    <w:rsid w:val="00001EC5"/>
    <w:rsid w:val="0000277D"/>
    <w:rsid w:val="00003598"/>
    <w:rsid w:val="000038D0"/>
    <w:rsid w:val="000053A4"/>
    <w:rsid w:val="00010492"/>
    <w:rsid w:val="00010C6C"/>
    <w:rsid w:val="0001169F"/>
    <w:rsid w:val="00011D0D"/>
    <w:rsid w:val="00012BA7"/>
    <w:rsid w:val="00013028"/>
    <w:rsid w:val="000130D7"/>
    <w:rsid w:val="00013B8D"/>
    <w:rsid w:val="00013E0C"/>
    <w:rsid w:val="00014BD5"/>
    <w:rsid w:val="000156F7"/>
    <w:rsid w:val="0001628D"/>
    <w:rsid w:val="0001661B"/>
    <w:rsid w:val="000205D6"/>
    <w:rsid w:val="00020757"/>
    <w:rsid w:val="00021E38"/>
    <w:rsid w:val="00022385"/>
    <w:rsid w:val="00023C06"/>
    <w:rsid w:val="00023FE5"/>
    <w:rsid w:val="00024107"/>
    <w:rsid w:val="000244A9"/>
    <w:rsid w:val="00024905"/>
    <w:rsid w:val="00024DBB"/>
    <w:rsid w:val="00025AE5"/>
    <w:rsid w:val="00026063"/>
    <w:rsid w:val="00027653"/>
    <w:rsid w:val="00027D25"/>
    <w:rsid w:val="000300BC"/>
    <w:rsid w:val="0003024D"/>
    <w:rsid w:val="000303B9"/>
    <w:rsid w:val="00030ACB"/>
    <w:rsid w:val="00030F6A"/>
    <w:rsid w:val="000317E6"/>
    <w:rsid w:val="000328BE"/>
    <w:rsid w:val="00032AC6"/>
    <w:rsid w:val="00032CFA"/>
    <w:rsid w:val="00033498"/>
    <w:rsid w:val="000348F1"/>
    <w:rsid w:val="00034A77"/>
    <w:rsid w:val="00034BC0"/>
    <w:rsid w:val="00035416"/>
    <w:rsid w:val="0003762B"/>
    <w:rsid w:val="00037BD3"/>
    <w:rsid w:val="00042616"/>
    <w:rsid w:val="00042A93"/>
    <w:rsid w:val="0004514D"/>
    <w:rsid w:val="00045433"/>
    <w:rsid w:val="000457B8"/>
    <w:rsid w:val="0004592C"/>
    <w:rsid w:val="0004611C"/>
    <w:rsid w:val="00046448"/>
    <w:rsid w:val="000469ED"/>
    <w:rsid w:val="00047BAC"/>
    <w:rsid w:val="0005127A"/>
    <w:rsid w:val="0005153B"/>
    <w:rsid w:val="000533AD"/>
    <w:rsid w:val="000536C2"/>
    <w:rsid w:val="0005377B"/>
    <w:rsid w:val="000537B1"/>
    <w:rsid w:val="00053FF2"/>
    <w:rsid w:val="00054C40"/>
    <w:rsid w:val="000559FE"/>
    <w:rsid w:val="00056CC2"/>
    <w:rsid w:val="00060069"/>
    <w:rsid w:val="00061348"/>
    <w:rsid w:val="00063589"/>
    <w:rsid w:val="0006418D"/>
    <w:rsid w:val="000642CB"/>
    <w:rsid w:val="000646DC"/>
    <w:rsid w:val="00064A15"/>
    <w:rsid w:val="000661CA"/>
    <w:rsid w:val="0006639D"/>
    <w:rsid w:val="000665E0"/>
    <w:rsid w:val="000666D3"/>
    <w:rsid w:val="00066B44"/>
    <w:rsid w:val="00066DA7"/>
    <w:rsid w:val="00066F22"/>
    <w:rsid w:val="00067995"/>
    <w:rsid w:val="00070010"/>
    <w:rsid w:val="000704E1"/>
    <w:rsid w:val="00070609"/>
    <w:rsid w:val="000707E0"/>
    <w:rsid w:val="00071022"/>
    <w:rsid w:val="00071E9C"/>
    <w:rsid w:val="00072701"/>
    <w:rsid w:val="000740E3"/>
    <w:rsid w:val="00074C6F"/>
    <w:rsid w:val="00074D7C"/>
    <w:rsid w:val="00075DA8"/>
    <w:rsid w:val="00080EB6"/>
    <w:rsid w:val="00081000"/>
    <w:rsid w:val="0008119F"/>
    <w:rsid w:val="0008152F"/>
    <w:rsid w:val="000818BA"/>
    <w:rsid w:val="00082E10"/>
    <w:rsid w:val="00083E16"/>
    <w:rsid w:val="00084F58"/>
    <w:rsid w:val="000857C3"/>
    <w:rsid w:val="00086BA3"/>
    <w:rsid w:val="00087ABC"/>
    <w:rsid w:val="0009115F"/>
    <w:rsid w:val="00091D1A"/>
    <w:rsid w:val="00092195"/>
    <w:rsid w:val="000928A0"/>
    <w:rsid w:val="0009292C"/>
    <w:rsid w:val="00092DE8"/>
    <w:rsid w:val="0009392B"/>
    <w:rsid w:val="00094C7C"/>
    <w:rsid w:val="00095831"/>
    <w:rsid w:val="00096D2C"/>
    <w:rsid w:val="000A0B14"/>
    <w:rsid w:val="000A4069"/>
    <w:rsid w:val="000A4ADE"/>
    <w:rsid w:val="000A4BEC"/>
    <w:rsid w:val="000A4D62"/>
    <w:rsid w:val="000A7930"/>
    <w:rsid w:val="000A7B4D"/>
    <w:rsid w:val="000B0609"/>
    <w:rsid w:val="000B0CC0"/>
    <w:rsid w:val="000B0F42"/>
    <w:rsid w:val="000B14B2"/>
    <w:rsid w:val="000B150C"/>
    <w:rsid w:val="000B2A1B"/>
    <w:rsid w:val="000B2CD2"/>
    <w:rsid w:val="000B2FB6"/>
    <w:rsid w:val="000B34C3"/>
    <w:rsid w:val="000B36D6"/>
    <w:rsid w:val="000B4AEC"/>
    <w:rsid w:val="000B4B18"/>
    <w:rsid w:val="000B58C7"/>
    <w:rsid w:val="000B5AA7"/>
    <w:rsid w:val="000B6491"/>
    <w:rsid w:val="000B6647"/>
    <w:rsid w:val="000B7634"/>
    <w:rsid w:val="000C027D"/>
    <w:rsid w:val="000C0554"/>
    <w:rsid w:val="000C08F6"/>
    <w:rsid w:val="000C2462"/>
    <w:rsid w:val="000C258D"/>
    <w:rsid w:val="000C3739"/>
    <w:rsid w:val="000C3AD1"/>
    <w:rsid w:val="000C420E"/>
    <w:rsid w:val="000C56DD"/>
    <w:rsid w:val="000C5A22"/>
    <w:rsid w:val="000C5A65"/>
    <w:rsid w:val="000C5B9B"/>
    <w:rsid w:val="000C6A62"/>
    <w:rsid w:val="000C6F21"/>
    <w:rsid w:val="000C7C9E"/>
    <w:rsid w:val="000C7E13"/>
    <w:rsid w:val="000D283F"/>
    <w:rsid w:val="000D37C7"/>
    <w:rsid w:val="000D3A31"/>
    <w:rsid w:val="000D51A0"/>
    <w:rsid w:val="000D52C0"/>
    <w:rsid w:val="000D60F1"/>
    <w:rsid w:val="000D6288"/>
    <w:rsid w:val="000D721C"/>
    <w:rsid w:val="000D7F2C"/>
    <w:rsid w:val="000E06EB"/>
    <w:rsid w:val="000E1A2C"/>
    <w:rsid w:val="000E270A"/>
    <w:rsid w:val="000E3560"/>
    <w:rsid w:val="000E36E6"/>
    <w:rsid w:val="000E375E"/>
    <w:rsid w:val="000E44FF"/>
    <w:rsid w:val="000E6727"/>
    <w:rsid w:val="000E68E6"/>
    <w:rsid w:val="000E7002"/>
    <w:rsid w:val="000E7B73"/>
    <w:rsid w:val="000E7ED5"/>
    <w:rsid w:val="000F0668"/>
    <w:rsid w:val="000F1334"/>
    <w:rsid w:val="000F1730"/>
    <w:rsid w:val="000F24EF"/>
    <w:rsid w:val="000F32B8"/>
    <w:rsid w:val="000F360F"/>
    <w:rsid w:val="000F36F3"/>
    <w:rsid w:val="000F409D"/>
    <w:rsid w:val="000F4986"/>
    <w:rsid w:val="000F4C24"/>
    <w:rsid w:val="000F5963"/>
    <w:rsid w:val="000F6161"/>
    <w:rsid w:val="000F6FAC"/>
    <w:rsid w:val="000F7724"/>
    <w:rsid w:val="000F77B2"/>
    <w:rsid w:val="000F7BAB"/>
    <w:rsid w:val="000F7C12"/>
    <w:rsid w:val="001006D5"/>
    <w:rsid w:val="00101A55"/>
    <w:rsid w:val="001028AB"/>
    <w:rsid w:val="001045E0"/>
    <w:rsid w:val="00104ECD"/>
    <w:rsid w:val="00104F84"/>
    <w:rsid w:val="0010542F"/>
    <w:rsid w:val="001054DE"/>
    <w:rsid w:val="001057A2"/>
    <w:rsid w:val="00106124"/>
    <w:rsid w:val="001070E6"/>
    <w:rsid w:val="001071D6"/>
    <w:rsid w:val="00111762"/>
    <w:rsid w:val="001135F0"/>
    <w:rsid w:val="00113B94"/>
    <w:rsid w:val="00115658"/>
    <w:rsid w:val="0011585C"/>
    <w:rsid w:val="001162B7"/>
    <w:rsid w:val="0011660F"/>
    <w:rsid w:val="00116B1F"/>
    <w:rsid w:val="00117314"/>
    <w:rsid w:val="00117397"/>
    <w:rsid w:val="00117CB3"/>
    <w:rsid w:val="001202E5"/>
    <w:rsid w:val="00121122"/>
    <w:rsid w:val="0012118A"/>
    <w:rsid w:val="001211C0"/>
    <w:rsid w:val="00121ADD"/>
    <w:rsid w:val="0012226F"/>
    <w:rsid w:val="00122D2C"/>
    <w:rsid w:val="00122F03"/>
    <w:rsid w:val="00123C3C"/>
    <w:rsid w:val="0012611E"/>
    <w:rsid w:val="00126378"/>
    <w:rsid w:val="00130202"/>
    <w:rsid w:val="0013033B"/>
    <w:rsid w:val="0013145E"/>
    <w:rsid w:val="00131B7E"/>
    <w:rsid w:val="00131FFE"/>
    <w:rsid w:val="001325E4"/>
    <w:rsid w:val="00132C13"/>
    <w:rsid w:val="00132E19"/>
    <w:rsid w:val="00133065"/>
    <w:rsid w:val="001330D6"/>
    <w:rsid w:val="0013461A"/>
    <w:rsid w:val="00134C6C"/>
    <w:rsid w:val="00134D68"/>
    <w:rsid w:val="001351FE"/>
    <w:rsid w:val="001352E0"/>
    <w:rsid w:val="001358FC"/>
    <w:rsid w:val="001366C4"/>
    <w:rsid w:val="00137817"/>
    <w:rsid w:val="00137A71"/>
    <w:rsid w:val="0014158F"/>
    <w:rsid w:val="001428E5"/>
    <w:rsid w:val="00142CE2"/>
    <w:rsid w:val="00142FDD"/>
    <w:rsid w:val="001439ED"/>
    <w:rsid w:val="00143A4E"/>
    <w:rsid w:val="00143E62"/>
    <w:rsid w:val="0014429B"/>
    <w:rsid w:val="0014444D"/>
    <w:rsid w:val="00144849"/>
    <w:rsid w:val="001457A0"/>
    <w:rsid w:val="00145B66"/>
    <w:rsid w:val="00145D91"/>
    <w:rsid w:val="001465A3"/>
    <w:rsid w:val="001468A9"/>
    <w:rsid w:val="00146C7F"/>
    <w:rsid w:val="00146DBA"/>
    <w:rsid w:val="00147320"/>
    <w:rsid w:val="001477A6"/>
    <w:rsid w:val="00150776"/>
    <w:rsid w:val="00151609"/>
    <w:rsid w:val="00152A8E"/>
    <w:rsid w:val="0015377C"/>
    <w:rsid w:val="00154B0B"/>
    <w:rsid w:val="00155504"/>
    <w:rsid w:val="001577E4"/>
    <w:rsid w:val="001621AA"/>
    <w:rsid w:val="001639A9"/>
    <w:rsid w:val="00164820"/>
    <w:rsid w:val="00164F8D"/>
    <w:rsid w:val="001658CD"/>
    <w:rsid w:val="00165AD5"/>
    <w:rsid w:val="0016605A"/>
    <w:rsid w:val="00167CBD"/>
    <w:rsid w:val="00170159"/>
    <w:rsid w:val="001704A4"/>
    <w:rsid w:val="00171439"/>
    <w:rsid w:val="0017177E"/>
    <w:rsid w:val="001726CB"/>
    <w:rsid w:val="001729D4"/>
    <w:rsid w:val="00172A27"/>
    <w:rsid w:val="00172BF0"/>
    <w:rsid w:val="00172C9F"/>
    <w:rsid w:val="001735C0"/>
    <w:rsid w:val="00176A3E"/>
    <w:rsid w:val="00176A47"/>
    <w:rsid w:val="00177605"/>
    <w:rsid w:val="00177E28"/>
    <w:rsid w:val="00180C78"/>
    <w:rsid w:val="00180CE4"/>
    <w:rsid w:val="0018151D"/>
    <w:rsid w:val="001815B3"/>
    <w:rsid w:val="00181B73"/>
    <w:rsid w:val="00182A15"/>
    <w:rsid w:val="00182C2B"/>
    <w:rsid w:val="00183104"/>
    <w:rsid w:val="00184C8E"/>
    <w:rsid w:val="00185B0F"/>
    <w:rsid w:val="00186383"/>
    <w:rsid w:val="00190AD4"/>
    <w:rsid w:val="00190D37"/>
    <w:rsid w:val="00191056"/>
    <w:rsid w:val="00191309"/>
    <w:rsid w:val="001914DD"/>
    <w:rsid w:val="0019177E"/>
    <w:rsid w:val="00191A53"/>
    <w:rsid w:val="00192C1F"/>
    <w:rsid w:val="0019346B"/>
    <w:rsid w:val="001934B7"/>
    <w:rsid w:val="0019407C"/>
    <w:rsid w:val="001942B7"/>
    <w:rsid w:val="00194CA7"/>
    <w:rsid w:val="0019594C"/>
    <w:rsid w:val="00195C5A"/>
    <w:rsid w:val="001964DE"/>
    <w:rsid w:val="00196654"/>
    <w:rsid w:val="00196743"/>
    <w:rsid w:val="0019679A"/>
    <w:rsid w:val="00196D44"/>
    <w:rsid w:val="0019788B"/>
    <w:rsid w:val="001A0208"/>
    <w:rsid w:val="001A06AC"/>
    <w:rsid w:val="001A0BEE"/>
    <w:rsid w:val="001A1842"/>
    <w:rsid w:val="001A242A"/>
    <w:rsid w:val="001A2959"/>
    <w:rsid w:val="001A4CCF"/>
    <w:rsid w:val="001A4CD6"/>
    <w:rsid w:val="001A7821"/>
    <w:rsid w:val="001B0076"/>
    <w:rsid w:val="001B0467"/>
    <w:rsid w:val="001B10F5"/>
    <w:rsid w:val="001B1CF0"/>
    <w:rsid w:val="001B2F1E"/>
    <w:rsid w:val="001B2F69"/>
    <w:rsid w:val="001B31F2"/>
    <w:rsid w:val="001B381C"/>
    <w:rsid w:val="001B4095"/>
    <w:rsid w:val="001B503E"/>
    <w:rsid w:val="001B61B9"/>
    <w:rsid w:val="001B7C78"/>
    <w:rsid w:val="001C038C"/>
    <w:rsid w:val="001C0CBC"/>
    <w:rsid w:val="001C1361"/>
    <w:rsid w:val="001C163A"/>
    <w:rsid w:val="001C171F"/>
    <w:rsid w:val="001C22F7"/>
    <w:rsid w:val="001C40F3"/>
    <w:rsid w:val="001C43C3"/>
    <w:rsid w:val="001C47B8"/>
    <w:rsid w:val="001C5A5E"/>
    <w:rsid w:val="001C6F96"/>
    <w:rsid w:val="001C74A2"/>
    <w:rsid w:val="001C7945"/>
    <w:rsid w:val="001C7CE4"/>
    <w:rsid w:val="001C7E54"/>
    <w:rsid w:val="001D00E3"/>
    <w:rsid w:val="001D02D7"/>
    <w:rsid w:val="001D176C"/>
    <w:rsid w:val="001D1A60"/>
    <w:rsid w:val="001D2793"/>
    <w:rsid w:val="001D29C1"/>
    <w:rsid w:val="001D371A"/>
    <w:rsid w:val="001D4DA3"/>
    <w:rsid w:val="001D4E7E"/>
    <w:rsid w:val="001D4E9C"/>
    <w:rsid w:val="001D51F1"/>
    <w:rsid w:val="001D52D5"/>
    <w:rsid w:val="001D5364"/>
    <w:rsid w:val="001D5454"/>
    <w:rsid w:val="001D54B6"/>
    <w:rsid w:val="001D552C"/>
    <w:rsid w:val="001D57EB"/>
    <w:rsid w:val="001D66F6"/>
    <w:rsid w:val="001D6DF2"/>
    <w:rsid w:val="001D7516"/>
    <w:rsid w:val="001D7B68"/>
    <w:rsid w:val="001E03E1"/>
    <w:rsid w:val="001E04C9"/>
    <w:rsid w:val="001E0836"/>
    <w:rsid w:val="001E1B71"/>
    <w:rsid w:val="001E245E"/>
    <w:rsid w:val="001E2820"/>
    <w:rsid w:val="001E2994"/>
    <w:rsid w:val="001E359C"/>
    <w:rsid w:val="001E4936"/>
    <w:rsid w:val="001E5196"/>
    <w:rsid w:val="001E61DD"/>
    <w:rsid w:val="001E6B7C"/>
    <w:rsid w:val="001E6EC0"/>
    <w:rsid w:val="001F1F60"/>
    <w:rsid w:val="001F2024"/>
    <w:rsid w:val="001F2477"/>
    <w:rsid w:val="001F25F0"/>
    <w:rsid w:val="001F2836"/>
    <w:rsid w:val="001F302F"/>
    <w:rsid w:val="001F331B"/>
    <w:rsid w:val="001F3736"/>
    <w:rsid w:val="001F3A50"/>
    <w:rsid w:val="001F3E48"/>
    <w:rsid w:val="001F4297"/>
    <w:rsid w:val="001F45E5"/>
    <w:rsid w:val="001F5131"/>
    <w:rsid w:val="001F6A8E"/>
    <w:rsid w:val="001F6BE7"/>
    <w:rsid w:val="00200DD8"/>
    <w:rsid w:val="00201628"/>
    <w:rsid w:val="00201990"/>
    <w:rsid w:val="0020264F"/>
    <w:rsid w:val="00203EDC"/>
    <w:rsid w:val="002040D8"/>
    <w:rsid w:val="00204568"/>
    <w:rsid w:val="002052A8"/>
    <w:rsid w:val="0020574A"/>
    <w:rsid w:val="00205E45"/>
    <w:rsid w:val="00207B10"/>
    <w:rsid w:val="0021065D"/>
    <w:rsid w:val="00210D06"/>
    <w:rsid w:val="002129DD"/>
    <w:rsid w:val="00212EB5"/>
    <w:rsid w:val="00214724"/>
    <w:rsid w:val="0021540B"/>
    <w:rsid w:val="002167A8"/>
    <w:rsid w:val="00216B5F"/>
    <w:rsid w:val="00217946"/>
    <w:rsid w:val="002205E9"/>
    <w:rsid w:val="00221AE6"/>
    <w:rsid w:val="002226E4"/>
    <w:rsid w:val="0022358F"/>
    <w:rsid w:val="00224097"/>
    <w:rsid w:val="00224176"/>
    <w:rsid w:val="0022422C"/>
    <w:rsid w:val="00224789"/>
    <w:rsid w:val="00224865"/>
    <w:rsid w:val="002259D0"/>
    <w:rsid w:val="00225DC2"/>
    <w:rsid w:val="00225E00"/>
    <w:rsid w:val="00225FAD"/>
    <w:rsid w:val="00227401"/>
    <w:rsid w:val="00227DBB"/>
    <w:rsid w:val="002308E0"/>
    <w:rsid w:val="00231863"/>
    <w:rsid w:val="00232020"/>
    <w:rsid w:val="002332EA"/>
    <w:rsid w:val="0023525E"/>
    <w:rsid w:val="00235E87"/>
    <w:rsid w:val="002373FC"/>
    <w:rsid w:val="00237874"/>
    <w:rsid w:val="00237DC9"/>
    <w:rsid w:val="002409F0"/>
    <w:rsid w:val="00240E02"/>
    <w:rsid w:val="002413DC"/>
    <w:rsid w:val="002426D1"/>
    <w:rsid w:val="00242C5D"/>
    <w:rsid w:val="00242E93"/>
    <w:rsid w:val="002434E3"/>
    <w:rsid w:val="00243ECF"/>
    <w:rsid w:val="00244187"/>
    <w:rsid w:val="00244E46"/>
    <w:rsid w:val="00245240"/>
    <w:rsid w:val="00245336"/>
    <w:rsid w:val="002457EA"/>
    <w:rsid w:val="002459EC"/>
    <w:rsid w:val="002462FA"/>
    <w:rsid w:val="002479BC"/>
    <w:rsid w:val="00250BF7"/>
    <w:rsid w:val="00250EA6"/>
    <w:rsid w:val="00251A4C"/>
    <w:rsid w:val="00253676"/>
    <w:rsid w:val="0025377F"/>
    <w:rsid w:val="00254703"/>
    <w:rsid w:val="002549EC"/>
    <w:rsid w:val="00254AE4"/>
    <w:rsid w:val="00254F74"/>
    <w:rsid w:val="002553E6"/>
    <w:rsid w:val="002574D0"/>
    <w:rsid w:val="002611E1"/>
    <w:rsid w:val="00261332"/>
    <w:rsid w:val="002616AE"/>
    <w:rsid w:val="00261BF5"/>
    <w:rsid w:val="00264625"/>
    <w:rsid w:val="00264824"/>
    <w:rsid w:val="00264C74"/>
    <w:rsid w:val="00264D12"/>
    <w:rsid w:val="00265AB1"/>
    <w:rsid w:val="00266C68"/>
    <w:rsid w:val="002704F0"/>
    <w:rsid w:val="0027109E"/>
    <w:rsid w:val="002718B5"/>
    <w:rsid w:val="0027220A"/>
    <w:rsid w:val="00274A23"/>
    <w:rsid w:val="00274C62"/>
    <w:rsid w:val="002759F3"/>
    <w:rsid w:val="00275ED2"/>
    <w:rsid w:val="0027628C"/>
    <w:rsid w:val="00276CD3"/>
    <w:rsid w:val="00276DD4"/>
    <w:rsid w:val="002770D8"/>
    <w:rsid w:val="00277358"/>
    <w:rsid w:val="00277CFC"/>
    <w:rsid w:val="002804D6"/>
    <w:rsid w:val="002804E5"/>
    <w:rsid w:val="00280631"/>
    <w:rsid w:val="002812A7"/>
    <w:rsid w:val="002812E9"/>
    <w:rsid w:val="00281859"/>
    <w:rsid w:val="00281946"/>
    <w:rsid w:val="00281A2A"/>
    <w:rsid w:val="00281A42"/>
    <w:rsid w:val="00281D0A"/>
    <w:rsid w:val="00282C26"/>
    <w:rsid w:val="00282DA0"/>
    <w:rsid w:val="002835C1"/>
    <w:rsid w:val="00283DFA"/>
    <w:rsid w:val="00285CD7"/>
    <w:rsid w:val="00285CFD"/>
    <w:rsid w:val="002861C3"/>
    <w:rsid w:val="002868EF"/>
    <w:rsid w:val="0028734D"/>
    <w:rsid w:val="00287C7C"/>
    <w:rsid w:val="002912A4"/>
    <w:rsid w:val="002927C0"/>
    <w:rsid w:val="002928C8"/>
    <w:rsid w:val="00293548"/>
    <w:rsid w:val="00293E11"/>
    <w:rsid w:val="002941E8"/>
    <w:rsid w:val="00294749"/>
    <w:rsid w:val="00294D94"/>
    <w:rsid w:val="0029504B"/>
    <w:rsid w:val="002967A6"/>
    <w:rsid w:val="00297599"/>
    <w:rsid w:val="002975E3"/>
    <w:rsid w:val="002A0258"/>
    <w:rsid w:val="002A1519"/>
    <w:rsid w:val="002A173C"/>
    <w:rsid w:val="002A3B11"/>
    <w:rsid w:val="002A3C98"/>
    <w:rsid w:val="002A3F30"/>
    <w:rsid w:val="002A44DE"/>
    <w:rsid w:val="002A4675"/>
    <w:rsid w:val="002A4AB0"/>
    <w:rsid w:val="002A4B4F"/>
    <w:rsid w:val="002A4E19"/>
    <w:rsid w:val="002A51FD"/>
    <w:rsid w:val="002A57E2"/>
    <w:rsid w:val="002A64FA"/>
    <w:rsid w:val="002A6F3D"/>
    <w:rsid w:val="002A73A1"/>
    <w:rsid w:val="002A78B3"/>
    <w:rsid w:val="002A7D6C"/>
    <w:rsid w:val="002B008E"/>
    <w:rsid w:val="002B0BCB"/>
    <w:rsid w:val="002B1621"/>
    <w:rsid w:val="002B18BA"/>
    <w:rsid w:val="002B1DE4"/>
    <w:rsid w:val="002B3081"/>
    <w:rsid w:val="002B4121"/>
    <w:rsid w:val="002B453F"/>
    <w:rsid w:val="002B4F52"/>
    <w:rsid w:val="002B5525"/>
    <w:rsid w:val="002B5EE4"/>
    <w:rsid w:val="002B646A"/>
    <w:rsid w:val="002B69E4"/>
    <w:rsid w:val="002C0463"/>
    <w:rsid w:val="002C073A"/>
    <w:rsid w:val="002C3D0F"/>
    <w:rsid w:val="002C3D88"/>
    <w:rsid w:val="002C4707"/>
    <w:rsid w:val="002C5075"/>
    <w:rsid w:val="002C5CDD"/>
    <w:rsid w:val="002C5DAF"/>
    <w:rsid w:val="002C68CC"/>
    <w:rsid w:val="002C6CFE"/>
    <w:rsid w:val="002D05B0"/>
    <w:rsid w:val="002D0F39"/>
    <w:rsid w:val="002D1521"/>
    <w:rsid w:val="002D32D2"/>
    <w:rsid w:val="002D3563"/>
    <w:rsid w:val="002D3646"/>
    <w:rsid w:val="002D4289"/>
    <w:rsid w:val="002D45E3"/>
    <w:rsid w:val="002D4EB7"/>
    <w:rsid w:val="002D5213"/>
    <w:rsid w:val="002D5C84"/>
    <w:rsid w:val="002D5D79"/>
    <w:rsid w:val="002D630A"/>
    <w:rsid w:val="002D6C31"/>
    <w:rsid w:val="002D6F58"/>
    <w:rsid w:val="002E1240"/>
    <w:rsid w:val="002E1794"/>
    <w:rsid w:val="002E1FDA"/>
    <w:rsid w:val="002E318B"/>
    <w:rsid w:val="002E3282"/>
    <w:rsid w:val="002E36F6"/>
    <w:rsid w:val="002E38EF"/>
    <w:rsid w:val="002E3CF6"/>
    <w:rsid w:val="002E3F6F"/>
    <w:rsid w:val="002E40C6"/>
    <w:rsid w:val="002E4499"/>
    <w:rsid w:val="002E459B"/>
    <w:rsid w:val="002E51F0"/>
    <w:rsid w:val="002E5271"/>
    <w:rsid w:val="002E54E2"/>
    <w:rsid w:val="002E55A4"/>
    <w:rsid w:val="002E6155"/>
    <w:rsid w:val="002E66BD"/>
    <w:rsid w:val="002E6EF1"/>
    <w:rsid w:val="002F0338"/>
    <w:rsid w:val="002F08CB"/>
    <w:rsid w:val="002F099D"/>
    <w:rsid w:val="002F169C"/>
    <w:rsid w:val="002F1F7C"/>
    <w:rsid w:val="002F2D77"/>
    <w:rsid w:val="002F35DE"/>
    <w:rsid w:val="002F3D41"/>
    <w:rsid w:val="002F4417"/>
    <w:rsid w:val="002F458E"/>
    <w:rsid w:val="002F4BC4"/>
    <w:rsid w:val="002F55EF"/>
    <w:rsid w:val="002F5B2B"/>
    <w:rsid w:val="002F6220"/>
    <w:rsid w:val="002F6760"/>
    <w:rsid w:val="002F6B74"/>
    <w:rsid w:val="002F755C"/>
    <w:rsid w:val="002F780A"/>
    <w:rsid w:val="002F7BB0"/>
    <w:rsid w:val="00300197"/>
    <w:rsid w:val="003003AD"/>
    <w:rsid w:val="00300AE8"/>
    <w:rsid w:val="0030117B"/>
    <w:rsid w:val="00302BE7"/>
    <w:rsid w:val="00302C39"/>
    <w:rsid w:val="00303856"/>
    <w:rsid w:val="00303DE1"/>
    <w:rsid w:val="003042F2"/>
    <w:rsid w:val="00304982"/>
    <w:rsid w:val="00306C3F"/>
    <w:rsid w:val="0030723C"/>
    <w:rsid w:val="003102BE"/>
    <w:rsid w:val="003103AD"/>
    <w:rsid w:val="00310927"/>
    <w:rsid w:val="003129A4"/>
    <w:rsid w:val="003133C4"/>
    <w:rsid w:val="00314905"/>
    <w:rsid w:val="00316DBE"/>
    <w:rsid w:val="00316E7B"/>
    <w:rsid w:val="00317257"/>
    <w:rsid w:val="00317731"/>
    <w:rsid w:val="00317AEC"/>
    <w:rsid w:val="0032050B"/>
    <w:rsid w:val="00320CD9"/>
    <w:rsid w:val="00320E50"/>
    <w:rsid w:val="00320ED2"/>
    <w:rsid w:val="00321EB0"/>
    <w:rsid w:val="00321ECF"/>
    <w:rsid w:val="003220A5"/>
    <w:rsid w:val="00322338"/>
    <w:rsid w:val="00322593"/>
    <w:rsid w:val="003227EB"/>
    <w:rsid w:val="00323767"/>
    <w:rsid w:val="00324C9A"/>
    <w:rsid w:val="00324CDC"/>
    <w:rsid w:val="00324EC0"/>
    <w:rsid w:val="003257AD"/>
    <w:rsid w:val="003267C7"/>
    <w:rsid w:val="0032690D"/>
    <w:rsid w:val="00327178"/>
    <w:rsid w:val="003272A5"/>
    <w:rsid w:val="00330378"/>
    <w:rsid w:val="00330D07"/>
    <w:rsid w:val="003315B9"/>
    <w:rsid w:val="0033229C"/>
    <w:rsid w:val="0033338F"/>
    <w:rsid w:val="00333667"/>
    <w:rsid w:val="00334CC4"/>
    <w:rsid w:val="00335162"/>
    <w:rsid w:val="00335366"/>
    <w:rsid w:val="00337447"/>
    <w:rsid w:val="00337FC7"/>
    <w:rsid w:val="0034017A"/>
    <w:rsid w:val="00340893"/>
    <w:rsid w:val="0034121A"/>
    <w:rsid w:val="00341730"/>
    <w:rsid w:val="00342411"/>
    <w:rsid w:val="00342A83"/>
    <w:rsid w:val="003435E5"/>
    <w:rsid w:val="00343643"/>
    <w:rsid w:val="00343A64"/>
    <w:rsid w:val="00343B35"/>
    <w:rsid w:val="00343CBD"/>
    <w:rsid w:val="003442CF"/>
    <w:rsid w:val="00344417"/>
    <w:rsid w:val="003444FB"/>
    <w:rsid w:val="003447AD"/>
    <w:rsid w:val="00344842"/>
    <w:rsid w:val="00346AE7"/>
    <w:rsid w:val="003475DC"/>
    <w:rsid w:val="00347B3C"/>
    <w:rsid w:val="003514F0"/>
    <w:rsid w:val="003515EE"/>
    <w:rsid w:val="00351BD0"/>
    <w:rsid w:val="00351C04"/>
    <w:rsid w:val="003529CF"/>
    <w:rsid w:val="00352C4E"/>
    <w:rsid w:val="00353667"/>
    <w:rsid w:val="0035406F"/>
    <w:rsid w:val="00354094"/>
    <w:rsid w:val="0035433D"/>
    <w:rsid w:val="003547CC"/>
    <w:rsid w:val="00354E97"/>
    <w:rsid w:val="00355064"/>
    <w:rsid w:val="00355211"/>
    <w:rsid w:val="00357132"/>
    <w:rsid w:val="00357AB0"/>
    <w:rsid w:val="00357BA3"/>
    <w:rsid w:val="00360320"/>
    <w:rsid w:val="003612B8"/>
    <w:rsid w:val="00361CA3"/>
    <w:rsid w:val="0036267F"/>
    <w:rsid w:val="003628B3"/>
    <w:rsid w:val="00362E7D"/>
    <w:rsid w:val="003631BA"/>
    <w:rsid w:val="003632F3"/>
    <w:rsid w:val="00363740"/>
    <w:rsid w:val="00363E32"/>
    <w:rsid w:val="00364A58"/>
    <w:rsid w:val="00364B28"/>
    <w:rsid w:val="0036557B"/>
    <w:rsid w:val="00365CF3"/>
    <w:rsid w:val="00365F0C"/>
    <w:rsid w:val="00366D55"/>
    <w:rsid w:val="0037018E"/>
    <w:rsid w:val="0037105C"/>
    <w:rsid w:val="00371F2E"/>
    <w:rsid w:val="00372503"/>
    <w:rsid w:val="0037262D"/>
    <w:rsid w:val="0037298E"/>
    <w:rsid w:val="0037299D"/>
    <w:rsid w:val="00372F11"/>
    <w:rsid w:val="003732F7"/>
    <w:rsid w:val="00373F67"/>
    <w:rsid w:val="00374386"/>
    <w:rsid w:val="003751B1"/>
    <w:rsid w:val="00375873"/>
    <w:rsid w:val="00375BA0"/>
    <w:rsid w:val="00376336"/>
    <w:rsid w:val="003771EC"/>
    <w:rsid w:val="003778DF"/>
    <w:rsid w:val="00377B23"/>
    <w:rsid w:val="00380F18"/>
    <w:rsid w:val="00381096"/>
    <w:rsid w:val="0038116A"/>
    <w:rsid w:val="00382BE2"/>
    <w:rsid w:val="00382D04"/>
    <w:rsid w:val="00382EEF"/>
    <w:rsid w:val="00383F9C"/>
    <w:rsid w:val="00384660"/>
    <w:rsid w:val="003854C8"/>
    <w:rsid w:val="003857B1"/>
    <w:rsid w:val="00385F2D"/>
    <w:rsid w:val="00385F75"/>
    <w:rsid w:val="00385FB6"/>
    <w:rsid w:val="003871EB"/>
    <w:rsid w:val="00387310"/>
    <w:rsid w:val="00387DE4"/>
    <w:rsid w:val="0039065E"/>
    <w:rsid w:val="00390EFA"/>
    <w:rsid w:val="003910EA"/>
    <w:rsid w:val="00391A14"/>
    <w:rsid w:val="0039284B"/>
    <w:rsid w:val="00392A34"/>
    <w:rsid w:val="00392DFD"/>
    <w:rsid w:val="00393885"/>
    <w:rsid w:val="00393CD9"/>
    <w:rsid w:val="0039434C"/>
    <w:rsid w:val="00394D6F"/>
    <w:rsid w:val="003A0AC8"/>
    <w:rsid w:val="003A0C45"/>
    <w:rsid w:val="003A2013"/>
    <w:rsid w:val="003A3218"/>
    <w:rsid w:val="003A39DA"/>
    <w:rsid w:val="003A48FF"/>
    <w:rsid w:val="003A4963"/>
    <w:rsid w:val="003A4F88"/>
    <w:rsid w:val="003A57CA"/>
    <w:rsid w:val="003A5DFD"/>
    <w:rsid w:val="003B0A45"/>
    <w:rsid w:val="003B0E7D"/>
    <w:rsid w:val="003B13BB"/>
    <w:rsid w:val="003B148D"/>
    <w:rsid w:val="003B2D4F"/>
    <w:rsid w:val="003B3A21"/>
    <w:rsid w:val="003B424C"/>
    <w:rsid w:val="003B4353"/>
    <w:rsid w:val="003B48B6"/>
    <w:rsid w:val="003B5FB9"/>
    <w:rsid w:val="003B6619"/>
    <w:rsid w:val="003B6BAA"/>
    <w:rsid w:val="003C028F"/>
    <w:rsid w:val="003C139B"/>
    <w:rsid w:val="003C1403"/>
    <w:rsid w:val="003C1639"/>
    <w:rsid w:val="003C22BA"/>
    <w:rsid w:val="003C3B9B"/>
    <w:rsid w:val="003C4BD9"/>
    <w:rsid w:val="003C52B9"/>
    <w:rsid w:val="003C5718"/>
    <w:rsid w:val="003C573F"/>
    <w:rsid w:val="003C5878"/>
    <w:rsid w:val="003C5A71"/>
    <w:rsid w:val="003C6958"/>
    <w:rsid w:val="003C6E45"/>
    <w:rsid w:val="003C6E9E"/>
    <w:rsid w:val="003D030B"/>
    <w:rsid w:val="003D08A7"/>
    <w:rsid w:val="003D0D7A"/>
    <w:rsid w:val="003D2524"/>
    <w:rsid w:val="003D2DF6"/>
    <w:rsid w:val="003D30D7"/>
    <w:rsid w:val="003D4954"/>
    <w:rsid w:val="003D4FAE"/>
    <w:rsid w:val="003D515D"/>
    <w:rsid w:val="003D5B6A"/>
    <w:rsid w:val="003D5BFC"/>
    <w:rsid w:val="003D659F"/>
    <w:rsid w:val="003D6AE1"/>
    <w:rsid w:val="003D75F0"/>
    <w:rsid w:val="003E0119"/>
    <w:rsid w:val="003E0B1C"/>
    <w:rsid w:val="003E0F15"/>
    <w:rsid w:val="003E13C1"/>
    <w:rsid w:val="003E13FD"/>
    <w:rsid w:val="003E2551"/>
    <w:rsid w:val="003E2962"/>
    <w:rsid w:val="003E31CE"/>
    <w:rsid w:val="003E4162"/>
    <w:rsid w:val="003E4313"/>
    <w:rsid w:val="003E441E"/>
    <w:rsid w:val="003E4463"/>
    <w:rsid w:val="003E6ABC"/>
    <w:rsid w:val="003E7747"/>
    <w:rsid w:val="003E7B85"/>
    <w:rsid w:val="003E7BBF"/>
    <w:rsid w:val="003E7F6D"/>
    <w:rsid w:val="003F00BB"/>
    <w:rsid w:val="003F3917"/>
    <w:rsid w:val="003F41EB"/>
    <w:rsid w:val="003F4BE7"/>
    <w:rsid w:val="003F4E1F"/>
    <w:rsid w:val="003F4F09"/>
    <w:rsid w:val="003F632B"/>
    <w:rsid w:val="003F7EC2"/>
    <w:rsid w:val="00401EF2"/>
    <w:rsid w:val="004028AE"/>
    <w:rsid w:val="00402C4D"/>
    <w:rsid w:val="004049B9"/>
    <w:rsid w:val="004049DA"/>
    <w:rsid w:val="004056D3"/>
    <w:rsid w:val="00406334"/>
    <w:rsid w:val="0040646E"/>
    <w:rsid w:val="0040775C"/>
    <w:rsid w:val="00410137"/>
    <w:rsid w:val="004108D4"/>
    <w:rsid w:val="004110D1"/>
    <w:rsid w:val="00412BC9"/>
    <w:rsid w:val="00412CB6"/>
    <w:rsid w:val="00413825"/>
    <w:rsid w:val="0041386C"/>
    <w:rsid w:val="00413ED7"/>
    <w:rsid w:val="00415322"/>
    <w:rsid w:val="00415899"/>
    <w:rsid w:val="00415A3A"/>
    <w:rsid w:val="004164B1"/>
    <w:rsid w:val="0041685E"/>
    <w:rsid w:val="0041725C"/>
    <w:rsid w:val="00417789"/>
    <w:rsid w:val="004178AF"/>
    <w:rsid w:val="00417EAA"/>
    <w:rsid w:val="00420E94"/>
    <w:rsid w:val="00423A9A"/>
    <w:rsid w:val="0042405F"/>
    <w:rsid w:val="00424373"/>
    <w:rsid w:val="00424793"/>
    <w:rsid w:val="00424C85"/>
    <w:rsid w:val="00425040"/>
    <w:rsid w:val="0042569C"/>
    <w:rsid w:val="00426A3E"/>
    <w:rsid w:val="00430CB5"/>
    <w:rsid w:val="004313EB"/>
    <w:rsid w:val="00431B03"/>
    <w:rsid w:val="00432172"/>
    <w:rsid w:val="00432F99"/>
    <w:rsid w:val="004333B9"/>
    <w:rsid w:val="004347DF"/>
    <w:rsid w:val="0043594B"/>
    <w:rsid w:val="00437151"/>
    <w:rsid w:val="004372B5"/>
    <w:rsid w:val="0043756D"/>
    <w:rsid w:val="0043764D"/>
    <w:rsid w:val="00440987"/>
    <w:rsid w:val="00440D69"/>
    <w:rsid w:val="0044141D"/>
    <w:rsid w:val="00442BE0"/>
    <w:rsid w:val="00442BF0"/>
    <w:rsid w:val="00443CB1"/>
    <w:rsid w:val="00444474"/>
    <w:rsid w:val="0044464F"/>
    <w:rsid w:val="004448A9"/>
    <w:rsid w:val="00445186"/>
    <w:rsid w:val="004465E7"/>
    <w:rsid w:val="00446A6B"/>
    <w:rsid w:val="00446F16"/>
    <w:rsid w:val="004473A6"/>
    <w:rsid w:val="0044761B"/>
    <w:rsid w:val="00447B97"/>
    <w:rsid w:val="00447D8A"/>
    <w:rsid w:val="00450665"/>
    <w:rsid w:val="00450BEB"/>
    <w:rsid w:val="00450D01"/>
    <w:rsid w:val="004515B6"/>
    <w:rsid w:val="00452230"/>
    <w:rsid w:val="004526B7"/>
    <w:rsid w:val="00452CED"/>
    <w:rsid w:val="00453137"/>
    <w:rsid w:val="004538C5"/>
    <w:rsid w:val="00454EBE"/>
    <w:rsid w:val="00455E42"/>
    <w:rsid w:val="00456978"/>
    <w:rsid w:val="00456D00"/>
    <w:rsid w:val="004579C9"/>
    <w:rsid w:val="004579D6"/>
    <w:rsid w:val="00457D00"/>
    <w:rsid w:val="00460D30"/>
    <w:rsid w:val="00460EA5"/>
    <w:rsid w:val="00460FF2"/>
    <w:rsid w:val="004613D6"/>
    <w:rsid w:val="00461D03"/>
    <w:rsid w:val="004626CF"/>
    <w:rsid w:val="00463A17"/>
    <w:rsid w:val="00464004"/>
    <w:rsid w:val="0046409D"/>
    <w:rsid w:val="00465324"/>
    <w:rsid w:val="00465398"/>
    <w:rsid w:val="00465D51"/>
    <w:rsid w:val="00465FB5"/>
    <w:rsid w:val="004677FD"/>
    <w:rsid w:val="00467C94"/>
    <w:rsid w:val="0047108D"/>
    <w:rsid w:val="004710AF"/>
    <w:rsid w:val="004713ED"/>
    <w:rsid w:val="004716DE"/>
    <w:rsid w:val="004729DE"/>
    <w:rsid w:val="0047308C"/>
    <w:rsid w:val="0047348F"/>
    <w:rsid w:val="00474087"/>
    <w:rsid w:val="004746CD"/>
    <w:rsid w:val="0047473D"/>
    <w:rsid w:val="004747C9"/>
    <w:rsid w:val="00474F22"/>
    <w:rsid w:val="00480457"/>
    <w:rsid w:val="0048158E"/>
    <w:rsid w:val="004815E3"/>
    <w:rsid w:val="00481611"/>
    <w:rsid w:val="004831F3"/>
    <w:rsid w:val="00483B1D"/>
    <w:rsid w:val="00484061"/>
    <w:rsid w:val="00484111"/>
    <w:rsid w:val="00484488"/>
    <w:rsid w:val="00484968"/>
    <w:rsid w:val="00485164"/>
    <w:rsid w:val="004859E9"/>
    <w:rsid w:val="00486238"/>
    <w:rsid w:val="00487C1B"/>
    <w:rsid w:val="00487D56"/>
    <w:rsid w:val="004907C0"/>
    <w:rsid w:val="00490CA8"/>
    <w:rsid w:val="0049229E"/>
    <w:rsid w:val="0049383C"/>
    <w:rsid w:val="00494592"/>
    <w:rsid w:val="00495526"/>
    <w:rsid w:val="00495B1B"/>
    <w:rsid w:val="00495C87"/>
    <w:rsid w:val="00497192"/>
    <w:rsid w:val="0049730C"/>
    <w:rsid w:val="00497864"/>
    <w:rsid w:val="004A0666"/>
    <w:rsid w:val="004A18D7"/>
    <w:rsid w:val="004A218A"/>
    <w:rsid w:val="004A250E"/>
    <w:rsid w:val="004A2895"/>
    <w:rsid w:val="004A29CF"/>
    <w:rsid w:val="004A29ED"/>
    <w:rsid w:val="004A2A30"/>
    <w:rsid w:val="004A2AE1"/>
    <w:rsid w:val="004A2E6E"/>
    <w:rsid w:val="004A300D"/>
    <w:rsid w:val="004A3501"/>
    <w:rsid w:val="004A3884"/>
    <w:rsid w:val="004A3E7A"/>
    <w:rsid w:val="004A5CF0"/>
    <w:rsid w:val="004A67ED"/>
    <w:rsid w:val="004A74B3"/>
    <w:rsid w:val="004A78DD"/>
    <w:rsid w:val="004B5730"/>
    <w:rsid w:val="004B6481"/>
    <w:rsid w:val="004B7E9B"/>
    <w:rsid w:val="004C03C1"/>
    <w:rsid w:val="004C09AB"/>
    <w:rsid w:val="004C1341"/>
    <w:rsid w:val="004C17B5"/>
    <w:rsid w:val="004C2C9F"/>
    <w:rsid w:val="004C2FB9"/>
    <w:rsid w:val="004C4107"/>
    <w:rsid w:val="004C4642"/>
    <w:rsid w:val="004C4908"/>
    <w:rsid w:val="004C5066"/>
    <w:rsid w:val="004C5AF7"/>
    <w:rsid w:val="004C6AEE"/>
    <w:rsid w:val="004C6D70"/>
    <w:rsid w:val="004C732E"/>
    <w:rsid w:val="004C76AB"/>
    <w:rsid w:val="004C77C5"/>
    <w:rsid w:val="004C7E11"/>
    <w:rsid w:val="004D0005"/>
    <w:rsid w:val="004D103D"/>
    <w:rsid w:val="004D10F3"/>
    <w:rsid w:val="004D160B"/>
    <w:rsid w:val="004D27E3"/>
    <w:rsid w:val="004D294E"/>
    <w:rsid w:val="004D2A7D"/>
    <w:rsid w:val="004D46EC"/>
    <w:rsid w:val="004D497F"/>
    <w:rsid w:val="004D4B77"/>
    <w:rsid w:val="004D5064"/>
    <w:rsid w:val="004D5411"/>
    <w:rsid w:val="004D54FD"/>
    <w:rsid w:val="004D58D1"/>
    <w:rsid w:val="004D6BD5"/>
    <w:rsid w:val="004D6FA3"/>
    <w:rsid w:val="004D72D3"/>
    <w:rsid w:val="004D7EFF"/>
    <w:rsid w:val="004E0671"/>
    <w:rsid w:val="004E0867"/>
    <w:rsid w:val="004E16CF"/>
    <w:rsid w:val="004E36C4"/>
    <w:rsid w:val="004E39A4"/>
    <w:rsid w:val="004E4450"/>
    <w:rsid w:val="004E4DFD"/>
    <w:rsid w:val="004E52DF"/>
    <w:rsid w:val="004E6806"/>
    <w:rsid w:val="004E704E"/>
    <w:rsid w:val="004E712E"/>
    <w:rsid w:val="004E74D4"/>
    <w:rsid w:val="004E7766"/>
    <w:rsid w:val="004E7EB5"/>
    <w:rsid w:val="004F02E3"/>
    <w:rsid w:val="004F0A38"/>
    <w:rsid w:val="004F11D7"/>
    <w:rsid w:val="004F1217"/>
    <w:rsid w:val="004F3324"/>
    <w:rsid w:val="004F34B0"/>
    <w:rsid w:val="004F3943"/>
    <w:rsid w:val="004F4D87"/>
    <w:rsid w:val="004F5E99"/>
    <w:rsid w:val="004F6E7F"/>
    <w:rsid w:val="005007FC"/>
    <w:rsid w:val="00500EEB"/>
    <w:rsid w:val="00501ABD"/>
    <w:rsid w:val="005033B0"/>
    <w:rsid w:val="005034DE"/>
    <w:rsid w:val="00503C42"/>
    <w:rsid w:val="00503DF7"/>
    <w:rsid w:val="00504126"/>
    <w:rsid w:val="00505D1F"/>
    <w:rsid w:val="0050611F"/>
    <w:rsid w:val="00506653"/>
    <w:rsid w:val="00506D68"/>
    <w:rsid w:val="005076AB"/>
    <w:rsid w:val="00510430"/>
    <w:rsid w:val="00512A1C"/>
    <w:rsid w:val="00513206"/>
    <w:rsid w:val="00514827"/>
    <w:rsid w:val="00514A67"/>
    <w:rsid w:val="00514BB3"/>
    <w:rsid w:val="00515772"/>
    <w:rsid w:val="0051611D"/>
    <w:rsid w:val="005161A3"/>
    <w:rsid w:val="005178DA"/>
    <w:rsid w:val="00521EAD"/>
    <w:rsid w:val="005222F7"/>
    <w:rsid w:val="005226A9"/>
    <w:rsid w:val="005240A5"/>
    <w:rsid w:val="00524BE9"/>
    <w:rsid w:val="005252BD"/>
    <w:rsid w:val="00526039"/>
    <w:rsid w:val="00526387"/>
    <w:rsid w:val="00526D8B"/>
    <w:rsid w:val="00527219"/>
    <w:rsid w:val="00527FA3"/>
    <w:rsid w:val="00530E95"/>
    <w:rsid w:val="0053172D"/>
    <w:rsid w:val="00531C91"/>
    <w:rsid w:val="00532ACB"/>
    <w:rsid w:val="00532BBF"/>
    <w:rsid w:val="0053480E"/>
    <w:rsid w:val="00535F8A"/>
    <w:rsid w:val="0053610A"/>
    <w:rsid w:val="00540135"/>
    <w:rsid w:val="005418F0"/>
    <w:rsid w:val="00541B2E"/>
    <w:rsid w:val="00542CB8"/>
    <w:rsid w:val="00543082"/>
    <w:rsid w:val="005432EF"/>
    <w:rsid w:val="0054331C"/>
    <w:rsid w:val="005439C8"/>
    <w:rsid w:val="005443EB"/>
    <w:rsid w:val="00544B3E"/>
    <w:rsid w:val="00544D99"/>
    <w:rsid w:val="00545133"/>
    <w:rsid w:val="005456DE"/>
    <w:rsid w:val="005458AC"/>
    <w:rsid w:val="00545B52"/>
    <w:rsid w:val="00546196"/>
    <w:rsid w:val="00546400"/>
    <w:rsid w:val="00546892"/>
    <w:rsid w:val="005477E8"/>
    <w:rsid w:val="005477F5"/>
    <w:rsid w:val="005478DB"/>
    <w:rsid w:val="005505A6"/>
    <w:rsid w:val="00550BF2"/>
    <w:rsid w:val="00550E99"/>
    <w:rsid w:val="00551873"/>
    <w:rsid w:val="00552529"/>
    <w:rsid w:val="00552CA4"/>
    <w:rsid w:val="00552EE8"/>
    <w:rsid w:val="0055467A"/>
    <w:rsid w:val="00554712"/>
    <w:rsid w:val="0055616D"/>
    <w:rsid w:val="005561A8"/>
    <w:rsid w:val="00557616"/>
    <w:rsid w:val="00557C02"/>
    <w:rsid w:val="0056007A"/>
    <w:rsid w:val="0056092D"/>
    <w:rsid w:val="00561D74"/>
    <w:rsid w:val="00562068"/>
    <w:rsid w:val="00562590"/>
    <w:rsid w:val="00562B52"/>
    <w:rsid w:val="005636B8"/>
    <w:rsid w:val="00563850"/>
    <w:rsid w:val="00564D87"/>
    <w:rsid w:val="005655BD"/>
    <w:rsid w:val="0056602D"/>
    <w:rsid w:val="00566A88"/>
    <w:rsid w:val="00566B00"/>
    <w:rsid w:val="0056725C"/>
    <w:rsid w:val="00567D64"/>
    <w:rsid w:val="0057000C"/>
    <w:rsid w:val="00570B96"/>
    <w:rsid w:val="0057151B"/>
    <w:rsid w:val="00571C44"/>
    <w:rsid w:val="00572796"/>
    <w:rsid w:val="00573939"/>
    <w:rsid w:val="00576CCD"/>
    <w:rsid w:val="00576F33"/>
    <w:rsid w:val="0058086F"/>
    <w:rsid w:val="00580A1E"/>
    <w:rsid w:val="00581777"/>
    <w:rsid w:val="00581AC4"/>
    <w:rsid w:val="00581E25"/>
    <w:rsid w:val="00581FA3"/>
    <w:rsid w:val="0058207E"/>
    <w:rsid w:val="00583D85"/>
    <w:rsid w:val="0058448C"/>
    <w:rsid w:val="00584847"/>
    <w:rsid w:val="00586510"/>
    <w:rsid w:val="00586E0D"/>
    <w:rsid w:val="00590CF7"/>
    <w:rsid w:val="005911DF"/>
    <w:rsid w:val="00592662"/>
    <w:rsid w:val="00592D77"/>
    <w:rsid w:val="0059330D"/>
    <w:rsid w:val="00593DE6"/>
    <w:rsid w:val="00594210"/>
    <w:rsid w:val="005948C2"/>
    <w:rsid w:val="0059581A"/>
    <w:rsid w:val="00597EA6"/>
    <w:rsid w:val="005A0557"/>
    <w:rsid w:val="005A20DB"/>
    <w:rsid w:val="005A2EAB"/>
    <w:rsid w:val="005A3D13"/>
    <w:rsid w:val="005A4212"/>
    <w:rsid w:val="005A57E1"/>
    <w:rsid w:val="005A59A5"/>
    <w:rsid w:val="005A65EC"/>
    <w:rsid w:val="005A6618"/>
    <w:rsid w:val="005A7AD5"/>
    <w:rsid w:val="005A7EF7"/>
    <w:rsid w:val="005B0CBB"/>
    <w:rsid w:val="005B0E02"/>
    <w:rsid w:val="005B0F26"/>
    <w:rsid w:val="005B1C2E"/>
    <w:rsid w:val="005B23A1"/>
    <w:rsid w:val="005B369F"/>
    <w:rsid w:val="005B4332"/>
    <w:rsid w:val="005B496C"/>
    <w:rsid w:val="005B561D"/>
    <w:rsid w:val="005B72A7"/>
    <w:rsid w:val="005C0E0B"/>
    <w:rsid w:val="005C15A0"/>
    <w:rsid w:val="005C16B5"/>
    <w:rsid w:val="005C19D5"/>
    <w:rsid w:val="005C47FB"/>
    <w:rsid w:val="005C4E38"/>
    <w:rsid w:val="005C5615"/>
    <w:rsid w:val="005C64E0"/>
    <w:rsid w:val="005C683B"/>
    <w:rsid w:val="005C6C0D"/>
    <w:rsid w:val="005C7D7F"/>
    <w:rsid w:val="005D0A5E"/>
    <w:rsid w:val="005D0CBB"/>
    <w:rsid w:val="005D21C5"/>
    <w:rsid w:val="005D2BF6"/>
    <w:rsid w:val="005D3980"/>
    <w:rsid w:val="005D454F"/>
    <w:rsid w:val="005D4876"/>
    <w:rsid w:val="005D4D44"/>
    <w:rsid w:val="005D5FF4"/>
    <w:rsid w:val="005D6467"/>
    <w:rsid w:val="005D67AB"/>
    <w:rsid w:val="005D73FD"/>
    <w:rsid w:val="005D77E5"/>
    <w:rsid w:val="005D7BE8"/>
    <w:rsid w:val="005E03E5"/>
    <w:rsid w:val="005E1058"/>
    <w:rsid w:val="005E132D"/>
    <w:rsid w:val="005E2AC6"/>
    <w:rsid w:val="005E2B75"/>
    <w:rsid w:val="005E2CB0"/>
    <w:rsid w:val="005E31C3"/>
    <w:rsid w:val="005E3249"/>
    <w:rsid w:val="005E67BE"/>
    <w:rsid w:val="005E7664"/>
    <w:rsid w:val="005E7A2A"/>
    <w:rsid w:val="005E7E66"/>
    <w:rsid w:val="005F0431"/>
    <w:rsid w:val="005F044C"/>
    <w:rsid w:val="005F0C81"/>
    <w:rsid w:val="005F11FD"/>
    <w:rsid w:val="005F2054"/>
    <w:rsid w:val="005F2F0C"/>
    <w:rsid w:val="005F490C"/>
    <w:rsid w:val="006002DC"/>
    <w:rsid w:val="006004EE"/>
    <w:rsid w:val="006005D8"/>
    <w:rsid w:val="00601323"/>
    <w:rsid w:val="00603F26"/>
    <w:rsid w:val="00604B6C"/>
    <w:rsid w:val="00604C98"/>
    <w:rsid w:val="00606476"/>
    <w:rsid w:val="00610409"/>
    <w:rsid w:val="006104BB"/>
    <w:rsid w:val="0061061C"/>
    <w:rsid w:val="00610E86"/>
    <w:rsid w:val="00610EB4"/>
    <w:rsid w:val="00611CA5"/>
    <w:rsid w:val="006121FF"/>
    <w:rsid w:val="006123C6"/>
    <w:rsid w:val="00613D9F"/>
    <w:rsid w:val="00614DB1"/>
    <w:rsid w:val="00616190"/>
    <w:rsid w:val="0061625C"/>
    <w:rsid w:val="00616A09"/>
    <w:rsid w:val="00616EDA"/>
    <w:rsid w:val="006170AA"/>
    <w:rsid w:val="0061780E"/>
    <w:rsid w:val="00620311"/>
    <w:rsid w:val="00620C67"/>
    <w:rsid w:val="0062156A"/>
    <w:rsid w:val="006217AC"/>
    <w:rsid w:val="00622FD0"/>
    <w:rsid w:val="006232A1"/>
    <w:rsid w:val="006235A8"/>
    <w:rsid w:val="00623957"/>
    <w:rsid w:val="0062438C"/>
    <w:rsid w:val="00624505"/>
    <w:rsid w:val="00624BC1"/>
    <w:rsid w:val="006268F8"/>
    <w:rsid w:val="00626AAF"/>
    <w:rsid w:val="00626C52"/>
    <w:rsid w:val="00627C3A"/>
    <w:rsid w:val="00631E90"/>
    <w:rsid w:val="0063231D"/>
    <w:rsid w:val="00632326"/>
    <w:rsid w:val="006328FF"/>
    <w:rsid w:val="00633658"/>
    <w:rsid w:val="00633C76"/>
    <w:rsid w:val="00634EC4"/>
    <w:rsid w:val="0063542C"/>
    <w:rsid w:val="0063593E"/>
    <w:rsid w:val="00637676"/>
    <w:rsid w:val="00637AC9"/>
    <w:rsid w:val="00637B73"/>
    <w:rsid w:val="00642B71"/>
    <w:rsid w:val="00642C73"/>
    <w:rsid w:val="0064309E"/>
    <w:rsid w:val="006446A9"/>
    <w:rsid w:val="006447F2"/>
    <w:rsid w:val="00644C4E"/>
    <w:rsid w:val="00644C77"/>
    <w:rsid w:val="00644EC0"/>
    <w:rsid w:val="0064560F"/>
    <w:rsid w:val="00645BD6"/>
    <w:rsid w:val="00646026"/>
    <w:rsid w:val="00647AC3"/>
    <w:rsid w:val="00651256"/>
    <w:rsid w:val="0065154C"/>
    <w:rsid w:val="00651DCD"/>
    <w:rsid w:val="00652694"/>
    <w:rsid w:val="00652B77"/>
    <w:rsid w:val="00653056"/>
    <w:rsid w:val="00655CD8"/>
    <w:rsid w:val="00655ED8"/>
    <w:rsid w:val="006563C4"/>
    <w:rsid w:val="00656C43"/>
    <w:rsid w:val="00657B10"/>
    <w:rsid w:val="00660D1F"/>
    <w:rsid w:val="006629E6"/>
    <w:rsid w:val="006630D7"/>
    <w:rsid w:val="00663718"/>
    <w:rsid w:val="00663734"/>
    <w:rsid w:val="00663C8F"/>
    <w:rsid w:val="00664594"/>
    <w:rsid w:val="00666A86"/>
    <w:rsid w:val="00667521"/>
    <w:rsid w:val="0067038B"/>
    <w:rsid w:val="006706FF"/>
    <w:rsid w:val="006730A2"/>
    <w:rsid w:val="0067401E"/>
    <w:rsid w:val="00674519"/>
    <w:rsid w:val="0067546F"/>
    <w:rsid w:val="0067650B"/>
    <w:rsid w:val="006767B6"/>
    <w:rsid w:val="00676E88"/>
    <w:rsid w:val="0067756B"/>
    <w:rsid w:val="00677D89"/>
    <w:rsid w:val="006808D3"/>
    <w:rsid w:val="00680F9F"/>
    <w:rsid w:val="00681136"/>
    <w:rsid w:val="00681164"/>
    <w:rsid w:val="00681D10"/>
    <w:rsid w:val="006838A1"/>
    <w:rsid w:val="006841CC"/>
    <w:rsid w:val="00684D78"/>
    <w:rsid w:val="0068528F"/>
    <w:rsid w:val="006852C7"/>
    <w:rsid w:val="00685973"/>
    <w:rsid w:val="00685B0C"/>
    <w:rsid w:val="0068625C"/>
    <w:rsid w:val="00686444"/>
    <w:rsid w:val="00687414"/>
    <w:rsid w:val="00690F90"/>
    <w:rsid w:val="0069146D"/>
    <w:rsid w:val="00691E0B"/>
    <w:rsid w:val="00692024"/>
    <w:rsid w:val="006924A4"/>
    <w:rsid w:val="00692A8C"/>
    <w:rsid w:val="006936CA"/>
    <w:rsid w:val="00695A09"/>
    <w:rsid w:val="006965E3"/>
    <w:rsid w:val="006970A9"/>
    <w:rsid w:val="0069757A"/>
    <w:rsid w:val="0069774E"/>
    <w:rsid w:val="00697996"/>
    <w:rsid w:val="006A05FD"/>
    <w:rsid w:val="006A3FFA"/>
    <w:rsid w:val="006A4251"/>
    <w:rsid w:val="006A46BE"/>
    <w:rsid w:val="006A575B"/>
    <w:rsid w:val="006A65D8"/>
    <w:rsid w:val="006A78AD"/>
    <w:rsid w:val="006A7AAD"/>
    <w:rsid w:val="006B090A"/>
    <w:rsid w:val="006B0ABD"/>
    <w:rsid w:val="006B19A0"/>
    <w:rsid w:val="006B67C5"/>
    <w:rsid w:val="006B67DD"/>
    <w:rsid w:val="006B67EE"/>
    <w:rsid w:val="006B6940"/>
    <w:rsid w:val="006B69B2"/>
    <w:rsid w:val="006B73B3"/>
    <w:rsid w:val="006B773A"/>
    <w:rsid w:val="006C0D74"/>
    <w:rsid w:val="006C0EFE"/>
    <w:rsid w:val="006C1B92"/>
    <w:rsid w:val="006C2D60"/>
    <w:rsid w:val="006C4EC0"/>
    <w:rsid w:val="006C53B6"/>
    <w:rsid w:val="006C6648"/>
    <w:rsid w:val="006C6CB0"/>
    <w:rsid w:val="006C6DFD"/>
    <w:rsid w:val="006C70C0"/>
    <w:rsid w:val="006C728D"/>
    <w:rsid w:val="006C7554"/>
    <w:rsid w:val="006C7FF7"/>
    <w:rsid w:val="006D1AB2"/>
    <w:rsid w:val="006D364E"/>
    <w:rsid w:val="006D4DC7"/>
    <w:rsid w:val="006D5432"/>
    <w:rsid w:val="006D5A8B"/>
    <w:rsid w:val="006D62D6"/>
    <w:rsid w:val="006D6C8A"/>
    <w:rsid w:val="006D75F7"/>
    <w:rsid w:val="006E0C72"/>
    <w:rsid w:val="006E2633"/>
    <w:rsid w:val="006E5C13"/>
    <w:rsid w:val="006E635B"/>
    <w:rsid w:val="006E66F3"/>
    <w:rsid w:val="006E6BC1"/>
    <w:rsid w:val="006E6FE6"/>
    <w:rsid w:val="006E7D4A"/>
    <w:rsid w:val="006F01F7"/>
    <w:rsid w:val="006F0584"/>
    <w:rsid w:val="006F09B2"/>
    <w:rsid w:val="006F390A"/>
    <w:rsid w:val="006F4117"/>
    <w:rsid w:val="006F4653"/>
    <w:rsid w:val="006F577C"/>
    <w:rsid w:val="006F5AB4"/>
    <w:rsid w:val="006F5BC4"/>
    <w:rsid w:val="006F5CD2"/>
    <w:rsid w:val="006F686F"/>
    <w:rsid w:val="006F6E15"/>
    <w:rsid w:val="006F6F9B"/>
    <w:rsid w:val="006F7E10"/>
    <w:rsid w:val="007000BF"/>
    <w:rsid w:val="007009D8"/>
    <w:rsid w:val="007029AF"/>
    <w:rsid w:val="00702C59"/>
    <w:rsid w:val="007039B4"/>
    <w:rsid w:val="00703F79"/>
    <w:rsid w:val="007043A5"/>
    <w:rsid w:val="00704C6D"/>
    <w:rsid w:val="00705043"/>
    <w:rsid w:val="007064B8"/>
    <w:rsid w:val="00706D74"/>
    <w:rsid w:val="007104FA"/>
    <w:rsid w:val="00711161"/>
    <w:rsid w:val="00711882"/>
    <w:rsid w:val="00711F6C"/>
    <w:rsid w:val="00712614"/>
    <w:rsid w:val="0071278D"/>
    <w:rsid w:val="00712859"/>
    <w:rsid w:val="00714ED3"/>
    <w:rsid w:val="007161C3"/>
    <w:rsid w:val="00716D44"/>
    <w:rsid w:val="00716D4F"/>
    <w:rsid w:val="00721263"/>
    <w:rsid w:val="00721B5A"/>
    <w:rsid w:val="00722E65"/>
    <w:rsid w:val="00722F5C"/>
    <w:rsid w:val="00723118"/>
    <w:rsid w:val="007231EA"/>
    <w:rsid w:val="007235F4"/>
    <w:rsid w:val="00723D0B"/>
    <w:rsid w:val="007240B8"/>
    <w:rsid w:val="007257FA"/>
    <w:rsid w:val="00725E3E"/>
    <w:rsid w:val="0072644A"/>
    <w:rsid w:val="0072695E"/>
    <w:rsid w:val="00727712"/>
    <w:rsid w:val="00727CF0"/>
    <w:rsid w:val="00731086"/>
    <w:rsid w:val="0073172C"/>
    <w:rsid w:val="00731D15"/>
    <w:rsid w:val="00731EAA"/>
    <w:rsid w:val="00733278"/>
    <w:rsid w:val="00733850"/>
    <w:rsid w:val="007340F9"/>
    <w:rsid w:val="0073479F"/>
    <w:rsid w:val="00734C42"/>
    <w:rsid w:val="00736DD9"/>
    <w:rsid w:val="007370E1"/>
    <w:rsid w:val="00740B81"/>
    <w:rsid w:val="00740F96"/>
    <w:rsid w:val="007424CB"/>
    <w:rsid w:val="00743D5B"/>
    <w:rsid w:val="007446BF"/>
    <w:rsid w:val="00744917"/>
    <w:rsid w:val="0074570E"/>
    <w:rsid w:val="00745C4E"/>
    <w:rsid w:val="007467CE"/>
    <w:rsid w:val="00746980"/>
    <w:rsid w:val="00746A86"/>
    <w:rsid w:val="00747E97"/>
    <w:rsid w:val="00747EFC"/>
    <w:rsid w:val="00750005"/>
    <w:rsid w:val="007506D3"/>
    <w:rsid w:val="00750A00"/>
    <w:rsid w:val="00750BE4"/>
    <w:rsid w:val="00751B73"/>
    <w:rsid w:val="0075212D"/>
    <w:rsid w:val="00752E3A"/>
    <w:rsid w:val="00754730"/>
    <w:rsid w:val="00754B85"/>
    <w:rsid w:val="00754F16"/>
    <w:rsid w:val="007555D5"/>
    <w:rsid w:val="007556E5"/>
    <w:rsid w:val="007557C8"/>
    <w:rsid w:val="00755A66"/>
    <w:rsid w:val="00755F77"/>
    <w:rsid w:val="00756DC6"/>
    <w:rsid w:val="007602D0"/>
    <w:rsid w:val="007606CD"/>
    <w:rsid w:val="00760C4C"/>
    <w:rsid w:val="00760D99"/>
    <w:rsid w:val="007615C8"/>
    <w:rsid w:val="007616C2"/>
    <w:rsid w:val="00761A3A"/>
    <w:rsid w:val="00761D76"/>
    <w:rsid w:val="00761D82"/>
    <w:rsid w:val="00762672"/>
    <w:rsid w:val="0076343F"/>
    <w:rsid w:val="00763A59"/>
    <w:rsid w:val="00764723"/>
    <w:rsid w:val="0076473A"/>
    <w:rsid w:val="00764B43"/>
    <w:rsid w:val="00764E6F"/>
    <w:rsid w:val="007655D4"/>
    <w:rsid w:val="00766060"/>
    <w:rsid w:val="00766112"/>
    <w:rsid w:val="0076729C"/>
    <w:rsid w:val="00767826"/>
    <w:rsid w:val="00770778"/>
    <w:rsid w:val="00770CBB"/>
    <w:rsid w:val="00770FB4"/>
    <w:rsid w:val="0077136E"/>
    <w:rsid w:val="007723A4"/>
    <w:rsid w:val="00773D09"/>
    <w:rsid w:val="00774505"/>
    <w:rsid w:val="00774D55"/>
    <w:rsid w:val="007762F5"/>
    <w:rsid w:val="007766B5"/>
    <w:rsid w:val="0077717C"/>
    <w:rsid w:val="00780B92"/>
    <w:rsid w:val="00781C5E"/>
    <w:rsid w:val="00782974"/>
    <w:rsid w:val="00782A2D"/>
    <w:rsid w:val="00782F28"/>
    <w:rsid w:val="007839D0"/>
    <w:rsid w:val="00785875"/>
    <w:rsid w:val="00786F82"/>
    <w:rsid w:val="00790594"/>
    <w:rsid w:val="0079095C"/>
    <w:rsid w:val="00791042"/>
    <w:rsid w:val="007917B1"/>
    <w:rsid w:val="00791C6C"/>
    <w:rsid w:val="00791D4E"/>
    <w:rsid w:val="00793CFE"/>
    <w:rsid w:val="007942D4"/>
    <w:rsid w:val="00794A44"/>
    <w:rsid w:val="007960C6"/>
    <w:rsid w:val="007964BC"/>
    <w:rsid w:val="00796715"/>
    <w:rsid w:val="0079692E"/>
    <w:rsid w:val="0079749B"/>
    <w:rsid w:val="007A0945"/>
    <w:rsid w:val="007A0AB5"/>
    <w:rsid w:val="007A155D"/>
    <w:rsid w:val="007A1A97"/>
    <w:rsid w:val="007A1B77"/>
    <w:rsid w:val="007A2A23"/>
    <w:rsid w:val="007A38F3"/>
    <w:rsid w:val="007A42E2"/>
    <w:rsid w:val="007A4D4C"/>
    <w:rsid w:val="007A52D4"/>
    <w:rsid w:val="007A55CA"/>
    <w:rsid w:val="007A66D7"/>
    <w:rsid w:val="007A6738"/>
    <w:rsid w:val="007A67F9"/>
    <w:rsid w:val="007A6B90"/>
    <w:rsid w:val="007A72C1"/>
    <w:rsid w:val="007A7978"/>
    <w:rsid w:val="007A7A0C"/>
    <w:rsid w:val="007A7F46"/>
    <w:rsid w:val="007B0CC2"/>
    <w:rsid w:val="007B263E"/>
    <w:rsid w:val="007B47D7"/>
    <w:rsid w:val="007B489A"/>
    <w:rsid w:val="007B5351"/>
    <w:rsid w:val="007B6163"/>
    <w:rsid w:val="007B6206"/>
    <w:rsid w:val="007B628C"/>
    <w:rsid w:val="007B6FDC"/>
    <w:rsid w:val="007B7690"/>
    <w:rsid w:val="007C0704"/>
    <w:rsid w:val="007C0C3B"/>
    <w:rsid w:val="007C0C3E"/>
    <w:rsid w:val="007C125B"/>
    <w:rsid w:val="007C1266"/>
    <w:rsid w:val="007C20A7"/>
    <w:rsid w:val="007C25DF"/>
    <w:rsid w:val="007C2FC8"/>
    <w:rsid w:val="007C3587"/>
    <w:rsid w:val="007C390A"/>
    <w:rsid w:val="007C5273"/>
    <w:rsid w:val="007C5362"/>
    <w:rsid w:val="007C5ED8"/>
    <w:rsid w:val="007C71BF"/>
    <w:rsid w:val="007C7358"/>
    <w:rsid w:val="007C76A6"/>
    <w:rsid w:val="007D04DD"/>
    <w:rsid w:val="007D065A"/>
    <w:rsid w:val="007D1441"/>
    <w:rsid w:val="007D1A0E"/>
    <w:rsid w:val="007D1DC4"/>
    <w:rsid w:val="007D22A4"/>
    <w:rsid w:val="007D2CCA"/>
    <w:rsid w:val="007D2E3C"/>
    <w:rsid w:val="007D38F7"/>
    <w:rsid w:val="007D3AF5"/>
    <w:rsid w:val="007D4649"/>
    <w:rsid w:val="007D532C"/>
    <w:rsid w:val="007D575D"/>
    <w:rsid w:val="007D5813"/>
    <w:rsid w:val="007D6143"/>
    <w:rsid w:val="007D6670"/>
    <w:rsid w:val="007D6E89"/>
    <w:rsid w:val="007D7A98"/>
    <w:rsid w:val="007D7D1B"/>
    <w:rsid w:val="007E013F"/>
    <w:rsid w:val="007E03DB"/>
    <w:rsid w:val="007E05A1"/>
    <w:rsid w:val="007E0695"/>
    <w:rsid w:val="007E0E84"/>
    <w:rsid w:val="007E1E9C"/>
    <w:rsid w:val="007E21F5"/>
    <w:rsid w:val="007E23DB"/>
    <w:rsid w:val="007E2A09"/>
    <w:rsid w:val="007E2C44"/>
    <w:rsid w:val="007E3F54"/>
    <w:rsid w:val="007E3FA5"/>
    <w:rsid w:val="007E40BC"/>
    <w:rsid w:val="007E4ECD"/>
    <w:rsid w:val="007E54ED"/>
    <w:rsid w:val="007E67F8"/>
    <w:rsid w:val="007E79BE"/>
    <w:rsid w:val="007F008E"/>
    <w:rsid w:val="007F1F5E"/>
    <w:rsid w:val="007F2855"/>
    <w:rsid w:val="007F32EC"/>
    <w:rsid w:val="007F3325"/>
    <w:rsid w:val="007F5312"/>
    <w:rsid w:val="007F57DD"/>
    <w:rsid w:val="007F5861"/>
    <w:rsid w:val="007F5C93"/>
    <w:rsid w:val="007F780C"/>
    <w:rsid w:val="007F7816"/>
    <w:rsid w:val="0080022F"/>
    <w:rsid w:val="0080232C"/>
    <w:rsid w:val="00802EFF"/>
    <w:rsid w:val="00803664"/>
    <w:rsid w:val="00803836"/>
    <w:rsid w:val="008069AD"/>
    <w:rsid w:val="008079F2"/>
    <w:rsid w:val="0081201D"/>
    <w:rsid w:val="00812085"/>
    <w:rsid w:val="00812338"/>
    <w:rsid w:val="008125F7"/>
    <w:rsid w:val="0081382B"/>
    <w:rsid w:val="00813E0F"/>
    <w:rsid w:val="0081405D"/>
    <w:rsid w:val="00814553"/>
    <w:rsid w:val="00815368"/>
    <w:rsid w:val="0081538B"/>
    <w:rsid w:val="00815464"/>
    <w:rsid w:val="00815EFA"/>
    <w:rsid w:val="008166D1"/>
    <w:rsid w:val="00816D98"/>
    <w:rsid w:val="008177D1"/>
    <w:rsid w:val="00821081"/>
    <w:rsid w:val="00821220"/>
    <w:rsid w:val="00821AF7"/>
    <w:rsid w:val="00822B3B"/>
    <w:rsid w:val="00824CBB"/>
    <w:rsid w:val="008252F9"/>
    <w:rsid w:val="008258CA"/>
    <w:rsid w:val="0082645B"/>
    <w:rsid w:val="0082781B"/>
    <w:rsid w:val="00827DC7"/>
    <w:rsid w:val="008300C5"/>
    <w:rsid w:val="0083442C"/>
    <w:rsid w:val="00834506"/>
    <w:rsid w:val="008347CE"/>
    <w:rsid w:val="00834EE8"/>
    <w:rsid w:val="008369A6"/>
    <w:rsid w:val="00836CD6"/>
    <w:rsid w:val="00836E3E"/>
    <w:rsid w:val="00836F3D"/>
    <w:rsid w:val="00837474"/>
    <w:rsid w:val="00837878"/>
    <w:rsid w:val="00840264"/>
    <w:rsid w:val="008415AD"/>
    <w:rsid w:val="00841DDF"/>
    <w:rsid w:val="00842206"/>
    <w:rsid w:val="008423D3"/>
    <w:rsid w:val="0084259D"/>
    <w:rsid w:val="0084330E"/>
    <w:rsid w:val="0084468F"/>
    <w:rsid w:val="00844D06"/>
    <w:rsid w:val="008472B1"/>
    <w:rsid w:val="008476A0"/>
    <w:rsid w:val="00847976"/>
    <w:rsid w:val="00850AA9"/>
    <w:rsid w:val="008513AF"/>
    <w:rsid w:val="008515A1"/>
    <w:rsid w:val="008516C0"/>
    <w:rsid w:val="00851953"/>
    <w:rsid w:val="008522C6"/>
    <w:rsid w:val="00852F28"/>
    <w:rsid w:val="008538C0"/>
    <w:rsid w:val="00854DAE"/>
    <w:rsid w:val="008550B5"/>
    <w:rsid w:val="00855A5B"/>
    <w:rsid w:val="00855B74"/>
    <w:rsid w:val="00855BDB"/>
    <w:rsid w:val="008560B7"/>
    <w:rsid w:val="0085644E"/>
    <w:rsid w:val="00857320"/>
    <w:rsid w:val="00857877"/>
    <w:rsid w:val="00857894"/>
    <w:rsid w:val="00860198"/>
    <w:rsid w:val="00860300"/>
    <w:rsid w:val="00860EC2"/>
    <w:rsid w:val="00861055"/>
    <w:rsid w:val="00861D96"/>
    <w:rsid w:val="008620FB"/>
    <w:rsid w:val="00862544"/>
    <w:rsid w:val="00865EB8"/>
    <w:rsid w:val="008661C2"/>
    <w:rsid w:val="0086682E"/>
    <w:rsid w:val="008670DF"/>
    <w:rsid w:val="008674B5"/>
    <w:rsid w:val="00867AB6"/>
    <w:rsid w:val="00871890"/>
    <w:rsid w:val="008726B1"/>
    <w:rsid w:val="00873388"/>
    <w:rsid w:val="00873C73"/>
    <w:rsid w:val="00874698"/>
    <w:rsid w:val="00874DE1"/>
    <w:rsid w:val="008756FB"/>
    <w:rsid w:val="008761DE"/>
    <w:rsid w:val="00876D18"/>
    <w:rsid w:val="00876F8B"/>
    <w:rsid w:val="008770F8"/>
    <w:rsid w:val="0088022B"/>
    <w:rsid w:val="00880315"/>
    <w:rsid w:val="00880444"/>
    <w:rsid w:val="008806E7"/>
    <w:rsid w:val="0088120F"/>
    <w:rsid w:val="00882753"/>
    <w:rsid w:val="008827FF"/>
    <w:rsid w:val="0088283D"/>
    <w:rsid w:val="00882B5E"/>
    <w:rsid w:val="00882DF7"/>
    <w:rsid w:val="00882ED1"/>
    <w:rsid w:val="0088378E"/>
    <w:rsid w:val="0088485A"/>
    <w:rsid w:val="00885F3D"/>
    <w:rsid w:val="00886546"/>
    <w:rsid w:val="00886837"/>
    <w:rsid w:val="00886C5B"/>
    <w:rsid w:val="00887058"/>
    <w:rsid w:val="0088740A"/>
    <w:rsid w:val="008900F3"/>
    <w:rsid w:val="00890833"/>
    <w:rsid w:val="00891A24"/>
    <w:rsid w:val="008932CB"/>
    <w:rsid w:val="00893F99"/>
    <w:rsid w:val="00895C0F"/>
    <w:rsid w:val="00896712"/>
    <w:rsid w:val="00896BD8"/>
    <w:rsid w:val="00896CA3"/>
    <w:rsid w:val="008979AB"/>
    <w:rsid w:val="008A0FF5"/>
    <w:rsid w:val="008A1028"/>
    <w:rsid w:val="008A103F"/>
    <w:rsid w:val="008A16B9"/>
    <w:rsid w:val="008A1776"/>
    <w:rsid w:val="008A3026"/>
    <w:rsid w:val="008A33CB"/>
    <w:rsid w:val="008A366C"/>
    <w:rsid w:val="008A37F5"/>
    <w:rsid w:val="008A3AF1"/>
    <w:rsid w:val="008A3EF4"/>
    <w:rsid w:val="008A560B"/>
    <w:rsid w:val="008A5A42"/>
    <w:rsid w:val="008A5E95"/>
    <w:rsid w:val="008A678E"/>
    <w:rsid w:val="008A7246"/>
    <w:rsid w:val="008B02A2"/>
    <w:rsid w:val="008B0DA3"/>
    <w:rsid w:val="008B0EC1"/>
    <w:rsid w:val="008B238F"/>
    <w:rsid w:val="008B25A3"/>
    <w:rsid w:val="008B2B11"/>
    <w:rsid w:val="008B3AA4"/>
    <w:rsid w:val="008B3CB3"/>
    <w:rsid w:val="008B4F73"/>
    <w:rsid w:val="008B55D5"/>
    <w:rsid w:val="008B5995"/>
    <w:rsid w:val="008B6022"/>
    <w:rsid w:val="008B6398"/>
    <w:rsid w:val="008B70A9"/>
    <w:rsid w:val="008B735A"/>
    <w:rsid w:val="008C0A49"/>
    <w:rsid w:val="008C106A"/>
    <w:rsid w:val="008C2F40"/>
    <w:rsid w:val="008C3267"/>
    <w:rsid w:val="008C3D4A"/>
    <w:rsid w:val="008C3E78"/>
    <w:rsid w:val="008C422E"/>
    <w:rsid w:val="008C5BE4"/>
    <w:rsid w:val="008C5E91"/>
    <w:rsid w:val="008C600D"/>
    <w:rsid w:val="008C6218"/>
    <w:rsid w:val="008C65BD"/>
    <w:rsid w:val="008C76FC"/>
    <w:rsid w:val="008D01F4"/>
    <w:rsid w:val="008D0E4D"/>
    <w:rsid w:val="008D20CA"/>
    <w:rsid w:val="008D2420"/>
    <w:rsid w:val="008D2C97"/>
    <w:rsid w:val="008D3C58"/>
    <w:rsid w:val="008D4421"/>
    <w:rsid w:val="008D5117"/>
    <w:rsid w:val="008D5562"/>
    <w:rsid w:val="008D5690"/>
    <w:rsid w:val="008D5D35"/>
    <w:rsid w:val="008D6B8D"/>
    <w:rsid w:val="008D6C90"/>
    <w:rsid w:val="008D74CD"/>
    <w:rsid w:val="008D7A49"/>
    <w:rsid w:val="008D7BDD"/>
    <w:rsid w:val="008E0A30"/>
    <w:rsid w:val="008E0E4C"/>
    <w:rsid w:val="008E24AD"/>
    <w:rsid w:val="008E2A65"/>
    <w:rsid w:val="008E366A"/>
    <w:rsid w:val="008E457C"/>
    <w:rsid w:val="008E4B39"/>
    <w:rsid w:val="008E5944"/>
    <w:rsid w:val="008E59C5"/>
    <w:rsid w:val="008E5BC3"/>
    <w:rsid w:val="008E5E9A"/>
    <w:rsid w:val="008E6003"/>
    <w:rsid w:val="008E659C"/>
    <w:rsid w:val="008E6A3A"/>
    <w:rsid w:val="008E6E23"/>
    <w:rsid w:val="008E7EC1"/>
    <w:rsid w:val="008F15F1"/>
    <w:rsid w:val="008F1751"/>
    <w:rsid w:val="008F1C51"/>
    <w:rsid w:val="008F2786"/>
    <w:rsid w:val="008F2CE8"/>
    <w:rsid w:val="008F2D29"/>
    <w:rsid w:val="008F2F33"/>
    <w:rsid w:val="008F37A9"/>
    <w:rsid w:val="008F55F3"/>
    <w:rsid w:val="008F5824"/>
    <w:rsid w:val="008F5FE4"/>
    <w:rsid w:val="008F690E"/>
    <w:rsid w:val="008F6924"/>
    <w:rsid w:val="008F6FE1"/>
    <w:rsid w:val="008F7C4A"/>
    <w:rsid w:val="00900959"/>
    <w:rsid w:val="00900E3C"/>
    <w:rsid w:val="009022C4"/>
    <w:rsid w:val="00903199"/>
    <w:rsid w:val="009040C7"/>
    <w:rsid w:val="00904A88"/>
    <w:rsid w:val="00904AD6"/>
    <w:rsid w:val="00904DBE"/>
    <w:rsid w:val="00904FCE"/>
    <w:rsid w:val="00905000"/>
    <w:rsid w:val="00905D97"/>
    <w:rsid w:val="0090692C"/>
    <w:rsid w:val="009070B8"/>
    <w:rsid w:val="00910F53"/>
    <w:rsid w:val="009110C2"/>
    <w:rsid w:val="00911FF5"/>
    <w:rsid w:val="00912689"/>
    <w:rsid w:val="00912A3D"/>
    <w:rsid w:val="00912F1D"/>
    <w:rsid w:val="00913075"/>
    <w:rsid w:val="0091385E"/>
    <w:rsid w:val="00914108"/>
    <w:rsid w:val="00914FAE"/>
    <w:rsid w:val="00915E01"/>
    <w:rsid w:val="00916538"/>
    <w:rsid w:val="00923786"/>
    <w:rsid w:val="00923FAE"/>
    <w:rsid w:val="00924407"/>
    <w:rsid w:val="009246FE"/>
    <w:rsid w:val="00924709"/>
    <w:rsid w:val="009247A9"/>
    <w:rsid w:val="009268B8"/>
    <w:rsid w:val="009278A2"/>
    <w:rsid w:val="00930EA9"/>
    <w:rsid w:val="009310D5"/>
    <w:rsid w:val="00931B85"/>
    <w:rsid w:val="00931E40"/>
    <w:rsid w:val="00932241"/>
    <w:rsid w:val="009328C8"/>
    <w:rsid w:val="00933128"/>
    <w:rsid w:val="00933ED7"/>
    <w:rsid w:val="009342EC"/>
    <w:rsid w:val="0093431A"/>
    <w:rsid w:val="009343E5"/>
    <w:rsid w:val="00934C47"/>
    <w:rsid w:val="00935191"/>
    <w:rsid w:val="00936948"/>
    <w:rsid w:val="00936D8C"/>
    <w:rsid w:val="00936F2F"/>
    <w:rsid w:val="009376F8"/>
    <w:rsid w:val="00940902"/>
    <w:rsid w:val="00940E45"/>
    <w:rsid w:val="0094209A"/>
    <w:rsid w:val="009429E6"/>
    <w:rsid w:val="00942AA1"/>
    <w:rsid w:val="00943B5D"/>
    <w:rsid w:val="00943CAB"/>
    <w:rsid w:val="009440FE"/>
    <w:rsid w:val="009460C9"/>
    <w:rsid w:val="00947DE7"/>
    <w:rsid w:val="009500C3"/>
    <w:rsid w:val="009505DA"/>
    <w:rsid w:val="00950D32"/>
    <w:rsid w:val="0095107E"/>
    <w:rsid w:val="00951D5C"/>
    <w:rsid w:val="009530AC"/>
    <w:rsid w:val="0095393E"/>
    <w:rsid w:val="00954172"/>
    <w:rsid w:val="00954935"/>
    <w:rsid w:val="00955280"/>
    <w:rsid w:val="009556A2"/>
    <w:rsid w:val="00957782"/>
    <w:rsid w:val="00960392"/>
    <w:rsid w:val="009603B1"/>
    <w:rsid w:val="00960FE1"/>
    <w:rsid w:val="009617F3"/>
    <w:rsid w:val="009619DA"/>
    <w:rsid w:val="00961A87"/>
    <w:rsid w:val="00961E81"/>
    <w:rsid w:val="00962324"/>
    <w:rsid w:val="00963EC3"/>
    <w:rsid w:val="00964657"/>
    <w:rsid w:val="0096469A"/>
    <w:rsid w:val="00964A25"/>
    <w:rsid w:val="00964BAE"/>
    <w:rsid w:val="009650F7"/>
    <w:rsid w:val="0096577C"/>
    <w:rsid w:val="00965E52"/>
    <w:rsid w:val="00967094"/>
    <w:rsid w:val="0097115E"/>
    <w:rsid w:val="0097160C"/>
    <w:rsid w:val="00971C35"/>
    <w:rsid w:val="00972772"/>
    <w:rsid w:val="00973908"/>
    <w:rsid w:val="00974920"/>
    <w:rsid w:val="0097499B"/>
    <w:rsid w:val="009753FA"/>
    <w:rsid w:val="00975C05"/>
    <w:rsid w:val="00975EFA"/>
    <w:rsid w:val="00976B6F"/>
    <w:rsid w:val="0097734A"/>
    <w:rsid w:val="00980080"/>
    <w:rsid w:val="0098186B"/>
    <w:rsid w:val="009818F6"/>
    <w:rsid w:val="0098288A"/>
    <w:rsid w:val="009832F3"/>
    <w:rsid w:val="0098358E"/>
    <w:rsid w:val="009842E4"/>
    <w:rsid w:val="0098496B"/>
    <w:rsid w:val="00984B78"/>
    <w:rsid w:val="00985031"/>
    <w:rsid w:val="00985255"/>
    <w:rsid w:val="009857B2"/>
    <w:rsid w:val="00985F93"/>
    <w:rsid w:val="009860D7"/>
    <w:rsid w:val="00986933"/>
    <w:rsid w:val="00986F6F"/>
    <w:rsid w:val="00986FCF"/>
    <w:rsid w:val="0098732F"/>
    <w:rsid w:val="009873EC"/>
    <w:rsid w:val="00987D28"/>
    <w:rsid w:val="0099028D"/>
    <w:rsid w:val="009906E6"/>
    <w:rsid w:val="00990ADB"/>
    <w:rsid w:val="009918DA"/>
    <w:rsid w:val="009919B0"/>
    <w:rsid w:val="00992861"/>
    <w:rsid w:val="00992CF4"/>
    <w:rsid w:val="00992EF9"/>
    <w:rsid w:val="00993037"/>
    <w:rsid w:val="0099372B"/>
    <w:rsid w:val="00994E73"/>
    <w:rsid w:val="00995182"/>
    <w:rsid w:val="0099559C"/>
    <w:rsid w:val="00995FE3"/>
    <w:rsid w:val="00996126"/>
    <w:rsid w:val="009961FF"/>
    <w:rsid w:val="0099657B"/>
    <w:rsid w:val="00996B5F"/>
    <w:rsid w:val="009973A9"/>
    <w:rsid w:val="009A1E9F"/>
    <w:rsid w:val="009A226D"/>
    <w:rsid w:val="009A4918"/>
    <w:rsid w:val="009A58F1"/>
    <w:rsid w:val="009A60D0"/>
    <w:rsid w:val="009A626D"/>
    <w:rsid w:val="009A64B5"/>
    <w:rsid w:val="009A7A4A"/>
    <w:rsid w:val="009A7B5F"/>
    <w:rsid w:val="009B067C"/>
    <w:rsid w:val="009B0B2B"/>
    <w:rsid w:val="009B0D48"/>
    <w:rsid w:val="009B158E"/>
    <w:rsid w:val="009B1841"/>
    <w:rsid w:val="009B1BBB"/>
    <w:rsid w:val="009B1C2D"/>
    <w:rsid w:val="009B2529"/>
    <w:rsid w:val="009B4F0C"/>
    <w:rsid w:val="009B509C"/>
    <w:rsid w:val="009B50D2"/>
    <w:rsid w:val="009B565E"/>
    <w:rsid w:val="009B5C98"/>
    <w:rsid w:val="009B64AC"/>
    <w:rsid w:val="009B75FA"/>
    <w:rsid w:val="009C1163"/>
    <w:rsid w:val="009C1360"/>
    <w:rsid w:val="009C1518"/>
    <w:rsid w:val="009C1907"/>
    <w:rsid w:val="009C1921"/>
    <w:rsid w:val="009C2017"/>
    <w:rsid w:val="009C2109"/>
    <w:rsid w:val="009C2404"/>
    <w:rsid w:val="009C5155"/>
    <w:rsid w:val="009C5769"/>
    <w:rsid w:val="009C579C"/>
    <w:rsid w:val="009C66C6"/>
    <w:rsid w:val="009C6B49"/>
    <w:rsid w:val="009C77CC"/>
    <w:rsid w:val="009C782F"/>
    <w:rsid w:val="009D123E"/>
    <w:rsid w:val="009D169D"/>
    <w:rsid w:val="009D1CBD"/>
    <w:rsid w:val="009D1DA9"/>
    <w:rsid w:val="009D3010"/>
    <w:rsid w:val="009D31FD"/>
    <w:rsid w:val="009D4354"/>
    <w:rsid w:val="009D4485"/>
    <w:rsid w:val="009D4CA2"/>
    <w:rsid w:val="009D61AC"/>
    <w:rsid w:val="009D7534"/>
    <w:rsid w:val="009D7E3C"/>
    <w:rsid w:val="009D7FD1"/>
    <w:rsid w:val="009E0B6E"/>
    <w:rsid w:val="009E0CAB"/>
    <w:rsid w:val="009E1850"/>
    <w:rsid w:val="009E20CB"/>
    <w:rsid w:val="009E292E"/>
    <w:rsid w:val="009E2EED"/>
    <w:rsid w:val="009E2FAA"/>
    <w:rsid w:val="009E37A9"/>
    <w:rsid w:val="009E40B0"/>
    <w:rsid w:val="009E4731"/>
    <w:rsid w:val="009E5823"/>
    <w:rsid w:val="009E58D8"/>
    <w:rsid w:val="009E5E5E"/>
    <w:rsid w:val="009E62C5"/>
    <w:rsid w:val="009E7A43"/>
    <w:rsid w:val="009F1BBD"/>
    <w:rsid w:val="009F38A1"/>
    <w:rsid w:val="009F4FDE"/>
    <w:rsid w:val="009F54D9"/>
    <w:rsid w:val="009F70CE"/>
    <w:rsid w:val="009F76BD"/>
    <w:rsid w:val="00A01C23"/>
    <w:rsid w:val="00A025DD"/>
    <w:rsid w:val="00A0278F"/>
    <w:rsid w:val="00A02953"/>
    <w:rsid w:val="00A03207"/>
    <w:rsid w:val="00A033E4"/>
    <w:rsid w:val="00A045BC"/>
    <w:rsid w:val="00A0489D"/>
    <w:rsid w:val="00A0570F"/>
    <w:rsid w:val="00A0587B"/>
    <w:rsid w:val="00A05E45"/>
    <w:rsid w:val="00A06195"/>
    <w:rsid w:val="00A06FCB"/>
    <w:rsid w:val="00A11407"/>
    <w:rsid w:val="00A11815"/>
    <w:rsid w:val="00A120BC"/>
    <w:rsid w:val="00A13284"/>
    <w:rsid w:val="00A13A45"/>
    <w:rsid w:val="00A142CF"/>
    <w:rsid w:val="00A14B91"/>
    <w:rsid w:val="00A163FE"/>
    <w:rsid w:val="00A16502"/>
    <w:rsid w:val="00A16869"/>
    <w:rsid w:val="00A17898"/>
    <w:rsid w:val="00A17B6C"/>
    <w:rsid w:val="00A2010C"/>
    <w:rsid w:val="00A20180"/>
    <w:rsid w:val="00A20263"/>
    <w:rsid w:val="00A2046B"/>
    <w:rsid w:val="00A2146F"/>
    <w:rsid w:val="00A21BEE"/>
    <w:rsid w:val="00A22148"/>
    <w:rsid w:val="00A22EB7"/>
    <w:rsid w:val="00A23D81"/>
    <w:rsid w:val="00A23F42"/>
    <w:rsid w:val="00A240BF"/>
    <w:rsid w:val="00A252A4"/>
    <w:rsid w:val="00A26390"/>
    <w:rsid w:val="00A26DE3"/>
    <w:rsid w:val="00A26E89"/>
    <w:rsid w:val="00A27030"/>
    <w:rsid w:val="00A2744E"/>
    <w:rsid w:val="00A277E4"/>
    <w:rsid w:val="00A27C13"/>
    <w:rsid w:val="00A31178"/>
    <w:rsid w:val="00A31474"/>
    <w:rsid w:val="00A32364"/>
    <w:rsid w:val="00A32892"/>
    <w:rsid w:val="00A33CE0"/>
    <w:rsid w:val="00A33EC5"/>
    <w:rsid w:val="00A33F27"/>
    <w:rsid w:val="00A35490"/>
    <w:rsid w:val="00A3577C"/>
    <w:rsid w:val="00A35F5C"/>
    <w:rsid w:val="00A36420"/>
    <w:rsid w:val="00A376D6"/>
    <w:rsid w:val="00A37FA0"/>
    <w:rsid w:val="00A403B0"/>
    <w:rsid w:val="00A40F60"/>
    <w:rsid w:val="00A431CC"/>
    <w:rsid w:val="00A4397B"/>
    <w:rsid w:val="00A44BFD"/>
    <w:rsid w:val="00A458E4"/>
    <w:rsid w:val="00A45962"/>
    <w:rsid w:val="00A50114"/>
    <w:rsid w:val="00A5053E"/>
    <w:rsid w:val="00A50E60"/>
    <w:rsid w:val="00A53127"/>
    <w:rsid w:val="00A532DD"/>
    <w:rsid w:val="00A539CF"/>
    <w:rsid w:val="00A53C23"/>
    <w:rsid w:val="00A5468B"/>
    <w:rsid w:val="00A551DA"/>
    <w:rsid w:val="00A5573D"/>
    <w:rsid w:val="00A55DC0"/>
    <w:rsid w:val="00A55F62"/>
    <w:rsid w:val="00A563C9"/>
    <w:rsid w:val="00A56CE0"/>
    <w:rsid w:val="00A57B5E"/>
    <w:rsid w:val="00A6006A"/>
    <w:rsid w:val="00A60099"/>
    <w:rsid w:val="00A6079E"/>
    <w:rsid w:val="00A609D2"/>
    <w:rsid w:val="00A60EE8"/>
    <w:rsid w:val="00A61130"/>
    <w:rsid w:val="00A63636"/>
    <w:rsid w:val="00A6382E"/>
    <w:rsid w:val="00A643A6"/>
    <w:rsid w:val="00A65CBD"/>
    <w:rsid w:val="00A6651A"/>
    <w:rsid w:val="00A66790"/>
    <w:rsid w:val="00A66A27"/>
    <w:rsid w:val="00A670D3"/>
    <w:rsid w:val="00A705AE"/>
    <w:rsid w:val="00A70C20"/>
    <w:rsid w:val="00A723B5"/>
    <w:rsid w:val="00A729F9"/>
    <w:rsid w:val="00A77695"/>
    <w:rsid w:val="00A80696"/>
    <w:rsid w:val="00A80717"/>
    <w:rsid w:val="00A80E97"/>
    <w:rsid w:val="00A8163A"/>
    <w:rsid w:val="00A828FA"/>
    <w:rsid w:val="00A82B0F"/>
    <w:rsid w:val="00A85C32"/>
    <w:rsid w:val="00A85D05"/>
    <w:rsid w:val="00A8640A"/>
    <w:rsid w:val="00A86B7A"/>
    <w:rsid w:val="00A9095D"/>
    <w:rsid w:val="00A90EFE"/>
    <w:rsid w:val="00A90F1A"/>
    <w:rsid w:val="00A9175E"/>
    <w:rsid w:val="00A91C82"/>
    <w:rsid w:val="00A92537"/>
    <w:rsid w:val="00A9294E"/>
    <w:rsid w:val="00A92EE9"/>
    <w:rsid w:val="00A9367A"/>
    <w:rsid w:val="00A94A23"/>
    <w:rsid w:val="00A954EC"/>
    <w:rsid w:val="00A95932"/>
    <w:rsid w:val="00A969BF"/>
    <w:rsid w:val="00AA0776"/>
    <w:rsid w:val="00AA0AEB"/>
    <w:rsid w:val="00AA16CE"/>
    <w:rsid w:val="00AA1961"/>
    <w:rsid w:val="00AA2969"/>
    <w:rsid w:val="00AA2F5C"/>
    <w:rsid w:val="00AA30AB"/>
    <w:rsid w:val="00AA335C"/>
    <w:rsid w:val="00AA371A"/>
    <w:rsid w:val="00AA395A"/>
    <w:rsid w:val="00AA5AB8"/>
    <w:rsid w:val="00AA5ADC"/>
    <w:rsid w:val="00AA64AF"/>
    <w:rsid w:val="00AA6D4C"/>
    <w:rsid w:val="00AB0326"/>
    <w:rsid w:val="00AB0658"/>
    <w:rsid w:val="00AB17A7"/>
    <w:rsid w:val="00AB1AC6"/>
    <w:rsid w:val="00AB386E"/>
    <w:rsid w:val="00AB39F7"/>
    <w:rsid w:val="00AB3D70"/>
    <w:rsid w:val="00AB4984"/>
    <w:rsid w:val="00AB4A74"/>
    <w:rsid w:val="00AB60D8"/>
    <w:rsid w:val="00AB77AC"/>
    <w:rsid w:val="00AC1C4E"/>
    <w:rsid w:val="00AC1EA5"/>
    <w:rsid w:val="00AC2697"/>
    <w:rsid w:val="00AC34D1"/>
    <w:rsid w:val="00AC441A"/>
    <w:rsid w:val="00AC49FE"/>
    <w:rsid w:val="00AC4F0D"/>
    <w:rsid w:val="00AC5CC1"/>
    <w:rsid w:val="00AC72D0"/>
    <w:rsid w:val="00AC77B3"/>
    <w:rsid w:val="00AD045C"/>
    <w:rsid w:val="00AD0BAE"/>
    <w:rsid w:val="00AD17B0"/>
    <w:rsid w:val="00AD19FB"/>
    <w:rsid w:val="00AD1F72"/>
    <w:rsid w:val="00AD280A"/>
    <w:rsid w:val="00AD2AA9"/>
    <w:rsid w:val="00AD30BB"/>
    <w:rsid w:val="00AD3BCB"/>
    <w:rsid w:val="00AD441B"/>
    <w:rsid w:val="00AD449E"/>
    <w:rsid w:val="00AD4F85"/>
    <w:rsid w:val="00AD5FDE"/>
    <w:rsid w:val="00AD6A65"/>
    <w:rsid w:val="00AD6D1B"/>
    <w:rsid w:val="00AD6ECD"/>
    <w:rsid w:val="00AE3367"/>
    <w:rsid w:val="00AE3AFF"/>
    <w:rsid w:val="00AE3F78"/>
    <w:rsid w:val="00AE451E"/>
    <w:rsid w:val="00AE4825"/>
    <w:rsid w:val="00AE48FC"/>
    <w:rsid w:val="00AE4BA8"/>
    <w:rsid w:val="00AE5D7A"/>
    <w:rsid w:val="00AE5E8F"/>
    <w:rsid w:val="00AE724B"/>
    <w:rsid w:val="00AE7C46"/>
    <w:rsid w:val="00AF0046"/>
    <w:rsid w:val="00AF077B"/>
    <w:rsid w:val="00AF0A0A"/>
    <w:rsid w:val="00AF129A"/>
    <w:rsid w:val="00AF175F"/>
    <w:rsid w:val="00AF1ACF"/>
    <w:rsid w:val="00AF1AF0"/>
    <w:rsid w:val="00AF1DB9"/>
    <w:rsid w:val="00AF20FE"/>
    <w:rsid w:val="00AF2187"/>
    <w:rsid w:val="00AF2A83"/>
    <w:rsid w:val="00AF2B23"/>
    <w:rsid w:val="00AF4DCF"/>
    <w:rsid w:val="00AF4EA3"/>
    <w:rsid w:val="00AF4F02"/>
    <w:rsid w:val="00AF539A"/>
    <w:rsid w:val="00AF5A94"/>
    <w:rsid w:val="00AF5D19"/>
    <w:rsid w:val="00AF649D"/>
    <w:rsid w:val="00AF78C6"/>
    <w:rsid w:val="00B00C64"/>
    <w:rsid w:val="00B012E4"/>
    <w:rsid w:val="00B01A66"/>
    <w:rsid w:val="00B01BAD"/>
    <w:rsid w:val="00B01D1D"/>
    <w:rsid w:val="00B01D7B"/>
    <w:rsid w:val="00B02045"/>
    <w:rsid w:val="00B0258C"/>
    <w:rsid w:val="00B025F1"/>
    <w:rsid w:val="00B03A7A"/>
    <w:rsid w:val="00B04225"/>
    <w:rsid w:val="00B04D82"/>
    <w:rsid w:val="00B112BB"/>
    <w:rsid w:val="00B1345D"/>
    <w:rsid w:val="00B13520"/>
    <w:rsid w:val="00B139F6"/>
    <w:rsid w:val="00B13A86"/>
    <w:rsid w:val="00B160D4"/>
    <w:rsid w:val="00B16894"/>
    <w:rsid w:val="00B16B6B"/>
    <w:rsid w:val="00B17FD5"/>
    <w:rsid w:val="00B20109"/>
    <w:rsid w:val="00B2137B"/>
    <w:rsid w:val="00B21767"/>
    <w:rsid w:val="00B2296F"/>
    <w:rsid w:val="00B23A1B"/>
    <w:rsid w:val="00B23BEF"/>
    <w:rsid w:val="00B258E4"/>
    <w:rsid w:val="00B27ACE"/>
    <w:rsid w:val="00B30367"/>
    <w:rsid w:val="00B3095D"/>
    <w:rsid w:val="00B30D34"/>
    <w:rsid w:val="00B31060"/>
    <w:rsid w:val="00B31F35"/>
    <w:rsid w:val="00B32A6E"/>
    <w:rsid w:val="00B33F9E"/>
    <w:rsid w:val="00B375FC"/>
    <w:rsid w:val="00B4070B"/>
    <w:rsid w:val="00B40DCF"/>
    <w:rsid w:val="00B421A4"/>
    <w:rsid w:val="00B43464"/>
    <w:rsid w:val="00B45D51"/>
    <w:rsid w:val="00B46DBE"/>
    <w:rsid w:val="00B46E8B"/>
    <w:rsid w:val="00B46FCE"/>
    <w:rsid w:val="00B47A4C"/>
    <w:rsid w:val="00B47A89"/>
    <w:rsid w:val="00B47CFF"/>
    <w:rsid w:val="00B505BF"/>
    <w:rsid w:val="00B50AD1"/>
    <w:rsid w:val="00B518E4"/>
    <w:rsid w:val="00B5225B"/>
    <w:rsid w:val="00B5296F"/>
    <w:rsid w:val="00B537FC"/>
    <w:rsid w:val="00B53CBA"/>
    <w:rsid w:val="00B5462D"/>
    <w:rsid w:val="00B553D9"/>
    <w:rsid w:val="00B55D5C"/>
    <w:rsid w:val="00B56C89"/>
    <w:rsid w:val="00B57A2A"/>
    <w:rsid w:val="00B60344"/>
    <w:rsid w:val="00B61C6E"/>
    <w:rsid w:val="00B64825"/>
    <w:rsid w:val="00B648B8"/>
    <w:rsid w:val="00B6511E"/>
    <w:rsid w:val="00B65C38"/>
    <w:rsid w:val="00B6629A"/>
    <w:rsid w:val="00B7018B"/>
    <w:rsid w:val="00B70275"/>
    <w:rsid w:val="00B703EF"/>
    <w:rsid w:val="00B7066D"/>
    <w:rsid w:val="00B71B34"/>
    <w:rsid w:val="00B723AF"/>
    <w:rsid w:val="00B72DD9"/>
    <w:rsid w:val="00B74918"/>
    <w:rsid w:val="00B765D7"/>
    <w:rsid w:val="00B76763"/>
    <w:rsid w:val="00B76CE0"/>
    <w:rsid w:val="00B7722C"/>
    <w:rsid w:val="00B77294"/>
    <w:rsid w:val="00B77451"/>
    <w:rsid w:val="00B8137C"/>
    <w:rsid w:val="00B83822"/>
    <w:rsid w:val="00B845B5"/>
    <w:rsid w:val="00B84FE1"/>
    <w:rsid w:val="00B86113"/>
    <w:rsid w:val="00B864A7"/>
    <w:rsid w:val="00B86EDB"/>
    <w:rsid w:val="00B87AE1"/>
    <w:rsid w:val="00B87E89"/>
    <w:rsid w:val="00B903DD"/>
    <w:rsid w:val="00B90958"/>
    <w:rsid w:val="00B90BBF"/>
    <w:rsid w:val="00B9100A"/>
    <w:rsid w:val="00B9145F"/>
    <w:rsid w:val="00B91D46"/>
    <w:rsid w:val="00B91DFF"/>
    <w:rsid w:val="00B92542"/>
    <w:rsid w:val="00B9294D"/>
    <w:rsid w:val="00B92BAF"/>
    <w:rsid w:val="00B93848"/>
    <w:rsid w:val="00B95837"/>
    <w:rsid w:val="00B95ACD"/>
    <w:rsid w:val="00B96158"/>
    <w:rsid w:val="00B968DB"/>
    <w:rsid w:val="00B973D5"/>
    <w:rsid w:val="00B97CDC"/>
    <w:rsid w:val="00BA0087"/>
    <w:rsid w:val="00BA0310"/>
    <w:rsid w:val="00BA0DC1"/>
    <w:rsid w:val="00BA0DDE"/>
    <w:rsid w:val="00BA11E3"/>
    <w:rsid w:val="00BA17E7"/>
    <w:rsid w:val="00BA29E5"/>
    <w:rsid w:val="00BA3881"/>
    <w:rsid w:val="00BA39B0"/>
    <w:rsid w:val="00BA3D54"/>
    <w:rsid w:val="00BA457A"/>
    <w:rsid w:val="00BA47BE"/>
    <w:rsid w:val="00BA75AB"/>
    <w:rsid w:val="00BA773C"/>
    <w:rsid w:val="00BA7852"/>
    <w:rsid w:val="00BB0446"/>
    <w:rsid w:val="00BB0AEB"/>
    <w:rsid w:val="00BB1072"/>
    <w:rsid w:val="00BB31D6"/>
    <w:rsid w:val="00BB31E3"/>
    <w:rsid w:val="00BB36A4"/>
    <w:rsid w:val="00BB3CAA"/>
    <w:rsid w:val="00BB3E4B"/>
    <w:rsid w:val="00BB4B31"/>
    <w:rsid w:val="00BB4D8E"/>
    <w:rsid w:val="00BB5A49"/>
    <w:rsid w:val="00BB641F"/>
    <w:rsid w:val="00BC03FB"/>
    <w:rsid w:val="00BC0AA3"/>
    <w:rsid w:val="00BC24EC"/>
    <w:rsid w:val="00BC3BCE"/>
    <w:rsid w:val="00BC5459"/>
    <w:rsid w:val="00BC5BA5"/>
    <w:rsid w:val="00BD1095"/>
    <w:rsid w:val="00BD136C"/>
    <w:rsid w:val="00BD14C4"/>
    <w:rsid w:val="00BD2DA3"/>
    <w:rsid w:val="00BD3B8C"/>
    <w:rsid w:val="00BD4644"/>
    <w:rsid w:val="00BD479C"/>
    <w:rsid w:val="00BD4FD6"/>
    <w:rsid w:val="00BD6307"/>
    <w:rsid w:val="00BD6454"/>
    <w:rsid w:val="00BD7138"/>
    <w:rsid w:val="00BD7567"/>
    <w:rsid w:val="00BD76D6"/>
    <w:rsid w:val="00BE0BEF"/>
    <w:rsid w:val="00BE0D3C"/>
    <w:rsid w:val="00BE22F3"/>
    <w:rsid w:val="00BE2D96"/>
    <w:rsid w:val="00BE39F3"/>
    <w:rsid w:val="00BE4F32"/>
    <w:rsid w:val="00BE7285"/>
    <w:rsid w:val="00BE7388"/>
    <w:rsid w:val="00BE7585"/>
    <w:rsid w:val="00BE7954"/>
    <w:rsid w:val="00BF1EAC"/>
    <w:rsid w:val="00BF215D"/>
    <w:rsid w:val="00BF226A"/>
    <w:rsid w:val="00BF248F"/>
    <w:rsid w:val="00BF3D71"/>
    <w:rsid w:val="00BF40BD"/>
    <w:rsid w:val="00BF57EA"/>
    <w:rsid w:val="00BF66B7"/>
    <w:rsid w:val="00BF69AF"/>
    <w:rsid w:val="00BF7762"/>
    <w:rsid w:val="00BF7C20"/>
    <w:rsid w:val="00BF7E64"/>
    <w:rsid w:val="00C028F5"/>
    <w:rsid w:val="00C035A7"/>
    <w:rsid w:val="00C03836"/>
    <w:rsid w:val="00C03999"/>
    <w:rsid w:val="00C03D56"/>
    <w:rsid w:val="00C04135"/>
    <w:rsid w:val="00C059D0"/>
    <w:rsid w:val="00C05E79"/>
    <w:rsid w:val="00C06499"/>
    <w:rsid w:val="00C066F9"/>
    <w:rsid w:val="00C06841"/>
    <w:rsid w:val="00C06F70"/>
    <w:rsid w:val="00C1212E"/>
    <w:rsid w:val="00C136EE"/>
    <w:rsid w:val="00C13B7D"/>
    <w:rsid w:val="00C14BCB"/>
    <w:rsid w:val="00C16382"/>
    <w:rsid w:val="00C171AE"/>
    <w:rsid w:val="00C17467"/>
    <w:rsid w:val="00C17566"/>
    <w:rsid w:val="00C17B58"/>
    <w:rsid w:val="00C209B4"/>
    <w:rsid w:val="00C20B08"/>
    <w:rsid w:val="00C2101E"/>
    <w:rsid w:val="00C22543"/>
    <w:rsid w:val="00C2256C"/>
    <w:rsid w:val="00C225C3"/>
    <w:rsid w:val="00C24AF9"/>
    <w:rsid w:val="00C24EA3"/>
    <w:rsid w:val="00C25AC8"/>
    <w:rsid w:val="00C263F1"/>
    <w:rsid w:val="00C265AB"/>
    <w:rsid w:val="00C276C8"/>
    <w:rsid w:val="00C27E0E"/>
    <w:rsid w:val="00C300A5"/>
    <w:rsid w:val="00C300AC"/>
    <w:rsid w:val="00C3070E"/>
    <w:rsid w:val="00C30D1E"/>
    <w:rsid w:val="00C31A10"/>
    <w:rsid w:val="00C31C7A"/>
    <w:rsid w:val="00C32565"/>
    <w:rsid w:val="00C326AE"/>
    <w:rsid w:val="00C326D5"/>
    <w:rsid w:val="00C329EA"/>
    <w:rsid w:val="00C3488B"/>
    <w:rsid w:val="00C34D74"/>
    <w:rsid w:val="00C34F0B"/>
    <w:rsid w:val="00C3587B"/>
    <w:rsid w:val="00C379FD"/>
    <w:rsid w:val="00C40EC4"/>
    <w:rsid w:val="00C4355B"/>
    <w:rsid w:val="00C4424A"/>
    <w:rsid w:val="00C455B0"/>
    <w:rsid w:val="00C456DE"/>
    <w:rsid w:val="00C45C83"/>
    <w:rsid w:val="00C461C7"/>
    <w:rsid w:val="00C46263"/>
    <w:rsid w:val="00C46441"/>
    <w:rsid w:val="00C46835"/>
    <w:rsid w:val="00C47478"/>
    <w:rsid w:val="00C503F8"/>
    <w:rsid w:val="00C507F5"/>
    <w:rsid w:val="00C508FC"/>
    <w:rsid w:val="00C50D58"/>
    <w:rsid w:val="00C525D7"/>
    <w:rsid w:val="00C5324D"/>
    <w:rsid w:val="00C5398F"/>
    <w:rsid w:val="00C53BDF"/>
    <w:rsid w:val="00C54B14"/>
    <w:rsid w:val="00C54C3C"/>
    <w:rsid w:val="00C55903"/>
    <w:rsid w:val="00C561F4"/>
    <w:rsid w:val="00C57922"/>
    <w:rsid w:val="00C57B3B"/>
    <w:rsid w:val="00C60BAC"/>
    <w:rsid w:val="00C60CF7"/>
    <w:rsid w:val="00C66869"/>
    <w:rsid w:val="00C673E5"/>
    <w:rsid w:val="00C701F6"/>
    <w:rsid w:val="00C7098F"/>
    <w:rsid w:val="00C70ABA"/>
    <w:rsid w:val="00C70AD0"/>
    <w:rsid w:val="00C70BA6"/>
    <w:rsid w:val="00C739EB"/>
    <w:rsid w:val="00C75256"/>
    <w:rsid w:val="00C75430"/>
    <w:rsid w:val="00C75BB6"/>
    <w:rsid w:val="00C75F3F"/>
    <w:rsid w:val="00C7607E"/>
    <w:rsid w:val="00C768DC"/>
    <w:rsid w:val="00C810F9"/>
    <w:rsid w:val="00C811E4"/>
    <w:rsid w:val="00C81BB7"/>
    <w:rsid w:val="00C83D2E"/>
    <w:rsid w:val="00C83D4B"/>
    <w:rsid w:val="00C8489E"/>
    <w:rsid w:val="00C8646A"/>
    <w:rsid w:val="00C866F3"/>
    <w:rsid w:val="00C86F28"/>
    <w:rsid w:val="00C878BC"/>
    <w:rsid w:val="00C87D96"/>
    <w:rsid w:val="00C90068"/>
    <w:rsid w:val="00C9115C"/>
    <w:rsid w:val="00C91A17"/>
    <w:rsid w:val="00C9245E"/>
    <w:rsid w:val="00C92486"/>
    <w:rsid w:val="00C928A6"/>
    <w:rsid w:val="00C92D92"/>
    <w:rsid w:val="00C92ED7"/>
    <w:rsid w:val="00C93190"/>
    <w:rsid w:val="00C94BD8"/>
    <w:rsid w:val="00C94FE2"/>
    <w:rsid w:val="00C95518"/>
    <w:rsid w:val="00C9604E"/>
    <w:rsid w:val="00C9665B"/>
    <w:rsid w:val="00C977F3"/>
    <w:rsid w:val="00C97FD0"/>
    <w:rsid w:val="00CA0101"/>
    <w:rsid w:val="00CA164E"/>
    <w:rsid w:val="00CA1B4E"/>
    <w:rsid w:val="00CA2BDF"/>
    <w:rsid w:val="00CA3563"/>
    <w:rsid w:val="00CA43C1"/>
    <w:rsid w:val="00CA4FC5"/>
    <w:rsid w:val="00CA69AC"/>
    <w:rsid w:val="00CA7B73"/>
    <w:rsid w:val="00CA7D16"/>
    <w:rsid w:val="00CA7DD3"/>
    <w:rsid w:val="00CA7F34"/>
    <w:rsid w:val="00CB0261"/>
    <w:rsid w:val="00CB0436"/>
    <w:rsid w:val="00CB0F28"/>
    <w:rsid w:val="00CB13B3"/>
    <w:rsid w:val="00CB1BAC"/>
    <w:rsid w:val="00CB1FD2"/>
    <w:rsid w:val="00CB22E2"/>
    <w:rsid w:val="00CB2F56"/>
    <w:rsid w:val="00CB315F"/>
    <w:rsid w:val="00CB3273"/>
    <w:rsid w:val="00CB6939"/>
    <w:rsid w:val="00CB6DF2"/>
    <w:rsid w:val="00CB7C61"/>
    <w:rsid w:val="00CB7E07"/>
    <w:rsid w:val="00CC0D34"/>
    <w:rsid w:val="00CC20D1"/>
    <w:rsid w:val="00CC213D"/>
    <w:rsid w:val="00CC29B6"/>
    <w:rsid w:val="00CC4764"/>
    <w:rsid w:val="00CC479A"/>
    <w:rsid w:val="00CC4CA3"/>
    <w:rsid w:val="00CC5163"/>
    <w:rsid w:val="00CC5E8D"/>
    <w:rsid w:val="00CC6CC5"/>
    <w:rsid w:val="00CC71EF"/>
    <w:rsid w:val="00CC722B"/>
    <w:rsid w:val="00CC7BBE"/>
    <w:rsid w:val="00CD15FB"/>
    <w:rsid w:val="00CD3426"/>
    <w:rsid w:val="00CD3540"/>
    <w:rsid w:val="00CD45D8"/>
    <w:rsid w:val="00CD4D42"/>
    <w:rsid w:val="00CD58CF"/>
    <w:rsid w:val="00CD5B82"/>
    <w:rsid w:val="00CD6238"/>
    <w:rsid w:val="00CD654A"/>
    <w:rsid w:val="00CE0BD5"/>
    <w:rsid w:val="00CE0DF0"/>
    <w:rsid w:val="00CE13B5"/>
    <w:rsid w:val="00CE17E0"/>
    <w:rsid w:val="00CE2733"/>
    <w:rsid w:val="00CE367E"/>
    <w:rsid w:val="00CE48E6"/>
    <w:rsid w:val="00CE5BB8"/>
    <w:rsid w:val="00CE5C2F"/>
    <w:rsid w:val="00CE63D9"/>
    <w:rsid w:val="00CE789D"/>
    <w:rsid w:val="00CE7D50"/>
    <w:rsid w:val="00CE7D88"/>
    <w:rsid w:val="00CF019E"/>
    <w:rsid w:val="00CF0243"/>
    <w:rsid w:val="00CF044D"/>
    <w:rsid w:val="00CF0C55"/>
    <w:rsid w:val="00CF0CC7"/>
    <w:rsid w:val="00CF1FAB"/>
    <w:rsid w:val="00CF1FE1"/>
    <w:rsid w:val="00CF26F7"/>
    <w:rsid w:val="00CF2D5B"/>
    <w:rsid w:val="00CF3A9F"/>
    <w:rsid w:val="00CF3D04"/>
    <w:rsid w:val="00CF51E3"/>
    <w:rsid w:val="00CF5359"/>
    <w:rsid w:val="00CF5642"/>
    <w:rsid w:val="00CF74D4"/>
    <w:rsid w:val="00CF7577"/>
    <w:rsid w:val="00CF7B06"/>
    <w:rsid w:val="00D00789"/>
    <w:rsid w:val="00D0082C"/>
    <w:rsid w:val="00D00A87"/>
    <w:rsid w:val="00D00B0B"/>
    <w:rsid w:val="00D01F5D"/>
    <w:rsid w:val="00D041A2"/>
    <w:rsid w:val="00D0422A"/>
    <w:rsid w:val="00D04796"/>
    <w:rsid w:val="00D05210"/>
    <w:rsid w:val="00D05241"/>
    <w:rsid w:val="00D05882"/>
    <w:rsid w:val="00D05A3B"/>
    <w:rsid w:val="00D0653F"/>
    <w:rsid w:val="00D06BBB"/>
    <w:rsid w:val="00D075F0"/>
    <w:rsid w:val="00D10500"/>
    <w:rsid w:val="00D118ED"/>
    <w:rsid w:val="00D11A39"/>
    <w:rsid w:val="00D1205D"/>
    <w:rsid w:val="00D12A20"/>
    <w:rsid w:val="00D13DF5"/>
    <w:rsid w:val="00D13EC0"/>
    <w:rsid w:val="00D13F77"/>
    <w:rsid w:val="00D15883"/>
    <w:rsid w:val="00D159F2"/>
    <w:rsid w:val="00D16CA8"/>
    <w:rsid w:val="00D17422"/>
    <w:rsid w:val="00D17A10"/>
    <w:rsid w:val="00D17ABB"/>
    <w:rsid w:val="00D20990"/>
    <w:rsid w:val="00D229AD"/>
    <w:rsid w:val="00D23077"/>
    <w:rsid w:val="00D235F1"/>
    <w:rsid w:val="00D23C04"/>
    <w:rsid w:val="00D24235"/>
    <w:rsid w:val="00D24444"/>
    <w:rsid w:val="00D24541"/>
    <w:rsid w:val="00D255DF"/>
    <w:rsid w:val="00D26BA9"/>
    <w:rsid w:val="00D273CD"/>
    <w:rsid w:val="00D30FBA"/>
    <w:rsid w:val="00D31A0A"/>
    <w:rsid w:val="00D32713"/>
    <w:rsid w:val="00D32E2E"/>
    <w:rsid w:val="00D32FFD"/>
    <w:rsid w:val="00D33084"/>
    <w:rsid w:val="00D330C6"/>
    <w:rsid w:val="00D3400A"/>
    <w:rsid w:val="00D34653"/>
    <w:rsid w:val="00D359BA"/>
    <w:rsid w:val="00D35DBE"/>
    <w:rsid w:val="00D3654F"/>
    <w:rsid w:val="00D36CAF"/>
    <w:rsid w:val="00D36FB9"/>
    <w:rsid w:val="00D4028B"/>
    <w:rsid w:val="00D4137E"/>
    <w:rsid w:val="00D41A01"/>
    <w:rsid w:val="00D41E4B"/>
    <w:rsid w:val="00D429BA"/>
    <w:rsid w:val="00D45100"/>
    <w:rsid w:val="00D45A98"/>
    <w:rsid w:val="00D45C42"/>
    <w:rsid w:val="00D47EF1"/>
    <w:rsid w:val="00D508FF"/>
    <w:rsid w:val="00D516C7"/>
    <w:rsid w:val="00D525DD"/>
    <w:rsid w:val="00D52844"/>
    <w:rsid w:val="00D52E10"/>
    <w:rsid w:val="00D52EB4"/>
    <w:rsid w:val="00D53297"/>
    <w:rsid w:val="00D5357D"/>
    <w:rsid w:val="00D537D7"/>
    <w:rsid w:val="00D540ED"/>
    <w:rsid w:val="00D54EB4"/>
    <w:rsid w:val="00D55B37"/>
    <w:rsid w:val="00D55DDB"/>
    <w:rsid w:val="00D56D6E"/>
    <w:rsid w:val="00D607D1"/>
    <w:rsid w:val="00D60B9E"/>
    <w:rsid w:val="00D60CB1"/>
    <w:rsid w:val="00D60CF0"/>
    <w:rsid w:val="00D622A1"/>
    <w:rsid w:val="00D626D6"/>
    <w:rsid w:val="00D647C4"/>
    <w:rsid w:val="00D64849"/>
    <w:rsid w:val="00D649F8"/>
    <w:rsid w:val="00D64F9F"/>
    <w:rsid w:val="00D65860"/>
    <w:rsid w:val="00D65C39"/>
    <w:rsid w:val="00D65DEB"/>
    <w:rsid w:val="00D66255"/>
    <w:rsid w:val="00D66ED2"/>
    <w:rsid w:val="00D67FE2"/>
    <w:rsid w:val="00D7066B"/>
    <w:rsid w:val="00D72546"/>
    <w:rsid w:val="00D73146"/>
    <w:rsid w:val="00D73700"/>
    <w:rsid w:val="00D74950"/>
    <w:rsid w:val="00D74F60"/>
    <w:rsid w:val="00D752A4"/>
    <w:rsid w:val="00D7571E"/>
    <w:rsid w:val="00D75B0E"/>
    <w:rsid w:val="00D764E8"/>
    <w:rsid w:val="00D76A4E"/>
    <w:rsid w:val="00D8113A"/>
    <w:rsid w:val="00D81F29"/>
    <w:rsid w:val="00D82E71"/>
    <w:rsid w:val="00D82F0B"/>
    <w:rsid w:val="00D83354"/>
    <w:rsid w:val="00D839D4"/>
    <w:rsid w:val="00D842C8"/>
    <w:rsid w:val="00D84B5C"/>
    <w:rsid w:val="00D8518C"/>
    <w:rsid w:val="00D855E1"/>
    <w:rsid w:val="00D85E74"/>
    <w:rsid w:val="00D8692B"/>
    <w:rsid w:val="00D86FC1"/>
    <w:rsid w:val="00D905CE"/>
    <w:rsid w:val="00D908B1"/>
    <w:rsid w:val="00D90C67"/>
    <w:rsid w:val="00D91CCC"/>
    <w:rsid w:val="00D92BDE"/>
    <w:rsid w:val="00D9318B"/>
    <w:rsid w:val="00D9344C"/>
    <w:rsid w:val="00D9381F"/>
    <w:rsid w:val="00D93AE2"/>
    <w:rsid w:val="00D941E5"/>
    <w:rsid w:val="00D94CC8"/>
    <w:rsid w:val="00D95F7B"/>
    <w:rsid w:val="00D964EB"/>
    <w:rsid w:val="00D96EE2"/>
    <w:rsid w:val="00D972B5"/>
    <w:rsid w:val="00D97A24"/>
    <w:rsid w:val="00DA04C9"/>
    <w:rsid w:val="00DA050C"/>
    <w:rsid w:val="00DA20BB"/>
    <w:rsid w:val="00DA221F"/>
    <w:rsid w:val="00DA2BC1"/>
    <w:rsid w:val="00DA33D6"/>
    <w:rsid w:val="00DA3E4B"/>
    <w:rsid w:val="00DA4F28"/>
    <w:rsid w:val="00DA5523"/>
    <w:rsid w:val="00DA569F"/>
    <w:rsid w:val="00DA5AF4"/>
    <w:rsid w:val="00DA6362"/>
    <w:rsid w:val="00DA6C05"/>
    <w:rsid w:val="00DB06DF"/>
    <w:rsid w:val="00DB12AB"/>
    <w:rsid w:val="00DB2341"/>
    <w:rsid w:val="00DB2B8B"/>
    <w:rsid w:val="00DB3721"/>
    <w:rsid w:val="00DB40AE"/>
    <w:rsid w:val="00DB4BF4"/>
    <w:rsid w:val="00DB5C8B"/>
    <w:rsid w:val="00DB5E48"/>
    <w:rsid w:val="00DB6C6E"/>
    <w:rsid w:val="00DB72E6"/>
    <w:rsid w:val="00DB75FD"/>
    <w:rsid w:val="00DB7716"/>
    <w:rsid w:val="00DB7C8E"/>
    <w:rsid w:val="00DC05D0"/>
    <w:rsid w:val="00DC079E"/>
    <w:rsid w:val="00DC1397"/>
    <w:rsid w:val="00DC1F0E"/>
    <w:rsid w:val="00DC2013"/>
    <w:rsid w:val="00DC2EB5"/>
    <w:rsid w:val="00DC2EFE"/>
    <w:rsid w:val="00DC30D4"/>
    <w:rsid w:val="00DC3550"/>
    <w:rsid w:val="00DC401A"/>
    <w:rsid w:val="00DC4CE6"/>
    <w:rsid w:val="00DC500B"/>
    <w:rsid w:val="00DC51F2"/>
    <w:rsid w:val="00DC536C"/>
    <w:rsid w:val="00DC5ABD"/>
    <w:rsid w:val="00DC5B8B"/>
    <w:rsid w:val="00DC5FD1"/>
    <w:rsid w:val="00DC6864"/>
    <w:rsid w:val="00DC6EAD"/>
    <w:rsid w:val="00DC773A"/>
    <w:rsid w:val="00DD0548"/>
    <w:rsid w:val="00DD0E57"/>
    <w:rsid w:val="00DD1413"/>
    <w:rsid w:val="00DD1845"/>
    <w:rsid w:val="00DD1CA6"/>
    <w:rsid w:val="00DD35CF"/>
    <w:rsid w:val="00DD4173"/>
    <w:rsid w:val="00DD45DA"/>
    <w:rsid w:val="00DD4995"/>
    <w:rsid w:val="00DD598D"/>
    <w:rsid w:val="00DD59B6"/>
    <w:rsid w:val="00DD5F25"/>
    <w:rsid w:val="00DE0529"/>
    <w:rsid w:val="00DE0A89"/>
    <w:rsid w:val="00DE1BC0"/>
    <w:rsid w:val="00DE1D83"/>
    <w:rsid w:val="00DE1F21"/>
    <w:rsid w:val="00DE2C49"/>
    <w:rsid w:val="00DE2EA4"/>
    <w:rsid w:val="00DE3259"/>
    <w:rsid w:val="00DE32BF"/>
    <w:rsid w:val="00DE37FE"/>
    <w:rsid w:val="00DE3943"/>
    <w:rsid w:val="00DE3DB4"/>
    <w:rsid w:val="00DE4998"/>
    <w:rsid w:val="00DE50AD"/>
    <w:rsid w:val="00DE53CF"/>
    <w:rsid w:val="00DE5A90"/>
    <w:rsid w:val="00DE5B95"/>
    <w:rsid w:val="00DE60B3"/>
    <w:rsid w:val="00DE6A0E"/>
    <w:rsid w:val="00DE7237"/>
    <w:rsid w:val="00DE75D8"/>
    <w:rsid w:val="00DE78FD"/>
    <w:rsid w:val="00DF0118"/>
    <w:rsid w:val="00DF0F93"/>
    <w:rsid w:val="00DF17F1"/>
    <w:rsid w:val="00DF1C54"/>
    <w:rsid w:val="00DF1E0D"/>
    <w:rsid w:val="00DF1E20"/>
    <w:rsid w:val="00DF336F"/>
    <w:rsid w:val="00DF3792"/>
    <w:rsid w:val="00DF3846"/>
    <w:rsid w:val="00DF4076"/>
    <w:rsid w:val="00DF5079"/>
    <w:rsid w:val="00DF5982"/>
    <w:rsid w:val="00DF5A5B"/>
    <w:rsid w:val="00DF6994"/>
    <w:rsid w:val="00DF6CBA"/>
    <w:rsid w:val="00DF7C1F"/>
    <w:rsid w:val="00E01FCB"/>
    <w:rsid w:val="00E024F5"/>
    <w:rsid w:val="00E02DE2"/>
    <w:rsid w:val="00E03060"/>
    <w:rsid w:val="00E03767"/>
    <w:rsid w:val="00E040D6"/>
    <w:rsid w:val="00E0436A"/>
    <w:rsid w:val="00E06E44"/>
    <w:rsid w:val="00E109AA"/>
    <w:rsid w:val="00E121F7"/>
    <w:rsid w:val="00E12552"/>
    <w:rsid w:val="00E134DE"/>
    <w:rsid w:val="00E13BD4"/>
    <w:rsid w:val="00E1493D"/>
    <w:rsid w:val="00E14C41"/>
    <w:rsid w:val="00E16056"/>
    <w:rsid w:val="00E16B7F"/>
    <w:rsid w:val="00E16C11"/>
    <w:rsid w:val="00E17A5A"/>
    <w:rsid w:val="00E20E5F"/>
    <w:rsid w:val="00E21209"/>
    <w:rsid w:val="00E2125A"/>
    <w:rsid w:val="00E223B0"/>
    <w:rsid w:val="00E22C7B"/>
    <w:rsid w:val="00E22FBE"/>
    <w:rsid w:val="00E23AD1"/>
    <w:rsid w:val="00E24106"/>
    <w:rsid w:val="00E250C3"/>
    <w:rsid w:val="00E256FD"/>
    <w:rsid w:val="00E25F23"/>
    <w:rsid w:val="00E26A34"/>
    <w:rsid w:val="00E304CE"/>
    <w:rsid w:val="00E308A5"/>
    <w:rsid w:val="00E315BC"/>
    <w:rsid w:val="00E31D45"/>
    <w:rsid w:val="00E31EC0"/>
    <w:rsid w:val="00E33438"/>
    <w:rsid w:val="00E3346A"/>
    <w:rsid w:val="00E337D0"/>
    <w:rsid w:val="00E34786"/>
    <w:rsid w:val="00E3567A"/>
    <w:rsid w:val="00E35833"/>
    <w:rsid w:val="00E35F70"/>
    <w:rsid w:val="00E3657C"/>
    <w:rsid w:val="00E37086"/>
    <w:rsid w:val="00E378F8"/>
    <w:rsid w:val="00E37CAB"/>
    <w:rsid w:val="00E403FA"/>
    <w:rsid w:val="00E40C26"/>
    <w:rsid w:val="00E42784"/>
    <w:rsid w:val="00E432AB"/>
    <w:rsid w:val="00E43887"/>
    <w:rsid w:val="00E43B6A"/>
    <w:rsid w:val="00E45296"/>
    <w:rsid w:val="00E4587F"/>
    <w:rsid w:val="00E45B2B"/>
    <w:rsid w:val="00E46BF7"/>
    <w:rsid w:val="00E5049A"/>
    <w:rsid w:val="00E505F9"/>
    <w:rsid w:val="00E50973"/>
    <w:rsid w:val="00E51667"/>
    <w:rsid w:val="00E518D5"/>
    <w:rsid w:val="00E520FC"/>
    <w:rsid w:val="00E52271"/>
    <w:rsid w:val="00E53A2E"/>
    <w:rsid w:val="00E546BA"/>
    <w:rsid w:val="00E547D1"/>
    <w:rsid w:val="00E54BE8"/>
    <w:rsid w:val="00E54C05"/>
    <w:rsid w:val="00E55AB4"/>
    <w:rsid w:val="00E560EB"/>
    <w:rsid w:val="00E57069"/>
    <w:rsid w:val="00E57E22"/>
    <w:rsid w:val="00E57E63"/>
    <w:rsid w:val="00E6010D"/>
    <w:rsid w:val="00E609B6"/>
    <w:rsid w:val="00E6116D"/>
    <w:rsid w:val="00E6117E"/>
    <w:rsid w:val="00E61666"/>
    <w:rsid w:val="00E61AAA"/>
    <w:rsid w:val="00E61E0B"/>
    <w:rsid w:val="00E628E6"/>
    <w:rsid w:val="00E64BDF"/>
    <w:rsid w:val="00E65138"/>
    <w:rsid w:val="00E65915"/>
    <w:rsid w:val="00E65A0D"/>
    <w:rsid w:val="00E6601E"/>
    <w:rsid w:val="00E66F8F"/>
    <w:rsid w:val="00E677CC"/>
    <w:rsid w:val="00E701B7"/>
    <w:rsid w:val="00E7029B"/>
    <w:rsid w:val="00E705D9"/>
    <w:rsid w:val="00E707CD"/>
    <w:rsid w:val="00E711C0"/>
    <w:rsid w:val="00E712C6"/>
    <w:rsid w:val="00E71B3F"/>
    <w:rsid w:val="00E71FFE"/>
    <w:rsid w:val="00E72900"/>
    <w:rsid w:val="00E72A91"/>
    <w:rsid w:val="00E72D33"/>
    <w:rsid w:val="00E72F1D"/>
    <w:rsid w:val="00E738A8"/>
    <w:rsid w:val="00E73C74"/>
    <w:rsid w:val="00E73D1F"/>
    <w:rsid w:val="00E7411D"/>
    <w:rsid w:val="00E74B33"/>
    <w:rsid w:val="00E751A3"/>
    <w:rsid w:val="00E76975"/>
    <w:rsid w:val="00E76BC7"/>
    <w:rsid w:val="00E7715D"/>
    <w:rsid w:val="00E775A1"/>
    <w:rsid w:val="00E77766"/>
    <w:rsid w:val="00E77CEA"/>
    <w:rsid w:val="00E8041B"/>
    <w:rsid w:val="00E808FB"/>
    <w:rsid w:val="00E80A2E"/>
    <w:rsid w:val="00E80EBA"/>
    <w:rsid w:val="00E8180A"/>
    <w:rsid w:val="00E826C8"/>
    <w:rsid w:val="00E84DB4"/>
    <w:rsid w:val="00E853C9"/>
    <w:rsid w:val="00E860CF"/>
    <w:rsid w:val="00E86457"/>
    <w:rsid w:val="00E867B2"/>
    <w:rsid w:val="00E91B2D"/>
    <w:rsid w:val="00E92279"/>
    <w:rsid w:val="00E923F0"/>
    <w:rsid w:val="00E92543"/>
    <w:rsid w:val="00E92677"/>
    <w:rsid w:val="00E92EB9"/>
    <w:rsid w:val="00E942F0"/>
    <w:rsid w:val="00E95FE3"/>
    <w:rsid w:val="00E9613D"/>
    <w:rsid w:val="00E963F1"/>
    <w:rsid w:val="00E9653D"/>
    <w:rsid w:val="00E96E57"/>
    <w:rsid w:val="00E972C5"/>
    <w:rsid w:val="00E97D25"/>
    <w:rsid w:val="00E97D50"/>
    <w:rsid w:val="00EA2001"/>
    <w:rsid w:val="00EA223A"/>
    <w:rsid w:val="00EA27FE"/>
    <w:rsid w:val="00EA3200"/>
    <w:rsid w:val="00EA3764"/>
    <w:rsid w:val="00EA3B43"/>
    <w:rsid w:val="00EA4F76"/>
    <w:rsid w:val="00EA574B"/>
    <w:rsid w:val="00EA5865"/>
    <w:rsid w:val="00EA66A5"/>
    <w:rsid w:val="00EA6DAB"/>
    <w:rsid w:val="00EB06CA"/>
    <w:rsid w:val="00EB09CF"/>
    <w:rsid w:val="00EB2317"/>
    <w:rsid w:val="00EB2B57"/>
    <w:rsid w:val="00EB2D86"/>
    <w:rsid w:val="00EB329D"/>
    <w:rsid w:val="00EB371C"/>
    <w:rsid w:val="00EB38D7"/>
    <w:rsid w:val="00EB4DEA"/>
    <w:rsid w:val="00EB4EAC"/>
    <w:rsid w:val="00EB5EEE"/>
    <w:rsid w:val="00EB6FDB"/>
    <w:rsid w:val="00EB7401"/>
    <w:rsid w:val="00EB74C4"/>
    <w:rsid w:val="00EB7CD1"/>
    <w:rsid w:val="00EC13CE"/>
    <w:rsid w:val="00EC167A"/>
    <w:rsid w:val="00EC1B1F"/>
    <w:rsid w:val="00EC2252"/>
    <w:rsid w:val="00EC2560"/>
    <w:rsid w:val="00EC2B80"/>
    <w:rsid w:val="00EC3438"/>
    <w:rsid w:val="00EC3797"/>
    <w:rsid w:val="00EC46CC"/>
    <w:rsid w:val="00EC4720"/>
    <w:rsid w:val="00EC62B3"/>
    <w:rsid w:val="00ED19C4"/>
    <w:rsid w:val="00ED3676"/>
    <w:rsid w:val="00ED37B8"/>
    <w:rsid w:val="00ED37FF"/>
    <w:rsid w:val="00ED4FD5"/>
    <w:rsid w:val="00ED525B"/>
    <w:rsid w:val="00ED554E"/>
    <w:rsid w:val="00ED65A4"/>
    <w:rsid w:val="00ED6989"/>
    <w:rsid w:val="00ED723A"/>
    <w:rsid w:val="00ED77F1"/>
    <w:rsid w:val="00ED7C1E"/>
    <w:rsid w:val="00EE1385"/>
    <w:rsid w:val="00EE162C"/>
    <w:rsid w:val="00EE2FBE"/>
    <w:rsid w:val="00EE304C"/>
    <w:rsid w:val="00EE385F"/>
    <w:rsid w:val="00EE4CA9"/>
    <w:rsid w:val="00EE54C8"/>
    <w:rsid w:val="00EE6109"/>
    <w:rsid w:val="00EE65D2"/>
    <w:rsid w:val="00EE65F7"/>
    <w:rsid w:val="00EE7383"/>
    <w:rsid w:val="00EE7F77"/>
    <w:rsid w:val="00EF175A"/>
    <w:rsid w:val="00EF17C6"/>
    <w:rsid w:val="00EF1BFE"/>
    <w:rsid w:val="00EF2EC6"/>
    <w:rsid w:val="00EF3B14"/>
    <w:rsid w:val="00EF56FA"/>
    <w:rsid w:val="00EF58B9"/>
    <w:rsid w:val="00EF5AD1"/>
    <w:rsid w:val="00EF5C8D"/>
    <w:rsid w:val="00EF72DE"/>
    <w:rsid w:val="00EF773B"/>
    <w:rsid w:val="00EF7D3D"/>
    <w:rsid w:val="00F00EFA"/>
    <w:rsid w:val="00F00F55"/>
    <w:rsid w:val="00F011F0"/>
    <w:rsid w:val="00F0169D"/>
    <w:rsid w:val="00F01AD9"/>
    <w:rsid w:val="00F028A9"/>
    <w:rsid w:val="00F02CFE"/>
    <w:rsid w:val="00F031DE"/>
    <w:rsid w:val="00F03B7A"/>
    <w:rsid w:val="00F04041"/>
    <w:rsid w:val="00F05863"/>
    <w:rsid w:val="00F06306"/>
    <w:rsid w:val="00F0661B"/>
    <w:rsid w:val="00F06780"/>
    <w:rsid w:val="00F06A2F"/>
    <w:rsid w:val="00F06F9D"/>
    <w:rsid w:val="00F0750E"/>
    <w:rsid w:val="00F07F1D"/>
    <w:rsid w:val="00F10048"/>
    <w:rsid w:val="00F107C4"/>
    <w:rsid w:val="00F10FE8"/>
    <w:rsid w:val="00F13F2A"/>
    <w:rsid w:val="00F141F6"/>
    <w:rsid w:val="00F14E87"/>
    <w:rsid w:val="00F15F7A"/>
    <w:rsid w:val="00F16089"/>
    <w:rsid w:val="00F160E5"/>
    <w:rsid w:val="00F174D1"/>
    <w:rsid w:val="00F17617"/>
    <w:rsid w:val="00F17ACE"/>
    <w:rsid w:val="00F200E4"/>
    <w:rsid w:val="00F20299"/>
    <w:rsid w:val="00F207ED"/>
    <w:rsid w:val="00F20BF1"/>
    <w:rsid w:val="00F215B3"/>
    <w:rsid w:val="00F21B93"/>
    <w:rsid w:val="00F22FAE"/>
    <w:rsid w:val="00F230A9"/>
    <w:rsid w:val="00F230EA"/>
    <w:rsid w:val="00F24E6D"/>
    <w:rsid w:val="00F26A6A"/>
    <w:rsid w:val="00F27138"/>
    <w:rsid w:val="00F2727D"/>
    <w:rsid w:val="00F279AE"/>
    <w:rsid w:val="00F3040A"/>
    <w:rsid w:val="00F32000"/>
    <w:rsid w:val="00F32101"/>
    <w:rsid w:val="00F32604"/>
    <w:rsid w:val="00F329E2"/>
    <w:rsid w:val="00F32D6E"/>
    <w:rsid w:val="00F34D56"/>
    <w:rsid w:val="00F35ABA"/>
    <w:rsid w:val="00F377D9"/>
    <w:rsid w:val="00F37D10"/>
    <w:rsid w:val="00F37E20"/>
    <w:rsid w:val="00F4044D"/>
    <w:rsid w:val="00F407BD"/>
    <w:rsid w:val="00F40E95"/>
    <w:rsid w:val="00F40F0A"/>
    <w:rsid w:val="00F41E15"/>
    <w:rsid w:val="00F423B2"/>
    <w:rsid w:val="00F44711"/>
    <w:rsid w:val="00F4496A"/>
    <w:rsid w:val="00F44A67"/>
    <w:rsid w:val="00F44AFD"/>
    <w:rsid w:val="00F44C79"/>
    <w:rsid w:val="00F51BC4"/>
    <w:rsid w:val="00F52380"/>
    <w:rsid w:val="00F523F8"/>
    <w:rsid w:val="00F52A96"/>
    <w:rsid w:val="00F534FF"/>
    <w:rsid w:val="00F5358D"/>
    <w:rsid w:val="00F53B85"/>
    <w:rsid w:val="00F53D72"/>
    <w:rsid w:val="00F54876"/>
    <w:rsid w:val="00F54945"/>
    <w:rsid w:val="00F55043"/>
    <w:rsid w:val="00F5538B"/>
    <w:rsid w:val="00F55417"/>
    <w:rsid w:val="00F57A84"/>
    <w:rsid w:val="00F604FA"/>
    <w:rsid w:val="00F60880"/>
    <w:rsid w:val="00F614B4"/>
    <w:rsid w:val="00F61A55"/>
    <w:rsid w:val="00F62B41"/>
    <w:rsid w:val="00F62B55"/>
    <w:rsid w:val="00F62F89"/>
    <w:rsid w:val="00F657CE"/>
    <w:rsid w:val="00F65953"/>
    <w:rsid w:val="00F65984"/>
    <w:rsid w:val="00F65FFE"/>
    <w:rsid w:val="00F667D5"/>
    <w:rsid w:val="00F66A03"/>
    <w:rsid w:val="00F66A18"/>
    <w:rsid w:val="00F70F8A"/>
    <w:rsid w:val="00F71201"/>
    <w:rsid w:val="00F7168F"/>
    <w:rsid w:val="00F72D9E"/>
    <w:rsid w:val="00F72E69"/>
    <w:rsid w:val="00F75A67"/>
    <w:rsid w:val="00F75BD0"/>
    <w:rsid w:val="00F806CC"/>
    <w:rsid w:val="00F8167D"/>
    <w:rsid w:val="00F819E8"/>
    <w:rsid w:val="00F8239E"/>
    <w:rsid w:val="00F82743"/>
    <w:rsid w:val="00F834F1"/>
    <w:rsid w:val="00F83659"/>
    <w:rsid w:val="00F837ED"/>
    <w:rsid w:val="00F844D1"/>
    <w:rsid w:val="00F85827"/>
    <w:rsid w:val="00F85E02"/>
    <w:rsid w:val="00F85E86"/>
    <w:rsid w:val="00F86311"/>
    <w:rsid w:val="00F863DE"/>
    <w:rsid w:val="00F8685D"/>
    <w:rsid w:val="00F87668"/>
    <w:rsid w:val="00F876D0"/>
    <w:rsid w:val="00F87AC8"/>
    <w:rsid w:val="00F87C82"/>
    <w:rsid w:val="00F9093F"/>
    <w:rsid w:val="00F91E29"/>
    <w:rsid w:val="00F91E2A"/>
    <w:rsid w:val="00F939A3"/>
    <w:rsid w:val="00F93F28"/>
    <w:rsid w:val="00F93F2F"/>
    <w:rsid w:val="00F943C6"/>
    <w:rsid w:val="00F94CCE"/>
    <w:rsid w:val="00F963C3"/>
    <w:rsid w:val="00F965AD"/>
    <w:rsid w:val="00F9766D"/>
    <w:rsid w:val="00F977F0"/>
    <w:rsid w:val="00F97A07"/>
    <w:rsid w:val="00FA09CD"/>
    <w:rsid w:val="00FA11E2"/>
    <w:rsid w:val="00FA187B"/>
    <w:rsid w:val="00FA1F04"/>
    <w:rsid w:val="00FA3D11"/>
    <w:rsid w:val="00FA4252"/>
    <w:rsid w:val="00FA47FC"/>
    <w:rsid w:val="00FA4AE0"/>
    <w:rsid w:val="00FA53BB"/>
    <w:rsid w:val="00FA59E6"/>
    <w:rsid w:val="00FA61D3"/>
    <w:rsid w:val="00FB0FF4"/>
    <w:rsid w:val="00FB118B"/>
    <w:rsid w:val="00FB1363"/>
    <w:rsid w:val="00FB1FF4"/>
    <w:rsid w:val="00FB23BC"/>
    <w:rsid w:val="00FB2F56"/>
    <w:rsid w:val="00FB3192"/>
    <w:rsid w:val="00FB3D38"/>
    <w:rsid w:val="00FB5516"/>
    <w:rsid w:val="00FB5E0A"/>
    <w:rsid w:val="00FB5F1D"/>
    <w:rsid w:val="00FB5F2C"/>
    <w:rsid w:val="00FB7883"/>
    <w:rsid w:val="00FC0219"/>
    <w:rsid w:val="00FC11F2"/>
    <w:rsid w:val="00FC2112"/>
    <w:rsid w:val="00FC295A"/>
    <w:rsid w:val="00FC3E5A"/>
    <w:rsid w:val="00FC4433"/>
    <w:rsid w:val="00FC4598"/>
    <w:rsid w:val="00FC4B49"/>
    <w:rsid w:val="00FC50E3"/>
    <w:rsid w:val="00FC5B74"/>
    <w:rsid w:val="00FD0415"/>
    <w:rsid w:val="00FD1399"/>
    <w:rsid w:val="00FD1BAA"/>
    <w:rsid w:val="00FD2B81"/>
    <w:rsid w:val="00FD2C97"/>
    <w:rsid w:val="00FD36DD"/>
    <w:rsid w:val="00FD4159"/>
    <w:rsid w:val="00FD544C"/>
    <w:rsid w:val="00FD55A0"/>
    <w:rsid w:val="00FD5D9A"/>
    <w:rsid w:val="00FD65F0"/>
    <w:rsid w:val="00FD6CF9"/>
    <w:rsid w:val="00FD7029"/>
    <w:rsid w:val="00FD7553"/>
    <w:rsid w:val="00FD7AE6"/>
    <w:rsid w:val="00FE0F60"/>
    <w:rsid w:val="00FE169D"/>
    <w:rsid w:val="00FE300F"/>
    <w:rsid w:val="00FE3E27"/>
    <w:rsid w:val="00FE4C39"/>
    <w:rsid w:val="00FE7167"/>
    <w:rsid w:val="00FE7EC0"/>
    <w:rsid w:val="00FF0064"/>
    <w:rsid w:val="00FF2654"/>
    <w:rsid w:val="00FF28C1"/>
    <w:rsid w:val="00FF2CDE"/>
    <w:rsid w:val="00FF2DFE"/>
    <w:rsid w:val="00FF3FAE"/>
    <w:rsid w:val="00FF43CB"/>
    <w:rsid w:val="00FF4E76"/>
    <w:rsid w:val="00FF54F0"/>
    <w:rsid w:val="00FF564A"/>
    <w:rsid w:val="00FF5D7E"/>
    <w:rsid w:val="00FF5EE3"/>
    <w:rsid w:val="00FF64D7"/>
    <w:rsid w:val="010C3842"/>
    <w:rsid w:val="015F0E9A"/>
    <w:rsid w:val="01701B1D"/>
    <w:rsid w:val="01734E59"/>
    <w:rsid w:val="01792A29"/>
    <w:rsid w:val="0189476C"/>
    <w:rsid w:val="019E1AA5"/>
    <w:rsid w:val="01D81B74"/>
    <w:rsid w:val="020D21EB"/>
    <w:rsid w:val="02405EF4"/>
    <w:rsid w:val="025F1D17"/>
    <w:rsid w:val="02B112BD"/>
    <w:rsid w:val="02B71938"/>
    <w:rsid w:val="02FF35C9"/>
    <w:rsid w:val="032E099D"/>
    <w:rsid w:val="03C7160A"/>
    <w:rsid w:val="04006592"/>
    <w:rsid w:val="041064EE"/>
    <w:rsid w:val="043A0595"/>
    <w:rsid w:val="043C1242"/>
    <w:rsid w:val="044C5927"/>
    <w:rsid w:val="04544623"/>
    <w:rsid w:val="04E16C7F"/>
    <w:rsid w:val="051A367F"/>
    <w:rsid w:val="051A587D"/>
    <w:rsid w:val="057F4E0A"/>
    <w:rsid w:val="058902AB"/>
    <w:rsid w:val="05922380"/>
    <w:rsid w:val="05DC27B4"/>
    <w:rsid w:val="05FD77F8"/>
    <w:rsid w:val="06264ABE"/>
    <w:rsid w:val="062846F0"/>
    <w:rsid w:val="068073A2"/>
    <w:rsid w:val="06AA511A"/>
    <w:rsid w:val="07484CAA"/>
    <w:rsid w:val="0752640C"/>
    <w:rsid w:val="075B1051"/>
    <w:rsid w:val="081F28EB"/>
    <w:rsid w:val="082C307A"/>
    <w:rsid w:val="08477B26"/>
    <w:rsid w:val="08855302"/>
    <w:rsid w:val="089D7AB3"/>
    <w:rsid w:val="08BB428A"/>
    <w:rsid w:val="08ED4DE0"/>
    <w:rsid w:val="0906794E"/>
    <w:rsid w:val="09101580"/>
    <w:rsid w:val="09246B8A"/>
    <w:rsid w:val="093E0008"/>
    <w:rsid w:val="094955DA"/>
    <w:rsid w:val="094F0553"/>
    <w:rsid w:val="098A155E"/>
    <w:rsid w:val="09AB679C"/>
    <w:rsid w:val="09C643A0"/>
    <w:rsid w:val="09CB2F66"/>
    <w:rsid w:val="09DF1AE6"/>
    <w:rsid w:val="09F71371"/>
    <w:rsid w:val="0A7C09E5"/>
    <w:rsid w:val="0ADF7D70"/>
    <w:rsid w:val="0AE275F7"/>
    <w:rsid w:val="0AE929B1"/>
    <w:rsid w:val="0AFD7DEF"/>
    <w:rsid w:val="0B52441F"/>
    <w:rsid w:val="0B7419A9"/>
    <w:rsid w:val="0B7C6547"/>
    <w:rsid w:val="0BAC60F3"/>
    <w:rsid w:val="0BB727AF"/>
    <w:rsid w:val="0BC97900"/>
    <w:rsid w:val="0BDC7AD6"/>
    <w:rsid w:val="0C172A8C"/>
    <w:rsid w:val="0C353855"/>
    <w:rsid w:val="0C4154B7"/>
    <w:rsid w:val="0C6A7997"/>
    <w:rsid w:val="0C9575AC"/>
    <w:rsid w:val="0CAD2833"/>
    <w:rsid w:val="0CAD4E12"/>
    <w:rsid w:val="0CB54B40"/>
    <w:rsid w:val="0CDF3388"/>
    <w:rsid w:val="0D1632D4"/>
    <w:rsid w:val="0D312FD6"/>
    <w:rsid w:val="0D380DA0"/>
    <w:rsid w:val="0D397BEB"/>
    <w:rsid w:val="0D3B5150"/>
    <w:rsid w:val="0D870514"/>
    <w:rsid w:val="0DCC081E"/>
    <w:rsid w:val="0DD94FFD"/>
    <w:rsid w:val="0DDF4BBA"/>
    <w:rsid w:val="0DE71094"/>
    <w:rsid w:val="0DFF0289"/>
    <w:rsid w:val="0E054764"/>
    <w:rsid w:val="0E334DFD"/>
    <w:rsid w:val="0E3A670B"/>
    <w:rsid w:val="0E572F38"/>
    <w:rsid w:val="0E63148D"/>
    <w:rsid w:val="0E6D5BE4"/>
    <w:rsid w:val="0EB96843"/>
    <w:rsid w:val="0EC32318"/>
    <w:rsid w:val="0EC70447"/>
    <w:rsid w:val="0EC75168"/>
    <w:rsid w:val="0F290375"/>
    <w:rsid w:val="0F3E2F51"/>
    <w:rsid w:val="0F8016F5"/>
    <w:rsid w:val="0FAA320F"/>
    <w:rsid w:val="0FD257E0"/>
    <w:rsid w:val="0FDA3F23"/>
    <w:rsid w:val="10321FEB"/>
    <w:rsid w:val="10485844"/>
    <w:rsid w:val="10700BAD"/>
    <w:rsid w:val="109951A1"/>
    <w:rsid w:val="10C43D24"/>
    <w:rsid w:val="10F01AC8"/>
    <w:rsid w:val="111D5DC0"/>
    <w:rsid w:val="1157758F"/>
    <w:rsid w:val="118E1CC3"/>
    <w:rsid w:val="11B53EF0"/>
    <w:rsid w:val="120E035B"/>
    <w:rsid w:val="122D396F"/>
    <w:rsid w:val="124D5D85"/>
    <w:rsid w:val="12664DFC"/>
    <w:rsid w:val="12744A32"/>
    <w:rsid w:val="12C35606"/>
    <w:rsid w:val="12F33A0D"/>
    <w:rsid w:val="135370F5"/>
    <w:rsid w:val="1361035C"/>
    <w:rsid w:val="13C12B1F"/>
    <w:rsid w:val="13CF2EF9"/>
    <w:rsid w:val="13DE479E"/>
    <w:rsid w:val="13F97C8D"/>
    <w:rsid w:val="14405E79"/>
    <w:rsid w:val="14591212"/>
    <w:rsid w:val="14A73825"/>
    <w:rsid w:val="14AA5947"/>
    <w:rsid w:val="14BD57FA"/>
    <w:rsid w:val="14C7556F"/>
    <w:rsid w:val="14D25FDB"/>
    <w:rsid w:val="14E512CB"/>
    <w:rsid w:val="14E928F3"/>
    <w:rsid w:val="14F05B19"/>
    <w:rsid w:val="15006DD7"/>
    <w:rsid w:val="150B2E6D"/>
    <w:rsid w:val="15352778"/>
    <w:rsid w:val="153744AE"/>
    <w:rsid w:val="153E0610"/>
    <w:rsid w:val="15490E19"/>
    <w:rsid w:val="155C3927"/>
    <w:rsid w:val="155E2CC9"/>
    <w:rsid w:val="157A2235"/>
    <w:rsid w:val="158535DD"/>
    <w:rsid w:val="15AD7966"/>
    <w:rsid w:val="15E70B48"/>
    <w:rsid w:val="15FE0A04"/>
    <w:rsid w:val="163B3EBD"/>
    <w:rsid w:val="16B36391"/>
    <w:rsid w:val="16BA5CCC"/>
    <w:rsid w:val="16C54FF2"/>
    <w:rsid w:val="16CF2C06"/>
    <w:rsid w:val="16E16ED1"/>
    <w:rsid w:val="16F8514B"/>
    <w:rsid w:val="171401D1"/>
    <w:rsid w:val="1727293A"/>
    <w:rsid w:val="17295797"/>
    <w:rsid w:val="178578E1"/>
    <w:rsid w:val="1799104C"/>
    <w:rsid w:val="179C4683"/>
    <w:rsid w:val="17B11B23"/>
    <w:rsid w:val="17EC52CA"/>
    <w:rsid w:val="18245038"/>
    <w:rsid w:val="18287DA4"/>
    <w:rsid w:val="18401A86"/>
    <w:rsid w:val="188C45B8"/>
    <w:rsid w:val="18B32CC2"/>
    <w:rsid w:val="18BA6E98"/>
    <w:rsid w:val="19004E44"/>
    <w:rsid w:val="19216320"/>
    <w:rsid w:val="19734EA8"/>
    <w:rsid w:val="19B64EFE"/>
    <w:rsid w:val="19EB0215"/>
    <w:rsid w:val="19FC5498"/>
    <w:rsid w:val="19FF486F"/>
    <w:rsid w:val="1A0B192F"/>
    <w:rsid w:val="1A1A0F26"/>
    <w:rsid w:val="1A26674F"/>
    <w:rsid w:val="1A2C31B7"/>
    <w:rsid w:val="1A3A4EF9"/>
    <w:rsid w:val="1A4A5477"/>
    <w:rsid w:val="1AAF06F6"/>
    <w:rsid w:val="1ABF65C9"/>
    <w:rsid w:val="1B043911"/>
    <w:rsid w:val="1BC10F5E"/>
    <w:rsid w:val="1BD40D4F"/>
    <w:rsid w:val="1BD57672"/>
    <w:rsid w:val="1BE42F4B"/>
    <w:rsid w:val="1BF458C0"/>
    <w:rsid w:val="1BF77A06"/>
    <w:rsid w:val="1C332AAF"/>
    <w:rsid w:val="1C38576B"/>
    <w:rsid w:val="1C6F5367"/>
    <w:rsid w:val="1C856DBE"/>
    <w:rsid w:val="1CA4679D"/>
    <w:rsid w:val="1CAC5B28"/>
    <w:rsid w:val="1CC16EAD"/>
    <w:rsid w:val="1CC951CB"/>
    <w:rsid w:val="1D2E604F"/>
    <w:rsid w:val="1DAB435A"/>
    <w:rsid w:val="1DB8156A"/>
    <w:rsid w:val="1DDB76E8"/>
    <w:rsid w:val="1DE454FC"/>
    <w:rsid w:val="1DF034A2"/>
    <w:rsid w:val="1E08527A"/>
    <w:rsid w:val="1E102801"/>
    <w:rsid w:val="1E127EE6"/>
    <w:rsid w:val="1E183809"/>
    <w:rsid w:val="1E1C446F"/>
    <w:rsid w:val="1E2D0140"/>
    <w:rsid w:val="1E9C1EFD"/>
    <w:rsid w:val="1EAF2AE4"/>
    <w:rsid w:val="1EBD7B4B"/>
    <w:rsid w:val="1EC57116"/>
    <w:rsid w:val="1EF8089D"/>
    <w:rsid w:val="1F493008"/>
    <w:rsid w:val="1F5A7AB8"/>
    <w:rsid w:val="1F703A1F"/>
    <w:rsid w:val="1F7344D9"/>
    <w:rsid w:val="1F85572A"/>
    <w:rsid w:val="1FAB654B"/>
    <w:rsid w:val="1FC13B95"/>
    <w:rsid w:val="1FD2579A"/>
    <w:rsid w:val="20043368"/>
    <w:rsid w:val="203D16EA"/>
    <w:rsid w:val="20550B5B"/>
    <w:rsid w:val="20810DF7"/>
    <w:rsid w:val="20811346"/>
    <w:rsid w:val="20B75FAE"/>
    <w:rsid w:val="20CB48B2"/>
    <w:rsid w:val="20FC0583"/>
    <w:rsid w:val="21196452"/>
    <w:rsid w:val="212825CF"/>
    <w:rsid w:val="21447859"/>
    <w:rsid w:val="21737D29"/>
    <w:rsid w:val="21CA4F14"/>
    <w:rsid w:val="21F83850"/>
    <w:rsid w:val="220103A0"/>
    <w:rsid w:val="220B78A0"/>
    <w:rsid w:val="221B2B28"/>
    <w:rsid w:val="22F40CE5"/>
    <w:rsid w:val="237C3FA6"/>
    <w:rsid w:val="23853191"/>
    <w:rsid w:val="23894B65"/>
    <w:rsid w:val="23DC09A6"/>
    <w:rsid w:val="240D40DD"/>
    <w:rsid w:val="244959C1"/>
    <w:rsid w:val="244A3CAD"/>
    <w:rsid w:val="245D64CA"/>
    <w:rsid w:val="247A0586"/>
    <w:rsid w:val="251204FC"/>
    <w:rsid w:val="255B6DDC"/>
    <w:rsid w:val="25A34BF8"/>
    <w:rsid w:val="25D9357D"/>
    <w:rsid w:val="25DD07DD"/>
    <w:rsid w:val="26473C3D"/>
    <w:rsid w:val="26763FBA"/>
    <w:rsid w:val="2737253D"/>
    <w:rsid w:val="276D4DE9"/>
    <w:rsid w:val="278E0E1E"/>
    <w:rsid w:val="279573F7"/>
    <w:rsid w:val="27B338B0"/>
    <w:rsid w:val="27C13EA6"/>
    <w:rsid w:val="284836B6"/>
    <w:rsid w:val="286617C6"/>
    <w:rsid w:val="286F08F1"/>
    <w:rsid w:val="28867AF8"/>
    <w:rsid w:val="28B44116"/>
    <w:rsid w:val="28CC5AAD"/>
    <w:rsid w:val="28DD1891"/>
    <w:rsid w:val="28ED5D0E"/>
    <w:rsid w:val="29234D46"/>
    <w:rsid w:val="29281FA7"/>
    <w:rsid w:val="29530CE0"/>
    <w:rsid w:val="29601C2E"/>
    <w:rsid w:val="29650799"/>
    <w:rsid w:val="29785A1F"/>
    <w:rsid w:val="29806CF0"/>
    <w:rsid w:val="29980E81"/>
    <w:rsid w:val="299D0953"/>
    <w:rsid w:val="29BA5AA4"/>
    <w:rsid w:val="2A525C24"/>
    <w:rsid w:val="2A700B1C"/>
    <w:rsid w:val="2AB42256"/>
    <w:rsid w:val="2AB447E7"/>
    <w:rsid w:val="2B0771CA"/>
    <w:rsid w:val="2B123D34"/>
    <w:rsid w:val="2B3E398A"/>
    <w:rsid w:val="2B716DED"/>
    <w:rsid w:val="2BB23E68"/>
    <w:rsid w:val="2BF1229D"/>
    <w:rsid w:val="2C2C311B"/>
    <w:rsid w:val="2C570EE1"/>
    <w:rsid w:val="2C693A68"/>
    <w:rsid w:val="2CDE4343"/>
    <w:rsid w:val="2CE368E8"/>
    <w:rsid w:val="2CFB101B"/>
    <w:rsid w:val="2DAC36C0"/>
    <w:rsid w:val="2DE3156A"/>
    <w:rsid w:val="2DEB4B51"/>
    <w:rsid w:val="2E214D47"/>
    <w:rsid w:val="2E8B4F49"/>
    <w:rsid w:val="2E904E78"/>
    <w:rsid w:val="2EBB035D"/>
    <w:rsid w:val="2ECF3637"/>
    <w:rsid w:val="2F661ED4"/>
    <w:rsid w:val="2F8C00F1"/>
    <w:rsid w:val="2FA4098E"/>
    <w:rsid w:val="2FCD3DD0"/>
    <w:rsid w:val="2FF619BC"/>
    <w:rsid w:val="300B6B7B"/>
    <w:rsid w:val="30555350"/>
    <w:rsid w:val="30A67244"/>
    <w:rsid w:val="30B72C37"/>
    <w:rsid w:val="30F85BB6"/>
    <w:rsid w:val="316D10BA"/>
    <w:rsid w:val="3173098D"/>
    <w:rsid w:val="31CA7286"/>
    <w:rsid w:val="325E5379"/>
    <w:rsid w:val="329F792E"/>
    <w:rsid w:val="32CA619F"/>
    <w:rsid w:val="32F70D3B"/>
    <w:rsid w:val="33013B12"/>
    <w:rsid w:val="33014E52"/>
    <w:rsid w:val="330932FE"/>
    <w:rsid w:val="33396B2A"/>
    <w:rsid w:val="33870278"/>
    <w:rsid w:val="338E6B83"/>
    <w:rsid w:val="33901D1E"/>
    <w:rsid w:val="33F3160C"/>
    <w:rsid w:val="33FA6C9A"/>
    <w:rsid w:val="342C16B3"/>
    <w:rsid w:val="34497C48"/>
    <w:rsid w:val="345410CE"/>
    <w:rsid w:val="34641710"/>
    <w:rsid w:val="3486648A"/>
    <w:rsid w:val="34CD6927"/>
    <w:rsid w:val="34CE2098"/>
    <w:rsid w:val="34D614BE"/>
    <w:rsid w:val="34EF52F3"/>
    <w:rsid w:val="352A266B"/>
    <w:rsid w:val="35345C57"/>
    <w:rsid w:val="3538516C"/>
    <w:rsid w:val="35651DDE"/>
    <w:rsid w:val="35D56E9E"/>
    <w:rsid w:val="35EA7949"/>
    <w:rsid w:val="36031893"/>
    <w:rsid w:val="3655592D"/>
    <w:rsid w:val="367F7299"/>
    <w:rsid w:val="368D3F29"/>
    <w:rsid w:val="36A53226"/>
    <w:rsid w:val="3739703A"/>
    <w:rsid w:val="377C5D83"/>
    <w:rsid w:val="378A730A"/>
    <w:rsid w:val="379B312E"/>
    <w:rsid w:val="379C5225"/>
    <w:rsid w:val="37BB1925"/>
    <w:rsid w:val="383F04BB"/>
    <w:rsid w:val="385A00E1"/>
    <w:rsid w:val="3892254B"/>
    <w:rsid w:val="38B41DCF"/>
    <w:rsid w:val="38E82719"/>
    <w:rsid w:val="391A2177"/>
    <w:rsid w:val="392943C6"/>
    <w:rsid w:val="39507292"/>
    <w:rsid w:val="395D06EE"/>
    <w:rsid w:val="39685325"/>
    <w:rsid w:val="398F4F35"/>
    <w:rsid w:val="39B067A2"/>
    <w:rsid w:val="39B135D7"/>
    <w:rsid w:val="39E90732"/>
    <w:rsid w:val="39F953D5"/>
    <w:rsid w:val="3A025C9E"/>
    <w:rsid w:val="3A0C5F02"/>
    <w:rsid w:val="3A2D57AA"/>
    <w:rsid w:val="3A372D42"/>
    <w:rsid w:val="3A67574A"/>
    <w:rsid w:val="3AA0371E"/>
    <w:rsid w:val="3AAD4A9F"/>
    <w:rsid w:val="3AC176F3"/>
    <w:rsid w:val="3AC91C44"/>
    <w:rsid w:val="3B1E7285"/>
    <w:rsid w:val="3B4F7464"/>
    <w:rsid w:val="3B501EBF"/>
    <w:rsid w:val="3B5D10F2"/>
    <w:rsid w:val="3B7540BA"/>
    <w:rsid w:val="3B7D4225"/>
    <w:rsid w:val="3BBA7134"/>
    <w:rsid w:val="3BC52D3F"/>
    <w:rsid w:val="3C265FFF"/>
    <w:rsid w:val="3C303EAE"/>
    <w:rsid w:val="3C5F18B6"/>
    <w:rsid w:val="3C961B37"/>
    <w:rsid w:val="3C991986"/>
    <w:rsid w:val="3CB57B33"/>
    <w:rsid w:val="3CF90DDA"/>
    <w:rsid w:val="3D41045C"/>
    <w:rsid w:val="3D53493D"/>
    <w:rsid w:val="3D7E76ED"/>
    <w:rsid w:val="3D8164C1"/>
    <w:rsid w:val="3DAB3099"/>
    <w:rsid w:val="3DD24F84"/>
    <w:rsid w:val="3E166638"/>
    <w:rsid w:val="3E4330B7"/>
    <w:rsid w:val="3E4C7BD1"/>
    <w:rsid w:val="3E8060AD"/>
    <w:rsid w:val="3E915EED"/>
    <w:rsid w:val="3EB258AC"/>
    <w:rsid w:val="3EC90C8B"/>
    <w:rsid w:val="3EF6700C"/>
    <w:rsid w:val="3F49375F"/>
    <w:rsid w:val="3F592E64"/>
    <w:rsid w:val="3F6518C3"/>
    <w:rsid w:val="3FB32319"/>
    <w:rsid w:val="3FE41A06"/>
    <w:rsid w:val="4015242A"/>
    <w:rsid w:val="403E1203"/>
    <w:rsid w:val="40504C49"/>
    <w:rsid w:val="4064307C"/>
    <w:rsid w:val="40DF6DAB"/>
    <w:rsid w:val="4132750F"/>
    <w:rsid w:val="41597A89"/>
    <w:rsid w:val="41A04C31"/>
    <w:rsid w:val="41AF7F04"/>
    <w:rsid w:val="41B74A1A"/>
    <w:rsid w:val="41BB533F"/>
    <w:rsid w:val="41BF3B25"/>
    <w:rsid w:val="41D577F3"/>
    <w:rsid w:val="41E03F5F"/>
    <w:rsid w:val="420F4C80"/>
    <w:rsid w:val="4222602A"/>
    <w:rsid w:val="42FC39B8"/>
    <w:rsid w:val="430454B6"/>
    <w:rsid w:val="435028F3"/>
    <w:rsid w:val="435E366D"/>
    <w:rsid w:val="439B42DE"/>
    <w:rsid w:val="43A312A3"/>
    <w:rsid w:val="43C60A47"/>
    <w:rsid w:val="43C8753F"/>
    <w:rsid w:val="43DB1525"/>
    <w:rsid w:val="442B5DF8"/>
    <w:rsid w:val="44481C55"/>
    <w:rsid w:val="446B2EC0"/>
    <w:rsid w:val="44926525"/>
    <w:rsid w:val="44DC12D4"/>
    <w:rsid w:val="44DE6128"/>
    <w:rsid w:val="44E651E7"/>
    <w:rsid w:val="44F33ED1"/>
    <w:rsid w:val="44F41DAD"/>
    <w:rsid w:val="450053A5"/>
    <w:rsid w:val="45094F28"/>
    <w:rsid w:val="453A574B"/>
    <w:rsid w:val="45407DF0"/>
    <w:rsid w:val="456F0206"/>
    <w:rsid w:val="45730CA6"/>
    <w:rsid w:val="457A54F3"/>
    <w:rsid w:val="461A2030"/>
    <w:rsid w:val="462E5819"/>
    <w:rsid w:val="4707550C"/>
    <w:rsid w:val="47412C1D"/>
    <w:rsid w:val="474B7AD7"/>
    <w:rsid w:val="47695160"/>
    <w:rsid w:val="47772BD3"/>
    <w:rsid w:val="47794D83"/>
    <w:rsid w:val="477D5E4C"/>
    <w:rsid w:val="47AF19C8"/>
    <w:rsid w:val="47D65A0B"/>
    <w:rsid w:val="48791B86"/>
    <w:rsid w:val="48887CB1"/>
    <w:rsid w:val="48A53086"/>
    <w:rsid w:val="48AB7D3C"/>
    <w:rsid w:val="48B43F5B"/>
    <w:rsid w:val="48B83D59"/>
    <w:rsid w:val="49142DB3"/>
    <w:rsid w:val="492B11E5"/>
    <w:rsid w:val="493D086E"/>
    <w:rsid w:val="49494D2E"/>
    <w:rsid w:val="494A1209"/>
    <w:rsid w:val="494D19B8"/>
    <w:rsid w:val="49797360"/>
    <w:rsid w:val="498A2233"/>
    <w:rsid w:val="499457FC"/>
    <w:rsid w:val="49AC17AD"/>
    <w:rsid w:val="49ED34D4"/>
    <w:rsid w:val="4A4A3278"/>
    <w:rsid w:val="4A4F0FFA"/>
    <w:rsid w:val="4A543F75"/>
    <w:rsid w:val="4A6722B1"/>
    <w:rsid w:val="4AA511AF"/>
    <w:rsid w:val="4ADA5F15"/>
    <w:rsid w:val="4BA020B3"/>
    <w:rsid w:val="4BA61E7F"/>
    <w:rsid w:val="4BCE24F7"/>
    <w:rsid w:val="4BE232B9"/>
    <w:rsid w:val="4C10175E"/>
    <w:rsid w:val="4C6273A0"/>
    <w:rsid w:val="4C911788"/>
    <w:rsid w:val="4D1651CD"/>
    <w:rsid w:val="4D170A75"/>
    <w:rsid w:val="4D177967"/>
    <w:rsid w:val="4D25473D"/>
    <w:rsid w:val="4D5B6B42"/>
    <w:rsid w:val="4D824B4B"/>
    <w:rsid w:val="4D983AD1"/>
    <w:rsid w:val="4DC86F7C"/>
    <w:rsid w:val="4DEC2821"/>
    <w:rsid w:val="4E0174B1"/>
    <w:rsid w:val="4E06349B"/>
    <w:rsid w:val="4E64413B"/>
    <w:rsid w:val="4E797E5D"/>
    <w:rsid w:val="4E946694"/>
    <w:rsid w:val="4EAF3D18"/>
    <w:rsid w:val="4EDD75EE"/>
    <w:rsid w:val="4EDF51E1"/>
    <w:rsid w:val="4EE549FA"/>
    <w:rsid w:val="4EEB043F"/>
    <w:rsid w:val="4EED78F3"/>
    <w:rsid w:val="4F3671B7"/>
    <w:rsid w:val="4F3E75DC"/>
    <w:rsid w:val="4F410BC5"/>
    <w:rsid w:val="4F59726A"/>
    <w:rsid w:val="4F83286D"/>
    <w:rsid w:val="4F925FD0"/>
    <w:rsid w:val="4F986FAB"/>
    <w:rsid w:val="4F9D51D7"/>
    <w:rsid w:val="4FB2382C"/>
    <w:rsid w:val="4FE90264"/>
    <w:rsid w:val="4FFF7D72"/>
    <w:rsid w:val="503C2086"/>
    <w:rsid w:val="504A0606"/>
    <w:rsid w:val="505E312C"/>
    <w:rsid w:val="50786C27"/>
    <w:rsid w:val="50835EBA"/>
    <w:rsid w:val="50C65B03"/>
    <w:rsid w:val="510660FC"/>
    <w:rsid w:val="51090C1E"/>
    <w:rsid w:val="51183045"/>
    <w:rsid w:val="51191322"/>
    <w:rsid w:val="51202422"/>
    <w:rsid w:val="51ED6580"/>
    <w:rsid w:val="527D09E2"/>
    <w:rsid w:val="527F67BC"/>
    <w:rsid w:val="528335EC"/>
    <w:rsid w:val="52892B8F"/>
    <w:rsid w:val="52AC44A4"/>
    <w:rsid w:val="52E61DE4"/>
    <w:rsid w:val="531F4D84"/>
    <w:rsid w:val="53260487"/>
    <w:rsid w:val="534A2561"/>
    <w:rsid w:val="53633C4D"/>
    <w:rsid w:val="53902916"/>
    <w:rsid w:val="53A57627"/>
    <w:rsid w:val="53C7070B"/>
    <w:rsid w:val="53C91DA3"/>
    <w:rsid w:val="53FA6BA2"/>
    <w:rsid w:val="54014115"/>
    <w:rsid w:val="54262366"/>
    <w:rsid w:val="545E030F"/>
    <w:rsid w:val="546C70F5"/>
    <w:rsid w:val="54996D3A"/>
    <w:rsid w:val="54B25885"/>
    <w:rsid w:val="54BC5B7C"/>
    <w:rsid w:val="54E81438"/>
    <w:rsid w:val="550E78D2"/>
    <w:rsid w:val="55291396"/>
    <w:rsid w:val="56107F58"/>
    <w:rsid w:val="56235359"/>
    <w:rsid w:val="56237E5D"/>
    <w:rsid w:val="56403899"/>
    <w:rsid w:val="56616F2F"/>
    <w:rsid w:val="567547BB"/>
    <w:rsid w:val="569113BA"/>
    <w:rsid w:val="569E6CC3"/>
    <w:rsid w:val="56A94B8A"/>
    <w:rsid w:val="56C04770"/>
    <w:rsid w:val="56DD2B24"/>
    <w:rsid w:val="57173D03"/>
    <w:rsid w:val="57425149"/>
    <w:rsid w:val="57462D0D"/>
    <w:rsid w:val="575C216F"/>
    <w:rsid w:val="57992556"/>
    <w:rsid w:val="57AD66E9"/>
    <w:rsid w:val="57C24977"/>
    <w:rsid w:val="57FB28B2"/>
    <w:rsid w:val="580A4749"/>
    <w:rsid w:val="585F5BDD"/>
    <w:rsid w:val="58B23344"/>
    <w:rsid w:val="58DB6983"/>
    <w:rsid w:val="593102D5"/>
    <w:rsid w:val="5946340B"/>
    <w:rsid w:val="59640221"/>
    <w:rsid w:val="59942B2F"/>
    <w:rsid w:val="59942BBA"/>
    <w:rsid w:val="599F02CD"/>
    <w:rsid w:val="59B979F5"/>
    <w:rsid w:val="59BE759C"/>
    <w:rsid w:val="59D21394"/>
    <w:rsid w:val="59E24D04"/>
    <w:rsid w:val="59F62B98"/>
    <w:rsid w:val="5A20109D"/>
    <w:rsid w:val="5A44626A"/>
    <w:rsid w:val="5A537FA3"/>
    <w:rsid w:val="5ABF0D21"/>
    <w:rsid w:val="5B117631"/>
    <w:rsid w:val="5BD218C2"/>
    <w:rsid w:val="5BE1633B"/>
    <w:rsid w:val="5C080E5D"/>
    <w:rsid w:val="5C082A99"/>
    <w:rsid w:val="5C155648"/>
    <w:rsid w:val="5C1753A0"/>
    <w:rsid w:val="5C442DB4"/>
    <w:rsid w:val="5C93097D"/>
    <w:rsid w:val="5CE257BB"/>
    <w:rsid w:val="5D3E74F6"/>
    <w:rsid w:val="5D83428D"/>
    <w:rsid w:val="5D857D19"/>
    <w:rsid w:val="5DA93CB6"/>
    <w:rsid w:val="5DAB2894"/>
    <w:rsid w:val="5DBB5197"/>
    <w:rsid w:val="5DD0455E"/>
    <w:rsid w:val="5DD265AF"/>
    <w:rsid w:val="5DDC32FC"/>
    <w:rsid w:val="5DE12CE8"/>
    <w:rsid w:val="5E07394D"/>
    <w:rsid w:val="5E523320"/>
    <w:rsid w:val="5E6C63ED"/>
    <w:rsid w:val="5E6D27A0"/>
    <w:rsid w:val="5E7A1041"/>
    <w:rsid w:val="5E972275"/>
    <w:rsid w:val="5EA22D98"/>
    <w:rsid w:val="5EA437AD"/>
    <w:rsid w:val="5EB11A12"/>
    <w:rsid w:val="5ECD2C1C"/>
    <w:rsid w:val="5EE824E8"/>
    <w:rsid w:val="5EF32DB8"/>
    <w:rsid w:val="5EFE0AC3"/>
    <w:rsid w:val="5F6A2443"/>
    <w:rsid w:val="5F820427"/>
    <w:rsid w:val="5FD360B3"/>
    <w:rsid w:val="5FD817EA"/>
    <w:rsid w:val="601817D5"/>
    <w:rsid w:val="60206A4E"/>
    <w:rsid w:val="60A34B4C"/>
    <w:rsid w:val="60AD36E2"/>
    <w:rsid w:val="60BC33C0"/>
    <w:rsid w:val="60DB6D38"/>
    <w:rsid w:val="611A1778"/>
    <w:rsid w:val="612C7E53"/>
    <w:rsid w:val="61354031"/>
    <w:rsid w:val="613978AA"/>
    <w:rsid w:val="616C5250"/>
    <w:rsid w:val="618E2BC3"/>
    <w:rsid w:val="61C84A9C"/>
    <w:rsid w:val="61D0351B"/>
    <w:rsid w:val="6216443D"/>
    <w:rsid w:val="6219134C"/>
    <w:rsid w:val="62A16E21"/>
    <w:rsid w:val="62C5349B"/>
    <w:rsid w:val="62CA2BD0"/>
    <w:rsid w:val="63B92812"/>
    <w:rsid w:val="63DC1699"/>
    <w:rsid w:val="63E06AFB"/>
    <w:rsid w:val="63ED5C9F"/>
    <w:rsid w:val="64131729"/>
    <w:rsid w:val="643F0FAF"/>
    <w:rsid w:val="644312A5"/>
    <w:rsid w:val="64441B94"/>
    <w:rsid w:val="651A232F"/>
    <w:rsid w:val="65846D49"/>
    <w:rsid w:val="659F6D46"/>
    <w:rsid w:val="661D7B4F"/>
    <w:rsid w:val="66426291"/>
    <w:rsid w:val="669A16FA"/>
    <w:rsid w:val="66B37E6C"/>
    <w:rsid w:val="66D34323"/>
    <w:rsid w:val="66E0612E"/>
    <w:rsid w:val="66F24BAC"/>
    <w:rsid w:val="66F60FCF"/>
    <w:rsid w:val="670B4BDC"/>
    <w:rsid w:val="672E48AA"/>
    <w:rsid w:val="67C91D56"/>
    <w:rsid w:val="67DA7557"/>
    <w:rsid w:val="67DC4F96"/>
    <w:rsid w:val="67E54507"/>
    <w:rsid w:val="67FA66D0"/>
    <w:rsid w:val="687C0E0B"/>
    <w:rsid w:val="687D4884"/>
    <w:rsid w:val="68A02D06"/>
    <w:rsid w:val="68F40A40"/>
    <w:rsid w:val="68FB050C"/>
    <w:rsid w:val="69275B27"/>
    <w:rsid w:val="6955270D"/>
    <w:rsid w:val="69912E7D"/>
    <w:rsid w:val="69B510B3"/>
    <w:rsid w:val="69BA35D2"/>
    <w:rsid w:val="69BC1D60"/>
    <w:rsid w:val="69C250B1"/>
    <w:rsid w:val="69D623FA"/>
    <w:rsid w:val="69D70074"/>
    <w:rsid w:val="69E305F6"/>
    <w:rsid w:val="6A116D24"/>
    <w:rsid w:val="6A18771C"/>
    <w:rsid w:val="6A9056B0"/>
    <w:rsid w:val="6AAC5B1D"/>
    <w:rsid w:val="6B02218C"/>
    <w:rsid w:val="6B3E0CA7"/>
    <w:rsid w:val="6B5E49FC"/>
    <w:rsid w:val="6B7C77F5"/>
    <w:rsid w:val="6B944CA7"/>
    <w:rsid w:val="6B95585A"/>
    <w:rsid w:val="6BE2343B"/>
    <w:rsid w:val="6BF65802"/>
    <w:rsid w:val="6C0F50DC"/>
    <w:rsid w:val="6C403D65"/>
    <w:rsid w:val="6C4D6A4A"/>
    <w:rsid w:val="6C7C12E7"/>
    <w:rsid w:val="6C7E701B"/>
    <w:rsid w:val="6CBD4DD6"/>
    <w:rsid w:val="6CCD27C0"/>
    <w:rsid w:val="6CCF150B"/>
    <w:rsid w:val="6CDE2C94"/>
    <w:rsid w:val="6D4E0DD3"/>
    <w:rsid w:val="6D525702"/>
    <w:rsid w:val="6DC050CE"/>
    <w:rsid w:val="6DC42B12"/>
    <w:rsid w:val="6E41639F"/>
    <w:rsid w:val="6E470831"/>
    <w:rsid w:val="6E511BE7"/>
    <w:rsid w:val="6E621869"/>
    <w:rsid w:val="6EB44808"/>
    <w:rsid w:val="6EC473DF"/>
    <w:rsid w:val="6F2147BF"/>
    <w:rsid w:val="6F221BDB"/>
    <w:rsid w:val="6F290EBC"/>
    <w:rsid w:val="6F494B10"/>
    <w:rsid w:val="6F992A46"/>
    <w:rsid w:val="6FCA2E38"/>
    <w:rsid w:val="6FF73BA2"/>
    <w:rsid w:val="70295666"/>
    <w:rsid w:val="702E4B5E"/>
    <w:rsid w:val="704E4C3A"/>
    <w:rsid w:val="70714480"/>
    <w:rsid w:val="70D60F6A"/>
    <w:rsid w:val="716B5724"/>
    <w:rsid w:val="716E59D1"/>
    <w:rsid w:val="718926B2"/>
    <w:rsid w:val="71AB61F8"/>
    <w:rsid w:val="71C83433"/>
    <w:rsid w:val="71C87535"/>
    <w:rsid w:val="71F73059"/>
    <w:rsid w:val="72021DA6"/>
    <w:rsid w:val="723C1866"/>
    <w:rsid w:val="72527D68"/>
    <w:rsid w:val="726F1481"/>
    <w:rsid w:val="73197557"/>
    <w:rsid w:val="733A37F8"/>
    <w:rsid w:val="73425CC6"/>
    <w:rsid w:val="73F339B0"/>
    <w:rsid w:val="74051764"/>
    <w:rsid w:val="740F596F"/>
    <w:rsid w:val="741B4E03"/>
    <w:rsid w:val="74543FF6"/>
    <w:rsid w:val="7459640C"/>
    <w:rsid w:val="749A068A"/>
    <w:rsid w:val="74BD0402"/>
    <w:rsid w:val="74C928F1"/>
    <w:rsid w:val="74DA1EAB"/>
    <w:rsid w:val="752456CB"/>
    <w:rsid w:val="75253B5A"/>
    <w:rsid w:val="75476EBE"/>
    <w:rsid w:val="75514ABA"/>
    <w:rsid w:val="7577223D"/>
    <w:rsid w:val="75802D76"/>
    <w:rsid w:val="75824A6D"/>
    <w:rsid w:val="75A032B0"/>
    <w:rsid w:val="75A724FD"/>
    <w:rsid w:val="75DD2DAA"/>
    <w:rsid w:val="75FC2EB6"/>
    <w:rsid w:val="7645388F"/>
    <w:rsid w:val="767F1280"/>
    <w:rsid w:val="76867DA5"/>
    <w:rsid w:val="76F37716"/>
    <w:rsid w:val="76FA7CA6"/>
    <w:rsid w:val="77045EA3"/>
    <w:rsid w:val="770C0679"/>
    <w:rsid w:val="77421B84"/>
    <w:rsid w:val="7761519A"/>
    <w:rsid w:val="77677CB3"/>
    <w:rsid w:val="777B6B6F"/>
    <w:rsid w:val="77830996"/>
    <w:rsid w:val="778F50A5"/>
    <w:rsid w:val="77D3260D"/>
    <w:rsid w:val="77F922D3"/>
    <w:rsid w:val="77F940B3"/>
    <w:rsid w:val="78166D6B"/>
    <w:rsid w:val="784768F5"/>
    <w:rsid w:val="78491F60"/>
    <w:rsid w:val="78A447D4"/>
    <w:rsid w:val="78AB7C8B"/>
    <w:rsid w:val="78D20CA6"/>
    <w:rsid w:val="793E0AFE"/>
    <w:rsid w:val="794B0BCE"/>
    <w:rsid w:val="79575C51"/>
    <w:rsid w:val="796E4764"/>
    <w:rsid w:val="79D917F1"/>
    <w:rsid w:val="79DC10E9"/>
    <w:rsid w:val="7A121257"/>
    <w:rsid w:val="7A1721FD"/>
    <w:rsid w:val="7A5D31D3"/>
    <w:rsid w:val="7A63782A"/>
    <w:rsid w:val="7A8C22B6"/>
    <w:rsid w:val="7A983386"/>
    <w:rsid w:val="7AC145DE"/>
    <w:rsid w:val="7ADC3A1C"/>
    <w:rsid w:val="7AEE3E04"/>
    <w:rsid w:val="7B89095D"/>
    <w:rsid w:val="7B9C3979"/>
    <w:rsid w:val="7BB861EC"/>
    <w:rsid w:val="7BCE2176"/>
    <w:rsid w:val="7C0A761C"/>
    <w:rsid w:val="7C293ECE"/>
    <w:rsid w:val="7C2F7190"/>
    <w:rsid w:val="7C334557"/>
    <w:rsid w:val="7C504629"/>
    <w:rsid w:val="7CA97126"/>
    <w:rsid w:val="7CD20F44"/>
    <w:rsid w:val="7CDD5A6B"/>
    <w:rsid w:val="7D025670"/>
    <w:rsid w:val="7D07779D"/>
    <w:rsid w:val="7D30527C"/>
    <w:rsid w:val="7D410793"/>
    <w:rsid w:val="7D471CC5"/>
    <w:rsid w:val="7D5D6647"/>
    <w:rsid w:val="7D8C3FEC"/>
    <w:rsid w:val="7DB82EAF"/>
    <w:rsid w:val="7DE07B8E"/>
    <w:rsid w:val="7DEF1BEB"/>
    <w:rsid w:val="7E4131BE"/>
    <w:rsid w:val="7EDF388F"/>
    <w:rsid w:val="7EF602F8"/>
    <w:rsid w:val="7EFB3828"/>
    <w:rsid w:val="7EFE71B0"/>
    <w:rsid w:val="7F0E3033"/>
    <w:rsid w:val="7F107927"/>
    <w:rsid w:val="7F2B28D5"/>
    <w:rsid w:val="7F3A168A"/>
    <w:rsid w:val="7F557BE9"/>
    <w:rsid w:val="7F6013F8"/>
    <w:rsid w:val="7F6D416F"/>
    <w:rsid w:val="7F925667"/>
    <w:rsid w:val="7FA56263"/>
    <w:rsid w:val="7FBB7681"/>
    <w:rsid w:val="7FEF00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qFormat/>
    <w:uiPriority w:val="0"/>
    <w:pPr>
      <w:shd w:val="clear" w:color="auto" w:fill="000080"/>
    </w:p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cs="宋体"/>
      <w:kern w:val="0"/>
      <w:sz w:val="24"/>
      <w:szCs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ca-2"/>
    <w:basedOn w:val="10"/>
    <w:qFormat/>
    <w:uiPriority w:val="0"/>
  </w:style>
  <w:style w:type="character" w:customStyle="1" w:styleId="14">
    <w:name w:val="ca-3"/>
    <w:basedOn w:val="10"/>
    <w:qFormat/>
    <w:uiPriority w:val="0"/>
  </w:style>
  <w:style w:type="character" w:customStyle="1" w:styleId="15">
    <w:name w:val="ca-42"/>
    <w:basedOn w:val="10"/>
    <w:qFormat/>
    <w:uiPriority w:val="0"/>
  </w:style>
  <w:style w:type="paragraph" w:customStyle="1" w:styleId="16">
    <w:name w:val="pa-3"/>
    <w:basedOn w:val="1"/>
    <w:qFormat/>
    <w:uiPriority w:val="0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7">
    <w:name w:val="pa-2"/>
    <w:basedOn w:val="1"/>
    <w:qFormat/>
    <w:uiPriority w:val="0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8">
    <w:name w:val="页脚 Char"/>
    <w:basedOn w:val="10"/>
    <w:link w:val="5"/>
    <w:qFormat/>
    <w:uiPriority w:val="99"/>
    <w:rPr>
      <w:kern w:val="2"/>
      <w:sz w:val="18"/>
      <w:szCs w:val="18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1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EF32E5-6FA2-4ADC-A3E6-7B94AEA8A9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xxstjj</Company>
  <Pages>15</Pages>
  <Words>947</Words>
  <Characters>5400</Characters>
  <Lines>45</Lines>
  <Paragraphs>12</Paragraphs>
  <TotalTime>2374</TotalTime>
  <ScaleCrop>false</ScaleCrop>
  <LinksUpToDate>false</LinksUpToDate>
  <CharactersWithSpaces>6335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2016-01-25T02:33:00Z</dcterms:created>
  <dc:creator>xx</dc:creator>
  <cp:lastModifiedBy>Administrator</cp:lastModifiedBy>
  <cp:lastPrinted>2020-04-08T06:37:00Z</cp:lastPrinted>
  <dcterms:modified xsi:type="dcterms:W3CDTF">2020-04-09T03:03:44Z</dcterms:modified>
  <dc:title>工    业</dc:title>
  <cp:revision>572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