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hint="eastAsia" w:eastAsia="宋体"/>
          <w:b/>
          <w:bCs/>
          <w:kern w:val="0"/>
          <w:sz w:val="36"/>
          <w:szCs w:val="36"/>
          <w:lang w:val="en-US" w:eastAsia="zh-CN"/>
        </w:rPr>
      </w:pPr>
      <w:r>
        <w:rPr>
          <w:rFonts w:eastAsia="Times New Roman"/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湘乡市商务局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部门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汇总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预算公开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说明</w:t>
      </w:r>
    </w:p>
    <w:p>
      <w:pPr>
        <w:ind w:firstLine="361" w:firstLineChars="100"/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商务局</w:t>
      </w:r>
      <w:r>
        <w:rPr>
          <w:rFonts w:ascii="宋体" w:hAnsi="宋体" w:eastAsia="宋体" w:cs="宋体"/>
          <w:b/>
          <w:bCs/>
          <w:sz w:val="32"/>
          <w:szCs w:val="32"/>
        </w:rPr>
        <w:t>单位概况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商务局</w:t>
      </w: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汇总预算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商务局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</w:t>
      </w:r>
      <w:r>
        <w:rPr>
          <w:rFonts w:ascii="宋体" w:hAnsi="宋体" w:eastAsia="宋体" w:cs="宋体"/>
          <w:b/>
          <w:bCs/>
          <w:sz w:val="32"/>
          <w:szCs w:val="32"/>
        </w:rPr>
        <w:t>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20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汇总预算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r>
        <w:rPr>
          <w:rFonts w:hint="eastAsia"/>
          <w:b/>
          <w:bCs/>
          <w:kern w:val="0"/>
          <w:sz w:val="36"/>
          <w:szCs w:val="36"/>
          <w:lang w:eastAsia="zh-CN"/>
        </w:rPr>
        <w:t>湘乡市商务局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20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汇总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numPr>
          <w:ilvl w:val="0"/>
          <w:numId w:val="2"/>
        </w:numPr>
        <w:spacing w:line="600" w:lineRule="exact"/>
        <w:ind w:firstLine="643" w:firstLineChars="200"/>
        <w:jc w:val="lef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(一)贯彻执行国家及省内外贸易、对外经济合作、区域经济合作的法律法规和方针政策。对经济全球化、区域经济合作、现代流通方式的发展提出相关政策建议。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二)负责推进流通产业结构调整，指导流通企业改革促进商贸服务业和社区商业发展，提出促进商贸中小企业发展的政策建议;推动流通标准化和连锁经营、商业特许经营、现货市场交易、物流配送、电子商务等现代流通方式的发展;承担会展业促进与管理有关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三)拟订全市内外贸易发展规划、招商引资计划，促进城乡市场发展;提出引导国内外资金投向市场体系建设的政策建议，负责城市商业网点规划、流通体系建设工作;推进农村市场体系建设，组织实施农村现代流通网络工程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(四)牵头协调整顿和规范商贸领域市场秩序工作;规范商贸企业交易行为;推动商务领域信用建设;指导商业信用销售;建立市场诚信公共服务平台;按有关规定对特殊流通行业进行监督管理。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(五)承担组织实施重要生产资料流通管理的责任;负责建立健全生活必需品市场供应应急管理机制;检测分析市场运行、商品供求关系，调查分析商品价格信息;进行预测预警和信息引导;市场调控工作。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(六)负责民用爆炸物品行业的监督管理;负责对全市民用爆炸物品的销售、使用、贮存进行业务指导、培训和安全监督;配合相关部门对全市民用爆炸物品的购销、使用、贮存进行监管。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(七)负责对成品油市场进行监督管理工作。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(八)推动流通领域追溯体系建设，负责肉菜、中药材等流通追溯体系项目建设和管理工作的组织实施和工作协调。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(九)承担城区直属农贸市场和政府直接投资新建农贸市场的资产管理、运营管理工作，指导社会专业市场的运营管理工作。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(十)承担全市商务系统统计及其信息发布工作，提供信息咨询服务;指导全市流通领域信息网和电子商务建设;指导、监督、规范全市商贸流通服务行业协会、学会等社团组织工作。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(十一)贯彻执行国家进出口商品、加工贸易管理办法和进出口管理商品、技术目录，拟订促进外贸增长方式转变的政策措施，指导贸易促进活动和外贸促进体系建设。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(十二)贯彻执行国家对外技术贸易、出口管制以及鼓励技术和成套设备进出口的贸易政策，推进进出口贸易标准化工作;依法监技术引进、设备进口、国家限制出口技术的工作。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(十三)牵头拟订服务贸易发展规划并开展相关工作;会同有关部门制定促进服务出口、服务外包的规划、政策并组织实施，推动服务外包平台建设。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四)贯彻执行我国双多边(含区域、自由贸易区)经贸合作战略和政策，推进我市与其他国家(地区)的经贸往来与投资贸易合作;牵头承担全市商务领域涉及世界贸易组织事务的相关工作，负责对外经济贸易协调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(十五)配合上级商务主管部门做好反倾销、反补贴、保障措施及其他与进出口公平贸易相关的工作，协助开展对外贸易调查和产业损害调查、产业安全应对等工作。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六)拟订并组织实施全市对外经济合作政策;依法管理和监督对外承包工程、对外劳务合作等，拟订市内人员出国出境务工、就业管理政策并组织实施;负责外派劳务和境外就业人员的权益保护工作;组织实施境外投资管理办法和具体政策，依法审核、引导市内企业对外投资开办企业(金融企业除外)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七)承担全市招商引资和承接产业转移工作，拟订并组织实施招商引资、承接产业转移政策;负责全市权限内外商投资企业设立和变更核准工作;组织实施全市招商引资考核和奖惩工作，规范、管理全市投资促进及招商引资活动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(十八)负责全市社会集贸市场管理的协调工作。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(十九)承担市场管理领导小组办公室的职责。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(二十)完成市委、市政府交办的其他任务。</w:t>
      </w:r>
    </w:p>
    <w:p>
      <w:pPr>
        <w:widowControl/>
        <w:spacing w:line="600" w:lineRule="exact"/>
        <w:ind w:firstLine="640" w:firstLineChars="200"/>
        <w:jc w:val="left"/>
        <w:rPr>
          <w:rFonts w:eastAsia="Times New Roman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(二十一)有关职责分工。</w:t>
      </w:r>
    </w:p>
    <w:p>
      <w:pPr>
        <w:widowControl/>
        <w:spacing w:line="600" w:lineRule="exact"/>
        <w:ind w:firstLine="630" w:firstLineChars="196"/>
        <w:jc w:val="left"/>
        <w:rPr>
          <w:rFonts w:eastAsia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二、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商务局下辖有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2个二级机构和10个股室，其中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市场服务中心独立核算，投资促进服务中心未独立核算；下辖股室有办公室、财计股、人事股、党建办、招商股、外经外贸股、电子商务股、综治安全法股、市场运行和消费促进股、市场建设和秩序股。纳入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2020年部门预算范围为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商务局本级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及下辖独立核算二级机构市场服务中心。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本单位在职人员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79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人，离退休人员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103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人。有公车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辆。本单位拥有国有资产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1431.75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</w:t>
      </w:r>
    </w:p>
    <w:p>
      <w:pPr>
        <w:widowControl/>
        <w:spacing w:line="600" w:lineRule="exact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部门预算包括本级预算和所属单位预算在内的汇总情况。收入既包括一般公共预算收入、政府性基金收入和国有资本经营预算收入，又包括事业单位经营服务等收入；支出既包括机关及所属事业单位基本运行的经费，也包括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招商引资、外向型经济发展、马路市场整治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等专项经费。</w:t>
      </w:r>
    </w:p>
    <w:p>
      <w:pPr>
        <w:widowControl/>
        <w:numPr>
          <w:ilvl w:val="0"/>
          <w:numId w:val="3"/>
        </w:numPr>
        <w:spacing w:line="600" w:lineRule="exact"/>
        <w:ind w:firstLine="627" w:firstLineChars="196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收入预算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年年初预算数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1515.85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万元，其中，一般公共预算拨款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1515.85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万元，政府性基金预算拨款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万元，国有资本经营预算拨款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万元，纳入专户管理的非税收入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收入较去年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减少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11.25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万元，主要是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人员公用经费减少。</w:t>
      </w:r>
    </w:p>
    <w:p>
      <w:pPr>
        <w:widowControl/>
        <w:numPr>
          <w:ilvl w:val="0"/>
          <w:numId w:val="3"/>
        </w:numPr>
        <w:spacing w:line="600" w:lineRule="exact"/>
        <w:ind w:firstLine="627" w:firstLineChars="196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支出预算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年年初预算数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1515.85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万元，其中，一般公共服务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1515.85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万元，公共安全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万元，教育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万元，科学技术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万元。支出较去年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减少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11.25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万元，主要是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人员公用经费减少。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kern w:val="0"/>
          <w:sz w:val="32"/>
          <w:szCs w:val="32"/>
        </w:rPr>
      </w:pPr>
    </w:p>
    <w:p>
      <w:pPr>
        <w:widowControl/>
        <w:spacing w:line="600" w:lineRule="exact"/>
        <w:ind w:firstLine="660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年一般公共预算拨款收入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1515.85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万元，具体安排情况如下：</w:t>
      </w:r>
    </w:p>
    <w:p>
      <w:pPr>
        <w:widowControl/>
        <w:numPr>
          <w:ilvl w:val="0"/>
          <w:numId w:val="4"/>
        </w:numPr>
        <w:spacing w:line="600" w:lineRule="exact"/>
        <w:ind w:firstLine="66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基本支出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年年初预算数为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966.85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numPr>
          <w:ilvl w:val="0"/>
          <w:numId w:val="4"/>
        </w:numPr>
        <w:spacing w:line="600" w:lineRule="exact"/>
        <w:ind w:left="0" w:leftChars="0" w:firstLine="660" w:firstLineChars="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</w:t>
      </w:r>
    </w:p>
    <w:p>
      <w:pPr>
        <w:widowControl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2020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年年初预算数为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549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万元，是指单位为完成全市招商引资和承接产业转移工作、牵头协调整顿和规划市场秩序工作、民用爆炸物品经营的监督管理工作、牵头外派劳务和境外就业人员的权益保护等工作而发生的支出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其中：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招商引资工作经费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180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万元，主要用于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招商引资宣传推介、小分队招商、重大项目策划包装、招商引资绩效奖励等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方面；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外向型经济发展专项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45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万元，主要用于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扶持外贸企业和外贸新增长点建设发展等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方面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；企业改制遗留问题处理经费支出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56.7万元，主要用于商务系统原商业、物资、外贸企业遗留改制遗留问题处理；商务执法专项支出4.5万元，主要用于执法专项整治等方面支出；马路市场整顿工作经费支出18万元，主要用于取缔马路市场联合执法等方面；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国有资产收入成本支出10.8万元，主要用于门面租赁税费等方面；成品油市场管理工作经费支出9万元，主要用于成品油管理方面等支出；社零统计分析工作经费4.5万元主要用于补贴企业每月申报数据劳务等方面支出；市场维修、运行专项支出220.5万元，主要用于市场维修、市场物业管理等方面支出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三、预算绩效情况</w:t>
      </w:r>
    </w:p>
    <w:p>
      <w:pPr>
        <w:widowControl/>
        <w:spacing w:line="600" w:lineRule="exact"/>
        <w:ind w:firstLine="660"/>
        <w:jc w:val="left"/>
        <w:rPr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eastAsia="zh-CN"/>
        </w:rPr>
        <w:t>2019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招商引资、市场运行</w:t>
      </w:r>
      <w:r>
        <w:rPr>
          <w:rFonts w:hint="eastAsia" w:cs="宋体"/>
          <w:sz w:val="32"/>
          <w:szCs w:val="32"/>
        </w:rPr>
        <w:t>项目支出纳入了财政绩效评价，财政</w:t>
      </w:r>
      <w:r>
        <w:rPr>
          <w:rFonts w:hint="eastAsia" w:cs="宋体"/>
          <w:sz w:val="32"/>
          <w:szCs w:val="32"/>
          <w:lang w:eastAsia="zh-CN"/>
        </w:rPr>
        <w:t>项目</w:t>
      </w:r>
      <w:r>
        <w:rPr>
          <w:rFonts w:hint="eastAsia" w:cs="宋体"/>
          <w:sz w:val="32"/>
          <w:szCs w:val="32"/>
        </w:rPr>
        <w:t>绩效</w:t>
      </w:r>
      <w:r>
        <w:rPr>
          <w:rFonts w:hint="eastAsia" w:cs="宋体"/>
          <w:sz w:val="32"/>
          <w:szCs w:val="32"/>
          <w:lang w:eastAsia="zh-CN"/>
        </w:rPr>
        <w:t>与总体绩效</w:t>
      </w:r>
      <w:r>
        <w:rPr>
          <w:rFonts w:hint="eastAsia" w:cs="宋体"/>
          <w:sz w:val="32"/>
          <w:szCs w:val="32"/>
        </w:rPr>
        <w:t>评价结果</w:t>
      </w:r>
      <w:r>
        <w:rPr>
          <w:rFonts w:hint="eastAsia" w:cs="宋体"/>
          <w:sz w:val="32"/>
          <w:szCs w:val="32"/>
          <w:lang w:eastAsia="zh-CN"/>
        </w:rPr>
        <w:t>均</w:t>
      </w:r>
      <w:r>
        <w:rPr>
          <w:rFonts w:hint="eastAsia"/>
          <w:sz w:val="32"/>
          <w:szCs w:val="32"/>
          <w:lang w:eastAsia="zh-CN"/>
        </w:rPr>
        <w:t>为良好</w:t>
      </w:r>
      <w:r>
        <w:rPr>
          <w:rFonts w:hint="eastAsia" w:cs="宋体"/>
          <w:sz w:val="32"/>
          <w:szCs w:val="32"/>
        </w:rPr>
        <w:t>，</w:t>
      </w: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招商引资、市场运行</w:t>
      </w:r>
      <w:r>
        <w:rPr>
          <w:rFonts w:hint="eastAsia" w:cs="宋体"/>
          <w:sz w:val="32"/>
          <w:szCs w:val="32"/>
        </w:rPr>
        <w:t>项目支出</w:t>
      </w:r>
      <w:r>
        <w:rPr>
          <w:rFonts w:hint="eastAsia" w:cs="宋体"/>
          <w:sz w:val="32"/>
          <w:szCs w:val="32"/>
          <w:lang w:eastAsia="zh-CN"/>
        </w:rPr>
        <w:t>、外向型经济发展专项资</w:t>
      </w:r>
      <w:bookmarkStart w:id="0" w:name="_GoBack"/>
      <w:bookmarkEnd w:id="0"/>
      <w:r>
        <w:rPr>
          <w:rFonts w:hint="eastAsia" w:cs="宋体"/>
          <w:sz w:val="32"/>
          <w:szCs w:val="32"/>
          <w:lang w:eastAsia="zh-CN"/>
        </w:rPr>
        <w:t>金支出</w:t>
      </w:r>
      <w:r>
        <w:rPr>
          <w:rFonts w:hint="eastAsia" w:cs="宋体"/>
          <w:sz w:val="32"/>
          <w:szCs w:val="32"/>
        </w:rPr>
        <w:t>纳入了财政绩效评价。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2020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hint="eastAsia"/>
          <w:sz w:val="32"/>
          <w:szCs w:val="32"/>
          <w:u w:val="single"/>
          <w:lang w:val="en-US" w:eastAsia="zh-CN"/>
        </w:rPr>
        <w:t>487.05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19</w:t>
      </w:r>
      <w:r>
        <w:rPr>
          <w:rFonts w:hint="eastAsia" w:ascii="宋体" w:hAnsi="宋体" w:cs="宋体"/>
          <w:sz w:val="32"/>
          <w:szCs w:val="32"/>
        </w:rPr>
        <w:t>年预算增加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144.13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万元，上升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42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hint="eastAsia"/>
          <w:sz w:val="32"/>
          <w:szCs w:val="32"/>
          <w:lang w:val="en-US"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118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108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3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eastAsia="Times New Roman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201</w:t>
      </w:r>
      <w:r>
        <w:rPr>
          <w:rFonts w:hint="eastAsia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sz w:val="32"/>
          <w:szCs w:val="32"/>
        </w:rPr>
        <w:t>年增加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57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万元，主要是</w:t>
      </w:r>
      <w:r>
        <w:rPr>
          <w:rFonts w:hint="eastAsia"/>
          <w:sz w:val="32"/>
          <w:szCs w:val="32"/>
          <w:lang w:eastAsia="zh-CN"/>
        </w:rPr>
        <w:t>根据湘乡府阅【</w:t>
      </w:r>
      <w:r>
        <w:rPr>
          <w:rFonts w:hint="eastAsia"/>
          <w:sz w:val="32"/>
          <w:szCs w:val="32"/>
          <w:lang w:val="en-US" w:eastAsia="zh-CN"/>
        </w:rPr>
        <w:t>2019】36号《关于推进我市商务工作发展有关问题的会议纪要》增加招商引资专项经费100万元。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hint="eastAsia" w:ascii="宋体" w:hAnsi="宋体" w:eastAsia="宋体" w:cs="宋体"/>
          <w:color w:val="FF00FF"/>
          <w:sz w:val="32"/>
          <w:szCs w:val="32"/>
          <w:lang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商务局</w:t>
      </w:r>
      <w:r>
        <w:rPr>
          <w:rFonts w:hint="eastAsia" w:ascii="宋体" w:hAnsi="宋体" w:cs="宋体"/>
          <w:sz w:val="32"/>
          <w:szCs w:val="32"/>
        </w:rPr>
        <w:t>政府采购预算总额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20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万元，其中，</w:t>
      </w:r>
      <w:r>
        <w:rPr>
          <w:rFonts w:hint="eastAsia"/>
          <w:sz w:val="32"/>
          <w:szCs w:val="32"/>
          <w:lang w:eastAsia="zh-CN"/>
        </w:rPr>
        <w:t>办公用品购置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19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万元；</w:t>
      </w:r>
      <w:r>
        <w:rPr>
          <w:rFonts w:hint="eastAsia"/>
          <w:sz w:val="32"/>
          <w:szCs w:val="32"/>
          <w:lang w:eastAsia="zh-CN"/>
        </w:rPr>
        <w:t>公车保险费用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1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4、政府购买服务情况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eastAsia="zh-CN"/>
        </w:rPr>
        <w:t>商务局</w:t>
      </w:r>
      <w:r>
        <w:rPr>
          <w:rFonts w:hint="eastAsia" w:ascii="宋体" w:hAnsi="宋体" w:cs="宋体"/>
          <w:sz w:val="32"/>
          <w:szCs w:val="32"/>
        </w:rPr>
        <w:t>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</w:t>
      </w:r>
      <w:r>
        <w:rPr>
          <w:rFonts w:hint="eastAsia" w:ascii="宋体" w:hAnsi="宋体" w:cs="宋体"/>
          <w:sz w:val="32"/>
          <w:szCs w:val="32"/>
        </w:rPr>
        <w:t>预算总额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10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</w:t>
      </w:r>
      <w:r>
        <w:rPr>
          <w:rFonts w:hint="eastAsia" w:ascii="宋体" w:hAnsi="宋体" w:cs="宋体"/>
          <w:sz w:val="32"/>
          <w:szCs w:val="32"/>
          <w:lang w:eastAsia="zh-CN"/>
        </w:rPr>
        <w:t>绩效评价类</w:t>
      </w:r>
      <w:r>
        <w:rPr>
          <w:rFonts w:hint="eastAsia" w:ascii="宋体" w:hAnsi="宋体" w:cs="宋体"/>
          <w:sz w:val="32"/>
          <w:szCs w:val="32"/>
        </w:rPr>
        <w:t>预算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>10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万元。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9A8E24E"/>
    <w:multiLevelType w:val="singleLevel"/>
    <w:tmpl w:val="F9A8E24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B6A13C8"/>
    <w:multiLevelType w:val="singleLevel"/>
    <w:tmpl w:val="FB6A13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C3F28F8"/>
    <w:rsid w:val="0D5D6C5C"/>
    <w:rsid w:val="171D1070"/>
    <w:rsid w:val="28E94267"/>
    <w:rsid w:val="301F6F84"/>
    <w:rsid w:val="43137733"/>
    <w:rsid w:val="438C6E72"/>
    <w:rsid w:val="49C527C6"/>
    <w:rsid w:val="51DB6730"/>
    <w:rsid w:val="5E8C0E6F"/>
    <w:rsid w:val="60F0595B"/>
    <w:rsid w:val="63181C3A"/>
    <w:rsid w:val="6D4A1E18"/>
    <w:rsid w:val="6DAD3355"/>
    <w:rsid w:val="6EEE573F"/>
    <w:rsid w:val="751B5D91"/>
    <w:rsid w:val="769A1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13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香香</cp:lastModifiedBy>
  <cp:lastPrinted>2020-05-20T02:35:00Z</cp:lastPrinted>
  <dcterms:modified xsi:type="dcterms:W3CDTF">2020-05-25T09:48:48Z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