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6"/>
          <w:szCs w:val="36"/>
        </w:rPr>
      </w:pPr>
      <w:r>
        <w:rPr>
          <w:rFonts w:hint="eastAsia" w:ascii="黑体" w:eastAsia="黑体"/>
          <w:sz w:val="36"/>
          <w:szCs w:val="36"/>
        </w:rPr>
        <w:t>湘乡统计月报</w:t>
      </w:r>
    </w:p>
    <w:p>
      <w:pPr>
        <w:spacing w:line="380" w:lineRule="exact"/>
        <w:jc w:val="center"/>
        <w:rPr>
          <w:rFonts w:ascii="黑体" w:eastAsia="黑体"/>
          <w:sz w:val="32"/>
          <w:szCs w:val="32"/>
        </w:rPr>
      </w:pPr>
    </w:p>
    <w:p>
      <w:pPr>
        <w:spacing w:line="380" w:lineRule="exact"/>
        <w:jc w:val="center"/>
        <w:rPr>
          <w:rFonts w:ascii="黑体" w:eastAsia="黑体"/>
          <w:sz w:val="32"/>
          <w:szCs w:val="32"/>
        </w:rPr>
      </w:pPr>
      <w:r>
        <w:rPr>
          <w:rFonts w:hint="eastAsia" w:ascii="黑体" w:eastAsia="黑体"/>
          <w:sz w:val="32"/>
          <w:szCs w:val="32"/>
        </w:rPr>
        <w:t>2020·6</w:t>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r>
        <w:rPr>
          <w:rFonts w:hint="eastAsia" w:ascii="黑体" w:eastAsia="黑体"/>
          <w:sz w:val="32"/>
          <w:szCs w:val="32"/>
        </w:rPr>
        <w:t>湘乡市统计局</w:t>
      </w:r>
    </w:p>
    <w:p>
      <w:pPr>
        <w:spacing w:line="380" w:lineRule="exact"/>
        <w:jc w:val="center"/>
        <w:rPr>
          <w:rFonts w:ascii="黑体" w:eastAsia="黑体"/>
          <w:sz w:val="32"/>
          <w:szCs w:val="32"/>
        </w:rPr>
      </w:pPr>
      <w:r>
        <w:rPr>
          <w:rFonts w:ascii="黑体" w:eastAsia="黑体"/>
          <w:sz w:val="32"/>
          <w:szCs w:val="32"/>
        </w:rPr>
        <w:br w:type="page"/>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left"/>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r>
        <w:rPr>
          <w:rFonts w:hint="eastAsia" w:ascii="黑体" w:eastAsia="黑体"/>
          <w:sz w:val="32"/>
          <w:szCs w:val="32"/>
        </w:rPr>
        <w:t>目    录</w:t>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ind w:firstLine="1014" w:firstLineChars="300"/>
        <w:jc w:val="left"/>
        <w:rPr>
          <w:rFonts w:ascii="黑体" w:eastAsia="黑体"/>
          <w:sz w:val="32"/>
          <w:szCs w:val="32"/>
        </w:rPr>
      </w:pPr>
      <w:r>
        <w:rPr>
          <w:rFonts w:hint="eastAsia" w:ascii="黑体" w:eastAsia="黑体"/>
          <w:sz w:val="32"/>
          <w:szCs w:val="32"/>
        </w:rPr>
        <w:t>一、经济运行概况………………………………（1）</w:t>
      </w:r>
    </w:p>
    <w:p>
      <w:pPr>
        <w:spacing w:line="380" w:lineRule="exact"/>
        <w:ind w:firstLine="1014" w:firstLineChars="300"/>
        <w:jc w:val="left"/>
        <w:rPr>
          <w:rFonts w:ascii="黑体" w:eastAsia="黑体"/>
          <w:sz w:val="32"/>
          <w:szCs w:val="32"/>
        </w:rPr>
      </w:pPr>
      <w:r>
        <w:rPr>
          <w:rFonts w:hint="eastAsia" w:ascii="黑体" w:eastAsia="黑体"/>
          <w:sz w:val="32"/>
          <w:szCs w:val="32"/>
        </w:rPr>
        <w:t>二、综合…………………………………………（</w:t>
      </w:r>
      <w:r>
        <w:rPr>
          <w:rFonts w:hint="eastAsia" w:ascii="黑体" w:eastAsia="黑体"/>
          <w:sz w:val="32"/>
          <w:szCs w:val="32"/>
          <w:lang w:val="en-US" w:eastAsia="zh-CN"/>
        </w:rPr>
        <w:t>4</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三、地区生产总值（GDP）…………………… （</w:t>
      </w:r>
      <w:r>
        <w:rPr>
          <w:rFonts w:hint="eastAsia" w:ascii="黑体" w:eastAsia="黑体"/>
          <w:sz w:val="32"/>
          <w:szCs w:val="32"/>
          <w:lang w:val="en-US" w:eastAsia="zh-CN"/>
        </w:rPr>
        <w:t>5</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四、财税 ……………………………………… （</w:t>
      </w:r>
      <w:r>
        <w:rPr>
          <w:rFonts w:hint="eastAsia" w:ascii="黑体" w:eastAsia="黑体"/>
          <w:sz w:val="32"/>
          <w:szCs w:val="32"/>
          <w:lang w:val="en-US" w:eastAsia="zh-CN"/>
        </w:rPr>
        <w:t>6</w:t>
      </w:r>
      <w:r>
        <w:rPr>
          <w:rFonts w:hint="eastAsia" w:ascii="黑体" w:eastAsia="黑体"/>
          <w:sz w:val="32"/>
          <w:szCs w:val="32"/>
        </w:rPr>
        <w:t>）</w:t>
      </w:r>
    </w:p>
    <w:p>
      <w:pPr>
        <w:spacing w:line="380" w:lineRule="exact"/>
        <w:ind w:firstLine="986" w:firstLineChars="292"/>
        <w:jc w:val="left"/>
        <w:rPr>
          <w:rFonts w:ascii="黑体" w:eastAsia="黑体"/>
          <w:sz w:val="32"/>
          <w:szCs w:val="32"/>
        </w:rPr>
      </w:pPr>
      <w:r>
        <w:rPr>
          <w:rFonts w:hint="eastAsia" w:ascii="黑体" w:eastAsia="黑体"/>
          <w:sz w:val="32"/>
          <w:szCs w:val="32"/>
        </w:rPr>
        <w:t>五、固定资产投资………………………………（</w:t>
      </w:r>
      <w:r>
        <w:rPr>
          <w:rFonts w:hint="eastAsia" w:ascii="黑体" w:eastAsia="黑体"/>
          <w:sz w:val="32"/>
          <w:szCs w:val="32"/>
          <w:lang w:val="en-US" w:eastAsia="zh-CN"/>
        </w:rPr>
        <w:t>7</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六、房地产 …………………………………… （</w:t>
      </w:r>
      <w:r>
        <w:rPr>
          <w:rFonts w:hint="eastAsia" w:ascii="黑体" w:eastAsia="黑体"/>
          <w:sz w:val="32"/>
          <w:szCs w:val="32"/>
          <w:lang w:val="en-US" w:eastAsia="zh-CN"/>
        </w:rPr>
        <w:t>8</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七、工业…………………………………………（</w:t>
      </w:r>
      <w:r>
        <w:rPr>
          <w:rFonts w:hint="eastAsia" w:ascii="黑体" w:eastAsia="黑体"/>
          <w:sz w:val="32"/>
          <w:szCs w:val="32"/>
          <w:lang w:val="en-US" w:eastAsia="zh-CN"/>
        </w:rPr>
        <w:t>10</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八、贸易外经……………………………………（</w:t>
      </w:r>
      <w:r>
        <w:rPr>
          <w:rFonts w:hint="eastAsia" w:ascii="黑体" w:eastAsia="黑体"/>
          <w:sz w:val="32"/>
          <w:szCs w:val="32"/>
          <w:lang w:val="en-US" w:eastAsia="zh-CN"/>
        </w:rPr>
        <w:t>12</w:t>
      </w:r>
      <w:r>
        <w:rPr>
          <w:rFonts w:hint="eastAsia" w:ascii="黑体" w:eastAsia="黑体"/>
          <w:sz w:val="32"/>
          <w:szCs w:val="32"/>
        </w:rPr>
        <w:t>）</w:t>
      </w:r>
    </w:p>
    <w:p>
      <w:pPr>
        <w:spacing w:line="380" w:lineRule="exact"/>
        <w:jc w:val="left"/>
        <w:rPr>
          <w:rFonts w:ascii="黑体" w:eastAsia="黑体"/>
          <w:sz w:val="32"/>
          <w:szCs w:val="32"/>
        </w:rPr>
      </w:pPr>
      <w:r>
        <w:rPr>
          <w:rFonts w:hint="eastAsia" w:ascii="黑体" w:eastAsia="黑体"/>
          <w:sz w:val="32"/>
          <w:szCs w:val="32"/>
        </w:rPr>
        <w:t xml:space="preserve">      九、金融…………………………………………（</w:t>
      </w:r>
      <w:r>
        <w:rPr>
          <w:rFonts w:hint="eastAsia" w:ascii="黑体" w:eastAsia="黑体"/>
          <w:sz w:val="32"/>
          <w:szCs w:val="32"/>
          <w:lang w:val="en-US" w:eastAsia="zh-CN"/>
        </w:rPr>
        <w:t>13</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十、社会保障 ………………………………… （</w:t>
      </w:r>
      <w:r>
        <w:rPr>
          <w:rFonts w:hint="eastAsia" w:ascii="黑体" w:eastAsia="黑体"/>
          <w:sz w:val="32"/>
          <w:szCs w:val="32"/>
          <w:lang w:val="en-US" w:eastAsia="zh-CN"/>
        </w:rPr>
        <w:t>14</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十一、为民办实事 …………………………… （</w:t>
      </w:r>
      <w:r>
        <w:rPr>
          <w:rFonts w:hint="eastAsia" w:ascii="黑体" w:eastAsia="黑体"/>
          <w:sz w:val="32"/>
          <w:szCs w:val="32"/>
          <w:lang w:val="en-US" w:eastAsia="zh-CN"/>
        </w:rPr>
        <w:t>15</w:t>
      </w:r>
      <w:r>
        <w:rPr>
          <w:rFonts w:hint="eastAsia" w:ascii="黑体" w:eastAsia="黑体"/>
          <w:sz w:val="32"/>
          <w:szCs w:val="32"/>
        </w:rPr>
        <w:t>）</w:t>
      </w:r>
    </w:p>
    <w:p>
      <w:pPr>
        <w:spacing w:line="380" w:lineRule="exact"/>
        <w:ind w:firstLine="1014" w:firstLineChars="300"/>
        <w:jc w:val="left"/>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楷体_GB2312" w:eastAsia="楷体_GB2312"/>
          <w:sz w:val="32"/>
          <w:szCs w:val="32"/>
        </w:rPr>
      </w:pPr>
      <w:r>
        <w:rPr>
          <w:rFonts w:hint="eastAsia" w:ascii="楷体_GB2312" w:eastAsia="楷体_GB2312"/>
          <w:sz w:val="32"/>
          <w:szCs w:val="32"/>
        </w:rPr>
        <w:t>湘乡市统计信息网址：</w:t>
      </w:r>
      <w:r>
        <w:rPr>
          <w:rFonts w:ascii="楷体_GB2312" w:eastAsia="楷体_GB2312"/>
          <w:sz w:val="32"/>
          <w:szCs w:val="32"/>
        </w:rPr>
        <w:t xml:space="preserve">http://www.xxs.gov.cn/zwwzdh/zfbm/tjj/ </w:t>
      </w: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ind w:firstLine="3042" w:firstLineChars="900"/>
        <w:rPr>
          <w:rFonts w:ascii="黑体" w:hAnsi="黑体" w:eastAsia="黑体"/>
          <w:b/>
          <w:bCs/>
          <w:color w:val="000000"/>
          <w:sz w:val="32"/>
          <w:szCs w:val="32"/>
        </w:rPr>
      </w:pPr>
      <w:r>
        <w:rPr>
          <w:rFonts w:hint="eastAsia" w:ascii="黑体" w:hAnsi="黑体" w:eastAsia="黑体"/>
          <w:b/>
          <w:bCs/>
          <w:color w:val="000000"/>
          <w:sz w:val="32"/>
          <w:szCs w:val="32"/>
        </w:rPr>
        <w:t>一、经济运行概况</w:t>
      </w:r>
    </w:p>
    <w:p>
      <w:pPr>
        <w:ind w:firstLine="596" w:firstLineChars="200"/>
        <w:jc w:val="center"/>
        <w:rPr>
          <w:rFonts w:ascii="宋体" w:hAnsi="宋体" w:cs="宋体"/>
          <w:color w:val="FF0000"/>
        </w:rPr>
      </w:pPr>
    </w:p>
    <w:p>
      <w:pPr>
        <w:ind w:firstLine="596" w:firstLineChars="200"/>
        <w:rPr>
          <w:rFonts w:ascii="宋体" w:hAnsi="宋体" w:cs="宋体"/>
          <w:color w:val="000000"/>
        </w:rPr>
      </w:pPr>
      <w:r>
        <w:rPr>
          <w:rFonts w:hint="eastAsia" w:ascii="宋体" w:hAnsi="宋体" w:cs="宋体"/>
          <w:color w:val="000000"/>
        </w:rPr>
        <w:t>今年以来，面对新冠肺炎疫情冲击和经济下行压力加大的叠加影响，全市上下在市委、市政府的坚强领导下，深入贯彻落实党中央、国务院各项决策部署，加大“六稳”工作力度，促进“六保”任务落实。全市疫情防控工作推进稳定，主要经济指标逐月回升，经济运行态势总体持续向好。</w:t>
      </w:r>
    </w:p>
    <w:p>
      <w:pPr>
        <w:ind w:firstLine="596" w:firstLineChars="200"/>
        <w:rPr>
          <w:rFonts w:ascii="宋体" w:hAnsi="宋体" w:cs="宋体"/>
          <w:color w:val="000000"/>
        </w:rPr>
      </w:pPr>
      <w:r>
        <w:rPr>
          <w:rFonts w:hint="eastAsia" w:ascii="宋体" w:hAnsi="宋体" w:cs="宋体"/>
          <w:b/>
          <w:bCs/>
          <w:color w:val="000000"/>
        </w:rPr>
        <w:t>经济总量增长由负转正，经济运行稳步回升。</w:t>
      </w:r>
      <w:r>
        <w:rPr>
          <w:rFonts w:hint="eastAsia" w:ascii="宋体" w:hAnsi="宋体" w:cs="宋体"/>
          <w:color w:val="000000"/>
        </w:rPr>
        <w:t>上半年，全市实现地区生产总值212.26亿元，同比增长0.5%，增速较一季度提高1.6百分点。其中，第一产业增加值21.19亿元，同比增长2.1%；第二产业增加值100.2亿元，同比下降0.7%；第三产业增加值90.87亿元，同比增长1.7%。三次产业比为10：47.2：42.8。</w:t>
      </w:r>
    </w:p>
    <w:p>
      <w:pPr>
        <w:numPr>
          <w:ilvl w:val="0"/>
          <w:numId w:val="1"/>
        </w:numPr>
        <w:ind w:firstLine="596" w:firstLineChars="200"/>
        <w:rPr>
          <w:rFonts w:ascii="宋体" w:hAnsi="宋体" w:cs="宋体"/>
          <w:color w:val="000000"/>
        </w:rPr>
      </w:pPr>
      <w:r>
        <w:rPr>
          <w:rFonts w:hint="eastAsia" w:ascii="宋体" w:hAnsi="宋体" w:cs="宋体"/>
          <w:b/>
          <w:bCs/>
          <w:color w:val="000000"/>
        </w:rPr>
        <w:t>生产运行持续向好，回升态势明显。一是农业生产加快恢复。</w:t>
      </w:r>
      <w:r>
        <w:rPr>
          <w:rFonts w:hint="eastAsia" w:ascii="宋体" w:hAnsi="宋体" w:cs="宋体"/>
          <w:color w:val="000000"/>
        </w:rPr>
        <w:t>我市围绕保障粮食安全、加快恢复生猪生产等重点任务，采取有力有效措施，努力克服新冠肺炎疫情对农业生产的负面影响，农业生产秩序加快恢复。上半年，全市农林牧渔业增加值22.06亿元，同比增长2.3%，增幅较一季度提高4.8个百分点。全市早稻种植面积40.67万亩，经济作物油菜籽、蔬菜产量分别同比增长16.2%、1.0%。生猪产能持续恢复。二季度末，全市生猪存栏54.18万头，其中能繁殖母猪存栏5.3万头。</w:t>
      </w:r>
      <w:r>
        <w:rPr>
          <w:rFonts w:hint="eastAsia" w:ascii="宋体" w:hAnsi="宋体" w:cs="宋体"/>
          <w:b/>
          <w:bCs/>
          <w:color w:val="000000"/>
        </w:rPr>
        <w:t>二是工业生产稳步回升。</w:t>
      </w:r>
      <w:r>
        <w:rPr>
          <w:rFonts w:hint="eastAsia" w:ascii="宋体" w:hAnsi="宋体" w:cs="宋体"/>
          <w:color w:val="000000"/>
        </w:rPr>
        <w:t>上半年，全市工业总产值同比下降5.2%，其中规模以上工业增加值同比下降2</w:t>
      </w:r>
      <w:r>
        <w:rPr>
          <w:rFonts w:hint="eastAsia" w:ascii="宋体" w:hAnsi="宋体" w:cs="宋体"/>
          <w:color w:val="000000"/>
          <w:lang w:val="en-US" w:eastAsia="zh-CN"/>
        </w:rPr>
        <w:t>.0</w:t>
      </w:r>
      <w:r>
        <w:rPr>
          <w:rFonts w:hint="eastAsia" w:ascii="宋体" w:hAnsi="宋体" w:cs="宋体"/>
          <w:color w:val="000000"/>
        </w:rPr>
        <w:t>%，降幅较一季度收窄4.9个百分点；增速比湘潭市高0.2个百分点，比全省低3.9个百分点。</w:t>
      </w:r>
      <w:r>
        <w:rPr>
          <w:rFonts w:ascii="宋体" w:hAnsi="宋体" w:cs="宋体"/>
          <w:color w:val="000000"/>
        </w:rPr>
        <w:t>从三大门类看，采矿业增加值</w:t>
      </w:r>
      <w:r>
        <w:rPr>
          <w:rFonts w:hint="eastAsia" w:ascii="宋体" w:hAnsi="宋体" w:cs="宋体"/>
          <w:color w:val="000000"/>
        </w:rPr>
        <w:t>同比下降32.6</w:t>
      </w:r>
      <w:r>
        <w:rPr>
          <w:rFonts w:ascii="宋体" w:hAnsi="宋体" w:cs="宋体"/>
          <w:color w:val="000000"/>
        </w:rPr>
        <w:t>%，制造业增加值</w:t>
      </w:r>
      <w:r>
        <w:rPr>
          <w:rFonts w:hint="eastAsia" w:ascii="宋体" w:hAnsi="宋体" w:cs="宋体"/>
          <w:color w:val="000000"/>
        </w:rPr>
        <w:t>同比下降4.0</w:t>
      </w:r>
      <w:r>
        <w:rPr>
          <w:rFonts w:ascii="宋体" w:hAnsi="宋体" w:cs="宋体"/>
          <w:color w:val="000000"/>
        </w:rPr>
        <w:t>%，电力热力燃气及水生产和供应业</w:t>
      </w:r>
      <w:r>
        <w:rPr>
          <w:rFonts w:hint="eastAsia" w:ascii="宋体" w:hAnsi="宋体" w:cs="宋体"/>
          <w:color w:val="000000"/>
        </w:rPr>
        <w:t>增加值同比增</w:t>
      </w:r>
      <w:r>
        <w:rPr>
          <w:rFonts w:ascii="宋体" w:hAnsi="宋体" w:cs="宋体"/>
          <w:color w:val="000000"/>
        </w:rPr>
        <w:t>长</w:t>
      </w:r>
      <w:r>
        <w:rPr>
          <w:rFonts w:hint="eastAsia" w:ascii="宋体" w:hAnsi="宋体" w:cs="宋体"/>
          <w:color w:val="000000"/>
        </w:rPr>
        <w:t>12.6</w:t>
      </w:r>
      <w:r>
        <w:rPr>
          <w:rFonts w:ascii="宋体" w:hAnsi="宋体" w:cs="宋体"/>
          <w:color w:val="000000"/>
        </w:rPr>
        <w:t>%。从</w:t>
      </w:r>
      <w:r>
        <w:rPr>
          <w:rFonts w:hint="eastAsia" w:ascii="宋体" w:hAnsi="宋体" w:cs="宋体"/>
          <w:color w:val="000000"/>
        </w:rPr>
        <w:t>制造</w:t>
      </w:r>
      <w:r>
        <w:rPr>
          <w:rFonts w:ascii="宋体" w:hAnsi="宋体" w:cs="宋体"/>
          <w:color w:val="000000"/>
        </w:rPr>
        <w:t>业</w:t>
      </w:r>
      <w:r>
        <w:rPr>
          <w:rFonts w:hint="eastAsia" w:ascii="宋体" w:hAnsi="宋体" w:cs="宋体"/>
          <w:color w:val="000000"/>
        </w:rPr>
        <w:t>重点监测的六大行业产值</w:t>
      </w:r>
      <w:r>
        <w:rPr>
          <w:rFonts w:ascii="宋体" w:hAnsi="宋体" w:cs="宋体"/>
          <w:color w:val="000000"/>
        </w:rPr>
        <w:t>看</w:t>
      </w:r>
      <w:r>
        <w:rPr>
          <w:rFonts w:hint="eastAsia" w:ascii="宋体" w:hAnsi="宋体" w:cs="宋体"/>
          <w:color w:val="000000"/>
        </w:rPr>
        <w:t>“三增三负”，建材、冶金、机电同比分别增长3.1%、3.3%、5.8%；食品、皮革、化工同比分别下降1.7%、11.0%、7.7%。</w:t>
      </w:r>
      <w:r>
        <w:rPr>
          <w:rFonts w:hint="eastAsia" w:ascii="宋体" w:hAnsi="宋体" w:cs="宋体"/>
          <w:color w:val="000000"/>
          <w:lang w:eastAsia="zh-CN"/>
        </w:rPr>
        <w:t>上半年，全市</w:t>
      </w:r>
      <w:r>
        <w:rPr>
          <w:rFonts w:hint="eastAsia" w:ascii="宋体" w:hAnsi="宋体" w:cs="宋体"/>
          <w:color w:val="000000"/>
        </w:rPr>
        <w:t>规模以上工业用电量4.2亿千瓦·时，同比下降1.5%</w:t>
      </w:r>
      <w:r>
        <w:rPr>
          <w:rFonts w:hint="eastAsia" w:ascii="宋体" w:hAnsi="宋体" w:cs="宋体"/>
          <w:color w:val="000000"/>
          <w:lang w:eastAsia="zh-CN"/>
        </w:rPr>
        <w:t>；</w:t>
      </w:r>
      <w:r>
        <w:rPr>
          <w:rFonts w:hint="eastAsia" w:ascii="宋体" w:hAnsi="宋体" w:cs="宋体"/>
          <w:color w:val="000000"/>
        </w:rPr>
        <w:t>完成高新技术产值166.4亿元</w:t>
      </w:r>
      <w:r>
        <w:rPr>
          <w:rFonts w:ascii="宋体" w:hAnsi="宋体" w:cs="宋体"/>
          <w:color w:val="000000"/>
        </w:rPr>
        <w:t>，</w:t>
      </w:r>
      <w:r>
        <w:rPr>
          <w:rFonts w:hint="eastAsia" w:ascii="宋体" w:hAnsi="宋体" w:cs="宋体"/>
          <w:color w:val="000000"/>
        </w:rPr>
        <w:t>同比增长28%。</w:t>
      </w:r>
      <w:r>
        <w:rPr>
          <w:rFonts w:hint="eastAsia" w:ascii="宋体" w:hAnsi="宋体" w:cs="宋体"/>
          <w:b/>
          <w:bCs/>
          <w:color w:val="000000"/>
        </w:rPr>
        <w:t>三是服务业稳步恢复。</w:t>
      </w:r>
      <w:r>
        <w:rPr>
          <w:rFonts w:hint="eastAsia" w:ascii="宋体" w:hAnsi="宋体" w:cs="宋体"/>
          <w:color w:val="000000"/>
        </w:rPr>
        <w:t>1-5月，全市规模以上服务业营业收入1.1亿元，同比增长17.8%，增速比一季度提高32.2个百分点。重点行业中，租赁和商务服务业、科学研究和技术服务业</w:t>
      </w:r>
      <w:r>
        <w:rPr>
          <w:rFonts w:hint="eastAsia" w:ascii="宋体" w:hAnsi="宋体" w:cs="宋体"/>
          <w:color w:val="000000"/>
          <w:lang w:eastAsia="zh-CN"/>
        </w:rPr>
        <w:t>营业收入</w:t>
      </w:r>
      <w:r>
        <w:rPr>
          <w:rFonts w:hint="eastAsia" w:ascii="宋体" w:hAnsi="宋体" w:cs="宋体"/>
          <w:color w:val="000000"/>
        </w:rPr>
        <w:t>同比分别增长</w:t>
      </w:r>
      <w:r>
        <w:rPr>
          <w:rFonts w:hint="eastAsia" w:ascii="宋体" w:hAnsi="宋体" w:cs="宋体"/>
          <w:color w:val="000000" w:themeColor="text1"/>
          <w:lang w:val="en-US" w:eastAsia="zh-CN"/>
        </w:rPr>
        <w:t>6.1</w:t>
      </w:r>
      <w:r>
        <w:rPr>
          <w:rFonts w:hint="eastAsia" w:ascii="宋体" w:hAnsi="宋体" w:cs="宋体"/>
          <w:color w:val="000000" w:themeColor="text1"/>
        </w:rPr>
        <w:t>%、</w:t>
      </w:r>
      <w:r>
        <w:rPr>
          <w:rFonts w:hint="eastAsia" w:ascii="宋体" w:hAnsi="宋体" w:cs="宋体"/>
          <w:color w:val="000000" w:themeColor="text1"/>
          <w:lang w:val="en-US" w:eastAsia="zh-CN"/>
        </w:rPr>
        <w:t>14.8</w:t>
      </w:r>
      <w:r>
        <w:rPr>
          <w:rFonts w:hint="eastAsia" w:ascii="宋体" w:hAnsi="宋体" w:cs="宋体"/>
          <w:color w:val="000000" w:themeColor="text1"/>
        </w:rPr>
        <w:t>%</w:t>
      </w:r>
      <w:r>
        <w:rPr>
          <w:rFonts w:hint="eastAsia" w:ascii="宋体" w:hAnsi="宋体" w:cs="宋体"/>
          <w:color w:val="000000" w:themeColor="text1"/>
          <w:lang w:val="en-US" w:eastAsia="zh-CN"/>
        </w:rPr>
        <w:t>,</w:t>
      </w:r>
      <w:r>
        <w:rPr>
          <w:rFonts w:hint="eastAsia" w:ascii="宋体" w:hAnsi="宋体" w:cs="宋体"/>
          <w:color w:val="000000"/>
        </w:rPr>
        <w:t>增速比一季度</w:t>
      </w:r>
      <w:r>
        <w:rPr>
          <w:rFonts w:hint="eastAsia" w:ascii="宋体" w:hAnsi="宋体" w:cs="宋体"/>
          <w:color w:val="000000"/>
          <w:lang w:eastAsia="zh-CN"/>
        </w:rPr>
        <w:t>分别</w:t>
      </w:r>
      <w:r>
        <w:rPr>
          <w:rFonts w:hint="eastAsia" w:ascii="宋体" w:hAnsi="宋体" w:cs="宋体"/>
          <w:color w:val="000000"/>
        </w:rPr>
        <w:t>提高</w:t>
      </w:r>
      <w:r>
        <w:rPr>
          <w:rFonts w:hint="eastAsia" w:ascii="宋体" w:hAnsi="宋体" w:cs="宋体"/>
          <w:color w:val="000000"/>
          <w:lang w:val="en-US" w:eastAsia="zh-CN"/>
        </w:rPr>
        <w:t>35.9、33.2</w:t>
      </w:r>
      <w:r>
        <w:rPr>
          <w:rFonts w:hint="eastAsia" w:ascii="宋体" w:hAnsi="宋体" w:cs="宋体"/>
          <w:color w:val="000000"/>
        </w:rPr>
        <w:t>个百分点</w:t>
      </w:r>
      <w:r>
        <w:rPr>
          <w:rFonts w:hint="eastAsia" w:ascii="宋体" w:hAnsi="宋体" w:cs="宋体"/>
          <w:color w:val="000000"/>
          <w:lang w:eastAsia="zh-CN"/>
        </w:rPr>
        <w:t>；文化、体育和娱乐业营业收入同比下降</w:t>
      </w:r>
      <w:r>
        <w:rPr>
          <w:rFonts w:hint="eastAsia" w:ascii="宋体" w:hAnsi="宋体" w:cs="宋体"/>
          <w:color w:val="000000"/>
          <w:lang w:val="en-US" w:eastAsia="zh-CN"/>
        </w:rPr>
        <w:t>1.0%,降幅</w:t>
      </w:r>
      <w:r>
        <w:rPr>
          <w:rFonts w:hint="eastAsia" w:ascii="宋体" w:hAnsi="宋体" w:cs="宋体"/>
          <w:color w:val="000000"/>
        </w:rPr>
        <w:t>比一季度</w:t>
      </w:r>
      <w:r>
        <w:rPr>
          <w:rFonts w:hint="eastAsia" w:ascii="宋体" w:hAnsi="宋体" w:cs="宋体"/>
          <w:color w:val="000000"/>
          <w:lang w:eastAsia="zh-CN"/>
        </w:rPr>
        <w:t>收</w:t>
      </w:r>
      <w:r>
        <w:rPr>
          <w:rFonts w:hint="eastAsia" w:ascii="宋体" w:hAnsi="宋体" w:cs="宋体"/>
          <w:color w:val="000000"/>
        </w:rPr>
        <w:t>窄</w:t>
      </w:r>
      <w:r>
        <w:rPr>
          <w:rFonts w:hint="eastAsia" w:ascii="宋体" w:hAnsi="宋体" w:cs="宋体"/>
          <w:color w:val="000000"/>
          <w:lang w:val="en-US" w:eastAsia="zh-CN"/>
        </w:rPr>
        <w:t>54.2个百分点</w:t>
      </w:r>
      <w:r>
        <w:rPr>
          <w:rFonts w:hint="eastAsia" w:ascii="宋体" w:hAnsi="宋体" w:cs="宋体"/>
          <w:color w:val="000000" w:themeColor="text1"/>
        </w:rPr>
        <w:t>。</w:t>
      </w:r>
      <w:r>
        <w:rPr>
          <w:rFonts w:hint="eastAsia" w:ascii="宋体" w:hAnsi="宋体" w:cs="宋体"/>
          <w:b/>
          <w:bCs/>
          <w:color w:val="000000"/>
        </w:rPr>
        <w:t>房地产市场趋稳。</w:t>
      </w:r>
      <w:r>
        <w:rPr>
          <w:rFonts w:hint="eastAsia" w:ascii="宋体" w:hAnsi="宋体" w:cs="宋体"/>
          <w:color w:val="000000"/>
        </w:rPr>
        <w:t>上半年，全市商品房屋销售面积为30.96万平方米，同比增长18.6%，较一季度下滑6.2个百分点，其中住宅销售面积24.43万平方米，同比增长0.3%。</w:t>
      </w:r>
    </w:p>
    <w:p>
      <w:pPr>
        <w:numPr>
          <w:ilvl w:val="0"/>
          <w:numId w:val="1"/>
        </w:numPr>
        <w:ind w:firstLine="596" w:firstLineChars="200"/>
        <w:rPr>
          <w:rFonts w:ascii="宋体" w:hAnsi="宋体" w:cs="宋体"/>
          <w:color w:val="000000"/>
        </w:rPr>
      </w:pPr>
      <w:r>
        <w:rPr>
          <w:rFonts w:hint="eastAsia" w:ascii="宋体" w:hAnsi="宋体" w:cs="宋体"/>
          <w:b/>
          <w:bCs/>
          <w:color w:val="000000"/>
        </w:rPr>
        <w:t>市场需求逐步恢复，发展后劲增强。</w:t>
      </w:r>
      <w:r>
        <w:rPr>
          <w:rFonts w:hint="eastAsia" w:ascii="宋体" w:hAnsi="宋体" w:cs="宋体"/>
          <w:color w:val="000000"/>
        </w:rPr>
        <w:t>全市以重点领域、重大项目建设为抓手，努力增加有效投资，加快实施稳市场、促消费系列政策，推动消费市场逐步回温。</w:t>
      </w:r>
      <w:r>
        <w:rPr>
          <w:rFonts w:hint="eastAsia" w:ascii="宋体" w:hAnsi="宋体" w:cs="宋体"/>
          <w:b/>
          <w:bCs/>
          <w:color w:val="000000"/>
        </w:rPr>
        <w:t>一是投资平稳增长。</w:t>
      </w:r>
      <w:r>
        <w:rPr>
          <w:rFonts w:hint="eastAsia" w:ascii="宋体" w:hAnsi="宋体" w:cs="宋体"/>
          <w:color w:val="000000"/>
        </w:rPr>
        <w:t>上半年，全市固定资产投资同比增长4.1%，增速较一季度提高3.6个百分点，比湘潭市高0.1百分点，比全省低0.6个百分点。其中，产业投资同比下降4.3%；房地产开发投资同比增长28.6%；工业投资同比下降12.2%。</w:t>
      </w:r>
      <w:r>
        <w:rPr>
          <w:rFonts w:hint="eastAsia" w:ascii="宋体" w:hAnsi="宋体" w:cs="宋体"/>
          <w:b/>
          <w:bCs/>
          <w:color w:val="000000"/>
        </w:rPr>
        <w:t>二是消费市场回暖。</w:t>
      </w:r>
      <w:r>
        <w:rPr>
          <w:rFonts w:hint="eastAsia" w:ascii="宋体" w:hAnsi="宋体" w:cs="宋体"/>
          <w:color w:val="000000"/>
        </w:rPr>
        <w:t>上半年，全市完成社会消费品零售总额58.85亿元，同比下降6.0%，降幅较一季度收窄5.5个百分点。在限额以上批发零售企业中，基本生活类消费稳定增长，粮油食品类、服装、鞋帽、针纺织品类零售额分别增长275.4%和12.8%。</w:t>
      </w:r>
      <w:r>
        <w:rPr>
          <w:rFonts w:hint="eastAsia" w:ascii="宋体" w:hAnsi="宋体" w:cs="宋体"/>
          <w:b/>
          <w:bCs/>
          <w:color w:val="000000"/>
        </w:rPr>
        <w:t>三是对外贸易上扬。</w:t>
      </w:r>
      <w:r>
        <w:rPr>
          <w:rFonts w:hint="eastAsia" w:ascii="宋体" w:hAnsi="宋体" w:cs="宋体"/>
          <w:color w:val="000000"/>
        </w:rPr>
        <w:t>上半年，全市完成进出口总额9518万美元，同比增长81.3%，增速较一季度提高105.1个百分点。其中，出口额7976万美元，同比增长118.3%;进口额1542万美元，同比下降0.3%。</w:t>
      </w:r>
      <w:r>
        <w:rPr>
          <w:rFonts w:hint="eastAsia" w:ascii="宋体" w:hAnsi="宋体" w:cs="宋体"/>
          <w:b/>
          <w:bCs/>
          <w:color w:val="000000"/>
        </w:rPr>
        <w:t>四是招商引资总体较好。</w:t>
      </w:r>
      <w:r>
        <w:rPr>
          <w:rFonts w:hint="eastAsia" w:ascii="宋体" w:hAnsi="宋体" w:cs="宋体"/>
          <w:color w:val="000000"/>
        </w:rPr>
        <w:t>上半年，全市实际利用外资8699万美元，同比增长13.0%；实际到位内资36亿元，同比增长24.9%。</w:t>
      </w:r>
    </w:p>
    <w:p>
      <w:pPr>
        <w:numPr>
          <w:ilvl w:val="0"/>
          <w:numId w:val="1"/>
        </w:numPr>
        <w:ind w:firstLine="596" w:firstLineChars="200"/>
        <w:rPr>
          <w:rFonts w:ascii="宋体" w:hAnsi="宋体" w:cs="宋体"/>
          <w:color w:val="000000"/>
        </w:rPr>
      </w:pPr>
      <w:r>
        <w:rPr>
          <w:rFonts w:hint="eastAsia" w:ascii="宋体" w:hAnsi="宋体" w:cs="宋体"/>
          <w:b/>
          <w:bCs/>
          <w:color w:val="000000"/>
        </w:rPr>
        <w:t>财政收入降幅收窄，金融存贷款增长较快。</w:t>
      </w:r>
      <w:r>
        <w:rPr>
          <w:rFonts w:hint="eastAsia" w:ascii="宋体" w:hAnsi="宋体" w:cs="宋体"/>
          <w:color w:val="000000"/>
        </w:rPr>
        <w:t>上半年，全市完成财政总收入11.11亿元，同比下降11.2%，降幅较一季度收窄17.1个百分点；其中地方一般公共预算收入6.7亿元，同比下降13.6%，降幅较一季度收窄28.3个百分点。6月末，全市金融机构各项存款余额413.34亿元，同比增长9.6%，增速较一季度提高2.9个百分点。其中，住户存款余额340.43亿元，同比增长11.9%。全市金融机构本外币贷款余额255.96亿元，同比增长23.7%，增速较一季度提高4.8个百分点。</w:t>
      </w:r>
    </w:p>
    <w:p>
      <w:pPr>
        <w:numPr>
          <w:ilvl w:val="0"/>
          <w:numId w:val="1"/>
        </w:numPr>
        <w:ind w:firstLine="596" w:firstLineChars="200"/>
        <w:rPr>
          <w:rFonts w:ascii="宋体" w:hAnsi="宋体" w:cs="宋体"/>
          <w:color w:val="000000"/>
        </w:rPr>
      </w:pPr>
      <w:r>
        <w:rPr>
          <w:rFonts w:hint="eastAsia" w:ascii="宋体" w:hAnsi="宋体" w:cs="宋体"/>
          <w:b/>
          <w:bCs/>
          <w:color w:val="000000"/>
        </w:rPr>
        <w:t>基本民生保障有力，居民生活持续改善</w:t>
      </w:r>
      <w:r>
        <w:rPr>
          <w:rFonts w:hint="eastAsia" w:ascii="宋体" w:hAnsi="宋体" w:cs="宋体"/>
          <w:color w:val="000000"/>
        </w:rPr>
        <w:t>。在统筹推进疫情防控和经济社会发展过程中，全市坚持办好民生实事，兜牢民生底线。一是就业形势总体稳定。上半年，全市新增城镇就业2936人，农村转移就业劳动者2120人，职业技能培训5338人，分别完成年度目标的58.7%、106%和69.3%。二是城乡居民收入稳步提高。上半年，全市全体居民人均可支配收入为12808元，同比增长4.9%，其中城镇、农村居民人均可支配收入分别为17539元、9921元，同比增长4.0%、5.7%，增速较一季度分别提高3.3、3.5个百分点，农村居民收入增速快于城镇居民。三是重点民生实事加快推进。上半年，省、湘潭市重点民生实事中，全市新增公办幼儿园学位1405个，完成农村电网改造投资556万元，提质改造农村公路55公里，分别完成年度目标任务的46.9%、65%和85.5%。农村低保、困难残疾人生活补贴和重度残疾人护理补贴发放标准均达到省级年度目标任务。</w:t>
      </w:r>
    </w:p>
    <w:p>
      <w:pPr>
        <w:ind w:firstLine="596" w:firstLineChars="200"/>
        <w:rPr>
          <w:rFonts w:ascii="宋体" w:hAnsi="宋体" w:cs="宋体"/>
          <w:color w:val="000000"/>
        </w:rPr>
      </w:pPr>
    </w:p>
    <w:p>
      <w:pPr>
        <w:ind w:firstLine="596" w:firstLineChars="200"/>
        <w:rPr>
          <w:rFonts w:ascii="宋体" w:hAnsi="宋体" w:cs="宋体"/>
          <w:color w:val="000000"/>
        </w:rPr>
      </w:pPr>
    </w:p>
    <w:p>
      <w:pPr>
        <w:ind w:firstLine="596" w:firstLineChars="200"/>
        <w:jc w:val="center"/>
        <w:rPr>
          <w:rFonts w:ascii="宋体" w:hAnsi="宋体" w:cs="宋体"/>
          <w:color w:val="FF0000"/>
        </w:rPr>
      </w:pPr>
    </w:p>
    <w:p>
      <w:pPr>
        <w:ind w:firstLine="596" w:firstLineChars="200"/>
        <w:jc w:val="center"/>
        <w:rPr>
          <w:rFonts w:ascii="宋体" w:hAnsi="宋体" w:cs="宋体"/>
          <w:color w:val="FF0000"/>
        </w:rPr>
      </w:pPr>
    </w:p>
    <w:p>
      <w:pPr>
        <w:ind w:firstLine="596" w:firstLineChars="200"/>
        <w:jc w:val="center"/>
        <w:rPr>
          <w:rFonts w:ascii="宋体" w:hAnsi="宋体" w:cs="宋体"/>
          <w:color w:val="FF0000"/>
        </w:rPr>
      </w:pPr>
    </w:p>
    <w:p>
      <w:pPr>
        <w:ind w:firstLine="3933" w:firstLineChars="1164"/>
        <w:rPr>
          <w:rFonts w:ascii="黑体" w:eastAsia="黑体"/>
          <w:color w:val="000000"/>
          <w:sz w:val="32"/>
          <w:szCs w:val="32"/>
        </w:rPr>
      </w:pPr>
      <w:r>
        <w:rPr>
          <w:rFonts w:hint="eastAsia" w:ascii="黑体" w:hAnsi="黑体" w:eastAsia="黑体"/>
          <w:color w:val="000000"/>
          <w:sz w:val="32"/>
          <w:szCs w:val="32"/>
        </w:rPr>
        <w:t>二、</w:t>
      </w:r>
      <w:r>
        <w:rPr>
          <w:rFonts w:hint="eastAsia" w:ascii="黑体" w:eastAsia="黑体"/>
          <w:color w:val="000000"/>
          <w:sz w:val="32"/>
          <w:szCs w:val="32"/>
        </w:rPr>
        <w:t>综   合</w:t>
      </w:r>
    </w:p>
    <w:tbl>
      <w:tblPr>
        <w:tblStyle w:val="8"/>
        <w:tblW w:w="9396"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14"/>
        <w:gridCol w:w="1196"/>
        <w:gridCol w:w="1495"/>
        <w:gridCol w:w="1495"/>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vMerge w:val="restart"/>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指标名称</w:t>
            </w:r>
          </w:p>
        </w:tc>
        <w:tc>
          <w:tcPr>
            <w:tcW w:w="1196" w:type="dxa"/>
            <w:vMerge w:val="restart"/>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计量</w:t>
            </w:r>
          </w:p>
          <w:p>
            <w:pPr>
              <w:spacing w:line="380" w:lineRule="exact"/>
              <w:jc w:val="center"/>
              <w:rPr>
                <w:color w:val="000000"/>
                <w:sz w:val="24"/>
                <w:szCs w:val="24"/>
              </w:rPr>
            </w:pPr>
            <w:r>
              <w:rPr>
                <w:rFonts w:hint="eastAsia"/>
                <w:color w:val="000000"/>
                <w:sz w:val="24"/>
                <w:szCs w:val="24"/>
              </w:rPr>
              <w:t>单位</w:t>
            </w:r>
          </w:p>
        </w:tc>
        <w:tc>
          <w:tcPr>
            <w:tcW w:w="1495" w:type="dxa"/>
            <w:vMerge w:val="restart"/>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市政府</w:t>
            </w:r>
          </w:p>
          <w:p>
            <w:pPr>
              <w:spacing w:line="380" w:lineRule="exact"/>
              <w:jc w:val="center"/>
              <w:rPr>
                <w:color w:val="000000"/>
                <w:sz w:val="24"/>
                <w:szCs w:val="24"/>
              </w:rPr>
            </w:pPr>
            <w:r>
              <w:rPr>
                <w:rFonts w:hint="eastAsia"/>
                <w:color w:val="000000"/>
                <w:sz w:val="24"/>
                <w:szCs w:val="24"/>
              </w:rPr>
              <w:t>工作目标</w:t>
            </w:r>
          </w:p>
        </w:tc>
        <w:tc>
          <w:tcPr>
            <w:tcW w:w="2691" w:type="dxa"/>
            <w:gridSpan w:val="2"/>
            <w:tcBorders>
              <w:top w:val="single" w:color="auto" w:sz="4" w:space="0"/>
              <w:left w:val="nil"/>
              <w:bottom w:val="single" w:color="auto" w:sz="4" w:space="0"/>
              <w:right w:val="nil"/>
            </w:tcBorders>
            <w:vAlign w:val="center"/>
          </w:tcPr>
          <w:p>
            <w:pPr>
              <w:spacing w:line="380" w:lineRule="exact"/>
              <w:jc w:val="center"/>
              <w:rPr>
                <w:color w:val="000000"/>
                <w:sz w:val="24"/>
                <w:szCs w:val="24"/>
              </w:rPr>
            </w:pPr>
            <w:r>
              <w:rPr>
                <w:rFonts w:hint="eastAsia"/>
                <w:color w:val="000000"/>
                <w:sz w:val="24"/>
                <w:szCs w:val="24"/>
              </w:rPr>
              <w:t>本年完成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4" w:type="dxa"/>
            <w:vMerge w:val="continue"/>
            <w:tcBorders>
              <w:top w:val="single" w:color="auto" w:sz="4" w:space="0"/>
              <w:left w:val="nil"/>
              <w:bottom w:val="single" w:color="auto" w:sz="4" w:space="0"/>
              <w:right w:val="single" w:color="auto" w:sz="4" w:space="0"/>
            </w:tcBorders>
            <w:vAlign w:val="center"/>
          </w:tcPr>
          <w:p>
            <w:pPr>
              <w:widowControl/>
              <w:jc w:val="left"/>
              <w:rPr>
                <w:color w:val="000000"/>
                <w:sz w:val="24"/>
                <w:szCs w:val="24"/>
              </w:rPr>
            </w:pPr>
          </w:p>
        </w:tc>
        <w:tc>
          <w:tcPr>
            <w:tcW w:w="1196" w:type="dxa"/>
            <w:vMerge w:val="continue"/>
            <w:tcBorders>
              <w:top w:val="single" w:color="auto" w:sz="4" w:space="0"/>
              <w:left w:val="nil"/>
              <w:bottom w:val="single" w:color="auto" w:sz="4" w:space="0"/>
              <w:right w:val="single" w:color="auto" w:sz="4" w:space="0"/>
            </w:tcBorders>
            <w:vAlign w:val="center"/>
          </w:tcPr>
          <w:p>
            <w:pPr>
              <w:widowControl/>
              <w:jc w:val="left"/>
              <w:rPr>
                <w:color w:val="000000"/>
                <w:sz w:val="24"/>
                <w:szCs w:val="24"/>
              </w:rPr>
            </w:pPr>
          </w:p>
        </w:tc>
        <w:tc>
          <w:tcPr>
            <w:tcW w:w="1495" w:type="dxa"/>
            <w:vMerge w:val="continue"/>
            <w:tcBorders>
              <w:top w:val="single" w:color="auto" w:sz="4" w:space="0"/>
              <w:left w:val="nil"/>
              <w:bottom w:val="single" w:color="auto" w:sz="4" w:space="0"/>
              <w:right w:val="single" w:color="auto" w:sz="4" w:space="0"/>
            </w:tcBorders>
            <w:vAlign w:val="center"/>
          </w:tcPr>
          <w:p>
            <w:pPr>
              <w:widowControl/>
              <w:jc w:val="left"/>
              <w:rPr>
                <w:color w:val="000000"/>
                <w:sz w:val="24"/>
                <w:szCs w:val="24"/>
              </w:rPr>
            </w:pP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实际完成</w:t>
            </w:r>
          </w:p>
        </w:tc>
        <w:tc>
          <w:tcPr>
            <w:tcW w:w="1196" w:type="dxa"/>
            <w:tcBorders>
              <w:top w:val="single" w:color="auto" w:sz="4" w:space="0"/>
              <w:left w:val="nil"/>
              <w:bottom w:val="single" w:color="auto" w:sz="4" w:space="0"/>
              <w:right w:val="nil"/>
            </w:tcBorders>
            <w:vAlign w:val="center"/>
          </w:tcPr>
          <w:p>
            <w:pPr>
              <w:spacing w:line="380" w:lineRule="exact"/>
              <w:jc w:val="center"/>
              <w:rPr>
                <w:color w:val="000000"/>
                <w:sz w:val="24"/>
                <w:szCs w:val="24"/>
              </w:rPr>
            </w:pPr>
            <w:r>
              <w:rPr>
                <w:rFonts w:hint="eastAsia"/>
                <w:color w:val="000000"/>
                <w:sz w:val="24"/>
                <w:szCs w:val="24"/>
              </w:rPr>
              <w:t>同比</w:t>
            </w:r>
            <w:r>
              <w:rPr>
                <w:rFonts w:hint="eastAsia" w:ascii="宋体" w:hAnsi="宋体"/>
                <w:color w:val="000000"/>
                <w:sz w:val="24"/>
                <w:szCs w:val="24"/>
              </w:rPr>
              <w:t>±</w:t>
            </w:r>
            <w:r>
              <w:rPr>
                <w:rFonts w:hint="eastAsia"/>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jc w:val="left"/>
              <w:rPr>
                <w:color w:val="000000"/>
                <w:sz w:val="24"/>
                <w:szCs w:val="24"/>
              </w:rPr>
            </w:pPr>
            <w:r>
              <w:rPr>
                <w:rFonts w:hint="eastAsia"/>
                <w:color w:val="000000"/>
                <w:sz w:val="24"/>
                <w:szCs w:val="24"/>
              </w:rPr>
              <w:t>GDP</w:t>
            </w:r>
          </w:p>
        </w:tc>
        <w:tc>
          <w:tcPr>
            <w:tcW w:w="1196" w:type="dxa"/>
            <w:tcBorders>
              <w:top w:val="single" w:color="auto" w:sz="4" w:space="0"/>
              <w:left w:val="nil"/>
              <w:bottom w:val="single" w:color="auto" w:sz="4" w:space="0"/>
              <w:right w:val="single" w:color="auto" w:sz="4" w:space="0"/>
            </w:tcBorders>
          </w:tcPr>
          <w:p>
            <w:pPr>
              <w:spacing w:line="380" w:lineRule="exact"/>
              <w:jc w:val="center"/>
              <w:rPr>
                <w:color w:val="000000"/>
                <w:sz w:val="24"/>
                <w:szCs w:val="24"/>
              </w:rPr>
            </w:pPr>
            <w:r>
              <w:rPr>
                <w:rFonts w:hint="eastAsia"/>
                <w:color w:val="000000"/>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sz w:val="24"/>
                <w:szCs w:val="24"/>
              </w:rPr>
            </w:pPr>
            <w:r>
              <w:rPr>
                <w:rFonts w:hint="eastAsia" w:ascii="宋体" w:hAnsi="宋体"/>
                <w:color w:val="000000"/>
                <w:sz w:val="24"/>
                <w:szCs w:val="24"/>
              </w:rPr>
              <w:t>8.5%左右</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212.3</w:t>
            </w:r>
          </w:p>
        </w:tc>
        <w:tc>
          <w:tcPr>
            <w:tcW w:w="1196" w:type="dxa"/>
            <w:tcBorders>
              <w:top w:val="single" w:color="auto" w:sz="4" w:space="0"/>
              <w:left w:val="nil"/>
              <w:bottom w:val="single" w:color="auto" w:sz="4" w:space="0"/>
              <w:right w:val="nil"/>
            </w:tcBorders>
            <w:vAlign w:val="center"/>
          </w:tcPr>
          <w:p>
            <w:pPr>
              <w:spacing w:line="380" w:lineRule="exact"/>
              <w:jc w:val="center"/>
              <w:rPr>
                <w:color w:val="000000"/>
                <w:sz w:val="24"/>
                <w:szCs w:val="24"/>
              </w:rPr>
            </w:pPr>
            <w:r>
              <w:rPr>
                <w:rFonts w:hint="eastAsia"/>
                <w:color w:val="000000"/>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sz w:val="24"/>
                <w:szCs w:val="24"/>
              </w:rPr>
            </w:pPr>
            <w:r>
              <w:rPr>
                <w:color w:val="000000"/>
                <w:sz w:val="24"/>
                <w:szCs w:val="24"/>
              </w:rPr>
              <w:t>工业总产值</w:t>
            </w:r>
          </w:p>
        </w:tc>
        <w:tc>
          <w:tcPr>
            <w:tcW w:w="1196" w:type="dxa"/>
            <w:tcBorders>
              <w:top w:val="single" w:color="auto" w:sz="4" w:space="0"/>
              <w:left w:val="nil"/>
              <w:bottom w:val="single" w:color="auto" w:sz="4" w:space="0"/>
              <w:right w:val="single" w:color="auto" w:sz="4" w:space="0"/>
            </w:tcBorders>
          </w:tcPr>
          <w:p>
            <w:pPr>
              <w:spacing w:line="380" w:lineRule="exact"/>
              <w:jc w:val="center"/>
              <w:rPr>
                <w:color w:val="000000"/>
                <w:sz w:val="24"/>
                <w:szCs w:val="24"/>
              </w:rPr>
            </w:pPr>
            <w:r>
              <w:rPr>
                <w:rFonts w:hint="eastAsia"/>
                <w:color w:val="000000"/>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sz w:val="24"/>
                <w:szCs w:val="24"/>
              </w:rPr>
            </w:pPr>
            <w:r>
              <w:rPr>
                <w:rFonts w:hint="eastAsia" w:ascii="宋体" w:hAnsi="宋体"/>
                <w:color w:val="000000"/>
                <w:sz w:val="24"/>
                <w:szCs w:val="24"/>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w:t>
            </w:r>
          </w:p>
        </w:tc>
        <w:tc>
          <w:tcPr>
            <w:tcW w:w="1196" w:type="dxa"/>
            <w:tcBorders>
              <w:top w:val="single" w:color="auto" w:sz="4" w:space="0"/>
              <w:left w:val="nil"/>
              <w:bottom w:val="single" w:color="auto" w:sz="4" w:space="0"/>
              <w:right w:val="nil"/>
            </w:tcBorders>
            <w:vAlign w:val="center"/>
          </w:tcPr>
          <w:p>
            <w:pPr>
              <w:spacing w:line="380" w:lineRule="exact"/>
              <w:jc w:val="center"/>
              <w:rPr>
                <w:color w:val="000000"/>
                <w:sz w:val="24"/>
                <w:szCs w:val="24"/>
              </w:rPr>
            </w:pPr>
            <w:r>
              <w:rPr>
                <w:rFonts w:hint="eastAsia"/>
                <w:color w:val="000000"/>
                <w:sz w:val="24"/>
                <w:szCs w:val="24"/>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sz w:val="24"/>
                <w:szCs w:val="24"/>
              </w:rPr>
            </w:pPr>
            <w:r>
              <w:rPr>
                <w:rFonts w:hint="eastAsia"/>
                <w:color w:val="000000"/>
                <w:sz w:val="24"/>
                <w:szCs w:val="24"/>
              </w:rPr>
              <w:t xml:space="preserve">  规模以上工业增加值</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sz w:val="24"/>
                <w:szCs w:val="24"/>
              </w:rPr>
            </w:pPr>
            <w:r>
              <w:rPr>
                <w:rFonts w:hint="eastAsia" w:ascii="宋体" w:hAnsi="宋体"/>
                <w:color w:val="000000"/>
                <w:sz w:val="24"/>
                <w:szCs w:val="24"/>
              </w:rPr>
              <w:t>8%左右</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w:t>
            </w:r>
          </w:p>
        </w:tc>
        <w:tc>
          <w:tcPr>
            <w:tcW w:w="1196" w:type="dxa"/>
            <w:tcBorders>
              <w:top w:val="single" w:color="auto" w:sz="4" w:space="0"/>
              <w:left w:val="nil"/>
              <w:bottom w:val="single" w:color="auto" w:sz="4" w:space="0"/>
              <w:right w:val="nil"/>
            </w:tcBorders>
            <w:vAlign w:val="center"/>
          </w:tcPr>
          <w:p>
            <w:pPr>
              <w:spacing w:line="380" w:lineRule="exact"/>
              <w:jc w:val="center"/>
              <w:rPr>
                <w:color w:val="000000"/>
                <w:sz w:val="24"/>
                <w:szCs w:val="24"/>
              </w:rPr>
            </w:pPr>
            <w:r>
              <w:rPr>
                <w:rFonts w:hint="eastAsia"/>
                <w:color w:val="000000"/>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sz w:val="24"/>
                <w:szCs w:val="24"/>
              </w:rPr>
            </w:pPr>
            <w:r>
              <w:rPr>
                <w:color w:val="000000"/>
                <w:sz w:val="24"/>
                <w:szCs w:val="24"/>
              </w:rPr>
              <w:t>社会消费品零售总额</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sz w:val="24"/>
                <w:szCs w:val="24"/>
              </w:rPr>
            </w:pPr>
            <w:r>
              <w:rPr>
                <w:rFonts w:hint="eastAsia" w:ascii="宋体" w:hAnsi="宋体"/>
                <w:color w:val="000000"/>
                <w:sz w:val="24"/>
                <w:szCs w:val="24"/>
              </w:rPr>
              <w:t>10%左右</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58.9</w:t>
            </w:r>
          </w:p>
        </w:tc>
        <w:tc>
          <w:tcPr>
            <w:tcW w:w="1196" w:type="dxa"/>
            <w:tcBorders>
              <w:top w:val="single" w:color="auto" w:sz="4" w:space="0"/>
              <w:left w:val="nil"/>
              <w:bottom w:val="single" w:color="auto" w:sz="4" w:space="0"/>
              <w:right w:val="nil"/>
            </w:tcBorders>
            <w:vAlign w:val="center"/>
          </w:tcPr>
          <w:p>
            <w:pPr>
              <w:spacing w:line="380" w:lineRule="exact"/>
              <w:jc w:val="center"/>
              <w:rPr>
                <w:color w:val="000000"/>
                <w:sz w:val="24"/>
                <w:szCs w:val="24"/>
              </w:rPr>
            </w:pPr>
            <w:r>
              <w:rPr>
                <w:rFonts w:hint="eastAsia"/>
                <w:color w:val="000000"/>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sz w:val="24"/>
                <w:szCs w:val="24"/>
              </w:rPr>
            </w:pPr>
            <w:r>
              <w:rPr>
                <w:color w:val="000000"/>
                <w:sz w:val="24"/>
                <w:szCs w:val="24"/>
              </w:rPr>
              <w:t>固定资产投资</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sz w:val="24"/>
                <w:szCs w:val="24"/>
              </w:rPr>
            </w:pPr>
            <w:r>
              <w:rPr>
                <w:rFonts w:hint="eastAsia" w:ascii="宋体" w:hAnsi="宋体"/>
                <w:color w:val="000000"/>
                <w:sz w:val="24"/>
                <w:szCs w:val="24"/>
              </w:rPr>
              <w:t>15%左右</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w:t>
            </w:r>
          </w:p>
        </w:tc>
        <w:tc>
          <w:tcPr>
            <w:tcW w:w="1196" w:type="dxa"/>
            <w:tcBorders>
              <w:top w:val="single" w:color="auto" w:sz="4" w:space="0"/>
              <w:left w:val="nil"/>
              <w:bottom w:val="single" w:color="auto" w:sz="4" w:space="0"/>
              <w:right w:val="nil"/>
            </w:tcBorders>
            <w:vAlign w:val="center"/>
          </w:tcPr>
          <w:p>
            <w:pPr>
              <w:spacing w:line="380" w:lineRule="exact"/>
              <w:jc w:val="center"/>
              <w:rPr>
                <w:color w:val="000000"/>
                <w:sz w:val="24"/>
                <w:szCs w:val="24"/>
              </w:rPr>
            </w:pPr>
            <w:r>
              <w:rPr>
                <w:rFonts w:hint="eastAsia"/>
                <w:color w:val="000000"/>
                <w:sz w:val="24"/>
                <w:szCs w:val="24"/>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sz w:val="24"/>
                <w:szCs w:val="24"/>
              </w:rPr>
            </w:pPr>
            <w:r>
              <w:rPr>
                <w:color w:val="000000"/>
                <w:sz w:val="24"/>
                <w:szCs w:val="24"/>
              </w:rPr>
              <w:t>财政总收入</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sz w:val="24"/>
                <w:szCs w:val="24"/>
              </w:rPr>
            </w:pPr>
            <w:r>
              <w:rPr>
                <w:rFonts w:hint="eastAsia" w:ascii="宋体" w:hAnsi="宋体"/>
                <w:color w:val="000000"/>
                <w:sz w:val="24"/>
                <w:szCs w:val="24"/>
              </w:rPr>
              <w:t>6%以上</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11.11</w:t>
            </w:r>
          </w:p>
        </w:tc>
        <w:tc>
          <w:tcPr>
            <w:tcW w:w="1196" w:type="dxa"/>
            <w:tcBorders>
              <w:top w:val="single" w:color="auto" w:sz="4" w:space="0"/>
              <w:left w:val="nil"/>
              <w:bottom w:val="single" w:color="auto" w:sz="4" w:space="0"/>
              <w:right w:val="nil"/>
            </w:tcBorders>
            <w:vAlign w:val="center"/>
          </w:tcPr>
          <w:p>
            <w:pPr>
              <w:spacing w:line="380" w:lineRule="exact"/>
              <w:jc w:val="center"/>
              <w:rPr>
                <w:rFonts w:hint="eastAsia" w:eastAsia="宋体"/>
                <w:color w:val="000000"/>
                <w:sz w:val="24"/>
                <w:szCs w:val="24"/>
                <w:lang w:eastAsia="zh-CN"/>
              </w:rPr>
            </w:pPr>
            <w:r>
              <w:rPr>
                <w:rFonts w:hint="eastAsia"/>
                <w:color w:val="000000"/>
                <w:sz w:val="24"/>
                <w:szCs w:val="24"/>
              </w:rPr>
              <w:t>-11.</w:t>
            </w:r>
            <w:r>
              <w:rPr>
                <w:rFonts w:hint="eastAsia"/>
                <w:color w:val="000000"/>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op w:val="single" w:color="auto" w:sz="4" w:space="0"/>
              <w:left w:val="nil"/>
              <w:bottom w:val="single" w:color="auto" w:sz="4" w:space="0"/>
              <w:right w:val="single" w:color="auto" w:sz="4" w:space="0"/>
            </w:tcBorders>
            <w:vAlign w:val="center"/>
          </w:tcPr>
          <w:p>
            <w:pPr>
              <w:spacing w:line="380" w:lineRule="exact"/>
              <w:ind w:firstLine="252" w:firstLineChars="98"/>
              <w:rPr>
                <w:color w:val="000000"/>
                <w:sz w:val="24"/>
                <w:szCs w:val="24"/>
              </w:rPr>
            </w:pPr>
            <w:r>
              <w:rPr>
                <w:color w:val="000000"/>
                <w:sz w:val="24"/>
                <w:szCs w:val="24"/>
              </w:rPr>
              <w:t>其中：</w:t>
            </w:r>
            <w:r>
              <w:rPr>
                <w:rFonts w:hint="eastAsia"/>
                <w:color w:val="000000"/>
                <w:sz w:val="24"/>
                <w:szCs w:val="24"/>
              </w:rPr>
              <w:t>地方</w:t>
            </w:r>
            <w:r>
              <w:rPr>
                <w:color w:val="000000"/>
                <w:sz w:val="24"/>
                <w:szCs w:val="24"/>
              </w:rPr>
              <w:t>收入</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sz w:val="24"/>
                <w:szCs w:val="24"/>
              </w:rPr>
            </w:pPr>
            <w:r>
              <w:rPr>
                <w:rFonts w:hint="eastAsia" w:ascii="宋体" w:hAnsi="宋体"/>
                <w:color w:val="000000"/>
                <w:sz w:val="24"/>
                <w:szCs w:val="24"/>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6.66</w:t>
            </w:r>
          </w:p>
        </w:tc>
        <w:tc>
          <w:tcPr>
            <w:tcW w:w="1196" w:type="dxa"/>
            <w:tcBorders>
              <w:top w:val="single" w:color="auto" w:sz="4" w:space="0"/>
              <w:left w:val="nil"/>
              <w:bottom w:val="single" w:color="auto" w:sz="4" w:space="0"/>
              <w:right w:val="nil"/>
            </w:tcBorders>
            <w:vAlign w:val="center"/>
          </w:tcPr>
          <w:p>
            <w:pPr>
              <w:spacing w:line="380" w:lineRule="exact"/>
              <w:jc w:val="center"/>
              <w:rPr>
                <w:color w:val="000000"/>
                <w:sz w:val="24"/>
                <w:szCs w:val="24"/>
              </w:rPr>
            </w:pPr>
            <w:r>
              <w:rPr>
                <w:rFonts w:hint="eastAsia"/>
                <w:color w:val="000000"/>
                <w:sz w:val="24"/>
                <w:szCs w:val="24"/>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sz w:val="24"/>
                <w:szCs w:val="24"/>
              </w:rPr>
            </w:pPr>
            <w:r>
              <w:rPr>
                <w:color w:val="000000"/>
                <w:sz w:val="24"/>
                <w:szCs w:val="24"/>
              </w:rPr>
              <w:t>税收占</w:t>
            </w:r>
            <w:r>
              <w:rPr>
                <w:rFonts w:hint="eastAsia"/>
                <w:color w:val="000000"/>
                <w:sz w:val="24"/>
                <w:szCs w:val="24"/>
              </w:rPr>
              <w:t>财政</w:t>
            </w:r>
            <w:r>
              <w:rPr>
                <w:color w:val="000000"/>
                <w:sz w:val="24"/>
                <w:szCs w:val="24"/>
              </w:rPr>
              <w:t>收入</w:t>
            </w:r>
            <w:r>
              <w:rPr>
                <w:rFonts w:hint="eastAsia"/>
                <w:color w:val="000000"/>
                <w:sz w:val="24"/>
                <w:szCs w:val="24"/>
              </w:rPr>
              <w:t>的</w:t>
            </w:r>
            <w:r>
              <w:rPr>
                <w:color w:val="000000"/>
                <w:sz w:val="24"/>
                <w:szCs w:val="24"/>
              </w:rPr>
              <w:t>比重</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sz w:val="24"/>
                <w:szCs w:val="24"/>
              </w:rPr>
            </w:pPr>
            <w:r>
              <w:rPr>
                <w:rFonts w:hint="eastAsia" w:ascii="宋体" w:hAnsi="宋体"/>
                <w:color w:val="000000"/>
                <w:sz w:val="24"/>
                <w:szCs w:val="24"/>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78.9</w:t>
            </w:r>
          </w:p>
        </w:tc>
        <w:tc>
          <w:tcPr>
            <w:tcW w:w="1196" w:type="dxa"/>
            <w:tcBorders>
              <w:top w:val="single" w:color="auto" w:sz="4" w:space="0"/>
              <w:left w:val="nil"/>
              <w:bottom w:val="single" w:color="auto" w:sz="4" w:space="0"/>
              <w:right w:val="nil"/>
            </w:tcBorders>
            <w:vAlign w:val="center"/>
          </w:tcPr>
          <w:p>
            <w:pPr>
              <w:spacing w:line="380" w:lineRule="exact"/>
              <w:jc w:val="center"/>
              <w:rPr>
                <w:color w:val="000000"/>
                <w:sz w:val="24"/>
                <w:szCs w:val="24"/>
              </w:rPr>
            </w:pPr>
            <w:r>
              <w:rPr>
                <w:rFonts w:hint="eastAsia"/>
                <w:color w:val="000000"/>
                <w:sz w:val="24"/>
                <w:szCs w:val="24"/>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sz w:val="21"/>
                <w:szCs w:val="21"/>
              </w:rPr>
            </w:pPr>
            <w:r>
              <w:rPr>
                <w:rFonts w:hint="eastAsia"/>
                <w:color w:val="000000"/>
                <w:sz w:val="24"/>
                <w:szCs w:val="24"/>
              </w:rPr>
              <w:t>财政总支出</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sz w:val="24"/>
                <w:szCs w:val="24"/>
              </w:rPr>
            </w:pPr>
            <w:r>
              <w:rPr>
                <w:rFonts w:hint="eastAsia" w:ascii="宋体" w:hAnsi="宋体"/>
                <w:color w:val="000000"/>
                <w:sz w:val="24"/>
                <w:szCs w:val="24"/>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30.88</w:t>
            </w:r>
          </w:p>
        </w:tc>
        <w:tc>
          <w:tcPr>
            <w:tcW w:w="1196" w:type="dxa"/>
            <w:tcBorders>
              <w:top w:val="single" w:color="auto" w:sz="4" w:space="0"/>
              <w:left w:val="nil"/>
              <w:bottom w:val="single" w:color="auto" w:sz="4" w:space="0"/>
              <w:right w:val="nil"/>
            </w:tcBorders>
            <w:vAlign w:val="center"/>
          </w:tcPr>
          <w:p>
            <w:pPr>
              <w:spacing w:line="380" w:lineRule="exact"/>
              <w:jc w:val="center"/>
              <w:rPr>
                <w:color w:val="000000"/>
                <w:sz w:val="24"/>
                <w:szCs w:val="24"/>
              </w:rPr>
            </w:pPr>
            <w:r>
              <w:rPr>
                <w:rFonts w:hint="eastAsia"/>
                <w:color w:val="000000"/>
                <w:sz w:val="24"/>
                <w:szCs w:val="24"/>
              </w:rPr>
              <w:t>-18.6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sz w:val="24"/>
                <w:szCs w:val="24"/>
              </w:rPr>
            </w:pPr>
            <w:r>
              <w:rPr>
                <w:color w:val="000000"/>
                <w:sz w:val="24"/>
                <w:szCs w:val="24"/>
              </w:rPr>
              <w:t>出口创汇</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万美元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sz w:val="24"/>
                <w:szCs w:val="24"/>
              </w:rPr>
            </w:pPr>
            <w:r>
              <w:rPr>
                <w:rFonts w:hint="eastAsia" w:ascii="宋体" w:hAnsi="宋体"/>
                <w:color w:val="000000"/>
                <w:sz w:val="24"/>
                <w:szCs w:val="24"/>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9518</w:t>
            </w:r>
          </w:p>
        </w:tc>
        <w:tc>
          <w:tcPr>
            <w:tcW w:w="1196" w:type="dxa"/>
            <w:tcBorders>
              <w:top w:val="single" w:color="auto" w:sz="4" w:space="0"/>
              <w:left w:val="nil"/>
              <w:bottom w:val="single" w:color="auto" w:sz="4" w:space="0"/>
              <w:right w:val="nil"/>
            </w:tcBorders>
            <w:vAlign w:val="center"/>
          </w:tcPr>
          <w:p>
            <w:pPr>
              <w:spacing w:line="380" w:lineRule="exact"/>
              <w:jc w:val="center"/>
              <w:rPr>
                <w:color w:val="000000"/>
                <w:sz w:val="24"/>
                <w:szCs w:val="24"/>
              </w:rPr>
            </w:pPr>
            <w:r>
              <w:rPr>
                <w:rFonts w:hint="eastAsia"/>
                <w:color w:val="000000"/>
                <w:sz w:val="24"/>
                <w:szCs w:val="24"/>
              </w:rPr>
              <w:t>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sz w:val="24"/>
                <w:szCs w:val="24"/>
              </w:rPr>
            </w:pPr>
            <w:r>
              <w:rPr>
                <w:rFonts w:hint="eastAsia"/>
                <w:color w:val="000000"/>
                <w:sz w:val="24"/>
                <w:szCs w:val="24"/>
              </w:rPr>
              <w:t>城镇居民人均可支配收入</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sz w:val="24"/>
                <w:szCs w:val="24"/>
              </w:rPr>
            </w:pPr>
            <w:r>
              <w:rPr>
                <w:rFonts w:hint="eastAsia" w:ascii="宋体" w:hAnsi="宋体"/>
                <w:color w:val="000000"/>
                <w:sz w:val="24"/>
                <w:szCs w:val="24"/>
              </w:rPr>
              <w:t>8.2%</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17539</w:t>
            </w:r>
          </w:p>
        </w:tc>
        <w:tc>
          <w:tcPr>
            <w:tcW w:w="1196" w:type="dxa"/>
            <w:tcBorders>
              <w:top w:val="single" w:color="auto" w:sz="4" w:space="0"/>
              <w:left w:val="nil"/>
              <w:bottom w:val="single" w:color="auto" w:sz="4" w:space="0"/>
              <w:right w:val="nil"/>
            </w:tcBorders>
            <w:vAlign w:val="center"/>
          </w:tcPr>
          <w:p>
            <w:pPr>
              <w:spacing w:line="380" w:lineRule="exact"/>
              <w:jc w:val="center"/>
              <w:rPr>
                <w:color w:val="000000"/>
                <w:sz w:val="24"/>
                <w:szCs w:val="24"/>
              </w:rPr>
            </w:pPr>
            <w:r>
              <w:rPr>
                <w:rFonts w:hint="eastAsia"/>
                <w:color w:val="000000"/>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sz w:val="24"/>
                <w:szCs w:val="24"/>
              </w:rPr>
            </w:pPr>
            <w:r>
              <w:rPr>
                <w:rFonts w:hint="eastAsia"/>
                <w:color w:val="000000"/>
                <w:sz w:val="24"/>
                <w:szCs w:val="24"/>
              </w:rPr>
              <w:t>农村居民人均可支配收入</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sz w:val="24"/>
                <w:szCs w:val="24"/>
              </w:rPr>
            </w:pPr>
            <w:r>
              <w:rPr>
                <w:rFonts w:hint="eastAsia" w:ascii="宋体" w:hAnsi="宋体"/>
                <w:color w:val="000000"/>
                <w:sz w:val="24"/>
                <w:szCs w:val="24"/>
              </w:rPr>
              <w:t>9%</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4"/>
                <w:szCs w:val="24"/>
              </w:rPr>
            </w:pPr>
            <w:r>
              <w:rPr>
                <w:rFonts w:hint="eastAsia"/>
                <w:color w:val="000000"/>
                <w:sz w:val="24"/>
                <w:szCs w:val="24"/>
              </w:rPr>
              <w:t>9921</w:t>
            </w:r>
          </w:p>
        </w:tc>
        <w:tc>
          <w:tcPr>
            <w:tcW w:w="1196" w:type="dxa"/>
            <w:tcBorders>
              <w:top w:val="single" w:color="auto" w:sz="4" w:space="0"/>
              <w:left w:val="nil"/>
              <w:bottom w:val="single" w:color="auto" w:sz="4" w:space="0"/>
              <w:right w:val="nil"/>
            </w:tcBorders>
            <w:vAlign w:val="center"/>
          </w:tcPr>
          <w:p>
            <w:pPr>
              <w:spacing w:line="380" w:lineRule="exact"/>
              <w:jc w:val="center"/>
              <w:rPr>
                <w:color w:val="000000"/>
                <w:sz w:val="24"/>
                <w:szCs w:val="24"/>
              </w:rPr>
            </w:pPr>
            <w:r>
              <w:rPr>
                <w:rFonts w:hint="eastAsia"/>
                <w:color w:val="000000"/>
                <w:sz w:val="24"/>
                <w:szCs w:val="24"/>
              </w:rPr>
              <w:t>5.7</w:t>
            </w:r>
          </w:p>
        </w:tc>
      </w:tr>
    </w:tbl>
    <w:p>
      <w:pPr>
        <w:ind w:firstLine="2311" w:firstLineChars="684"/>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ind w:firstLine="2704" w:firstLineChars="800"/>
        <w:outlineLvl w:val="0"/>
        <w:rPr>
          <w:rFonts w:hint="eastAsia" w:ascii="黑体" w:hAnsi="黑体" w:eastAsia="黑体"/>
          <w:sz w:val="32"/>
          <w:szCs w:val="32"/>
        </w:rPr>
      </w:pPr>
    </w:p>
    <w:p>
      <w:pPr>
        <w:spacing w:line="380" w:lineRule="exact"/>
        <w:ind w:firstLine="2704" w:firstLineChars="800"/>
        <w:outlineLvl w:val="0"/>
        <w:rPr>
          <w:rFonts w:hint="eastAsia" w:ascii="黑体" w:hAnsi="黑体" w:eastAsia="黑体"/>
          <w:sz w:val="32"/>
          <w:szCs w:val="32"/>
        </w:rPr>
      </w:pPr>
    </w:p>
    <w:p>
      <w:pPr>
        <w:spacing w:line="380" w:lineRule="exact"/>
        <w:ind w:firstLine="2704" w:firstLineChars="800"/>
        <w:outlineLvl w:val="0"/>
        <w:rPr>
          <w:rFonts w:ascii="黑体" w:hAnsi="黑体" w:eastAsia="黑体"/>
          <w:sz w:val="32"/>
          <w:szCs w:val="32"/>
        </w:rPr>
      </w:pPr>
      <w:r>
        <w:rPr>
          <w:rFonts w:hint="eastAsia" w:ascii="黑体" w:hAnsi="黑体" w:eastAsia="黑体"/>
          <w:sz w:val="32"/>
          <w:szCs w:val="32"/>
        </w:rPr>
        <w:t>三、地区生产总值（GDP）</w:t>
      </w:r>
    </w:p>
    <w:p>
      <w:pPr>
        <w:spacing w:line="380" w:lineRule="exact"/>
        <w:ind w:firstLine="6870" w:firstLineChars="2663"/>
        <w:outlineLvl w:val="0"/>
        <w:rPr>
          <w:rFonts w:ascii="宋体" w:hAnsi="宋体"/>
          <w:sz w:val="24"/>
          <w:szCs w:val="24"/>
        </w:rPr>
      </w:pPr>
      <w:r>
        <w:rPr>
          <w:rFonts w:hint="eastAsia" w:ascii="宋体" w:hAnsi="宋体"/>
          <w:sz w:val="24"/>
          <w:szCs w:val="24"/>
        </w:rPr>
        <w:t>单位：万元</w:t>
      </w:r>
    </w:p>
    <w:tbl>
      <w:tblPr>
        <w:tblStyle w:val="9"/>
        <w:tblW w:w="7494" w:type="dxa"/>
        <w:tblInd w:w="5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58"/>
        <w:gridCol w:w="1276"/>
        <w:gridCol w:w="1344"/>
        <w:gridCol w:w="879"/>
        <w:gridCol w:w="19"/>
        <w:gridCol w:w="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7" w:type="dxa"/>
          <w:trHeight w:val="786" w:hRule="atLeast"/>
        </w:trPr>
        <w:tc>
          <w:tcPr>
            <w:tcW w:w="3958" w:type="dxa"/>
            <w:tcBorders>
              <w:left w:val="nil"/>
            </w:tcBorders>
            <w:vAlign w:val="center"/>
          </w:tcPr>
          <w:p>
            <w:pPr>
              <w:spacing w:line="380" w:lineRule="exact"/>
              <w:jc w:val="center"/>
              <w:rPr>
                <w:color w:val="000000"/>
                <w:sz w:val="24"/>
                <w:szCs w:val="24"/>
              </w:rPr>
            </w:pPr>
            <w:r>
              <w:rPr>
                <w:rFonts w:hint="eastAsia"/>
                <w:color w:val="000000"/>
                <w:sz w:val="24"/>
                <w:szCs w:val="24"/>
              </w:rPr>
              <w:t>指标名称</w:t>
            </w:r>
          </w:p>
        </w:tc>
        <w:tc>
          <w:tcPr>
            <w:tcW w:w="1276" w:type="dxa"/>
            <w:vAlign w:val="center"/>
          </w:tcPr>
          <w:p>
            <w:pPr>
              <w:spacing w:line="380" w:lineRule="exact"/>
              <w:rPr>
                <w:color w:val="000000"/>
                <w:sz w:val="24"/>
                <w:szCs w:val="24"/>
              </w:rPr>
            </w:pPr>
            <w:r>
              <w:rPr>
                <w:rFonts w:hint="eastAsia"/>
                <w:color w:val="000000"/>
                <w:sz w:val="24"/>
                <w:szCs w:val="24"/>
              </w:rPr>
              <w:t>一季度</w:t>
            </w:r>
          </w:p>
        </w:tc>
        <w:tc>
          <w:tcPr>
            <w:tcW w:w="1344" w:type="dxa"/>
            <w:tcBorders>
              <w:right w:val="nil"/>
            </w:tcBorders>
            <w:vAlign w:val="center"/>
          </w:tcPr>
          <w:p>
            <w:pPr>
              <w:spacing w:line="380" w:lineRule="exact"/>
              <w:jc w:val="center"/>
              <w:rPr>
                <w:color w:val="000000"/>
                <w:sz w:val="24"/>
                <w:szCs w:val="24"/>
              </w:rPr>
            </w:pPr>
            <w:r>
              <w:rPr>
                <w:rFonts w:hint="eastAsia"/>
                <w:color w:val="000000"/>
                <w:sz w:val="24"/>
                <w:szCs w:val="24"/>
              </w:rPr>
              <w:t>同比±%</w:t>
            </w:r>
          </w:p>
        </w:tc>
        <w:tc>
          <w:tcPr>
            <w:tcW w:w="879" w:type="dxa"/>
            <w:tcBorders>
              <w:left w:val="nil"/>
              <w:right w:val="nil"/>
            </w:tcBorders>
            <w:shd w:val="clear" w:color="auto" w:fill="auto"/>
          </w:tcPr>
          <w:p>
            <w:pPr>
              <w:widowControl/>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7" w:type="dxa"/>
          <w:trHeight w:val="736" w:hRule="atLeast"/>
        </w:trPr>
        <w:tc>
          <w:tcPr>
            <w:tcW w:w="3958" w:type="dxa"/>
            <w:tcBorders>
              <w:left w:val="nil"/>
            </w:tcBorders>
            <w:vAlign w:val="center"/>
          </w:tcPr>
          <w:p>
            <w:pPr>
              <w:spacing w:line="380" w:lineRule="exact"/>
              <w:ind w:firstLine="378" w:firstLineChars="147"/>
              <w:rPr>
                <w:color w:val="000000"/>
                <w:sz w:val="24"/>
                <w:szCs w:val="24"/>
              </w:rPr>
            </w:pPr>
            <w:r>
              <w:rPr>
                <w:rFonts w:hint="eastAsia"/>
                <w:color w:val="000000"/>
                <w:sz w:val="24"/>
                <w:szCs w:val="24"/>
              </w:rPr>
              <w:t>地区生产总值</w:t>
            </w:r>
          </w:p>
        </w:tc>
        <w:tc>
          <w:tcPr>
            <w:tcW w:w="1276" w:type="dxa"/>
            <w:vAlign w:val="center"/>
          </w:tcPr>
          <w:p>
            <w:pPr>
              <w:widowControl/>
              <w:jc w:val="center"/>
              <w:textAlignment w:val="center"/>
              <w:rPr>
                <w:color w:val="000000"/>
                <w:sz w:val="24"/>
                <w:szCs w:val="24"/>
              </w:rPr>
            </w:pPr>
            <w:r>
              <w:rPr>
                <w:rFonts w:hint="eastAsia"/>
                <w:color w:val="000000"/>
                <w:sz w:val="24"/>
                <w:szCs w:val="24"/>
              </w:rPr>
              <w:t>2122629</w:t>
            </w:r>
          </w:p>
        </w:tc>
        <w:tc>
          <w:tcPr>
            <w:tcW w:w="1344" w:type="dxa"/>
            <w:tcBorders>
              <w:right w:val="nil"/>
            </w:tcBorders>
            <w:vAlign w:val="center"/>
          </w:tcPr>
          <w:p>
            <w:pPr>
              <w:widowControl/>
              <w:jc w:val="center"/>
              <w:textAlignment w:val="center"/>
              <w:rPr>
                <w:color w:val="000000"/>
                <w:sz w:val="24"/>
                <w:szCs w:val="24"/>
              </w:rPr>
            </w:pPr>
            <w:r>
              <w:rPr>
                <w:rFonts w:hint="eastAsia"/>
                <w:color w:val="000000"/>
                <w:sz w:val="24"/>
                <w:szCs w:val="24"/>
              </w:rPr>
              <w:t>0.5</w:t>
            </w:r>
          </w:p>
        </w:tc>
        <w:tc>
          <w:tcPr>
            <w:tcW w:w="879" w:type="dxa"/>
            <w:tcBorders>
              <w:left w:val="nil"/>
              <w:right w:val="nil"/>
            </w:tcBorders>
            <w:shd w:val="clear" w:color="auto" w:fill="auto"/>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7" w:type="dxa"/>
          <w:trHeight w:val="539" w:hRule="atLeast"/>
        </w:trPr>
        <w:tc>
          <w:tcPr>
            <w:tcW w:w="3958" w:type="dxa"/>
            <w:tcBorders>
              <w:left w:val="nil"/>
            </w:tcBorders>
            <w:vAlign w:val="center"/>
          </w:tcPr>
          <w:p>
            <w:pPr>
              <w:spacing w:line="380" w:lineRule="exact"/>
              <w:ind w:firstLine="632" w:firstLineChars="245"/>
              <w:rPr>
                <w:color w:val="000000"/>
                <w:sz w:val="24"/>
                <w:szCs w:val="24"/>
              </w:rPr>
            </w:pPr>
            <w:r>
              <w:rPr>
                <w:rFonts w:hint="eastAsia"/>
                <w:color w:val="000000"/>
                <w:sz w:val="24"/>
                <w:szCs w:val="24"/>
              </w:rPr>
              <w:t xml:space="preserve"> 农林牧渔业</w:t>
            </w:r>
          </w:p>
        </w:tc>
        <w:tc>
          <w:tcPr>
            <w:tcW w:w="1276" w:type="dxa"/>
            <w:vAlign w:val="center"/>
          </w:tcPr>
          <w:p>
            <w:pPr>
              <w:widowControl/>
              <w:spacing w:line="380" w:lineRule="exact"/>
              <w:jc w:val="center"/>
              <w:textAlignment w:val="center"/>
              <w:rPr>
                <w:color w:val="000000"/>
                <w:sz w:val="24"/>
                <w:szCs w:val="24"/>
              </w:rPr>
            </w:pPr>
            <w:r>
              <w:rPr>
                <w:rFonts w:hint="eastAsia"/>
                <w:color w:val="000000"/>
                <w:sz w:val="24"/>
                <w:szCs w:val="24"/>
              </w:rPr>
              <w:t>220612</w:t>
            </w:r>
          </w:p>
        </w:tc>
        <w:tc>
          <w:tcPr>
            <w:tcW w:w="1344" w:type="dxa"/>
            <w:tcBorders>
              <w:right w:val="nil"/>
            </w:tcBorders>
            <w:vAlign w:val="center"/>
          </w:tcPr>
          <w:p>
            <w:pPr>
              <w:widowControl/>
              <w:spacing w:line="380" w:lineRule="exact"/>
              <w:jc w:val="center"/>
              <w:textAlignment w:val="center"/>
              <w:rPr>
                <w:color w:val="000000"/>
                <w:sz w:val="24"/>
                <w:szCs w:val="24"/>
              </w:rPr>
            </w:pPr>
            <w:r>
              <w:rPr>
                <w:rFonts w:hint="eastAsia"/>
                <w:color w:val="000000"/>
                <w:sz w:val="24"/>
                <w:szCs w:val="24"/>
              </w:rPr>
              <w:t>2.3</w:t>
            </w:r>
          </w:p>
        </w:tc>
        <w:tc>
          <w:tcPr>
            <w:tcW w:w="879" w:type="dxa"/>
            <w:tcBorders>
              <w:left w:val="nil"/>
              <w:right w:val="nil"/>
            </w:tcBorders>
            <w:shd w:val="clear" w:color="auto" w:fill="auto"/>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7" w:type="dxa"/>
          <w:trHeight w:val="525" w:hRule="atLeast"/>
        </w:trPr>
        <w:tc>
          <w:tcPr>
            <w:tcW w:w="3958" w:type="dxa"/>
            <w:tcBorders>
              <w:left w:val="nil"/>
            </w:tcBorders>
            <w:vAlign w:val="center"/>
          </w:tcPr>
          <w:p>
            <w:pPr>
              <w:spacing w:line="380" w:lineRule="exact"/>
              <w:ind w:firstLine="757" w:firstLineChars="294"/>
              <w:rPr>
                <w:color w:val="000000"/>
                <w:sz w:val="24"/>
                <w:szCs w:val="24"/>
              </w:rPr>
            </w:pPr>
            <w:r>
              <w:rPr>
                <w:rFonts w:hint="eastAsia"/>
                <w:color w:val="000000"/>
                <w:sz w:val="24"/>
                <w:szCs w:val="24"/>
              </w:rPr>
              <w:t>工业</w:t>
            </w:r>
          </w:p>
        </w:tc>
        <w:tc>
          <w:tcPr>
            <w:tcW w:w="1276" w:type="dxa"/>
            <w:vAlign w:val="center"/>
          </w:tcPr>
          <w:p>
            <w:pPr>
              <w:widowControl/>
              <w:spacing w:line="380" w:lineRule="exact"/>
              <w:jc w:val="center"/>
              <w:textAlignment w:val="center"/>
              <w:rPr>
                <w:color w:val="000000"/>
                <w:sz w:val="24"/>
                <w:szCs w:val="24"/>
              </w:rPr>
            </w:pPr>
            <w:r>
              <w:rPr>
                <w:rFonts w:hint="eastAsia"/>
                <w:color w:val="000000"/>
                <w:sz w:val="24"/>
                <w:szCs w:val="24"/>
              </w:rPr>
              <w:t>793494</w:t>
            </w:r>
          </w:p>
        </w:tc>
        <w:tc>
          <w:tcPr>
            <w:tcW w:w="1344" w:type="dxa"/>
            <w:tcBorders>
              <w:right w:val="nil"/>
            </w:tcBorders>
            <w:vAlign w:val="center"/>
          </w:tcPr>
          <w:p>
            <w:pPr>
              <w:widowControl/>
              <w:spacing w:line="380" w:lineRule="exact"/>
              <w:jc w:val="center"/>
              <w:textAlignment w:val="center"/>
              <w:rPr>
                <w:color w:val="000000"/>
                <w:sz w:val="24"/>
                <w:szCs w:val="24"/>
              </w:rPr>
            </w:pPr>
            <w:r>
              <w:rPr>
                <w:rFonts w:hint="eastAsia"/>
                <w:color w:val="000000"/>
                <w:sz w:val="24"/>
                <w:szCs w:val="24"/>
              </w:rPr>
              <w:t>-1.5</w:t>
            </w:r>
          </w:p>
        </w:tc>
        <w:tc>
          <w:tcPr>
            <w:tcW w:w="879" w:type="dxa"/>
            <w:tcBorders>
              <w:left w:val="nil"/>
              <w:right w:val="nil"/>
            </w:tcBorders>
            <w:shd w:val="clear" w:color="auto" w:fill="auto"/>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7" w:type="dxa"/>
          <w:trHeight w:val="501" w:hRule="atLeast"/>
        </w:trPr>
        <w:tc>
          <w:tcPr>
            <w:tcW w:w="3958" w:type="dxa"/>
            <w:tcBorders>
              <w:left w:val="nil"/>
            </w:tcBorders>
            <w:vAlign w:val="center"/>
          </w:tcPr>
          <w:p>
            <w:pPr>
              <w:spacing w:line="380" w:lineRule="exact"/>
              <w:ind w:firstLine="757" w:firstLineChars="294"/>
              <w:rPr>
                <w:color w:val="000000"/>
                <w:sz w:val="24"/>
                <w:szCs w:val="24"/>
              </w:rPr>
            </w:pPr>
            <w:r>
              <w:rPr>
                <w:rFonts w:hint="eastAsia"/>
                <w:color w:val="000000"/>
                <w:sz w:val="24"/>
                <w:szCs w:val="24"/>
              </w:rPr>
              <w:t>建筑业</w:t>
            </w:r>
          </w:p>
        </w:tc>
        <w:tc>
          <w:tcPr>
            <w:tcW w:w="1276" w:type="dxa"/>
            <w:shd w:val="clear" w:color="auto" w:fill="FFFFFF" w:themeFill="background1"/>
            <w:vAlign w:val="center"/>
          </w:tcPr>
          <w:p>
            <w:pPr>
              <w:widowControl/>
              <w:spacing w:line="380" w:lineRule="exact"/>
              <w:jc w:val="center"/>
              <w:textAlignment w:val="center"/>
              <w:rPr>
                <w:color w:val="000000"/>
                <w:sz w:val="24"/>
                <w:szCs w:val="24"/>
              </w:rPr>
            </w:pPr>
            <w:r>
              <w:rPr>
                <w:rFonts w:hint="eastAsia"/>
                <w:color w:val="000000"/>
                <w:sz w:val="24"/>
                <w:szCs w:val="24"/>
              </w:rPr>
              <w:t>210185</w:t>
            </w:r>
          </w:p>
        </w:tc>
        <w:tc>
          <w:tcPr>
            <w:tcW w:w="1344" w:type="dxa"/>
            <w:tcBorders>
              <w:right w:val="nil"/>
            </w:tcBorders>
            <w:vAlign w:val="center"/>
          </w:tcPr>
          <w:p>
            <w:pPr>
              <w:widowControl/>
              <w:spacing w:line="380" w:lineRule="exact"/>
              <w:jc w:val="center"/>
              <w:textAlignment w:val="center"/>
              <w:rPr>
                <w:color w:val="000000"/>
                <w:sz w:val="24"/>
                <w:szCs w:val="24"/>
              </w:rPr>
            </w:pPr>
            <w:r>
              <w:rPr>
                <w:rFonts w:hint="eastAsia"/>
                <w:color w:val="000000"/>
                <w:sz w:val="24"/>
                <w:szCs w:val="24"/>
              </w:rPr>
              <w:t>5.6</w:t>
            </w:r>
          </w:p>
        </w:tc>
        <w:tc>
          <w:tcPr>
            <w:tcW w:w="879" w:type="dxa"/>
            <w:tcBorders>
              <w:left w:val="nil"/>
              <w:right w:val="nil"/>
            </w:tcBorders>
            <w:shd w:val="clear" w:color="auto" w:fill="auto"/>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7" w:type="dxa"/>
          <w:trHeight w:val="511" w:hRule="atLeast"/>
        </w:trPr>
        <w:tc>
          <w:tcPr>
            <w:tcW w:w="3958" w:type="dxa"/>
            <w:tcBorders>
              <w:left w:val="nil"/>
            </w:tcBorders>
            <w:vAlign w:val="center"/>
          </w:tcPr>
          <w:p>
            <w:pPr>
              <w:spacing w:line="380" w:lineRule="exact"/>
              <w:ind w:firstLine="757" w:firstLineChars="294"/>
              <w:rPr>
                <w:color w:val="000000"/>
                <w:sz w:val="24"/>
                <w:szCs w:val="24"/>
              </w:rPr>
            </w:pPr>
            <w:r>
              <w:rPr>
                <w:rFonts w:hint="eastAsia"/>
                <w:color w:val="000000"/>
                <w:sz w:val="24"/>
                <w:szCs w:val="24"/>
              </w:rPr>
              <w:t>批发和零售业</w:t>
            </w:r>
          </w:p>
        </w:tc>
        <w:tc>
          <w:tcPr>
            <w:tcW w:w="1276" w:type="dxa"/>
            <w:shd w:val="clear" w:color="auto" w:fill="FFFFFF" w:themeFill="background1"/>
            <w:vAlign w:val="center"/>
          </w:tcPr>
          <w:p>
            <w:pPr>
              <w:widowControl/>
              <w:spacing w:line="380" w:lineRule="exact"/>
              <w:jc w:val="center"/>
              <w:textAlignment w:val="center"/>
              <w:rPr>
                <w:color w:val="000000"/>
                <w:sz w:val="24"/>
                <w:szCs w:val="24"/>
              </w:rPr>
            </w:pPr>
            <w:r>
              <w:rPr>
                <w:rFonts w:hint="eastAsia"/>
                <w:color w:val="000000"/>
                <w:sz w:val="24"/>
                <w:szCs w:val="24"/>
              </w:rPr>
              <w:t>193529</w:t>
            </w:r>
          </w:p>
        </w:tc>
        <w:tc>
          <w:tcPr>
            <w:tcW w:w="1344" w:type="dxa"/>
            <w:tcBorders>
              <w:right w:val="nil"/>
            </w:tcBorders>
            <w:vAlign w:val="center"/>
          </w:tcPr>
          <w:p>
            <w:pPr>
              <w:widowControl/>
              <w:spacing w:line="380" w:lineRule="exact"/>
              <w:jc w:val="center"/>
              <w:textAlignment w:val="center"/>
              <w:rPr>
                <w:color w:val="000000"/>
                <w:sz w:val="24"/>
                <w:szCs w:val="24"/>
              </w:rPr>
            </w:pPr>
            <w:r>
              <w:rPr>
                <w:rFonts w:hint="eastAsia"/>
                <w:color w:val="000000"/>
                <w:sz w:val="24"/>
                <w:szCs w:val="24"/>
              </w:rPr>
              <w:t>-6.4</w:t>
            </w:r>
          </w:p>
        </w:tc>
        <w:tc>
          <w:tcPr>
            <w:tcW w:w="879" w:type="dxa"/>
            <w:tcBorders>
              <w:left w:val="nil"/>
              <w:right w:val="nil"/>
            </w:tcBorders>
            <w:shd w:val="clear" w:color="auto" w:fill="auto"/>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7" w:type="dxa"/>
          <w:trHeight w:val="497" w:hRule="atLeast"/>
        </w:trPr>
        <w:tc>
          <w:tcPr>
            <w:tcW w:w="3958" w:type="dxa"/>
            <w:tcBorders>
              <w:left w:val="nil"/>
            </w:tcBorders>
            <w:vAlign w:val="center"/>
          </w:tcPr>
          <w:p>
            <w:pPr>
              <w:spacing w:line="380" w:lineRule="exact"/>
              <w:jc w:val="center"/>
              <w:rPr>
                <w:color w:val="000000"/>
                <w:sz w:val="24"/>
                <w:szCs w:val="24"/>
              </w:rPr>
            </w:pPr>
            <w:r>
              <w:rPr>
                <w:rFonts w:hint="eastAsia"/>
                <w:color w:val="000000"/>
                <w:sz w:val="24"/>
                <w:szCs w:val="24"/>
              </w:rPr>
              <w:t xml:space="preserve">      交通运输、仓储和邮政业</w:t>
            </w:r>
          </w:p>
        </w:tc>
        <w:tc>
          <w:tcPr>
            <w:tcW w:w="1276" w:type="dxa"/>
            <w:shd w:val="clear" w:color="auto" w:fill="FFFFFF" w:themeFill="background1"/>
            <w:vAlign w:val="center"/>
          </w:tcPr>
          <w:p>
            <w:pPr>
              <w:widowControl/>
              <w:spacing w:line="380" w:lineRule="exact"/>
              <w:jc w:val="center"/>
              <w:textAlignment w:val="center"/>
              <w:rPr>
                <w:color w:val="000000"/>
                <w:sz w:val="24"/>
                <w:szCs w:val="24"/>
              </w:rPr>
            </w:pPr>
            <w:r>
              <w:rPr>
                <w:rFonts w:hint="eastAsia"/>
                <w:color w:val="000000"/>
                <w:sz w:val="24"/>
                <w:szCs w:val="24"/>
              </w:rPr>
              <w:t>45905</w:t>
            </w:r>
          </w:p>
        </w:tc>
        <w:tc>
          <w:tcPr>
            <w:tcW w:w="1344" w:type="dxa"/>
            <w:tcBorders>
              <w:right w:val="nil"/>
            </w:tcBorders>
            <w:vAlign w:val="center"/>
          </w:tcPr>
          <w:p>
            <w:pPr>
              <w:widowControl/>
              <w:spacing w:line="380" w:lineRule="exact"/>
              <w:jc w:val="center"/>
              <w:textAlignment w:val="center"/>
              <w:rPr>
                <w:color w:val="000000"/>
                <w:sz w:val="24"/>
                <w:szCs w:val="24"/>
              </w:rPr>
            </w:pPr>
            <w:r>
              <w:rPr>
                <w:rFonts w:hint="eastAsia"/>
                <w:color w:val="000000"/>
                <w:sz w:val="24"/>
                <w:szCs w:val="24"/>
              </w:rPr>
              <w:t>-7.2</w:t>
            </w:r>
          </w:p>
        </w:tc>
        <w:tc>
          <w:tcPr>
            <w:tcW w:w="879" w:type="dxa"/>
            <w:tcBorders>
              <w:left w:val="nil"/>
              <w:right w:val="nil"/>
            </w:tcBorders>
            <w:shd w:val="clear" w:color="auto" w:fill="auto"/>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7" w:type="dxa"/>
          <w:trHeight w:val="483" w:hRule="atLeast"/>
        </w:trPr>
        <w:tc>
          <w:tcPr>
            <w:tcW w:w="3958" w:type="dxa"/>
            <w:tcBorders>
              <w:left w:val="nil"/>
            </w:tcBorders>
            <w:vAlign w:val="center"/>
          </w:tcPr>
          <w:p>
            <w:pPr>
              <w:spacing w:line="380" w:lineRule="exact"/>
              <w:ind w:firstLine="752" w:firstLineChars="292"/>
              <w:rPr>
                <w:color w:val="000000"/>
                <w:sz w:val="24"/>
                <w:szCs w:val="24"/>
              </w:rPr>
            </w:pPr>
            <w:r>
              <w:rPr>
                <w:rFonts w:hint="eastAsia"/>
                <w:color w:val="000000"/>
                <w:sz w:val="24"/>
                <w:szCs w:val="24"/>
              </w:rPr>
              <w:t>住宿和餐饮业</w:t>
            </w:r>
          </w:p>
        </w:tc>
        <w:tc>
          <w:tcPr>
            <w:tcW w:w="1276" w:type="dxa"/>
            <w:shd w:val="clear" w:color="auto" w:fill="FFFFFF" w:themeFill="background1"/>
            <w:vAlign w:val="center"/>
          </w:tcPr>
          <w:p>
            <w:pPr>
              <w:widowControl/>
              <w:spacing w:line="380" w:lineRule="exact"/>
              <w:jc w:val="center"/>
              <w:textAlignment w:val="center"/>
              <w:rPr>
                <w:color w:val="000000"/>
                <w:sz w:val="24"/>
                <w:szCs w:val="24"/>
              </w:rPr>
            </w:pPr>
            <w:r>
              <w:rPr>
                <w:rFonts w:hint="eastAsia"/>
                <w:color w:val="000000"/>
                <w:sz w:val="24"/>
                <w:szCs w:val="24"/>
              </w:rPr>
              <w:t>35595</w:t>
            </w:r>
          </w:p>
        </w:tc>
        <w:tc>
          <w:tcPr>
            <w:tcW w:w="1344" w:type="dxa"/>
            <w:tcBorders>
              <w:right w:val="nil"/>
            </w:tcBorders>
            <w:vAlign w:val="center"/>
          </w:tcPr>
          <w:p>
            <w:pPr>
              <w:widowControl/>
              <w:spacing w:line="380" w:lineRule="exact"/>
              <w:jc w:val="center"/>
              <w:textAlignment w:val="center"/>
              <w:rPr>
                <w:color w:val="000000"/>
                <w:sz w:val="24"/>
                <w:szCs w:val="24"/>
              </w:rPr>
            </w:pPr>
            <w:r>
              <w:rPr>
                <w:rFonts w:hint="eastAsia"/>
                <w:color w:val="000000"/>
                <w:sz w:val="24"/>
                <w:szCs w:val="24"/>
                <w:lang w:val="en-US" w:eastAsia="zh-CN"/>
              </w:rPr>
              <w:t>-</w:t>
            </w:r>
            <w:r>
              <w:rPr>
                <w:rFonts w:hint="eastAsia"/>
                <w:color w:val="000000"/>
                <w:sz w:val="24"/>
                <w:szCs w:val="24"/>
              </w:rPr>
              <w:t>1.1</w:t>
            </w:r>
          </w:p>
        </w:tc>
        <w:tc>
          <w:tcPr>
            <w:tcW w:w="879" w:type="dxa"/>
            <w:tcBorders>
              <w:left w:val="nil"/>
              <w:right w:val="nil"/>
            </w:tcBorders>
            <w:shd w:val="clear" w:color="auto" w:fill="auto"/>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7" w:type="dxa"/>
          <w:trHeight w:val="469" w:hRule="atLeast"/>
        </w:trPr>
        <w:tc>
          <w:tcPr>
            <w:tcW w:w="3958" w:type="dxa"/>
            <w:tcBorders>
              <w:left w:val="nil"/>
            </w:tcBorders>
            <w:vAlign w:val="center"/>
          </w:tcPr>
          <w:p>
            <w:pPr>
              <w:spacing w:line="380" w:lineRule="exact"/>
              <w:ind w:firstLine="752" w:firstLineChars="292"/>
              <w:rPr>
                <w:color w:val="000000"/>
                <w:sz w:val="24"/>
                <w:szCs w:val="24"/>
              </w:rPr>
            </w:pPr>
            <w:r>
              <w:rPr>
                <w:rFonts w:hint="eastAsia"/>
                <w:color w:val="000000"/>
                <w:sz w:val="24"/>
                <w:szCs w:val="24"/>
              </w:rPr>
              <w:t>金融业</w:t>
            </w:r>
          </w:p>
        </w:tc>
        <w:tc>
          <w:tcPr>
            <w:tcW w:w="1276" w:type="dxa"/>
            <w:shd w:val="clear" w:color="auto" w:fill="FFFFFF" w:themeFill="background1"/>
            <w:vAlign w:val="center"/>
          </w:tcPr>
          <w:p>
            <w:pPr>
              <w:widowControl/>
              <w:spacing w:line="380" w:lineRule="exact"/>
              <w:jc w:val="center"/>
              <w:textAlignment w:val="center"/>
              <w:rPr>
                <w:color w:val="000000"/>
                <w:sz w:val="24"/>
                <w:szCs w:val="24"/>
              </w:rPr>
            </w:pPr>
            <w:r>
              <w:rPr>
                <w:rFonts w:hint="eastAsia"/>
                <w:color w:val="000000"/>
                <w:sz w:val="24"/>
                <w:szCs w:val="24"/>
              </w:rPr>
              <w:t>68726</w:t>
            </w:r>
          </w:p>
        </w:tc>
        <w:tc>
          <w:tcPr>
            <w:tcW w:w="1344" w:type="dxa"/>
            <w:tcBorders>
              <w:right w:val="nil"/>
            </w:tcBorders>
            <w:vAlign w:val="center"/>
          </w:tcPr>
          <w:p>
            <w:pPr>
              <w:widowControl/>
              <w:spacing w:line="380" w:lineRule="exact"/>
              <w:jc w:val="center"/>
              <w:textAlignment w:val="center"/>
              <w:rPr>
                <w:color w:val="000000"/>
                <w:sz w:val="24"/>
                <w:szCs w:val="24"/>
              </w:rPr>
            </w:pPr>
            <w:r>
              <w:rPr>
                <w:rFonts w:hint="eastAsia"/>
                <w:color w:val="000000"/>
                <w:sz w:val="24"/>
                <w:szCs w:val="24"/>
              </w:rPr>
              <w:t>7.6</w:t>
            </w:r>
          </w:p>
        </w:tc>
        <w:tc>
          <w:tcPr>
            <w:tcW w:w="879" w:type="dxa"/>
            <w:tcBorders>
              <w:left w:val="nil"/>
              <w:right w:val="nil"/>
            </w:tcBorders>
            <w:shd w:val="clear" w:color="auto" w:fill="auto"/>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916" w:type="dxa"/>
          <w:trHeight w:val="455" w:hRule="atLeast"/>
        </w:trPr>
        <w:tc>
          <w:tcPr>
            <w:tcW w:w="3958" w:type="dxa"/>
            <w:tcBorders>
              <w:left w:val="nil"/>
            </w:tcBorders>
            <w:vAlign w:val="center"/>
          </w:tcPr>
          <w:p>
            <w:pPr>
              <w:spacing w:line="380" w:lineRule="exact"/>
              <w:ind w:firstLine="632" w:firstLineChars="245"/>
              <w:rPr>
                <w:color w:val="000000"/>
                <w:sz w:val="24"/>
                <w:szCs w:val="24"/>
              </w:rPr>
            </w:pPr>
            <w:r>
              <w:rPr>
                <w:rFonts w:hint="eastAsia"/>
                <w:color w:val="000000"/>
                <w:sz w:val="24"/>
                <w:szCs w:val="24"/>
              </w:rPr>
              <w:t xml:space="preserve"> 房地产业</w:t>
            </w:r>
          </w:p>
        </w:tc>
        <w:tc>
          <w:tcPr>
            <w:tcW w:w="1276" w:type="dxa"/>
            <w:shd w:val="clear" w:color="auto" w:fill="FFFFFF" w:themeFill="background1"/>
            <w:vAlign w:val="center"/>
          </w:tcPr>
          <w:p>
            <w:pPr>
              <w:widowControl/>
              <w:spacing w:line="380" w:lineRule="exact"/>
              <w:jc w:val="center"/>
              <w:textAlignment w:val="center"/>
              <w:rPr>
                <w:color w:val="000000"/>
                <w:sz w:val="24"/>
                <w:szCs w:val="24"/>
              </w:rPr>
            </w:pPr>
            <w:r>
              <w:rPr>
                <w:rFonts w:hint="eastAsia"/>
                <w:color w:val="000000"/>
                <w:sz w:val="24"/>
                <w:szCs w:val="24"/>
              </w:rPr>
              <w:t>147075</w:t>
            </w:r>
          </w:p>
        </w:tc>
        <w:tc>
          <w:tcPr>
            <w:tcW w:w="1344" w:type="dxa"/>
            <w:tcBorders>
              <w:right w:val="nil"/>
            </w:tcBorders>
            <w:vAlign w:val="center"/>
          </w:tcPr>
          <w:p>
            <w:pPr>
              <w:widowControl/>
              <w:spacing w:line="380" w:lineRule="exact"/>
              <w:jc w:val="center"/>
              <w:textAlignment w:val="center"/>
              <w:rPr>
                <w:color w:val="000000"/>
                <w:sz w:val="24"/>
                <w:szCs w:val="24"/>
              </w:rPr>
            </w:pPr>
            <w:r>
              <w:rPr>
                <w:rFonts w:hint="eastAsia"/>
                <w:color w:val="000000"/>
                <w:sz w:val="24"/>
                <w:szCs w:val="24"/>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58" w:type="dxa"/>
            <w:tcBorders>
              <w:left w:val="nil"/>
            </w:tcBorders>
            <w:vAlign w:val="center"/>
          </w:tcPr>
          <w:p>
            <w:pPr>
              <w:spacing w:line="380" w:lineRule="exact"/>
              <w:ind w:firstLine="632" w:firstLineChars="245"/>
              <w:rPr>
                <w:color w:val="000000"/>
                <w:sz w:val="24"/>
                <w:szCs w:val="24"/>
              </w:rPr>
            </w:pPr>
            <w:r>
              <w:rPr>
                <w:rFonts w:hint="eastAsia"/>
                <w:color w:val="000000"/>
                <w:sz w:val="24"/>
                <w:szCs w:val="24"/>
              </w:rPr>
              <w:t xml:space="preserve"> 营利性服务业</w:t>
            </w:r>
          </w:p>
        </w:tc>
        <w:tc>
          <w:tcPr>
            <w:tcW w:w="1276" w:type="dxa"/>
            <w:shd w:val="clear" w:color="auto" w:fill="FFFFFF" w:themeFill="background1"/>
            <w:vAlign w:val="center"/>
          </w:tcPr>
          <w:p>
            <w:pPr>
              <w:widowControl/>
              <w:spacing w:line="380" w:lineRule="exact"/>
              <w:jc w:val="center"/>
              <w:textAlignment w:val="center"/>
              <w:rPr>
                <w:color w:val="000000"/>
                <w:sz w:val="24"/>
                <w:szCs w:val="24"/>
              </w:rPr>
            </w:pPr>
            <w:r>
              <w:rPr>
                <w:rFonts w:hint="eastAsia"/>
                <w:color w:val="000000"/>
                <w:sz w:val="24"/>
                <w:szCs w:val="24"/>
              </w:rPr>
              <w:t>175320</w:t>
            </w:r>
          </w:p>
        </w:tc>
        <w:tc>
          <w:tcPr>
            <w:tcW w:w="1344" w:type="dxa"/>
            <w:tcBorders>
              <w:right w:val="nil"/>
            </w:tcBorders>
            <w:vAlign w:val="center"/>
          </w:tcPr>
          <w:p>
            <w:pPr>
              <w:widowControl/>
              <w:spacing w:line="380" w:lineRule="exact"/>
              <w:jc w:val="center"/>
              <w:textAlignment w:val="center"/>
              <w:rPr>
                <w:color w:val="000000"/>
                <w:sz w:val="24"/>
                <w:szCs w:val="24"/>
              </w:rPr>
            </w:pPr>
            <w:r>
              <w:rPr>
                <w:rFonts w:hint="eastAsia"/>
                <w:color w:val="000000"/>
                <w:sz w:val="24"/>
                <w:szCs w:val="24"/>
              </w:rPr>
              <w:t>3.3</w:t>
            </w:r>
          </w:p>
        </w:tc>
        <w:tc>
          <w:tcPr>
            <w:tcW w:w="916" w:type="dxa"/>
            <w:gridSpan w:val="3"/>
            <w:tcBorders>
              <w:left w:val="nil"/>
              <w:right w:val="nil"/>
            </w:tcBorders>
            <w:shd w:val="clear" w:color="auto" w:fill="auto"/>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916" w:type="dxa"/>
          <w:trHeight w:val="427" w:hRule="atLeast"/>
        </w:trPr>
        <w:tc>
          <w:tcPr>
            <w:tcW w:w="3958" w:type="dxa"/>
            <w:tcBorders>
              <w:left w:val="nil"/>
            </w:tcBorders>
            <w:vAlign w:val="center"/>
          </w:tcPr>
          <w:p>
            <w:pPr>
              <w:spacing w:line="380" w:lineRule="exact"/>
              <w:ind w:firstLine="752" w:firstLineChars="292"/>
              <w:rPr>
                <w:color w:val="000000"/>
                <w:sz w:val="24"/>
                <w:szCs w:val="24"/>
              </w:rPr>
            </w:pPr>
            <w:r>
              <w:rPr>
                <w:rFonts w:hint="eastAsia"/>
                <w:color w:val="000000"/>
                <w:sz w:val="24"/>
                <w:szCs w:val="24"/>
              </w:rPr>
              <w:t>非营利性服务业</w:t>
            </w:r>
          </w:p>
        </w:tc>
        <w:tc>
          <w:tcPr>
            <w:tcW w:w="1276" w:type="dxa"/>
            <w:shd w:val="clear" w:color="auto" w:fill="FFFFFF" w:themeFill="background1"/>
            <w:vAlign w:val="center"/>
          </w:tcPr>
          <w:p>
            <w:pPr>
              <w:widowControl/>
              <w:spacing w:line="380" w:lineRule="exact"/>
              <w:jc w:val="center"/>
              <w:textAlignment w:val="center"/>
              <w:rPr>
                <w:color w:val="000000"/>
                <w:sz w:val="24"/>
                <w:szCs w:val="24"/>
              </w:rPr>
            </w:pPr>
            <w:r>
              <w:rPr>
                <w:rFonts w:hint="eastAsia"/>
                <w:color w:val="000000"/>
                <w:sz w:val="24"/>
                <w:szCs w:val="24"/>
              </w:rPr>
              <w:t>232188</w:t>
            </w:r>
          </w:p>
        </w:tc>
        <w:tc>
          <w:tcPr>
            <w:tcW w:w="1344" w:type="dxa"/>
            <w:tcBorders>
              <w:right w:val="nil"/>
            </w:tcBorders>
            <w:vAlign w:val="center"/>
          </w:tcPr>
          <w:p>
            <w:pPr>
              <w:widowControl/>
              <w:spacing w:line="380" w:lineRule="exact"/>
              <w:jc w:val="center"/>
              <w:textAlignment w:val="center"/>
              <w:rPr>
                <w:color w:val="000000"/>
                <w:sz w:val="24"/>
                <w:szCs w:val="24"/>
              </w:rPr>
            </w:pPr>
            <w:r>
              <w:rPr>
                <w:rFonts w:hint="eastAsia"/>
                <w:color w:val="000000"/>
                <w:sz w:val="24"/>
                <w:szCs w:val="24"/>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7" w:type="dxa"/>
          <w:trHeight w:val="427" w:hRule="atLeast"/>
        </w:trPr>
        <w:tc>
          <w:tcPr>
            <w:tcW w:w="3958" w:type="dxa"/>
            <w:tcBorders>
              <w:left w:val="nil"/>
            </w:tcBorders>
            <w:vAlign w:val="center"/>
          </w:tcPr>
          <w:p>
            <w:pPr>
              <w:spacing w:line="380" w:lineRule="exact"/>
              <w:ind w:firstLine="378" w:firstLineChars="147"/>
              <w:rPr>
                <w:color w:val="000000"/>
                <w:sz w:val="24"/>
                <w:szCs w:val="24"/>
              </w:rPr>
            </w:pPr>
            <w:r>
              <w:rPr>
                <w:rFonts w:hint="eastAsia"/>
                <w:color w:val="000000"/>
                <w:sz w:val="24"/>
                <w:szCs w:val="24"/>
              </w:rPr>
              <w:t xml:space="preserve"> 一产业</w:t>
            </w:r>
          </w:p>
        </w:tc>
        <w:tc>
          <w:tcPr>
            <w:tcW w:w="1276" w:type="dxa"/>
            <w:vAlign w:val="center"/>
          </w:tcPr>
          <w:p>
            <w:pPr>
              <w:widowControl/>
              <w:spacing w:line="380" w:lineRule="exact"/>
              <w:jc w:val="center"/>
              <w:textAlignment w:val="center"/>
              <w:rPr>
                <w:color w:val="000000"/>
                <w:sz w:val="24"/>
                <w:szCs w:val="24"/>
              </w:rPr>
            </w:pPr>
            <w:r>
              <w:rPr>
                <w:rFonts w:hint="eastAsia"/>
                <w:color w:val="000000"/>
                <w:sz w:val="24"/>
                <w:szCs w:val="24"/>
              </w:rPr>
              <w:t>211916</w:t>
            </w:r>
          </w:p>
        </w:tc>
        <w:tc>
          <w:tcPr>
            <w:tcW w:w="1344" w:type="dxa"/>
            <w:tcBorders>
              <w:right w:val="nil"/>
            </w:tcBorders>
            <w:vAlign w:val="center"/>
          </w:tcPr>
          <w:p>
            <w:pPr>
              <w:widowControl/>
              <w:spacing w:line="380" w:lineRule="exact"/>
              <w:jc w:val="center"/>
              <w:textAlignment w:val="center"/>
              <w:rPr>
                <w:color w:val="000000"/>
                <w:sz w:val="24"/>
                <w:szCs w:val="24"/>
              </w:rPr>
            </w:pPr>
            <w:r>
              <w:rPr>
                <w:rFonts w:hint="eastAsia"/>
                <w:color w:val="000000"/>
                <w:sz w:val="24"/>
                <w:szCs w:val="24"/>
              </w:rPr>
              <w:t>2.1</w:t>
            </w:r>
          </w:p>
        </w:tc>
        <w:tc>
          <w:tcPr>
            <w:tcW w:w="879" w:type="dxa"/>
            <w:tcBorders>
              <w:left w:val="nil"/>
              <w:right w:val="nil"/>
            </w:tcBorders>
            <w:shd w:val="clear" w:color="auto" w:fill="auto"/>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916" w:type="dxa"/>
          <w:trHeight w:val="427" w:hRule="atLeast"/>
        </w:trPr>
        <w:tc>
          <w:tcPr>
            <w:tcW w:w="3958" w:type="dxa"/>
            <w:tcBorders>
              <w:left w:val="nil"/>
            </w:tcBorders>
            <w:vAlign w:val="center"/>
          </w:tcPr>
          <w:p>
            <w:pPr>
              <w:spacing w:line="380" w:lineRule="exact"/>
              <w:ind w:firstLine="252" w:firstLineChars="98"/>
              <w:rPr>
                <w:color w:val="000000"/>
                <w:sz w:val="24"/>
                <w:szCs w:val="24"/>
              </w:rPr>
            </w:pPr>
            <w:r>
              <w:rPr>
                <w:rFonts w:hint="eastAsia"/>
                <w:color w:val="000000"/>
                <w:sz w:val="24"/>
                <w:szCs w:val="24"/>
              </w:rPr>
              <w:t xml:space="preserve">  二产业</w:t>
            </w:r>
          </w:p>
        </w:tc>
        <w:tc>
          <w:tcPr>
            <w:tcW w:w="1276" w:type="dxa"/>
            <w:vAlign w:val="center"/>
          </w:tcPr>
          <w:p>
            <w:pPr>
              <w:widowControl/>
              <w:spacing w:line="380" w:lineRule="exact"/>
              <w:jc w:val="center"/>
              <w:textAlignment w:val="center"/>
              <w:rPr>
                <w:color w:val="000000"/>
                <w:sz w:val="24"/>
                <w:szCs w:val="24"/>
              </w:rPr>
            </w:pPr>
            <w:r>
              <w:rPr>
                <w:rFonts w:hint="eastAsia"/>
                <w:color w:val="000000"/>
                <w:sz w:val="24"/>
                <w:szCs w:val="24"/>
              </w:rPr>
              <w:t>1001968</w:t>
            </w:r>
          </w:p>
        </w:tc>
        <w:tc>
          <w:tcPr>
            <w:tcW w:w="1344" w:type="dxa"/>
            <w:tcBorders>
              <w:right w:val="nil"/>
            </w:tcBorders>
            <w:vAlign w:val="center"/>
          </w:tcPr>
          <w:p>
            <w:pPr>
              <w:widowControl/>
              <w:spacing w:line="380" w:lineRule="exact"/>
              <w:jc w:val="center"/>
              <w:textAlignment w:val="center"/>
              <w:rPr>
                <w:color w:val="000000"/>
                <w:sz w:val="24"/>
                <w:szCs w:val="24"/>
              </w:rPr>
            </w:pPr>
            <w:r>
              <w:rPr>
                <w:rFonts w:hint="eastAsia"/>
                <w:color w:val="000000"/>
                <w:sz w:val="24"/>
                <w:szCs w:val="24"/>
                <w:lang w:val="en-US" w:eastAsia="zh-CN"/>
              </w:rPr>
              <w:t>-</w:t>
            </w:r>
            <w:r>
              <w:rPr>
                <w:rFonts w:hint="eastAsia"/>
                <w:color w:val="000000"/>
                <w:sz w:val="24"/>
                <w:szCs w:val="24"/>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427" w:hRule="atLeast"/>
        </w:trPr>
        <w:tc>
          <w:tcPr>
            <w:tcW w:w="3958" w:type="dxa"/>
            <w:tcBorders>
              <w:left w:val="nil"/>
            </w:tcBorders>
            <w:vAlign w:val="center"/>
          </w:tcPr>
          <w:p>
            <w:pPr>
              <w:spacing w:line="380" w:lineRule="exact"/>
              <w:ind w:firstLine="252" w:firstLineChars="98"/>
              <w:rPr>
                <w:color w:val="000000"/>
                <w:sz w:val="24"/>
                <w:szCs w:val="24"/>
              </w:rPr>
            </w:pPr>
            <w:r>
              <w:rPr>
                <w:rFonts w:hint="eastAsia"/>
                <w:color w:val="000000"/>
                <w:sz w:val="24"/>
                <w:szCs w:val="24"/>
              </w:rPr>
              <w:t xml:space="preserve">  三产业</w:t>
            </w:r>
          </w:p>
        </w:tc>
        <w:tc>
          <w:tcPr>
            <w:tcW w:w="1276" w:type="dxa"/>
            <w:vAlign w:val="center"/>
          </w:tcPr>
          <w:p>
            <w:pPr>
              <w:widowControl/>
              <w:spacing w:line="380" w:lineRule="exact"/>
              <w:jc w:val="center"/>
              <w:textAlignment w:val="center"/>
              <w:rPr>
                <w:color w:val="000000"/>
                <w:sz w:val="24"/>
                <w:szCs w:val="24"/>
              </w:rPr>
            </w:pPr>
            <w:r>
              <w:rPr>
                <w:rFonts w:hint="eastAsia"/>
                <w:color w:val="000000"/>
                <w:sz w:val="24"/>
                <w:szCs w:val="24"/>
              </w:rPr>
              <w:t>908746</w:t>
            </w:r>
          </w:p>
        </w:tc>
        <w:tc>
          <w:tcPr>
            <w:tcW w:w="1344" w:type="dxa"/>
            <w:tcBorders>
              <w:right w:val="nil"/>
            </w:tcBorders>
            <w:vAlign w:val="center"/>
          </w:tcPr>
          <w:p>
            <w:pPr>
              <w:widowControl/>
              <w:spacing w:line="380" w:lineRule="exact"/>
              <w:jc w:val="center"/>
              <w:textAlignment w:val="center"/>
              <w:rPr>
                <w:color w:val="000000"/>
                <w:sz w:val="24"/>
                <w:szCs w:val="24"/>
              </w:rPr>
            </w:pPr>
            <w:r>
              <w:rPr>
                <w:rFonts w:hint="eastAsia"/>
                <w:color w:val="000000"/>
                <w:sz w:val="24"/>
                <w:szCs w:val="24"/>
              </w:rPr>
              <w:t>1.7</w:t>
            </w:r>
          </w:p>
        </w:tc>
        <w:tc>
          <w:tcPr>
            <w:tcW w:w="898" w:type="dxa"/>
            <w:gridSpan w:val="2"/>
            <w:tcBorders>
              <w:left w:val="nil"/>
              <w:right w:val="nil"/>
            </w:tcBorders>
            <w:shd w:val="clear" w:color="auto" w:fill="auto"/>
          </w:tcPr>
          <w:p>
            <w:pPr>
              <w:widowControl/>
              <w:jc w:val="left"/>
            </w:pPr>
          </w:p>
        </w:tc>
      </w:tr>
    </w:tbl>
    <w:p>
      <w:pPr>
        <w:spacing w:line="380" w:lineRule="exact"/>
        <w:ind w:firstLine="558" w:firstLineChars="245"/>
        <w:rPr>
          <w:color w:val="000000"/>
          <w:sz w:val="21"/>
          <w:szCs w:val="21"/>
        </w:rPr>
      </w:pPr>
      <w:r>
        <w:rPr>
          <w:rFonts w:hint="eastAsia"/>
          <w:color w:val="000000"/>
          <w:sz w:val="21"/>
          <w:szCs w:val="21"/>
        </w:rPr>
        <w:t>注：绝对值按现价计算，增长速度按2015年不变价格计算。</w:t>
      </w:r>
    </w:p>
    <w:p>
      <w:pPr>
        <w:spacing w:line="380" w:lineRule="exact"/>
        <w:jc w:val="center"/>
        <w:outlineLvl w:val="0"/>
        <w:rPr>
          <w:rFonts w:ascii="黑体" w:eastAsia="黑体"/>
          <w:color w:val="FF0000"/>
          <w:sz w:val="21"/>
          <w:szCs w:val="21"/>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sz w:val="32"/>
          <w:szCs w:val="32"/>
        </w:rPr>
      </w:pPr>
    </w:p>
    <w:p>
      <w:pPr>
        <w:spacing w:line="380" w:lineRule="exact"/>
        <w:jc w:val="center"/>
        <w:outlineLvl w:val="0"/>
        <w:rPr>
          <w:rFonts w:ascii="黑体" w:eastAsia="黑体"/>
          <w:sz w:val="32"/>
          <w:szCs w:val="32"/>
        </w:rPr>
      </w:pPr>
    </w:p>
    <w:p>
      <w:pPr>
        <w:spacing w:line="380" w:lineRule="exact"/>
        <w:jc w:val="center"/>
        <w:outlineLvl w:val="0"/>
        <w:rPr>
          <w:rFonts w:ascii="黑体" w:eastAsia="黑体"/>
          <w:sz w:val="32"/>
          <w:szCs w:val="32"/>
        </w:rPr>
      </w:pPr>
    </w:p>
    <w:p>
      <w:pPr>
        <w:spacing w:line="380" w:lineRule="exact"/>
        <w:jc w:val="center"/>
        <w:outlineLvl w:val="0"/>
        <w:rPr>
          <w:rFonts w:ascii="黑体" w:eastAsia="黑体"/>
          <w:sz w:val="32"/>
          <w:szCs w:val="32"/>
        </w:rPr>
      </w:pPr>
    </w:p>
    <w:p>
      <w:pPr>
        <w:spacing w:line="380" w:lineRule="exact"/>
        <w:jc w:val="center"/>
        <w:outlineLvl w:val="0"/>
        <w:rPr>
          <w:rFonts w:ascii="黑体" w:eastAsia="黑体"/>
          <w:sz w:val="32"/>
          <w:szCs w:val="32"/>
        </w:rPr>
      </w:pPr>
      <w:r>
        <w:rPr>
          <w:rFonts w:hint="eastAsia" w:ascii="黑体" w:eastAsia="黑体"/>
          <w:sz w:val="32"/>
          <w:szCs w:val="32"/>
        </w:rPr>
        <w:t>四、财    税</w:t>
      </w:r>
    </w:p>
    <w:p>
      <w:pPr>
        <w:spacing w:line="380" w:lineRule="exact"/>
        <w:ind w:right="516" w:firstLine="6364" w:firstLineChars="2467"/>
        <w:outlineLvl w:val="0"/>
        <w:rPr>
          <w:rFonts w:ascii="黑体" w:eastAsia="黑体"/>
          <w:sz w:val="24"/>
          <w:szCs w:val="24"/>
        </w:rPr>
      </w:pPr>
      <w:r>
        <w:rPr>
          <w:rFonts w:hint="eastAsia" w:ascii="宋体" w:hAnsi="宋体"/>
          <w:sz w:val="24"/>
          <w:szCs w:val="24"/>
        </w:rPr>
        <w:t>（单位：万元）</w:t>
      </w:r>
    </w:p>
    <w:tbl>
      <w:tblPr>
        <w:tblStyle w:val="8"/>
        <w:tblW w:w="7286" w:type="dxa"/>
        <w:tblInd w:w="6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88"/>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vAlign w:val="center"/>
          </w:tcPr>
          <w:p>
            <w:pPr>
              <w:spacing w:line="380" w:lineRule="exact"/>
              <w:jc w:val="center"/>
              <w:rPr>
                <w:sz w:val="24"/>
                <w:szCs w:val="24"/>
              </w:rPr>
            </w:pPr>
            <w:r>
              <w:rPr>
                <w:rFonts w:hint="eastAsia"/>
                <w:sz w:val="24"/>
                <w:szCs w:val="24"/>
              </w:rPr>
              <w:t>指标名称</w:t>
            </w:r>
          </w:p>
        </w:tc>
        <w:tc>
          <w:tcPr>
            <w:tcW w:w="1888" w:type="dxa"/>
            <w:vAlign w:val="center"/>
          </w:tcPr>
          <w:p>
            <w:pPr>
              <w:spacing w:line="380" w:lineRule="exact"/>
              <w:jc w:val="center"/>
              <w:rPr>
                <w:sz w:val="24"/>
                <w:szCs w:val="24"/>
              </w:rPr>
            </w:pPr>
            <w:r>
              <w:rPr>
                <w:rFonts w:hint="eastAsia"/>
                <w:sz w:val="24"/>
                <w:szCs w:val="24"/>
              </w:rPr>
              <w:t>累计</w:t>
            </w:r>
          </w:p>
        </w:tc>
        <w:tc>
          <w:tcPr>
            <w:tcW w:w="1888" w:type="dxa"/>
            <w:tcBorders>
              <w:right w:val="nil"/>
            </w:tcBorders>
            <w:vAlign w:val="center"/>
          </w:tcPr>
          <w:p>
            <w:pPr>
              <w:spacing w:line="380" w:lineRule="exact"/>
              <w:jc w:val="center"/>
              <w:rPr>
                <w:sz w:val="24"/>
                <w:szCs w:val="24"/>
              </w:rPr>
            </w:pPr>
            <w:r>
              <w:rPr>
                <w:rFonts w:hint="eastAsia"/>
                <w:sz w:val="24"/>
                <w:szCs w:val="24"/>
              </w:rPr>
              <w:t>同比</w:t>
            </w:r>
            <w:r>
              <w:rPr>
                <w:rFonts w:hint="eastAsia" w:ascii="宋体" w:hAnsi="宋体"/>
                <w:sz w:val="24"/>
                <w:szCs w:val="24"/>
              </w:rPr>
              <w:t>±</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sz w:val="24"/>
                <w:szCs w:val="24"/>
              </w:rPr>
            </w:pPr>
            <w:r>
              <w:rPr>
                <w:rFonts w:hint="eastAsia"/>
                <w:sz w:val="24"/>
                <w:szCs w:val="24"/>
              </w:rPr>
              <w:t>一、财政总收入</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111101</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lang w:val="en-US" w:eastAsia="zh-CN"/>
              </w:rPr>
              <w:t>-</w:t>
            </w:r>
            <w:r>
              <w:rPr>
                <w:rFonts w:hint="eastAsia" w:ascii="宋体" w:hAnsi="宋体"/>
                <w:sz w:val="24"/>
                <w:szCs w:val="24"/>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sz w:val="24"/>
                <w:szCs w:val="24"/>
              </w:rPr>
            </w:pPr>
            <w:r>
              <w:rPr>
                <w:rFonts w:hint="eastAsia"/>
                <w:sz w:val="24"/>
                <w:szCs w:val="24"/>
              </w:rPr>
              <w:t>（一）地方收入</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66622</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510" w:type="dxa"/>
            <w:tcBorders>
              <w:left w:val="nil"/>
            </w:tcBorders>
          </w:tcPr>
          <w:p>
            <w:pPr>
              <w:spacing w:line="380" w:lineRule="exact"/>
              <w:ind w:firstLine="258" w:firstLineChars="100"/>
              <w:rPr>
                <w:sz w:val="24"/>
                <w:szCs w:val="24"/>
              </w:rPr>
            </w:pPr>
            <w:r>
              <w:rPr>
                <w:rFonts w:hint="eastAsia"/>
                <w:sz w:val="24"/>
                <w:szCs w:val="24"/>
              </w:rPr>
              <w:t>1、税收收入</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43027</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ind w:firstLine="378" w:firstLineChars="147"/>
              <w:rPr>
                <w:sz w:val="24"/>
                <w:szCs w:val="24"/>
              </w:rPr>
            </w:pPr>
            <w:r>
              <w:rPr>
                <w:rFonts w:hint="eastAsia"/>
                <w:sz w:val="24"/>
                <w:szCs w:val="24"/>
              </w:rPr>
              <w:t>其中：增值税</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5798</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sz w:val="24"/>
                <w:szCs w:val="24"/>
              </w:rPr>
            </w:pPr>
            <w:r>
              <w:rPr>
                <w:rFonts w:hint="eastAsia"/>
                <w:sz w:val="24"/>
                <w:szCs w:val="24"/>
              </w:rPr>
              <w:t xml:space="preserve">         企业所得税</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4622</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sz w:val="24"/>
                <w:szCs w:val="24"/>
              </w:rPr>
            </w:pPr>
            <w:r>
              <w:rPr>
                <w:rFonts w:hint="eastAsia"/>
                <w:sz w:val="24"/>
                <w:szCs w:val="24"/>
              </w:rPr>
              <w:t xml:space="preserve">         个人所得税</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875</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sz w:val="24"/>
                <w:szCs w:val="24"/>
              </w:rPr>
            </w:pPr>
            <w:r>
              <w:rPr>
                <w:rFonts w:hint="eastAsia"/>
                <w:sz w:val="24"/>
                <w:szCs w:val="24"/>
              </w:rPr>
              <w:t xml:space="preserve">         耕地占用税</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36</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sz w:val="24"/>
                <w:szCs w:val="24"/>
              </w:rPr>
            </w:pPr>
            <w:r>
              <w:rPr>
                <w:rFonts w:hint="eastAsia"/>
                <w:sz w:val="24"/>
                <w:szCs w:val="24"/>
              </w:rPr>
              <w:t xml:space="preserve">         契税</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8469</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ind w:firstLine="258" w:firstLineChars="100"/>
              <w:rPr>
                <w:sz w:val="24"/>
                <w:szCs w:val="24"/>
              </w:rPr>
            </w:pPr>
            <w:r>
              <w:rPr>
                <w:rFonts w:hint="eastAsia"/>
                <w:sz w:val="24"/>
                <w:szCs w:val="24"/>
              </w:rPr>
              <w:t>2、非税收入</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23415</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10" w:type="dxa"/>
            <w:tcBorders>
              <w:left w:val="nil"/>
            </w:tcBorders>
          </w:tcPr>
          <w:p>
            <w:pPr>
              <w:spacing w:line="380" w:lineRule="exact"/>
              <w:ind w:firstLine="378" w:firstLineChars="147"/>
              <w:rPr>
                <w:sz w:val="24"/>
                <w:szCs w:val="24"/>
              </w:rPr>
            </w:pPr>
            <w:r>
              <w:rPr>
                <w:rFonts w:hint="eastAsia"/>
                <w:sz w:val="24"/>
                <w:szCs w:val="24"/>
              </w:rPr>
              <w:t>其中：行政性收费收入</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1604</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sz w:val="24"/>
                <w:szCs w:val="24"/>
              </w:rPr>
            </w:pPr>
            <w:r>
              <w:rPr>
                <w:rFonts w:hint="eastAsia"/>
                <w:sz w:val="24"/>
                <w:szCs w:val="24"/>
              </w:rPr>
              <w:t xml:space="preserve">         罚没收入</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3660</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399.3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sz w:val="24"/>
                <w:szCs w:val="24"/>
              </w:rPr>
            </w:pPr>
            <w:r>
              <w:rPr>
                <w:rFonts w:hint="eastAsia"/>
                <w:sz w:val="24"/>
                <w:szCs w:val="24"/>
              </w:rPr>
              <w:t xml:space="preserve">         专项收入</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3593</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sz w:val="24"/>
                <w:szCs w:val="24"/>
              </w:rPr>
            </w:pPr>
            <w:r>
              <w:rPr>
                <w:rFonts w:hint="eastAsia"/>
                <w:sz w:val="24"/>
                <w:szCs w:val="24"/>
              </w:rPr>
              <w:t>（二）上划中央收入</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35499</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sz w:val="24"/>
                <w:szCs w:val="24"/>
              </w:rPr>
            </w:pPr>
            <w:r>
              <w:rPr>
                <w:rFonts w:hint="eastAsia"/>
                <w:sz w:val="24"/>
                <w:szCs w:val="24"/>
              </w:rPr>
              <w:t>（三）上划省级收入</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8980</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sz w:val="24"/>
                <w:szCs w:val="24"/>
              </w:rPr>
            </w:pPr>
            <w:r>
              <w:rPr>
                <w:rFonts w:hint="eastAsia"/>
                <w:sz w:val="24"/>
                <w:szCs w:val="24"/>
              </w:rPr>
              <w:t>财政总收入中：纯税收</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87686</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sz w:val="24"/>
                <w:szCs w:val="24"/>
              </w:rPr>
            </w:pPr>
            <w:r>
              <w:rPr>
                <w:rFonts w:hint="eastAsia"/>
                <w:sz w:val="24"/>
                <w:szCs w:val="24"/>
              </w:rPr>
              <w:t>二、财政总支出</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308833</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sz w:val="24"/>
                <w:szCs w:val="24"/>
              </w:rPr>
            </w:pPr>
            <w:r>
              <w:rPr>
                <w:rFonts w:hint="eastAsia"/>
                <w:sz w:val="24"/>
                <w:szCs w:val="24"/>
              </w:rPr>
              <w:t xml:space="preserve">    其中：一般预算支出</w:t>
            </w:r>
          </w:p>
        </w:tc>
        <w:tc>
          <w:tcPr>
            <w:tcW w:w="1888" w:type="dxa"/>
            <w:vAlign w:val="center"/>
          </w:tcPr>
          <w:p>
            <w:pPr>
              <w:spacing w:line="380" w:lineRule="exact"/>
              <w:jc w:val="center"/>
              <w:rPr>
                <w:rFonts w:ascii="宋体" w:hAnsi="宋体"/>
                <w:sz w:val="24"/>
                <w:szCs w:val="24"/>
              </w:rPr>
            </w:pPr>
            <w:r>
              <w:rPr>
                <w:rFonts w:hint="eastAsia" w:ascii="宋体" w:hAnsi="宋体"/>
                <w:sz w:val="24"/>
                <w:szCs w:val="24"/>
              </w:rPr>
              <w:t>282949</w:t>
            </w:r>
          </w:p>
        </w:tc>
        <w:tc>
          <w:tcPr>
            <w:tcW w:w="1888" w:type="dxa"/>
            <w:tcBorders>
              <w:right w:val="nil"/>
            </w:tcBorders>
            <w:vAlign w:val="center"/>
          </w:tcPr>
          <w:p>
            <w:pPr>
              <w:spacing w:line="380" w:lineRule="exact"/>
              <w:jc w:val="center"/>
              <w:rPr>
                <w:rFonts w:ascii="宋体" w:hAnsi="宋体"/>
                <w:sz w:val="24"/>
                <w:szCs w:val="24"/>
              </w:rPr>
            </w:pPr>
            <w:r>
              <w:rPr>
                <w:rFonts w:hint="eastAsia" w:ascii="宋体" w:hAnsi="宋体"/>
                <w:sz w:val="24"/>
                <w:szCs w:val="24"/>
              </w:rPr>
              <w:t>-17.1</w:t>
            </w:r>
          </w:p>
        </w:tc>
      </w:tr>
    </w:tbl>
    <w:p>
      <w:pPr>
        <w:spacing w:line="380" w:lineRule="exact"/>
        <w:jc w:val="center"/>
        <w:rPr>
          <w:rFonts w:ascii="黑体" w:eastAsia="黑体"/>
          <w:sz w:val="32"/>
          <w:szCs w:val="32"/>
        </w:rPr>
      </w:pPr>
    </w:p>
    <w:p>
      <w:pPr>
        <w:spacing w:line="380" w:lineRule="exact"/>
        <w:jc w:val="center"/>
        <w:outlineLvl w:val="0"/>
        <w:rPr>
          <w:rFonts w:ascii="黑体" w:eastAsia="黑体"/>
          <w:color w:val="FF0000"/>
          <w:sz w:val="32"/>
          <w:szCs w:val="32"/>
        </w:rPr>
      </w:pPr>
      <w:r>
        <w:rPr>
          <w:rFonts w:ascii="黑体" w:eastAsia="黑体"/>
          <w:color w:val="FF0000"/>
          <w:sz w:val="32"/>
          <w:szCs w:val="32"/>
        </w:rPr>
        <w:br w:type="page"/>
      </w:r>
    </w:p>
    <w:p>
      <w:pPr>
        <w:spacing w:line="380" w:lineRule="exact"/>
        <w:ind w:firstLine="3143" w:firstLineChars="930"/>
        <w:outlineLvl w:val="0"/>
        <w:rPr>
          <w:rFonts w:ascii="黑体" w:eastAsia="黑体"/>
          <w:sz w:val="32"/>
          <w:szCs w:val="32"/>
        </w:rPr>
      </w:pPr>
      <w:r>
        <w:rPr>
          <w:rFonts w:hint="eastAsia" w:ascii="黑体" w:hAnsi="黑体" w:eastAsia="黑体"/>
          <w:sz w:val="32"/>
          <w:szCs w:val="32"/>
        </w:rPr>
        <w:t>五、固定资产投资</w:t>
      </w:r>
    </w:p>
    <w:p>
      <w:pPr>
        <w:spacing w:line="380" w:lineRule="exact"/>
        <w:ind w:right="387"/>
        <w:jc w:val="right"/>
        <w:rPr>
          <w:rFonts w:ascii="黑体" w:eastAsia="黑体"/>
          <w:sz w:val="32"/>
          <w:szCs w:val="32"/>
        </w:rPr>
      </w:pPr>
    </w:p>
    <w:tbl>
      <w:tblPr>
        <w:tblStyle w:val="8"/>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8"/>
        <w:gridCol w:w="3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sz w:val="24"/>
                <w:szCs w:val="24"/>
              </w:rPr>
            </w:pPr>
            <w:r>
              <w:rPr>
                <w:rFonts w:hint="eastAsia"/>
                <w:sz w:val="24"/>
                <w:szCs w:val="24"/>
              </w:rPr>
              <w:t>指标名称</w:t>
            </w:r>
          </w:p>
        </w:tc>
        <w:tc>
          <w:tcPr>
            <w:tcW w:w="389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757" w:firstLineChars="294"/>
              <w:rPr>
                <w:sz w:val="24"/>
                <w:szCs w:val="24"/>
              </w:rPr>
            </w:pPr>
            <w:r>
              <w:rPr>
                <w:rFonts w:hint="eastAsia"/>
                <w:sz w:val="24"/>
                <w:szCs w:val="24"/>
              </w:rPr>
              <w:t>固定资产投资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sz w:val="24"/>
                <w:szCs w:val="24"/>
              </w:rPr>
            </w:pPr>
            <w:r>
              <w:rPr>
                <w:rFonts w:hint="eastAsia"/>
                <w:sz w:val="24"/>
                <w:szCs w:val="24"/>
              </w:rPr>
              <w:t xml:space="preserve">      其中：房地产开发</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sz w:val="24"/>
                <w:szCs w:val="24"/>
              </w:rPr>
            </w:pPr>
            <w:r>
              <w:rPr>
                <w:rFonts w:hint="eastAsia"/>
                <w:sz w:val="24"/>
                <w:szCs w:val="24"/>
              </w:rPr>
              <w:t xml:space="preserve">            产业投资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sz w:val="24"/>
                <w:szCs w:val="24"/>
              </w:rPr>
            </w:pPr>
            <w:r>
              <w:rPr>
                <w:rFonts w:hint="eastAsia"/>
                <w:sz w:val="24"/>
                <w:szCs w:val="24"/>
              </w:rPr>
              <w:t xml:space="preserve">            技术改造</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632" w:firstLineChars="245"/>
              <w:rPr>
                <w:sz w:val="24"/>
                <w:szCs w:val="24"/>
              </w:rPr>
            </w:pPr>
            <w:r>
              <w:rPr>
                <w:rFonts w:hint="eastAsia"/>
                <w:sz w:val="24"/>
                <w:szCs w:val="24"/>
              </w:rPr>
              <w:t>一、按经济类型分</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sz w:val="24"/>
                <w:szCs w:val="24"/>
              </w:rPr>
            </w:pPr>
            <w:r>
              <w:rPr>
                <w:rFonts w:hint="eastAsia"/>
                <w:sz w:val="24"/>
                <w:szCs w:val="24"/>
              </w:rPr>
              <w:t>国有投资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224.5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sz w:val="24"/>
                <w:szCs w:val="24"/>
              </w:rPr>
            </w:pPr>
            <w:r>
              <w:rPr>
                <w:rFonts w:hint="eastAsia"/>
                <w:sz w:val="24"/>
                <w:szCs w:val="24"/>
              </w:rPr>
              <w:t>非国有投资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-28.3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sz w:val="24"/>
                <w:szCs w:val="24"/>
              </w:rPr>
            </w:pPr>
            <w:r>
              <w:rPr>
                <w:rFonts w:hint="eastAsia"/>
                <w:sz w:val="24"/>
                <w:szCs w:val="24"/>
              </w:rPr>
              <w:t>其中：民间投资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757" w:firstLineChars="294"/>
              <w:rPr>
                <w:sz w:val="24"/>
                <w:szCs w:val="24"/>
              </w:rPr>
            </w:pPr>
            <w:r>
              <w:rPr>
                <w:rFonts w:hint="eastAsia"/>
                <w:sz w:val="24"/>
                <w:szCs w:val="24"/>
              </w:rPr>
              <w:t>二、按产业结构分</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sz w:val="24"/>
                <w:szCs w:val="24"/>
              </w:rPr>
            </w:pPr>
            <w:r>
              <w:rPr>
                <w:rFonts w:hint="eastAsia"/>
                <w:sz w:val="24"/>
                <w:szCs w:val="24"/>
              </w:rPr>
              <w:t xml:space="preserve">       （一）一产业</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1401.8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sz w:val="24"/>
                <w:szCs w:val="24"/>
              </w:rPr>
            </w:pPr>
            <w:r>
              <w:rPr>
                <w:rFonts w:hint="eastAsia"/>
                <w:sz w:val="24"/>
                <w:szCs w:val="24"/>
              </w:rPr>
              <w:t xml:space="preserve">       （二）二产业</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-26.3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sz w:val="24"/>
                <w:szCs w:val="24"/>
              </w:rPr>
            </w:pPr>
            <w:r>
              <w:rPr>
                <w:rFonts w:hint="eastAsia"/>
                <w:sz w:val="24"/>
                <w:szCs w:val="24"/>
              </w:rPr>
              <w:t xml:space="preserve">       （三）三产业</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34.4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757" w:firstLineChars="294"/>
              <w:rPr>
                <w:sz w:val="24"/>
                <w:szCs w:val="24"/>
              </w:rPr>
            </w:pPr>
            <w:r>
              <w:rPr>
                <w:rFonts w:hint="eastAsia"/>
                <w:sz w:val="24"/>
                <w:szCs w:val="24"/>
              </w:rPr>
              <w:t>三、按投资方向分</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sz w:val="24"/>
                <w:szCs w:val="24"/>
              </w:rPr>
            </w:pPr>
            <w:r>
              <w:rPr>
                <w:rFonts w:hint="eastAsia"/>
                <w:sz w:val="24"/>
                <w:szCs w:val="24"/>
              </w:rPr>
              <w:t>工业投资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sz w:val="24"/>
                <w:szCs w:val="24"/>
              </w:rPr>
            </w:pPr>
            <w:r>
              <w:rPr>
                <w:rFonts w:hint="eastAsia"/>
                <w:sz w:val="24"/>
                <w:szCs w:val="24"/>
              </w:rPr>
              <w:t>高新技术产业投资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680.5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sz w:val="24"/>
                <w:szCs w:val="24"/>
              </w:rPr>
            </w:pPr>
            <w:r>
              <w:rPr>
                <w:rFonts w:hint="eastAsia"/>
                <w:sz w:val="24"/>
                <w:szCs w:val="24"/>
              </w:rPr>
              <w:t>民生工程</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626.9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sz w:val="24"/>
                <w:szCs w:val="24"/>
              </w:rPr>
            </w:pPr>
            <w:r>
              <w:rPr>
                <w:rFonts w:hint="eastAsia"/>
                <w:sz w:val="24"/>
                <w:szCs w:val="24"/>
              </w:rPr>
              <w:t>生态环境</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1011.6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sz w:val="24"/>
                <w:szCs w:val="24"/>
              </w:rPr>
            </w:pPr>
            <w:r>
              <w:rPr>
                <w:rFonts w:hint="eastAsia"/>
                <w:sz w:val="24"/>
                <w:szCs w:val="24"/>
              </w:rPr>
              <w:t>基础设施</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left="1247" w:leftChars="249" w:hanging="505" w:hangingChars="196"/>
              <w:rPr>
                <w:rFonts w:hint="default" w:eastAsia="宋体"/>
                <w:sz w:val="24"/>
                <w:szCs w:val="24"/>
                <w:lang w:val="en-US" w:eastAsia="zh-CN"/>
              </w:rPr>
            </w:pPr>
            <w:r>
              <w:rPr>
                <w:rFonts w:hint="eastAsia"/>
                <w:sz w:val="24"/>
                <w:szCs w:val="24"/>
              </w:rPr>
              <w:t>四、高新技术产业投资占产业投资比重</w:t>
            </w:r>
            <w:r>
              <w:rPr>
                <w:rFonts w:hint="eastAsia"/>
                <w:sz w:val="24"/>
                <w:szCs w:val="24"/>
                <w:lang w:val="en-US" w:eastAsia="zh-CN"/>
              </w:rPr>
              <w:t>(%)</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sz w:val="24"/>
                <w:szCs w:val="24"/>
              </w:rPr>
            </w:pPr>
            <w:r>
              <w:rPr>
                <w:rFonts w:hint="eastAsia" w:ascii="宋体" w:hAnsi="宋体"/>
                <w:sz w:val="24"/>
                <w:szCs w:val="24"/>
              </w:rPr>
              <w:t>19.2</w:t>
            </w:r>
          </w:p>
        </w:tc>
      </w:tr>
    </w:tbl>
    <w:p>
      <w:pPr>
        <w:spacing w:line="380" w:lineRule="exact"/>
        <w:ind w:firstLine="3791" w:firstLineChars="1122"/>
        <w:rPr>
          <w:rFonts w:ascii="黑体" w:eastAsia="黑体"/>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sz w:val="32"/>
          <w:szCs w:val="32"/>
        </w:rPr>
      </w:pPr>
    </w:p>
    <w:p>
      <w:pPr>
        <w:spacing w:line="380" w:lineRule="exact"/>
        <w:ind w:firstLine="3467" w:firstLineChars="1026"/>
        <w:rPr>
          <w:rFonts w:ascii="黑体" w:eastAsia="黑体"/>
          <w:sz w:val="32"/>
          <w:szCs w:val="32"/>
        </w:rPr>
      </w:pPr>
      <w:r>
        <w:rPr>
          <w:rFonts w:hint="eastAsia" w:ascii="黑体" w:hAnsi="黑体" w:eastAsia="黑体"/>
          <w:sz w:val="32"/>
          <w:szCs w:val="32"/>
        </w:rPr>
        <w:t>六、房地产、建筑业</w:t>
      </w:r>
    </w:p>
    <w:p>
      <w:pPr>
        <w:spacing w:line="380" w:lineRule="exact"/>
        <w:ind w:right="516"/>
        <w:jc w:val="right"/>
        <w:outlineLvl w:val="0"/>
        <w:rPr>
          <w:rFonts w:ascii="黑体" w:eastAsia="黑体"/>
          <w:sz w:val="24"/>
          <w:szCs w:val="24"/>
        </w:rPr>
      </w:pPr>
      <w:r>
        <w:rPr>
          <w:rFonts w:hint="eastAsia" w:ascii="宋体" w:hAnsi="宋体"/>
          <w:sz w:val="24"/>
          <w:szCs w:val="24"/>
        </w:rPr>
        <w:t>（单位：万元）</w:t>
      </w:r>
    </w:p>
    <w:tbl>
      <w:tblPr>
        <w:tblStyle w:val="8"/>
        <w:tblW w:w="8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291"/>
        <w:gridCol w:w="1280"/>
        <w:gridCol w:w="1280"/>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指标名称</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单位</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累计</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上年同期</w:t>
            </w:r>
          </w:p>
        </w:tc>
        <w:tc>
          <w:tcPr>
            <w:tcW w:w="1279"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ascii="宋体" w:hAnsi="宋体"/>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ind w:firstLine="252" w:firstLineChars="98"/>
              <w:rPr>
                <w:sz w:val="24"/>
                <w:szCs w:val="24"/>
              </w:rPr>
            </w:pPr>
            <w:r>
              <w:rPr>
                <w:rFonts w:hint="eastAsia"/>
                <w:sz w:val="24"/>
                <w:szCs w:val="24"/>
              </w:rPr>
              <w:t>一、本年完成投资</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万元</w:t>
            </w:r>
          </w:p>
        </w:tc>
        <w:tc>
          <w:tcPr>
            <w:tcW w:w="1280" w:type="dxa"/>
            <w:tcBorders>
              <w:top w:val="single" w:color="auto" w:sz="4" w:space="0"/>
              <w:left w:val="nil"/>
              <w:bottom w:val="single" w:color="auto" w:sz="4" w:space="0"/>
              <w:right w:val="single" w:color="auto" w:sz="4" w:space="0"/>
            </w:tcBorders>
            <w:vAlign w:val="center"/>
          </w:tcPr>
          <w:p>
            <w:pPr>
              <w:spacing w:line="380" w:lineRule="exact"/>
              <w:ind w:firstLine="258" w:firstLineChars="100"/>
              <w:jc w:val="center"/>
              <w:rPr>
                <w:sz w:val="24"/>
                <w:szCs w:val="24"/>
              </w:rPr>
            </w:pPr>
            <w:r>
              <w:rPr>
                <w:rFonts w:hint="eastAsia"/>
                <w:sz w:val="24"/>
                <w:szCs w:val="24"/>
              </w:rPr>
              <w:t>123412</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95965</w:t>
            </w:r>
          </w:p>
        </w:tc>
        <w:tc>
          <w:tcPr>
            <w:tcW w:w="1279" w:type="dxa"/>
            <w:tcBorders>
              <w:top w:val="single" w:color="auto" w:sz="4" w:space="0"/>
              <w:left w:val="nil"/>
              <w:bottom w:val="single" w:color="auto" w:sz="4" w:space="0"/>
              <w:right w:val="nil"/>
            </w:tcBorders>
            <w:vAlign w:val="bottom"/>
          </w:tcPr>
          <w:p>
            <w:pPr>
              <w:spacing w:line="380" w:lineRule="exact"/>
              <w:jc w:val="center"/>
              <w:rPr>
                <w:sz w:val="24"/>
                <w:szCs w:val="24"/>
              </w:rPr>
            </w:pPr>
            <w:r>
              <w:rPr>
                <w:rFonts w:hint="eastAsia"/>
                <w:sz w:val="24"/>
                <w:szCs w:val="24"/>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sz w:val="24"/>
                <w:szCs w:val="24"/>
              </w:rPr>
            </w:pPr>
            <w:r>
              <w:rPr>
                <w:rFonts w:hint="eastAsia"/>
                <w:sz w:val="24"/>
                <w:szCs w:val="24"/>
              </w:rPr>
              <w:t>（一）商品房销售额</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万元</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154733</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138666</w:t>
            </w:r>
          </w:p>
        </w:tc>
        <w:tc>
          <w:tcPr>
            <w:tcW w:w="1279" w:type="dxa"/>
            <w:tcBorders>
              <w:top w:val="single" w:color="auto" w:sz="4" w:space="0"/>
              <w:left w:val="nil"/>
              <w:bottom w:val="single" w:color="auto" w:sz="4" w:space="0"/>
              <w:right w:val="nil"/>
            </w:tcBorders>
            <w:vAlign w:val="bottom"/>
          </w:tcPr>
          <w:p>
            <w:pPr>
              <w:spacing w:line="380" w:lineRule="exact"/>
              <w:jc w:val="center"/>
              <w:rPr>
                <w:sz w:val="24"/>
                <w:szCs w:val="24"/>
              </w:rPr>
            </w:pPr>
            <w:r>
              <w:rPr>
                <w:rFonts w:hint="eastAsia"/>
                <w:sz w:val="24"/>
                <w:szCs w:val="24"/>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ind w:firstLine="516" w:firstLineChars="200"/>
              <w:rPr>
                <w:sz w:val="24"/>
                <w:szCs w:val="24"/>
              </w:rPr>
            </w:pPr>
            <w:r>
              <w:rPr>
                <w:rFonts w:hint="eastAsia"/>
                <w:sz w:val="24"/>
                <w:szCs w:val="24"/>
              </w:rPr>
              <w:t>其中：住宅销售额</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万元</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129465</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126170</w:t>
            </w:r>
          </w:p>
        </w:tc>
        <w:tc>
          <w:tcPr>
            <w:tcW w:w="1279" w:type="dxa"/>
            <w:tcBorders>
              <w:top w:val="single" w:color="auto" w:sz="4" w:space="0"/>
              <w:left w:val="nil"/>
              <w:bottom w:val="single" w:color="auto" w:sz="4" w:space="0"/>
              <w:right w:val="nil"/>
            </w:tcBorders>
            <w:vAlign w:val="bottom"/>
          </w:tcPr>
          <w:p>
            <w:pPr>
              <w:spacing w:line="380" w:lineRule="exact"/>
              <w:jc w:val="center"/>
              <w:rPr>
                <w:sz w:val="24"/>
                <w:szCs w:val="24"/>
              </w:rPr>
            </w:pPr>
            <w:r>
              <w:rPr>
                <w:rFonts w:hint="eastAsia"/>
                <w:sz w:val="24"/>
                <w:szCs w:val="24"/>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sz w:val="24"/>
                <w:szCs w:val="24"/>
              </w:rPr>
            </w:pPr>
            <w:r>
              <w:rPr>
                <w:rFonts w:hint="eastAsia"/>
                <w:sz w:val="24"/>
                <w:szCs w:val="24"/>
              </w:rPr>
              <w:t>（二）商品房屋销售面积</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万平方米</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eastAsia="宋体"/>
                <w:sz w:val="24"/>
                <w:szCs w:val="24"/>
                <w:lang w:eastAsia="zh-CN"/>
              </w:rPr>
            </w:pPr>
            <w:r>
              <w:rPr>
                <w:rFonts w:hint="eastAsia"/>
                <w:sz w:val="24"/>
                <w:szCs w:val="24"/>
              </w:rPr>
              <w:t>30</w:t>
            </w:r>
            <w:r>
              <w:rPr>
                <w:rFonts w:hint="eastAsia"/>
                <w:sz w:val="24"/>
                <w:szCs w:val="24"/>
                <w:lang w:val="en-US" w:eastAsia="zh-CN"/>
              </w:rPr>
              <w:t>.</w:t>
            </w:r>
            <w:r>
              <w:rPr>
                <w:rFonts w:hint="eastAsia"/>
                <w:sz w:val="24"/>
                <w:szCs w:val="24"/>
              </w:rPr>
              <w:t>9</w:t>
            </w:r>
            <w:r>
              <w:rPr>
                <w:rFonts w:hint="eastAsia"/>
                <w:sz w:val="24"/>
                <w:szCs w:val="24"/>
                <w:lang w:val="en-US" w:eastAsia="zh-CN"/>
              </w:rPr>
              <w:t>6</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26</w:t>
            </w:r>
            <w:r>
              <w:rPr>
                <w:rFonts w:hint="eastAsia"/>
                <w:sz w:val="24"/>
                <w:szCs w:val="24"/>
                <w:lang w:val="en-US" w:eastAsia="zh-CN"/>
              </w:rPr>
              <w:t>.</w:t>
            </w:r>
            <w:r>
              <w:rPr>
                <w:rFonts w:hint="eastAsia"/>
                <w:sz w:val="24"/>
                <w:szCs w:val="24"/>
              </w:rPr>
              <w:t>1</w:t>
            </w:r>
          </w:p>
        </w:tc>
        <w:tc>
          <w:tcPr>
            <w:tcW w:w="1279" w:type="dxa"/>
            <w:tcBorders>
              <w:top w:val="single" w:color="auto" w:sz="4" w:space="0"/>
              <w:left w:val="nil"/>
              <w:bottom w:val="single" w:color="auto" w:sz="4" w:space="0"/>
              <w:right w:val="nil"/>
            </w:tcBorders>
            <w:vAlign w:val="bottom"/>
          </w:tcPr>
          <w:p>
            <w:pPr>
              <w:spacing w:line="380" w:lineRule="exact"/>
              <w:jc w:val="center"/>
              <w:rPr>
                <w:sz w:val="24"/>
                <w:szCs w:val="24"/>
              </w:rPr>
            </w:pPr>
            <w:r>
              <w:rPr>
                <w:rFonts w:hint="eastAsia"/>
                <w:sz w:val="24"/>
                <w:szCs w:val="24"/>
              </w:rPr>
              <w:t>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 xml:space="preserve">  其中：住宅销售面积</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万平方米</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eastAsia="宋体"/>
                <w:sz w:val="24"/>
                <w:szCs w:val="24"/>
                <w:lang w:eastAsia="zh-CN"/>
              </w:rPr>
            </w:pPr>
            <w:r>
              <w:rPr>
                <w:rFonts w:hint="eastAsia"/>
                <w:sz w:val="24"/>
                <w:szCs w:val="24"/>
              </w:rPr>
              <w:t>24</w:t>
            </w:r>
            <w:r>
              <w:rPr>
                <w:rFonts w:hint="eastAsia"/>
                <w:sz w:val="24"/>
                <w:szCs w:val="24"/>
                <w:lang w:val="en-US" w:eastAsia="zh-CN"/>
              </w:rPr>
              <w:t>.</w:t>
            </w:r>
            <w:r>
              <w:rPr>
                <w:rFonts w:hint="eastAsia"/>
                <w:sz w:val="24"/>
                <w:szCs w:val="24"/>
              </w:rPr>
              <w:t>4</w:t>
            </w:r>
            <w:r>
              <w:rPr>
                <w:rFonts w:hint="eastAsia"/>
                <w:sz w:val="24"/>
                <w:szCs w:val="24"/>
                <w:lang w:val="en-US" w:eastAsia="zh-CN"/>
              </w:rPr>
              <w:t>3</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eastAsia="宋体"/>
                <w:sz w:val="24"/>
                <w:szCs w:val="24"/>
                <w:lang w:eastAsia="zh-CN"/>
              </w:rPr>
            </w:pPr>
            <w:r>
              <w:rPr>
                <w:rFonts w:hint="eastAsia"/>
                <w:sz w:val="24"/>
                <w:szCs w:val="24"/>
              </w:rPr>
              <w:t>24</w:t>
            </w:r>
            <w:r>
              <w:rPr>
                <w:rFonts w:hint="eastAsia"/>
                <w:sz w:val="24"/>
                <w:szCs w:val="24"/>
                <w:lang w:val="en-US" w:eastAsia="zh-CN"/>
              </w:rPr>
              <w:t>.</w:t>
            </w:r>
            <w:r>
              <w:rPr>
                <w:rFonts w:hint="eastAsia"/>
                <w:sz w:val="24"/>
                <w:szCs w:val="24"/>
              </w:rPr>
              <w:t>3</w:t>
            </w:r>
            <w:r>
              <w:rPr>
                <w:rFonts w:hint="eastAsia"/>
                <w:sz w:val="24"/>
                <w:szCs w:val="24"/>
                <w:lang w:val="en-US" w:eastAsia="zh-CN"/>
              </w:rPr>
              <w:t>6</w:t>
            </w:r>
          </w:p>
        </w:tc>
        <w:tc>
          <w:tcPr>
            <w:tcW w:w="1279" w:type="dxa"/>
            <w:tcBorders>
              <w:top w:val="single" w:color="auto" w:sz="4" w:space="0"/>
              <w:left w:val="nil"/>
              <w:bottom w:val="single" w:color="auto" w:sz="4" w:space="0"/>
              <w:right w:val="nil"/>
            </w:tcBorders>
            <w:vAlign w:val="bottom"/>
          </w:tcPr>
          <w:p>
            <w:pPr>
              <w:spacing w:line="380" w:lineRule="exact"/>
              <w:jc w:val="center"/>
              <w:rPr>
                <w:sz w:val="24"/>
                <w:szCs w:val="24"/>
              </w:rPr>
            </w:pPr>
            <w:r>
              <w:rPr>
                <w:rFonts w:hint="eastAsia"/>
                <w:sz w:val="24"/>
                <w:szCs w:val="24"/>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sz w:val="24"/>
                <w:szCs w:val="24"/>
              </w:rPr>
            </w:pPr>
            <w:r>
              <w:rPr>
                <w:rFonts w:hint="eastAsia"/>
                <w:sz w:val="24"/>
                <w:szCs w:val="24"/>
              </w:rPr>
              <w:t>（三）房屋施工面积</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万平方米</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184</w:t>
            </w:r>
            <w:r>
              <w:rPr>
                <w:rFonts w:hint="eastAsia"/>
                <w:sz w:val="24"/>
                <w:szCs w:val="24"/>
                <w:lang w:val="en-US" w:eastAsia="zh-CN"/>
              </w:rPr>
              <w:t>.</w:t>
            </w:r>
            <w:r>
              <w:rPr>
                <w:rFonts w:hint="eastAsia"/>
                <w:sz w:val="24"/>
                <w:szCs w:val="24"/>
              </w:rPr>
              <w:t>47</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195</w:t>
            </w:r>
            <w:r>
              <w:rPr>
                <w:rFonts w:hint="eastAsia"/>
                <w:sz w:val="24"/>
                <w:szCs w:val="24"/>
                <w:lang w:val="en-US" w:eastAsia="zh-CN"/>
              </w:rPr>
              <w:t>.</w:t>
            </w:r>
            <w:r>
              <w:rPr>
                <w:rFonts w:hint="eastAsia"/>
                <w:sz w:val="24"/>
                <w:szCs w:val="24"/>
              </w:rPr>
              <w:t>15</w:t>
            </w:r>
          </w:p>
        </w:tc>
        <w:tc>
          <w:tcPr>
            <w:tcW w:w="1279" w:type="dxa"/>
            <w:tcBorders>
              <w:top w:val="single" w:color="auto" w:sz="4" w:space="0"/>
              <w:left w:val="nil"/>
              <w:bottom w:val="single" w:color="auto" w:sz="4" w:space="0"/>
              <w:right w:val="nil"/>
            </w:tcBorders>
            <w:vAlign w:val="bottom"/>
          </w:tcPr>
          <w:p>
            <w:pPr>
              <w:spacing w:line="380" w:lineRule="exact"/>
              <w:jc w:val="center"/>
              <w:rPr>
                <w:sz w:val="24"/>
                <w:szCs w:val="24"/>
              </w:rPr>
            </w:pPr>
            <w:r>
              <w:rPr>
                <w:rFonts w:hint="eastAsia"/>
                <w:sz w:val="24"/>
                <w:szCs w:val="24"/>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 xml:space="preserve">   其中：房屋新开工面积</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万平方米</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6</w:t>
            </w:r>
            <w:r>
              <w:rPr>
                <w:rFonts w:hint="eastAsia"/>
                <w:sz w:val="24"/>
                <w:szCs w:val="24"/>
                <w:lang w:val="en-US" w:eastAsia="zh-CN"/>
              </w:rPr>
              <w:t>.</w:t>
            </w:r>
            <w:r>
              <w:rPr>
                <w:rFonts w:hint="eastAsia"/>
                <w:sz w:val="24"/>
                <w:szCs w:val="24"/>
              </w:rPr>
              <w:t>73</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eastAsia="宋体"/>
                <w:sz w:val="24"/>
                <w:szCs w:val="24"/>
                <w:lang w:eastAsia="zh-CN"/>
              </w:rPr>
            </w:pPr>
            <w:r>
              <w:rPr>
                <w:rFonts w:hint="eastAsia"/>
                <w:sz w:val="24"/>
                <w:szCs w:val="24"/>
              </w:rPr>
              <w:t>46</w:t>
            </w:r>
            <w:r>
              <w:rPr>
                <w:rFonts w:hint="eastAsia"/>
                <w:sz w:val="24"/>
                <w:szCs w:val="24"/>
                <w:lang w:val="en-US" w:eastAsia="zh-CN"/>
              </w:rPr>
              <w:t>.</w:t>
            </w:r>
            <w:r>
              <w:rPr>
                <w:rFonts w:hint="eastAsia"/>
                <w:sz w:val="24"/>
                <w:szCs w:val="24"/>
              </w:rPr>
              <w:t>9</w:t>
            </w:r>
            <w:r>
              <w:rPr>
                <w:rFonts w:hint="eastAsia"/>
                <w:sz w:val="24"/>
                <w:szCs w:val="24"/>
                <w:lang w:val="en-US" w:eastAsia="zh-CN"/>
              </w:rPr>
              <w:t>2</w:t>
            </w:r>
          </w:p>
        </w:tc>
        <w:tc>
          <w:tcPr>
            <w:tcW w:w="1279" w:type="dxa"/>
            <w:tcBorders>
              <w:top w:val="single" w:color="auto" w:sz="4" w:space="0"/>
              <w:left w:val="nil"/>
              <w:bottom w:val="single" w:color="auto" w:sz="4" w:space="0"/>
              <w:right w:val="nil"/>
            </w:tcBorders>
            <w:vAlign w:val="bottom"/>
          </w:tcPr>
          <w:p>
            <w:pPr>
              <w:spacing w:line="380" w:lineRule="exact"/>
              <w:jc w:val="center"/>
              <w:rPr>
                <w:sz w:val="24"/>
                <w:szCs w:val="24"/>
              </w:rPr>
            </w:pPr>
            <w:r>
              <w:rPr>
                <w:rFonts w:hint="eastAsia"/>
                <w:sz w:val="24"/>
                <w:szCs w:val="24"/>
              </w:rPr>
              <w:t>-85.7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sz w:val="24"/>
                <w:szCs w:val="24"/>
              </w:rPr>
            </w:pPr>
            <w:r>
              <w:rPr>
                <w:rFonts w:hint="eastAsia"/>
                <w:sz w:val="24"/>
                <w:szCs w:val="24"/>
              </w:rPr>
              <w:t>（四）房屋竣工面积</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万平方米</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11</w:t>
            </w:r>
            <w:r>
              <w:rPr>
                <w:rFonts w:hint="eastAsia"/>
                <w:sz w:val="24"/>
                <w:szCs w:val="24"/>
                <w:lang w:val="en-US" w:eastAsia="zh-CN"/>
              </w:rPr>
              <w:t>.</w:t>
            </w:r>
            <w:r>
              <w:rPr>
                <w:rFonts w:hint="eastAsia"/>
                <w:sz w:val="24"/>
                <w:szCs w:val="24"/>
              </w:rPr>
              <w:t>3</w:t>
            </w:r>
            <w:r>
              <w:rPr>
                <w:rFonts w:hint="eastAsia"/>
                <w:sz w:val="24"/>
                <w:szCs w:val="24"/>
                <w:lang w:val="en-US" w:eastAsia="zh-CN"/>
              </w:rPr>
              <w:t>9</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30</w:t>
            </w:r>
            <w:r>
              <w:rPr>
                <w:rFonts w:hint="eastAsia"/>
                <w:sz w:val="24"/>
                <w:szCs w:val="24"/>
                <w:lang w:val="en-US" w:eastAsia="zh-CN"/>
              </w:rPr>
              <w:t>.</w:t>
            </w:r>
            <w:r>
              <w:rPr>
                <w:rFonts w:hint="eastAsia"/>
                <w:sz w:val="24"/>
                <w:szCs w:val="24"/>
              </w:rPr>
              <w:t>27</w:t>
            </w:r>
          </w:p>
        </w:tc>
        <w:tc>
          <w:tcPr>
            <w:tcW w:w="1279" w:type="dxa"/>
            <w:tcBorders>
              <w:top w:val="single" w:color="auto" w:sz="4" w:space="0"/>
              <w:left w:val="nil"/>
              <w:bottom w:val="single" w:color="auto" w:sz="4" w:space="0"/>
              <w:right w:val="nil"/>
            </w:tcBorders>
            <w:vAlign w:val="bottom"/>
          </w:tcPr>
          <w:p>
            <w:pPr>
              <w:spacing w:line="380" w:lineRule="exact"/>
              <w:jc w:val="center"/>
              <w:rPr>
                <w:sz w:val="24"/>
                <w:szCs w:val="24"/>
              </w:rPr>
            </w:pPr>
            <w:r>
              <w:rPr>
                <w:rFonts w:hint="eastAsia"/>
                <w:sz w:val="24"/>
                <w:szCs w:val="24"/>
              </w:rPr>
              <w:t>-62.4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sz w:val="24"/>
                <w:szCs w:val="24"/>
              </w:rPr>
            </w:pPr>
            <w:r>
              <w:rPr>
                <w:rFonts w:hint="eastAsia"/>
                <w:sz w:val="24"/>
                <w:szCs w:val="24"/>
              </w:rPr>
              <w:t>二、建筑业总产值</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万元</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407344</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354414</w:t>
            </w:r>
          </w:p>
        </w:tc>
        <w:tc>
          <w:tcPr>
            <w:tcW w:w="1279" w:type="dxa"/>
            <w:tcBorders>
              <w:top w:val="single" w:color="auto" w:sz="4" w:space="0"/>
              <w:left w:val="nil"/>
              <w:bottom w:val="single" w:color="auto" w:sz="4" w:space="0"/>
              <w:right w:val="nil"/>
            </w:tcBorders>
            <w:vAlign w:val="bottom"/>
          </w:tcPr>
          <w:p>
            <w:pPr>
              <w:spacing w:line="380" w:lineRule="exact"/>
              <w:jc w:val="center"/>
              <w:rPr>
                <w:sz w:val="24"/>
                <w:szCs w:val="24"/>
              </w:rPr>
            </w:pPr>
            <w:r>
              <w:rPr>
                <w:rFonts w:hint="eastAsia"/>
                <w:sz w:val="24"/>
                <w:szCs w:val="24"/>
              </w:rPr>
              <w:t>14.9</w:t>
            </w:r>
          </w:p>
        </w:tc>
      </w:tr>
    </w:tbl>
    <w:p>
      <w:pPr>
        <w:spacing w:line="380" w:lineRule="exact"/>
        <w:outlineLvl w:val="0"/>
        <w:rPr>
          <w:rFonts w:ascii="黑体" w:eastAsia="黑体"/>
          <w:sz w:val="21"/>
          <w:szCs w:val="21"/>
        </w:rPr>
      </w:pPr>
    </w:p>
    <w:p>
      <w:pPr>
        <w:spacing w:line="380" w:lineRule="exact"/>
        <w:ind w:firstLine="1563" w:firstLineChars="686"/>
        <w:outlineLvl w:val="0"/>
        <w:rPr>
          <w:rFonts w:ascii="黑体" w:hAnsi="黑体" w:eastAsia="黑体"/>
          <w:sz w:val="21"/>
          <w:szCs w:val="21"/>
        </w:rPr>
      </w:pPr>
    </w:p>
    <w:p>
      <w:pPr>
        <w:spacing w:line="380" w:lineRule="exact"/>
        <w:ind w:firstLine="2318" w:firstLineChars="686"/>
        <w:outlineLvl w:val="0"/>
        <w:rPr>
          <w:rFonts w:ascii="黑体" w:hAnsi="黑体" w:eastAsia="黑体"/>
          <w:sz w:val="32"/>
          <w:szCs w:val="32"/>
        </w:rPr>
      </w:pPr>
    </w:p>
    <w:p>
      <w:pPr>
        <w:spacing w:line="380" w:lineRule="exact"/>
        <w:ind w:firstLine="2318" w:firstLineChars="686"/>
        <w:outlineLvl w:val="0"/>
        <w:rPr>
          <w:rFonts w:ascii="黑体" w:hAnsi="黑体" w:eastAsia="黑体"/>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484" w:firstLineChars="735"/>
        <w:outlineLvl w:val="0"/>
        <w:rPr>
          <w:rFonts w:ascii="黑体" w:hAnsi="黑体" w:eastAsia="黑体"/>
          <w:color w:val="FF0000"/>
          <w:sz w:val="32"/>
          <w:szCs w:val="32"/>
        </w:rPr>
      </w:pPr>
    </w:p>
    <w:p>
      <w:pPr>
        <w:spacing w:line="380" w:lineRule="exact"/>
        <w:ind w:firstLine="1821" w:firstLineChars="539"/>
        <w:outlineLvl w:val="0"/>
        <w:rPr>
          <w:rFonts w:ascii="黑体" w:eastAsia="黑体"/>
          <w:sz w:val="32"/>
          <w:szCs w:val="32"/>
        </w:rPr>
      </w:pPr>
      <w:r>
        <w:rPr>
          <w:rFonts w:hint="eastAsia" w:ascii="黑体" w:hAnsi="黑体" w:eastAsia="黑体"/>
          <w:sz w:val="32"/>
          <w:szCs w:val="32"/>
        </w:rPr>
        <w:t>亿元以上房地产投资项目完成进度表</w:t>
      </w:r>
    </w:p>
    <w:p>
      <w:pPr>
        <w:spacing w:line="380" w:lineRule="exact"/>
        <w:ind w:firstLine="7301" w:firstLineChars="2830"/>
        <w:outlineLvl w:val="0"/>
        <w:rPr>
          <w:rFonts w:ascii="黑体" w:eastAsia="黑体"/>
          <w:sz w:val="24"/>
          <w:szCs w:val="24"/>
        </w:rPr>
      </w:pPr>
      <w:r>
        <w:rPr>
          <w:rFonts w:hint="eastAsia" w:ascii="宋体" w:hAnsi="宋体"/>
          <w:sz w:val="24"/>
          <w:szCs w:val="24"/>
        </w:rPr>
        <w:t>（单位：万元）</w:t>
      </w:r>
    </w:p>
    <w:tbl>
      <w:tblPr>
        <w:tblStyle w:val="9"/>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2"/>
        <w:gridCol w:w="1281"/>
        <w:gridCol w:w="1873"/>
        <w:gridCol w:w="1872"/>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项目名称</w:t>
            </w:r>
          </w:p>
        </w:tc>
        <w:tc>
          <w:tcPr>
            <w:tcW w:w="128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建设性质</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计划总投资</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累计完成投资</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本年完成投资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尚品国际</w:t>
            </w:r>
          </w:p>
        </w:tc>
        <w:tc>
          <w:tcPr>
            <w:tcW w:w="128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35000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37916</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5750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百嘉香阳光城</w:t>
            </w:r>
          </w:p>
        </w:tc>
        <w:tc>
          <w:tcPr>
            <w:tcW w:w="128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40000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51343</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1023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玉泉天颐花园</w:t>
            </w:r>
          </w:p>
        </w:tc>
        <w:tc>
          <w:tcPr>
            <w:tcW w:w="128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15000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8680</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碧桂园</w:t>
            </w:r>
          </w:p>
        </w:tc>
        <w:tc>
          <w:tcPr>
            <w:tcW w:w="128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30927</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32054</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1291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霞光名府</w:t>
            </w:r>
          </w:p>
        </w:tc>
        <w:tc>
          <w:tcPr>
            <w:tcW w:w="128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19500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19990</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湘乡碧桂园豪园</w:t>
            </w:r>
          </w:p>
        </w:tc>
        <w:tc>
          <w:tcPr>
            <w:tcW w:w="128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39781</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39569</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4346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明月山水湾二期</w:t>
            </w:r>
          </w:p>
        </w:tc>
        <w:tc>
          <w:tcPr>
            <w:tcW w:w="128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21961</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20911</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5415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燕兴华城六期</w:t>
            </w:r>
          </w:p>
        </w:tc>
        <w:tc>
          <w:tcPr>
            <w:tcW w:w="1281"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55650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42844</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15095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龙城盛悦府</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25000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27650</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裕源懿府</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69736</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67624</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15877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中南国际汽车城</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32344</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21165</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3603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滨江熙苑</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sz w:val="24"/>
                <w:szCs w:val="24"/>
              </w:rPr>
              <w:t>54758</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29097</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18289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长河湾一期</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sz w:val="24"/>
                <w:szCs w:val="24"/>
              </w:rPr>
              <w:t>60000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41273</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17538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万汇北城壹号</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14000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11838</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7300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缇香名苑</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10638</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13995</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6780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东台御景</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rPr>
                <w:sz w:val="24"/>
                <w:szCs w:val="24"/>
              </w:rPr>
            </w:pPr>
            <w:r>
              <w:rPr>
                <w:rFonts w:hint="eastAsia"/>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20500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14550</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4922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3743" w:type="dxa"/>
            <w:gridSpan w:val="2"/>
            <w:tcBorders>
              <w:top w:val="single" w:color="auto" w:sz="4" w:space="0"/>
              <w:left w:val="nil"/>
              <w:bottom w:val="single" w:color="auto" w:sz="4" w:space="0"/>
              <w:right w:val="single" w:color="auto" w:sz="4" w:space="0"/>
            </w:tcBorders>
            <w:vAlign w:val="center"/>
          </w:tcPr>
          <w:p>
            <w:pPr>
              <w:spacing w:line="380" w:lineRule="exact"/>
              <w:ind w:firstLine="252" w:firstLineChars="98"/>
              <w:rPr>
                <w:sz w:val="24"/>
                <w:szCs w:val="24"/>
              </w:rPr>
            </w:pPr>
            <w:r>
              <w:rPr>
                <w:rFonts w:hint="eastAsia"/>
                <w:sz w:val="24"/>
                <w:szCs w:val="24"/>
              </w:rPr>
              <w:t xml:space="preserve">         合   计</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544795</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sz w:val="24"/>
                <w:szCs w:val="24"/>
              </w:rPr>
            </w:pPr>
            <w:r>
              <w:rPr>
                <w:rFonts w:hint="eastAsia"/>
                <w:sz w:val="24"/>
                <w:szCs w:val="24"/>
              </w:rPr>
              <w:t>480499</w:t>
            </w:r>
          </w:p>
        </w:tc>
        <w:tc>
          <w:tcPr>
            <w:tcW w:w="1872" w:type="dxa"/>
            <w:tcBorders>
              <w:top w:val="single" w:color="auto" w:sz="4" w:space="0"/>
              <w:left w:val="nil"/>
              <w:bottom w:val="single" w:color="auto" w:sz="4" w:space="0"/>
              <w:right w:val="nil"/>
            </w:tcBorders>
            <w:vAlign w:val="center"/>
          </w:tcPr>
          <w:p>
            <w:pPr>
              <w:spacing w:line="380" w:lineRule="exact"/>
              <w:jc w:val="center"/>
              <w:rPr>
                <w:sz w:val="24"/>
                <w:szCs w:val="24"/>
              </w:rPr>
            </w:pPr>
            <w:r>
              <w:rPr>
                <w:rFonts w:hint="eastAsia"/>
                <w:sz w:val="24"/>
                <w:szCs w:val="24"/>
              </w:rPr>
              <w:t>110649</w:t>
            </w:r>
          </w:p>
        </w:tc>
      </w:tr>
    </w:tbl>
    <w:p>
      <w:pPr>
        <w:spacing w:line="380" w:lineRule="exact"/>
        <w:jc w:val="center"/>
        <w:outlineLvl w:val="0"/>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ind w:firstLine="3143" w:firstLineChars="930"/>
        <w:rPr>
          <w:rFonts w:ascii="黑体" w:eastAsia="黑体"/>
          <w:sz w:val="32"/>
          <w:szCs w:val="32"/>
        </w:rPr>
      </w:pPr>
    </w:p>
    <w:p>
      <w:pPr>
        <w:spacing w:line="380" w:lineRule="exact"/>
        <w:ind w:firstLine="3143" w:firstLineChars="930"/>
        <w:rPr>
          <w:rFonts w:ascii="黑体" w:eastAsia="黑体"/>
          <w:sz w:val="32"/>
          <w:szCs w:val="32"/>
        </w:rPr>
      </w:pPr>
    </w:p>
    <w:p>
      <w:pPr>
        <w:spacing w:line="380" w:lineRule="exact"/>
        <w:ind w:firstLine="2814" w:firstLineChars="833"/>
        <w:rPr>
          <w:rFonts w:ascii="黑体" w:eastAsia="黑体"/>
          <w:color w:val="000000" w:themeColor="text1"/>
          <w:sz w:val="32"/>
          <w:szCs w:val="32"/>
        </w:rPr>
      </w:pPr>
      <w:r>
        <w:rPr>
          <w:rFonts w:hint="eastAsia" w:ascii="黑体" w:eastAsia="黑体"/>
          <w:color w:val="000000" w:themeColor="text1"/>
          <w:sz w:val="32"/>
          <w:szCs w:val="32"/>
        </w:rPr>
        <w:t>六、工    业 (一)</w:t>
      </w:r>
    </w:p>
    <w:tbl>
      <w:tblPr>
        <w:tblStyle w:val="8"/>
        <w:tblW w:w="9488"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3"/>
        <w:gridCol w:w="3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3755"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33" w:type="dxa"/>
            <w:tcBorders>
              <w:left w:val="nil"/>
            </w:tcBorders>
            <w:vAlign w:val="center"/>
          </w:tcPr>
          <w:p>
            <w:pPr>
              <w:spacing w:line="380" w:lineRule="exact"/>
              <w:ind w:firstLine="254" w:firstLineChars="99"/>
              <w:rPr>
                <w:color w:val="000000" w:themeColor="text1"/>
                <w:sz w:val="24"/>
                <w:szCs w:val="24"/>
              </w:rPr>
            </w:pPr>
            <w:r>
              <w:rPr>
                <w:rFonts w:hint="eastAsia"/>
                <w:color w:val="000000" w:themeColor="text1"/>
                <w:sz w:val="24"/>
                <w:szCs w:val="24"/>
              </w:rPr>
              <w:t>一、全部工业总产值</w:t>
            </w:r>
          </w:p>
        </w:tc>
        <w:tc>
          <w:tcPr>
            <w:tcW w:w="3755" w:type="dxa"/>
            <w:tcBorders>
              <w:right w:val="nil"/>
            </w:tcBorders>
            <w:vAlign w:val="center"/>
          </w:tcPr>
          <w:p>
            <w:pPr>
              <w:widowControl/>
              <w:jc w:val="center"/>
              <w:textAlignment w:val="center"/>
              <w:rPr>
                <w:rFonts w:ascii="宋体" w:hAnsi="宋体" w:cs="宋体"/>
                <w:color w:val="000000" w:themeColor="text1"/>
                <w:sz w:val="24"/>
                <w:szCs w:val="24"/>
              </w:rPr>
            </w:pPr>
            <w:r>
              <w:rPr>
                <w:rFonts w:hint="eastAsia" w:ascii="宋体" w:hAnsi="宋体" w:cs="宋体"/>
                <w:color w:val="000000" w:themeColor="text1"/>
                <w:sz w:val="24"/>
                <w:szCs w:val="24"/>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其中：（一）规模以上工业</w:t>
            </w:r>
          </w:p>
        </w:tc>
        <w:tc>
          <w:tcPr>
            <w:tcW w:w="3755" w:type="dxa"/>
            <w:tcBorders>
              <w:right w:val="nil"/>
            </w:tcBorders>
            <w:vAlign w:val="center"/>
          </w:tcPr>
          <w:p>
            <w:pPr>
              <w:widowControl/>
              <w:jc w:val="center"/>
              <w:textAlignment w:val="center"/>
              <w:rPr>
                <w:rFonts w:ascii="宋体" w:hAnsi="宋体" w:cs="宋体"/>
                <w:color w:val="000000" w:themeColor="text1"/>
                <w:sz w:val="24"/>
                <w:szCs w:val="24"/>
              </w:rPr>
            </w:pPr>
            <w:r>
              <w:rPr>
                <w:rFonts w:hint="eastAsia" w:ascii="宋体" w:hAnsi="宋体" w:cs="宋体"/>
                <w:color w:val="000000" w:themeColor="text1"/>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其中：工业园</w:t>
            </w:r>
          </w:p>
        </w:tc>
        <w:tc>
          <w:tcPr>
            <w:tcW w:w="3755" w:type="dxa"/>
            <w:tcBorders>
              <w:right w:val="nil"/>
            </w:tcBorders>
            <w:vAlign w:val="center"/>
          </w:tcPr>
          <w:p>
            <w:pPr>
              <w:widowControl/>
              <w:jc w:val="center"/>
              <w:textAlignment w:val="center"/>
              <w:rPr>
                <w:rFonts w:ascii="宋体" w:hAnsi="宋体" w:cs="宋体"/>
                <w:color w:val="000000" w:themeColor="text1"/>
                <w:sz w:val="24"/>
                <w:szCs w:val="24"/>
              </w:rPr>
            </w:pPr>
            <w:r>
              <w:rPr>
                <w:rFonts w:hint="eastAsia" w:ascii="宋体" w:hAnsi="宋体" w:cs="宋体"/>
                <w:color w:val="000000" w:themeColor="text1"/>
                <w:sz w:val="24"/>
                <w:szCs w:val="24"/>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（二）规模以下工业</w:t>
            </w:r>
          </w:p>
        </w:tc>
        <w:tc>
          <w:tcPr>
            <w:tcW w:w="3755" w:type="dxa"/>
            <w:tcBorders>
              <w:right w:val="nil"/>
            </w:tcBorders>
            <w:vAlign w:val="center"/>
          </w:tcPr>
          <w:p>
            <w:pPr>
              <w:widowControl/>
              <w:jc w:val="center"/>
              <w:textAlignment w:val="center"/>
              <w:rPr>
                <w:rFonts w:ascii="宋体" w:hAnsi="宋体" w:cs="宋体"/>
                <w:color w:val="000000" w:themeColor="text1"/>
                <w:sz w:val="24"/>
                <w:szCs w:val="24"/>
              </w:rPr>
            </w:pPr>
            <w:r>
              <w:rPr>
                <w:rFonts w:hint="eastAsia" w:ascii="宋体" w:hAnsi="宋体" w:cs="宋体"/>
                <w:color w:val="000000" w:themeColor="text1"/>
                <w:sz w:val="24"/>
                <w:szCs w:val="24"/>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二、规模以上工业按行业分：</w:t>
            </w:r>
          </w:p>
        </w:tc>
        <w:tc>
          <w:tcPr>
            <w:tcW w:w="3755" w:type="dxa"/>
            <w:tcBorders>
              <w:right w:val="nil"/>
            </w:tcBorders>
            <w:vAlign w:val="center"/>
          </w:tcPr>
          <w:p>
            <w:pPr>
              <w:spacing w:line="380" w:lineRule="exact"/>
              <w:jc w:val="center"/>
              <w:rPr>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（一）采矿业</w:t>
            </w:r>
          </w:p>
        </w:tc>
        <w:tc>
          <w:tcPr>
            <w:tcW w:w="3755" w:type="dxa"/>
            <w:tcBorders>
              <w:right w:val="nil"/>
            </w:tcBorders>
            <w:vAlign w:val="center"/>
          </w:tcPr>
          <w:p>
            <w:pPr>
              <w:widowControl/>
              <w:jc w:val="center"/>
              <w:textAlignment w:val="center"/>
              <w:rPr>
                <w:rFonts w:ascii="宋体" w:hAnsi="宋体" w:cs="宋体"/>
                <w:color w:val="000000" w:themeColor="text1"/>
                <w:sz w:val="24"/>
                <w:szCs w:val="24"/>
              </w:rPr>
            </w:pPr>
            <w:r>
              <w:rPr>
                <w:rFonts w:hint="eastAsia" w:ascii="宋体" w:hAnsi="宋体" w:cs="宋体"/>
                <w:color w:val="000000" w:themeColor="text1"/>
                <w:sz w:val="24"/>
                <w:szCs w:val="24"/>
              </w:rPr>
              <w:t>-32.6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（二）制造业</w:t>
            </w:r>
          </w:p>
        </w:tc>
        <w:tc>
          <w:tcPr>
            <w:tcW w:w="3755" w:type="dxa"/>
            <w:tcBorders>
              <w:right w:val="nil"/>
            </w:tcBorders>
            <w:vAlign w:val="center"/>
          </w:tcPr>
          <w:p>
            <w:pPr>
              <w:widowControl/>
              <w:jc w:val="center"/>
              <w:textAlignment w:val="center"/>
              <w:rPr>
                <w:rFonts w:ascii="宋体" w:hAnsi="宋体" w:cs="宋体"/>
                <w:color w:val="000000" w:themeColor="text1"/>
                <w:sz w:val="24"/>
                <w:szCs w:val="24"/>
              </w:rPr>
            </w:pPr>
            <w:r>
              <w:rPr>
                <w:rFonts w:hint="eastAsia" w:ascii="宋体" w:hAnsi="宋体" w:cs="宋体"/>
                <w:color w:val="000000" w:themeColor="text1"/>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其中：1、食品</w:t>
            </w:r>
          </w:p>
        </w:tc>
        <w:tc>
          <w:tcPr>
            <w:tcW w:w="3755" w:type="dxa"/>
            <w:tcBorders>
              <w:right w:val="nil"/>
            </w:tcBorders>
            <w:vAlign w:val="center"/>
          </w:tcPr>
          <w:p>
            <w:pPr>
              <w:widowControl/>
              <w:jc w:val="center"/>
              <w:textAlignment w:val="center"/>
              <w:rPr>
                <w:rFonts w:ascii="宋体" w:hAnsi="宋体" w:cs="宋体"/>
                <w:color w:val="000000" w:themeColor="text1"/>
                <w:sz w:val="24"/>
                <w:szCs w:val="24"/>
              </w:rPr>
            </w:pPr>
            <w:r>
              <w:rPr>
                <w:rFonts w:hint="eastAsia" w:ascii="宋体" w:hAnsi="宋体" w:cs="宋体"/>
                <w:color w:val="000000" w:themeColor="text1"/>
                <w:sz w:val="24"/>
                <w:szCs w:val="2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2、皮革</w:t>
            </w:r>
          </w:p>
        </w:tc>
        <w:tc>
          <w:tcPr>
            <w:tcW w:w="3755" w:type="dxa"/>
            <w:tcBorders>
              <w:right w:val="nil"/>
            </w:tcBorders>
            <w:vAlign w:val="center"/>
          </w:tcPr>
          <w:p>
            <w:pPr>
              <w:widowControl/>
              <w:jc w:val="center"/>
              <w:textAlignment w:val="center"/>
              <w:rPr>
                <w:rFonts w:ascii="宋体" w:hAnsi="宋体" w:cs="宋体"/>
                <w:color w:val="000000" w:themeColor="text1"/>
                <w:sz w:val="24"/>
                <w:szCs w:val="24"/>
              </w:rPr>
            </w:pPr>
            <w:r>
              <w:rPr>
                <w:rFonts w:hint="eastAsia" w:ascii="宋体" w:hAnsi="宋体" w:cs="宋体"/>
                <w:color w:val="000000" w:themeColor="text1"/>
                <w:sz w:val="24"/>
                <w:szCs w:val="24"/>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3、化工</w:t>
            </w:r>
          </w:p>
        </w:tc>
        <w:tc>
          <w:tcPr>
            <w:tcW w:w="3755" w:type="dxa"/>
            <w:tcBorders>
              <w:right w:val="nil"/>
            </w:tcBorders>
            <w:vAlign w:val="center"/>
          </w:tcPr>
          <w:p>
            <w:pPr>
              <w:widowControl/>
              <w:jc w:val="center"/>
              <w:textAlignment w:val="center"/>
              <w:rPr>
                <w:rFonts w:ascii="宋体" w:hAnsi="宋体" w:cs="宋体"/>
                <w:color w:val="000000" w:themeColor="text1"/>
                <w:sz w:val="24"/>
                <w:szCs w:val="24"/>
              </w:rPr>
            </w:pPr>
            <w:r>
              <w:rPr>
                <w:rFonts w:hint="eastAsia" w:ascii="宋体" w:hAnsi="宋体" w:cs="宋体"/>
                <w:color w:val="000000" w:themeColor="text1"/>
                <w:sz w:val="24"/>
                <w:szCs w:val="24"/>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4、建材</w:t>
            </w:r>
          </w:p>
        </w:tc>
        <w:tc>
          <w:tcPr>
            <w:tcW w:w="3755" w:type="dxa"/>
            <w:tcBorders>
              <w:right w:val="nil"/>
            </w:tcBorders>
            <w:vAlign w:val="center"/>
          </w:tcPr>
          <w:p>
            <w:pPr>
              <w:widowControl/>
              <w:jc w:val="center"/>
              <w:textAlignment w:val="center"/>
              <w:rPr>
                <w:rFonts w:ascii="宋体" w:hAnsi="宋体" w:cs="宋体"/>
                <w:color w:val="000000" w:themeColor="text1"/>
                <w:sz w:val="24"/>
                <w:szCs w:val="24"/>
              </w:rPr>
            </w:pPr>
            <w:r>
              <w:rPr>
                <w:rFonts w:hint="eastAsia" w:ascii="宋体" w:hAnsi="宋体" w:cs="宋体"/>
                <w:color w:val="000000" w:themeColor="text1"/>
                <w:sz w:val="24"/>
                <w:szCs w:val="24"/>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5、冶金</w:t>
            </w:r>
          </w:p>
        </w:tc>
        <w:tc>
          <w:tcPr>
            <w:tcW w:w="3755" w:type="dxa"/>
            <w:tcBorders>
              <w:right w:val="nil"/>
            </w:tcBorders>
            <w:vAlign w:val="center"/>
          </w:tcPr>
          <w:p>
            <w:pPr>
              <w:widowControl/>
              <w:jc w:val="center"/>
              <w:textAlignment w:val="center"/>
              <w:rPr>
                <w:rFonts w:ascii="宋体" w:hAnsi="宋体" w:cs="宋体"/>
                <w:color w:val="000000" w:themeColor="text1"/>
                <w:sz w:val="24"/>
                <w:szCs w:val="24"/>
              </w:rPr>
            </w:pPr>
            <w:r>
              <w:rPr>
                <w:rFonts w:hint="eastAsia" w:ascii="宋体" w:hAnsi="宋体" w:cs="宋体"/>
                <w:color w:val="000000" w:themeColor="text1"/>
                <w:sz w:val="24"/>
                <w:szCs w:val="24"/>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6、机电</w:t>
            </w:r>
          </w:p>
        </w:tc>
        <w:tc>
          <w:tcPr>
            <w:tcW w:w="3755" w:type="dxa"/>
            <w:tcBorders>
              <w:right w:val="nil"/>
            </w:tcBorders>
            <w:vAlign w:val="center"/>
          </w:tcPr>
          <w:p>
            <w:pPr>
              <w:widowControl/>
              <w:jc w:val="center"/>
              <w:textAlignment w:val="center"/>
              <w:rPr>
                <w:rFonts w:ascii="宋体" w:hAnsi="宋体" w:cs="宋体"/>
                <w:color w:val="000000" w:themeColor="text1"/>
                <w:sz w:val="24"/>
                <w:szCs w:val="24"/>
              </w:rPr>
            </w:pPr>
            <w:r>
              <w:rPr>
                <w:rFonts w:hint="eastAsia" w:ascii="宋体" w:hAnsi="宋体" w:cs="宋体"/>
                <w:color w:val="000000" w:themeColor="text1"/>
                <w:sz w:val="24"/>
                <w:szCs w:val="24"/>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（三）电力及水生产和供应业</w:t>
            </w:r>
          </w:p>
        </w:tc>
        <w:tc>
          <w:tcPr>
            <w:tcW w:w="3755" w:type="dxa"/>
            <w:tcBorders>
              <w:right w:val="nil"/>
            </w:tcBorders>
            <w:vAlign w:val="center"/>
          </w:tcPr>
          <w:p>
            <w:pPr>
              <w:widowControl/>
              <w:jc w:val="center"/>
              <w:textAlignment w:val="center"/>
              <w:rPr>
                <w:rFonts w:ascii="宋体" w:hAnsi="宋体" w:cs="宋体"/>
                <w:color w:val="000000" w:themeColor="text1"/>
                <w:sz w:val="24"/>
                <w:szCs w:val="24"/>
              </w:rPr>
            </w:pPr>
            <w:r>
              <w:rPr>
                <w:rFonts w:hint="eastAsia" w:ascii="宋体" w:hAnsi="宋体" w:cs="宋体"/>
                <w:color w:val="000000" w:themeColor="text1"/>
                <w:sz w:val="24"/>
                <w:szCs w:val="24"/>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pPr>
              <w:spacing w:line="380" w:lineRule="exact"/>
              <w:ind w:firstLine="252" w:firstLineChars="98"/>
              <w:rPr>
                <w:color w:val="000000" w:themeColor="text1"/>
                <w:sz w:val="24"/>
                <w:szCs w:val="24"/>
              </w:rPr>
            </w:pPr>
            <w:r>
              <w:rPr>
                <w:rFonts w:hint="eastAsia"/>
                <w:color w:val="000000" w:themeColor="text1"/>
                <w:sz w:val="24"/>
                <w:szCs w:val="24"/>
              </w:rPr>
              <w:t xml:space="preserve"> 三、规模以上工业产品销售率（%）</w:t>
            </w:r>
          </w:p>
        </w:tc>
        <w:tc>
          <w:tcPr>
            <w:tcW w:w="3755" w:type="dxa"/>
            <w:tcBorders>
              <w:right w:val="nil"/>
            </w:tcBorders>
            <w:vAlign w:val="center"/>
          </w:tcPr>
          <w:p>
            <w:pPr>
              <w:widowControl/>
              <w:jc w:val="center"/>
              <w:textAlignment w:val="center"/>
              <w:rPr>
                <w:rFonts w:ascii="宋体" w:hAnsi="宋体" w:cs="宋体"/>
                <w:color w:val="000000" w:themeColor="text1"/>
                <w:sz w:val="24"/>
                <w:szCs w:val="24"/>
              </w:rPr>
            </w:pPr>
            <w:r>
              <w:rPr>
                <w:rFonts w:hint="eastAsia" w:ascii="宋体" w:hAnsi="宋体" w:cs="宋体"/>
                <w:color w:val="000000" w:themeColor="text1"/>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3" w:type="dxa"/>
            <w:tcBorders>
              <w:left w:val="nil"/>
            </w:tcBorders>
            <w:vAlign w:val="center"/>
          </w:tcPr>
          <w:p>
            <w:pPr>
              <w:spacing w:line="380" w:lineRule="exact"/>
              <w:ind w:firstLine="383" w:firstLineChars="149"/>
              <w:rPr>
                <w:color w:val="000000" w:themeColor="text1"/>
                <w:sz w:val="24"/>
                <w:szCs w:val="24"/>
              </w:rPr>
            </w:pPr>
            <w:r>
              <w:rPr>
                <w:rFonts w:hint="eastAsia"/>
                <w:color w:val="000000" w:themeColor="text1"/>
                <w:sz w:val="24"/>
                <w:szCs w:val="24"/>
              </w:rPr>
              <w:t>四、规模以上工业增加值</w:t>
            </w:r>
          </w:p>
        </w:tc>
        <w:tc>
          <w:tcPr>
            <w:tcW w:w="3755" w:type="dxa"/>
            <w:tcBorders>
              <w:right w:val="nil"/>
            </w:tcBorders>
            <w:vAlign w:val="center"/>
          </w:tcPr>
          <w:p>
            <w:pPr>
              <w:widowControl/>
              <w:jc w:val="center"/>
              <w:textAlignment w:val="center"/>
              <w:rPr>
                <w:rFonts w:ascii="宋体" w:hAnsi="宋体" w:cs="宋体"/>
                <w:color w:val="000000" w:themeColor="text1"/>
                <w:kern w:val="0"/>
                <w:sz w:val="24"/>
                <w:szCs w:val="24"/>
              </w:rPr>
            </w:pPr>
            <w:r>
              <w:rPr>
                <w:rFonts w:hint="eastAsia" w:ascii="宋体" w:hAnsi="宋体" w:cs="宋体"/>
                <w:color w:val="000000" w:themeColor="text1"/>
                <w:kern w:val="0"/>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5733" w:type="dxa"/>
            <w:tcBorders>
              <w:left w:val="nil"/>
            </w:tcBorders>
            <w:vAlign w:val="center"/>
          </w:tcPr>
          <w:p>
            <w:pPr>
              <w:spacing w:line="380" w:lineRule="exact"/>
              <w:ind w:firstLine="1380" w:firstLineChars="535"/>
              <w:rPr>
                <w:color w:val="000000" w:themeColor="text1"/>
                <w:sz w:val="24"/>
                <w:szCs w:val="24"/>
              </w:rPr>
            </w:pPr>
            <w:r>
              <w:rPr>
                <w:rFonts w:hint="eastAsia"/>
                <w:color w:val="000000" w:themeColor="text1"/>
                <w:sz w:val="24"/>
                <w:szCs w:val="24"/>
              </w:rPr>
              <w:t>其中（一）采矿业</w:t>
            </w:r>
          </w:p>
        </w:tc>
        <w:tc>
          <w:tcPr>
            <w:tcW w:w="3755" w:type="dxa"/>
            <w:tcBorders>
              <w:right w:val="nil"/>
            </w:tcBorders>
            <w:vAlign w:val="center"/>
          </w:tcPr>
          <w:p>
            <w:pPr>
              <w:widowControl/>
              <w:jc w:val="center"/>
              <w:textAlignment w:val="center"/>
              <w:rPr>
                <w:rFonts w:ascii="宋体" w:hAnsi="宋体" w:cs="宋体"/>
                <w:color w:val="000000" w:themeColor="text1"/>
                <w:kern w:val="0"/>
                <w:sz w:val="24"/>
                <w:szCs w:val="24"/>
              </w:rPr>
            </w:pPr>
            <w:r>
              <w:rPr>
                <w:rFonts w:hint="eastAsia" w:ascii="宋体" w:hAnsi="宋体" w:cs="宋体"/>
                <w:color w:val="000000" w:themeColor="text1"/>
                <w:kern w:val="0"/>
                <w:sz w:val="24"/>
                <w:szCs w:val="24"/>
              </w:rPr>
              <w:t>-32.6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5733" w:type="dxa"/>
            <w:tcBorders>
              <w:left w:val="nil"/>
            </w:tcBorders>
            <w:vAlign w:val="center"/>
          </w:tcPr>
          <w:p>
            <w:pPr>
              <w:spacing w:line="380" w:lineRule="exact"/>
              <w:ind w:firstLine="1885" w:firstLineChars="731"/>
              <w:rPr>
                <w:color w:val="000000" w:themeColor="text1"/>
                <w:sz w:val="24"/>
                <w:szCs w:val="24"/>
              </w:rPr>
            </w:pPr>
            <w:r>
              <w:rPr>
                <w:rFonts w:hint="eastAsia"/>
                <w:color w:val="000000" w:themeColor="text1"/>
                <w:sz w:val="24"/>
                <w:szCs w:val="24"/>
              </w:rPr>
              <w:t>（二）制造业</w:t>
            </w:r>
          </w:p>
        </w:tc>
        <w:tc>
          <w:tcPr>
            <w:tcW w:w="3755" w:type="dxa"/>
            <w:tcBorders>
              <w:right w:val="nil"/>
            </w:tcBorders>
            <w:vAlign w:val="center"/>
          </w:tcPr>
          <w:p>
            <w:pPr>
              <w:widowControl/>
              <w:jc w:val="center"/>
              <w:textAlignment w:val="center"/>
              <w:rPr>
                <w:rFonts w:ascii="宋体" w:hAnsi="宋体" w:cs="宋体"/>
                <w:color w:val="000000" w:themeColor="text1"/>
                <w:kern w:val="0"/>
                <w:sz w:val="24"/>
                <w:szCs w:val="24"/>
              </w:rPr>
            </w:pPr>
            <w:r>
              <w:rPr>
                <w:rFonts w:hint="eastAsia" w:ascii="宋体" w:hAnsi="宋体" w:cs="宋体"/>
                <w:color w:val="000000" w:themeColor="text1"/>
                <w:kern w:val="0"/>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5733" w:type="dxa"/>
            <w:tcBorders>
              <w:left w:val="nil"/>
            </w:tcBorders>
            <w:vAlign w:val="center"/>
          </w:tcPr>
          <w:p>
            <w:pPr>
              <w:spacing w:line="380" w:lineRule="exact"/>
              <w:ind w:firstLine="1890" w:firstLineChars="733"/>
              <w:rPr>
                <w:color w:val="000000" w:themeColor="text1"/>
                <w:sz w:val="24"/>
                <w:szCs w:val="24"/>
              </w:rPr>
            </w:pPr>
            <w:r>
              <w:rPr>
                <w:rFonts w:hint="eastAsia"/>
                <w:color w:val="000000" w:themeColor="text1"/>
                <w:sz w:val="24"/>
                <w:szCs w:val="24"/>
              </w:rPr>
              <w:t>（三）电力及水生产和供应业</w:t>
            </w:r>
          </w:p>
        </w:tc>
        <w:tc>
          <w:tcPr>
            <w:tcW w:w="3755" w:type="dxa"/>
            <w:tcBorders>
              <w:right w:val="nil"/>
            </w:tcBorders>
            <w:vAlign w:val="center"/>
          </w:tcPr>
          <w:p>
            <w:pPr>
              <w:widowControl/>
              <w:jc w:val="center"/>
              <w:textAlignment w:val="center"/>
              <w:rPr>
                <w:rFonts w:ascii="宋体" w:hAnsi="宋体" w:cs="宋体"/>
                <w:color w:val="000000" w:themeColor="text1"/>
                <w:kern w:val="0"/>
                <w:sz w:val="24"/>
                <w:szCs w:val="24"/>
              </w:rPr>
            </w:pPr>
            <w:r>
              <w:rPr>
                <w:rFonts w:hint="eastAsia" w:ascii="宋体" w:hAnsi="宋体" w:cs="宋体"/>
                <w:color w:val="000000" w:themeColor="text1"/>
                <w:kern w:val="0"/>
                <w:sz w:val="24"/>
                <w:szCs w:val="24"/>
              </w:rPr>
              <w:t>12.6</w:t>
            </w:r>
          </w:p>
        </w:tc>
      </w:tr>
    </w:tbl>
    <w:p>
      <w:pPr>
        <w:spacing w:line="380" w:lineRule="exact"/>
        <w:rPr>
          <w:color w:val="C00000"/>
          <w:sz w:val="24"/>
          <w:szCs w:val="24"/>
        </w:rPr>
      </w:pPr>
    </w:p>
    <w:p>
      <w:pPr>
        <w:spacing w:line="380" w:lineRule="exact"/>
        <w:ind w:firstLine="3494" w:firstLineChars="1034"/>
        <w:outlineLvl w:val="0"/>
        <w:rPr>
          <w:rFonts w:ascii="黑体" w:eastAsia="黑体"/>
          <w:color w:val="C00000"/>
          <w:sz w:val="32"/>
          <w:szCs w:val="32"/>
        </w:rPr>
      </w:pPr>
    </w:p>
    <w:p>
      <w:pPr>
        <w:spacing w:line="380" w:lineRule="exact"/>
        <w:ind w:firstLine="3494" w:firstLineChars="1034"/>
        <w:outlineLvl w:val="0"/>
        <w:rPr>
          <w:rFonts w:ascii="黑体" w:eastAsia="黑体"/>
          <w:color w:val="C00000"/>
          <w:sz w:val="32"/>
          <w:szCs w:val="32"/>
        </w:rPr>
      </w:pPr>
    </w:p>
    <w:p>
      <w:pPr>
        <w:spacing w:line="380" w:lineRule="exact"/>
        <w:ind w:firstLine="3494" w:firstLineChars="1034"/>
        <w:outlineLvl w:val="0"/>
        <w:rPr>
          <w:rFonts w:ascii="黑体" w:eastAsia="黑体"/>
          <w:color w:val="C00000"/>
          <w:sz w:val="32"/>
          <w:szCs w:val="32"/>
        </w:rPr>
      </w:pPr>
    </w:p>
    <w:p>
      <w:pPr>
        <w:spacing w:line="380" w:lineRule="exact"/>
        <w:ind w:firstLine="3494" w:firstLineChars="1034"/>
        <w:outlineLvl w:val="0"/>
        <w:rPr>
          <w:rFonts w:ascii="黑体" w:eastAsia="黑体"/>
          <w:color w:val="C00000"/>
          <w:sz w:val="32"/>
          <w:szCs w:val="32"/>
        </w:rPr>
      </w:pPr>
    </w:p>
    <w:p>
      <w:pPr>
        <w:spacing w:line="380" w:lineRule="exact"/>
        <w:ind w:firstLine="2980" w:firstLineChars="882"/>
        <w:rPr>
          <w:rFonts w:ascii="黑体" w:eastAsia="黑体"/>
          <w:color w:val="C00000"/>
          <w:sz w:val="32"/>
          <w:szCs w:val="32"/>
        </w:rPr>
      </w:pPr>
    </w:p>
    <w:p>
      <w:pPr>
        <w:spacing w:line="380" w:lineRule="exact"/>
        <w:ind w:firstLine="2980" w:firstLineChars="882"/>
        <w:rPr>
          <w:rFonts w:ascii="黑体" w:eastAsia="黑体"/>
          <w:color w:val="C00000"/>
          <w:sz w:val="32"/>
          <w:szCs w:val="32"/>
        </w:rPr>
      </w:pPr>
    </w:p>
    <w:p>
      <w:pPr>
        <w:spacing w:line="380" w:lineRule="exact"/>
        <w:ind w:firstLine="2980" w:firstLineChars="882"/>
        <w:rPr>
          <w:rFonts w:ascii="黑体" w:eastAsia="黑体"/>
          <w:color w:val="C00000"/>
          <w:sz w:val="32"/>
          <w:szCs w:val="32"/>
        </w:rPr>
      </w:pPr>
    </w:p>
    <w:p>
      <w:pPr>
        <w:spacing w:line="380" w:lineRule="exact"/>
        <w:ind w:firstLine="2980" w:firstLineChars="882"/>
        <w:rPr>
          <w:rFonts w:ascii="黑体" w:eastAsia="黑体"/>
          <w:color w:val="000000" w:themeColor="text1"/>
          <w:sz w:val="32"/>
          <w:szCs w:val="32"/>
        </w:rPr>
      </w:pPr>
    </w:p>
    <w:p>
      <w:pPr>
        <w:spacing w:line="380" w:lineRule="exact"/>
        <w:ind w:firstLine="2980" w:firstLineChars="882"/>
        <w:rPr>
          <w:rFonts w:ascii="黑体" w:eastAsia="黑体"/>
          <w:color w:val="000000" w:themeColor="text1"/>
          <w:sz w:val="32"/>
          <w:szCs w:val="32"/>
        </w:rPr>
      </w:pPr>
      <w:r>
        <w:rPr>
          <w:rFonts w:hint="eastAsia" w:ascii="黑体" w:eastAsia="黑体"/>
          <w:color w:val="000000" w:themeColor="text1"/>
          <w:sz w:val="32"/>
          <w:szCs w:val="32"/>
        </w:rPr>
        <w:t>规模以上工业（二）</w:t>
      </w:r>
    </w:p>
    <w:tbl>
      <w:tblPr>
        <w:tblStyle w:val="8"/>
        <w:tblW w:w="9488"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5"/>
        <w:gridCol w:w="1783"/>
        <w:gridCol w:w="1843"/>
        <w:gridCol w:w="1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trPr>
        <w:tc>
          <w:tcPr>
            <w:tcW w:w="4375"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783" w:type="dxa"/>
            <w:vAlign w:val="center"/>
          </w:tcPr>
          <w:p>
            <w:pPr>
              <w:spacing w:line="380" w:lineRule="exact"/>
              <w:jc w:val="center"/>
              <w:rPr>
                <w:color w:val="000000" w:themeColor="text1"/>
                <w:sz w:val="24"/>
                <w:szCs w:val="24"/>
              </w:rPr>
            </w:pPr>
            <w:r>
              <w:rPr>
                <w:rFonts w:hint="eastAsia"/>
                <w:color w:val="000000" w:themeColor="text1"/>
                <w:sz w:val="24"/>
                <w:szCs w:val="24"/>
              </w:rPr>
              <w:t>累计</w:t>
            </w:r>
          </w:p>
        </w:tc>
        <w:tc>
          <w:tcPr>
            <w:tcW w:w="1843" w:type="dxa"/>
            <w:vAlign w:val="center"/>
          </w:tcPr>
          <w:p>
            <w:pPr>
              <w:spacing w:line="380" w:lineRule="exact"/>
              <w:jc w:val="center"/>
              <w:rPr>
                <w:color w:val="000000" w:themeColor="text1"/>
                <w:sz w:val="24"/>
                <w:szCs w:val="24"/>
              </w:rPr>
            </w:pPr>
            <w:r>
              <w:rPr>
                <w:rFonts w:hint="eastAsia"/>
                <w:color w:val="000000" w:themeColor="text1"/>
                <w:sz w:val="24"/>
                <w:szCs w:val="24"/>
              </w:rPr>
              <w:t>上年同期</w:t>
            </w:r>
          </w:p>
        </w:tc>
        <w:tc>
          <w:tcPr>
            <w:tcW w:w="1487"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4375" w:type="dxa"/>
            <w:tcBorders>
              <w:left w:val="nil"/>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一、规模以上</w:t>
            </w:r>
            <w:r>
              <w:rPr>
                <w:color w:val="000000" w:themeColor="text1"/>
                <w:sz w:val="24"/>
                <w:szCs w:val="24"/>
              </w:rPr>
              <w:t>工业</w:t>
            </w:r>
            <w:r>
              <w:rPr>
                <w:rFonts w:hint="eastAsia"/>
                <w:color w:val="000000" w:themeColor="text1"/>
                <w:sz w:val="24"/>
                <w:szCs w:val="24"/>
              </w:rPr>
              <w:t>企业实缴税金(万元)</w:t>
            </w:r>
          </w:p>
        </w:tc>
        <w:tc>
          <w:tcPr>
            <w:tcW w:w="1783" w:type="dxa"/>
            <w:vAlign w:val="center"/>
          </w:tcPr>
          <w:p>
            <w:pPr>
              <w:widowControl/>
              <w:jc w:val="center"/>
              <w:textAlignment w:val="center"/>
              <w:rPr>
                <w:rFonts w:ascii="宋体" w:hAnsi="宋体" w:cs="宋体"/>
                <w:color w:val="000000" w:themeColor="text1"/>
                <w:kern w:val="0"/>
                <w:sz w:val="24"/>
                <w:szCs w:val="24"/>
              </w:rPr>
            </w:pPr>
            <w:r>
              <w:rPr>
                <w:rFonts w:hint="eastAsia" w:ascii="宋体" w:hAnsi="宋体" w:cs="宋体"/>
                <w:color w:val="000000" w:themeColor="text1"/>
                <w:kern w:val="0"/>
                <w:sz w:val="24"/>
                <w:szCs w:val="24"/>
              </w:rPr>
              <w:t>13535</w:t>
            </w:r>
          </w:p>
        </w:tc>
        <w:tc>
          <w:tcPr>
            <w:tcW w:w="1843" w:type="dxa"/>
            <w:vAlign w:val="center"/>
          </w:tcPr>
          <w:p>
            <w:pPr>
              <w:widowControl/>
              <w:jc w:val="center"/>
              <w:textAlignment w:val="center"/>
              <w:rPr>
                <w:rFonts w:ascii="宋体" w:hAnsi="宋体" w:cs="宋体"/>
                <w:color w:val="000000" w:themeColor="text1"/>
                <w:kern w:val="0"/>
                <w:sz w:val="24"/>
                <w:szCs w:val="24"/>
              </w:rPr>
            </w:pPr>
            <w:r>
              <w:rPr>
                <w:rFonts w:hint="eastAsia" w:ascii="宋体" w:hAnsi="宋体" w:cs="宋体"/>
                <w:color w:val="000000" w:themeColor="text1"/>
                <w:kern w:val="0"/>
                <w:sz w:val="24"/>
                <w:szCs w:val="24"/>
              </w:rPr>
              <w:t>14195</w:t>
            </w:r>
          </w:p>
        </w:tc>
        <w:tc>
          <w:tcPr>
            <w:tcW w:w="1487" w:type="dxa"/>
            <w:tcBorders>
              <w:right w:val="nil"/>
            </w:tcBorders>
            <w:vAlign w:val="center"/>
          </w:tcPr>
          <w:p>
            <w:pPr>
              <w:widowControl/>
              <w:jc w:val="center"/>
              <w:textAlignment w:val="center"/>
              <w:rPr>
                <w:rFonts w:ascii="宋体" w:hAnsi="宋体" w:cs="宋体"/>
                <w:color w:val="000000" w:themeColor="text1"/>
                <w:kern w:val="0"/>
                <w:sz w:val="24"/>
                <w:szCs w:val="24"/>
              </w:rPr>
            </w:pPr>
            <w:r>
              <w:rPr>
                <w:rFonts w:hint="eastAsia" w:ascii="宋体" w:hAnsi="宋体" w:cs="宋体"/>
                <w:color w:val="000000" w:themeColor="text1"/>
                <w:kern w:val="0"/>
                <w:sz w:val="24"/>
                <w:szCs w:val="24"/>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4375" w:type="dxa"/>
            <w:tcBorders>
              <w:left w:val="nil"/>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二、规模以上</w:t>
            </w:r>
            <w:r>
              <w:rPr>
                <w:color w:val="000000" w:themeColor="text1"/>
                <w:sz w:val="24"/>
                <w:szCs w:val="24"/>
              </w:rPr>
              <w:t>工业</w:t>
            </w:r>
            <w:r>
              <w:rPr>
                <w:rFonts w:hint="eastAsia"/>
                <w:color w:val="000000" w:themeColor="text1"/>
                <w:sz w:val="24"/>
                <w:szCs w:val="24"/>
              </w:rPr>
              <w:t>企业</w:t>
            </w:r>
            <w:r>
              <w:rPr>
                <w:color w:val="000000" w:themeColor="text1"/>
                <w:sz w:val="24"/>
                <w:szCs w:val="24"/>
              </w:rPr>
              <w:t>用电量（万千瓦·时）</w:t>
            </w:r>
          </w:p>
        </w:tc>
        <w:tc>
          <w:tcPr>
            <w:tcW w:w="1783" w:type="dxa"/>
            <w:vAlign w:val="center"/>
          </w:tcPr>
          <w:p>
            <w:pPr>
              <w:widowControl/>
              <w:jc w:val="center"/>
              <w:textAlignment w:val="center"/>
              <w:rPr>
                <w:rFonts w:ascii="宋体" w:hAnsi="宋体" w:cs="宋体"/>
                <w:color w:val="000000" w:themeColor="text1"/>
                <w:kern w:val="0"/>
                <w:sz w:val="24"/>
                <w:szCs w:val="24"/>
              </w:rPr>
            </w:pPr>
            <w:r>
              <w:rPr>
                <w:rFonts w:hint="eastAsia" w:ascii="宋体" w:hAnsi="宋体" w:cs="宋体"/>
                <w:color w:val="000000" w:themeColor="text1"/>
                <w:kern w:val="0"/>
                <w:sz w:val="24"/>
                <w:szCs w:val="24"/>
              </w:rPr>
              <w:t>12098</w:t>
            </w:r>
          </w:p>
        </w:tc>
        <w:tc>
          <w:tcPr>
            <w:tcW w:w="1843" w:type="dxa"/>
            <w:vAlign w:val="center"/>
          </w:tcPr>
          <w:p>
            <w:pPr>
              <w:widowControl/>
              <w:jc w:val="center"/>
              <w:textAlignment w:val="center"/>
              <w:rPr>
                <w:rFonts w:ascii="宋体" w:hAnsi="宋体" w:cs="宋体"/>
                <w:color w:val="000000" w:themeColor="text1"/>
                <w:kern w:val="0"/>
                <w:sz w:val="24"/>
                <w:szCs w:val="24"/>
              </w:rPr>
            </w:pPr>
            <w:r>
              <w:rPr>
                <w:rFonts w:hint="eastAsia" w:ascii="宋体" w:hAnsi="宋体" w:cs="宋体"/>
                <w:color w:val="000000" w:themeColor="text1"/>
                <w:kern w:val="0"/>
                <w:sz w:val="24"/>
                <w:szCs w:val="24"/>
              </w:rPr>
              <w:t>12415</w:t>
            </w:r>
          </w:p>
        </w:tc>
        <w:tc>
          <w:tcPr>
            <w:tcW w:w="1487" w:type="dxa"/>
            <w:tcBorders>
              <w:right w:val="nil"/>
            </w:tcBorders>
            <w:vAlign w:val="center"/>
          </w:tcPr>
          <w:p>
            <w:pPr>
              <w:widowControl/>
              <w:jc w:val="center"/>
              <w:textAlignment w:val="center"/>
              <w:rPr>
                <w:rFonts w:ascii="宋体" w:hAnsi="宋体" w:cs="宋体"/>
                <w:color w:val="000000" w:themeColor="text1"/>
                <w:kern w:val="0"/>
                <w:sz w:val="24"/>
                <w:szCs w:val="24"/>
              </w:rPr>
            </w:pPr>
            <w:r>
              <w:rPr>
                <w:rFonts w:hint="eastAsia" w:ascii="宋体" w:hAnsi="宋体" w:cs="宋体"/>
                <w:color w:val="000000" w:themeColor="text1"/>
                <w:kern w:val="0"/>
                <w:sz w:val="24"/>
                <w:szCs w:val="24"/>
              </w:rPr>
              <w:t>-1.5</w:t>
            </w:r>
          </w:p>
        </w:tc>
      </w:tr>
    </w:tbl>
    <w:p>
      <w:pPr>
        <w:spacing w:line="380" w:lineRule="exact"/>
        <w:ind w:firstLine="3494" w:firstLineChars="1034"/>
        <w:outlineLvl w:val="0"/>
        <w:rPr>
          <w:rFonts w:ascii="黑体" w:eastAsia="黑体"/>
          <w:color w:val="000000" w:themeColor="text1"/>
          <w:sz w:val="32"/>
          <w:szCs w:val="32"/>
        </w:rPr>
      </w:pPr>
    </w:p>
    <w:p>
      <w:pPr>
        <w:spacing w:line="380" w:lineRule="exact"/>
        <w:ind w:firstLine="3494" w:firstLineChars="1034"/>
        <w:outlineLvl w:val="0"/>
        <w:rPr>
          <w:rFonts w:ascii="黑体" w:eastAsia="黑体"/>
          <w:color w:val="C00000"/>
          <w:sz w:val="32"/>
          <w:szCs w:val="32"/>
        </w:rPr>
      </w:pPr>
    </w:p>
    <w:p>
      <w:pPr>
        <w:spacing w:line="380" w:lineRule="exact"/>
        <w:rPr>
          <w:sz w:val="24"/>
          <w:szCs w:val="24"/>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p>
    <w:p>
      <w:pPr>
        <w:spacing w:line="380" w:lineRule="exact"/>
        <w:ind w:firstLine="3494" w:firstLineChars="1034"/>
        <w:outlineLvl w:val="0"/>
        <w:rPr>
          <w:rFonts w:ascii="黑体" w:eastAsia="黑体"/>
          <w:sz w:val="32"/>
          <w:szCs w:val="32"/>
        </w:rPr>
      </w:pPr>
      <w:r>
        <w:rPr>
          <w:rFonts w:hint="eastAsia" w:ascii="黑体" w:eastAsia="黑体"/>
          <w:sz w:val="32"/>
          <w:szCs w:val="32"/>
        </w:rPr>
        <w:t>八、贸易外经</w:t>
      </w:r>
    </w:p>
    <w:p>
      <w:pPr>
        <w:spacing w:line="380" w:lineRule="exact"/>
        <w:ind w:firstLine="3324" w:firstLineChars="1116"/>
        <w:outlineLvl w:val="0"/>
        <w:rPr>
          <w:rFonts w:ascii="黑体" w:hAnsi="黑体" w:eastAsia="黑体"/>
        </w:rPr>
      </w:pPr>
    </w:p>
    <w:p>
      <w:pPr>
        <w:spacing w:line="380" w:lineRule="exact"/>
        <w:ind w:firstLine="3324" w:firstLineChars="1116"/>
        <w:outlineLvl w:val="0"/>
        <w:rPr>
          <w:rFonts w:ascii="黑体" w:hAnsi="黑体" w:eastAsia="黑体"/>
        </w:rPr>
      </w:pPr>
      <w:r>
        <w:rPr>
          <w:rFonts w:hint="eastAsia" w:ascii="黑体" w:hAnsi="黑体" w:eastAsia="黑体"/>
        </w:rPr>
        <w:t>（一）国内贸易</w:t>
      </w:r>
    </w:p>
    <w:p>
      <w:pPr>
        <w:spacing w:line="380" w:lineRule="exact"/>
        <w:jc w:val="right"/>
        <w:rPr>
          <w:rFonts w:ascii="黑体" w:eastAsia="黑体"/>
          <w:sz w:val="32"/>
          <w:szCs w:val="32"/>
        </w:rPr>
      </w:pPr>
      <w:r>
        <w:rPr>
          <w:rFonts w:hint="eastAsia" w:ascii="宋体" w:hAnsi="宋体"/>
          <w:sz w:val="24"/>
          <w:szCs w:val="24"/>
        </w:rPr>
        <w:t>（单位：万元）</w:t>
      </w:r>
    </w:p>
    <w:tbl>
      <w:tblPr>
        <w:tblStyle w:val="8"/>
        <w:tblW w:w="9322"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1134"/>
        <w:gridCol w:w="1134"/>
        <w:gridCol w:w="1134"/>
        <w:gridCol w:w="1134"/>
        <w:gridCol w:w="1080"/>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660" w:type="dxa"/>
            <w:vMerge w:val="restart"/>
            <w:tcBorders>
              <w:left w:val="nil"/>
            </w:tcBorders>
            <w:vAlign w:val="center"/>
          </w:tcPr>
          <w:p>
            <w:pPr>
              <w:spacing w:line="380" w:lineRule="exact"/>
              <w:jc w:val="center"/>
              <w:rPr>
                <w:sz w:val="24"/>
                <w:szCs w:val="24"/>
              </w:rPr>
            </w:pPr>
            <w:r>
              <w:rPr>
                <w:rFonts w:hint="eastAsia"/>
                <w:sz w:val="24"/>
                <w:szCs w:val="24"/>
              </w:rPr>
              <w:t>指标名称</w:t>
            </w:r>
          </w:p>
        </w:tc>
        <w:tc>
          <w:tcPr>
            <w:tcW w:w="2268" w:type="dxa"/>
            <w:gridSpan w:val="2"/>
            <w:vAlign w:val="center"/>
          </w:tcPr>
          <w:p>
            <w:pPr>
              <w:spacing w:line="380" w:lineRule="exact"/>
              <w:jc w:val="center"/>
              <w:rPr>
                <w:sz w:val="24"/>
                <w:szCs w:val="24"/>
              </w:rPr>
            </w:pPr>
            <w:r>
              <w:rPr>
                <w:rFonts w:hint="eastAsia"/>
                <w:sz w:val="24"/>
                <w:szCs w:val="24"/>
              </w:rPr>
              <w:t>累计</w:t>
            </w:r>
          </w:p>
        </w:tc>
        <w:tc>
          <w:tcPr>
            <w:tcW w:w="2268" w:type="dxa"/>
            <w:gridSpan w:val="2"/>
            <w:vAlign w:val="center"/>
          </w:tcPr>
          <w:p>
            <w:pPr>
              <w:spacing w:line="380" w:lineRule="exact"/>
              <w:jc w:val="center"/>
              <w:rPr>
                <w:sz w:val="24"/>
                <w:szCs w:val="24"/>
              </w:rPr>
            </w:pPr>
            <w:r>
              <w:rPr>
                <w:rFonts w:hint="eastAsia"/>
                <w:sz w:val="24"/>
                <w:szCs w:val="24"/>
              </w:rPr>
              <w:t>上年同期</w:t>
            </w:r>
          </w:p>
        </w:tc>
        <w:tc>
          <w:tcPr>
            <w:tcW w:w="2126" w:type="dxa"/>
            <w:gridSpan w:val="2"/>
            <w:tcBorders>
              <w:right w:val="nil"/>
            </w:tcBorders>
            <w:vAlign w:val="center"/>
          </w:tcPr>
          <w:p>
            <w:pPr>
              <w:spacing w:line="380" w:lineRule="exact"/>
              <w:jc w:val="center"/>
              <w:rPr>
                <w:sz w:val="24"/>
                <w:szCs w:val="24"/>
              </w:rPr>
            </w:pPr>
            <w:r>
              <w:rPr>
                <w:rFonts w:hint="eastAsia"/>
                <w:sz w:val="24"/>
                <w:szCs w:val="24"/>
              </w:rPr>
              <w:t>同比</w:t>
            </w:r>
            <w:r>
              <w:rPr>
                <w:rFonts w:hint="eastAsia" w:ascii="宋体" w:hAnsi="宋体"/>
                <w:sz w:val="24"/>
                <w:szCs w:val="24"/>
              </w:rPr>
              <w:t>±</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660" w:type="dxa"/>
            <w:vMerge w:val="continue"/>
            <w:tcBorders>
              <w:left w:val="nil"/>
            </w:tcBorders>
            <w:vAlign w:val="center"/>
          </w:tcPr>
          <w:p>
            <w:pPr>
              <w:spacing w:line="380" w:lineRule="exact"/>
              <w:jc w:val="center"/>
              <w:rPr>
                <w:sz w:val="24"/>
                <w:szCs w:val="24"/>
              </w:rPr>
            </w:pPr>
          </w:p>
        </w:tc>
        <w:tc>
          <w:tcPr>
            <w:tcW w:w="1134" w:type="dxa"/>
            <w:vAlign w:val="center"/>
          </w:tcPr>
          <w:p>
            <w:pPr>
              <w:spacing w:line="380" w:lineRule="exact"/>
              <w:jc w:val="center"/>
              <w:rPr>
                <w:sz w:val="24"/>
                <w:szCs w:val="24"/>
              </w:rPr>
            </w:pPr>
            <w:r>
              <w:rPr>
                <w:rFonts w:hint="eastAsia"/>
                <w:sz w:val="24"/>
                <w:szCs w:val="24"/>
              </w:rPr>
              <w:t>本月</w:t>
            </w:r>
          </w:p>
        </w:tc>
        <w:tc>
          <w:tcPr>
            <w:tcW w:w="1134" w:type="dxa"/>
            <w:vAlign w:val="center"/>
          </w:tcPr>
          <w:p>
            <w:pPr>
              <w:spacing w:line="380" w:lineRule="exact"/>
              <w:jc w:val="center"/>
              <w:rPr>
                <w:sz w:val="24"/>
                <w:szCs w:val="24"/>
              </w:rPr>
            </w:pPr>
            <w:r>
              <w:rPr>
                <w:rFonts w:hint="eastAsia"/>
                <w:sz w:val="24"/>
                <w:szCs w:val="24"/>
              </w:rPr>
              <w:t>1-本月</w:t>
            </w:r>
          </w:p>
        </w:tc>
        <w:tc>
          <w:tcPr>
            <w:tcW w:w="1134" w:type="dxa"/>
            <w:vAlign w:val="center"/>
          </w:tcPr>
          <w:p>
            <w:pPr>
              <w:spacing w:line="380" w:lineRule="exact"/>
              <w:jc w:val="center"/>
              <w:rPr>
                <w:sz w:val="24"/>
                <w:szCs w:val="24"/>
              </w:rPr>
            </w:pPr>
            <w:r>
              <w:rPr>
                <w:rFonts w:hint="eastAsia"/>
                <w:sz w:val="24"/>
                <w:szCs w:val="24"/>
              </w:rPr>
              <w:t>本月</w:t>
            </w:r>
          </w:p>
        </w:tc>
        <w:tc>
          <w:tcPr>
            <w:tcW w:w="1134" w:type="dxa"/>
            <w:vAlign w:val="center"/>
          </w:tcPr>
          <w:p>
            <w:pPr>
              <w:spacing w:line="380" w:lineRule="exact"/>
              <w:jc w:val="center"/>
              <w:rPr>
                <w:sz w:val="24"/>
                <w:szCs w:val="24"/>
              </w:rPr>
            </w:pPr>
            <w:r>
              <w:rPr>
                <w:rFonts w:hint="eastAsia"/>
                <w:sz w:val="24"/>
                <w:szCs w:val="24"/>
              </w:rPr>
              <w:t>1-本月</w:t>
            </w:r>
          </w:p>
        </w:tc>
        <w:tc>
          <w:tcPr>
            <w:tcW w:w="1080" w:type="dxa"/>
            <w:tcBorders>
              <w:right w:val="nil"/>
            </w:tcBorders>
            <w:vAlign w:val="center"/>
          </w:tcPr>
          <w:p>
            <w:pPr>
              <w:spacing w:line="380" w:lineRule="exact"/>
              <w:jc w:val="center"/>
              <w:rPr>
                <w:sz w:val="24"/>
                <w:szCs w:val="24"/>
              </w:rPr>
            </w:pPr>
            <w:r>
              <w:rPr>
                <w:rFonts w:hint="eastAsia"/>
                <w:sz w:val="24"/>
                <w:szCs w:val="24"/>
              </w:rPr>
              <w:t>本月</w:t>
            </w:r>
          </w:p>
        </w:tc>
        <w:tc>
          <w:tcPr>
            <w:tcW w:w="1046" w:type="dxa"/>
            <w:tcBorders>
              <w:right w:val="nil"/>
            </w:tcBorders>
            <w:vAlign w:val="center"/>
          </w:tcPr>
          <w:p>
            <w:pPr>
              <w:spacing w:line="380" w:lineRule="exact"/>
              <w:jc w:val="center"/>
              <w:rPr>
                <w:sz w:val="24"/>
                <w:szCs w:val="24"/>
              </w:rPr>
            </w:pPr>
            <w:r>
              <w:rPr>
                <w:rFonts w:hint="eastAsia"/>
                <w:sz w:val="24"/>
                <w:szCs w:val="24"/>
              </w:rPr>
              <w:t>1-本月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rPr>
                <w:sz w:val="24"/>
                <w:szCs w:val="24"/>
              </w:rPr>
            </w:pPr>
            <w:r>
              <w:rPr>
                <w:rFonts w:hint="eastAsia"/>
                <w:sz w:val="24"/>
                <w:szCs w:val="24"/>
              </w:rPr>
              <w:t>社会消费品零售总额</w:t>
            </w:r>
          </w:p>
        </w:tc>
        <w:tc>
          <w:tcPr>
            <w:tcW w:w="1134" w:type="dxa"/>
            <w:vAlign w:val="center"/>
          </w:tcPr>
          <w:p>
            <w:pPr>
              <w:spacing w:line="380" w:lineRule="exact"/>
              <w:jc w:val="center"/>
              <w:rPr>
                <w:sz w:val="24"/>
                <w:szCs w:val="24"/>
              </w:rPr>
            </w:pPr>
            <w:r>
              <w:rPr>
                <w:rFonts w:hint="eastAsia"/>
                <w:sz w:val="24"/>
                <w:szCs w:val="24"/>
              </w:rPr>
              <w:t>136331</w:t>
            </w:r>
          </w:p>
        </w:tc>
        <w:tc>
          <w:tcPr>
            <w:tcW w:w="1134" w:type="dxa"/>
            <w:vAlign w:val="center"/>
          </w:tcPr>
          <w:p>
            <w:pPr>
              <w:spacing w:line="380" w:lineRule="exact"/>
              <w:jc w:val="center"/>
              <w:rPr>
                <w:sz w:val="24"/>
                <w:szCs w:val="24"/>
              </w:rPr>
            </w:pPr>
            <w:r>
              <w:rPr>
                <w:rFonts w:hint="eastAsia"/>
                <w:sz w:val="24"/>
                <w:szCs w:val="24"/>
              </w:rPr>
              <w:t>588552</w:t>
            </w:r>
          </w:p>
        </w:tc>
        <w:tc>
          <w:tcPr>
            <w:tcW w:w="1134" w:type="dxa"/>
            <w:vAlign w:val="center"/>
          </w:tcPr>
          <w:p>
            <w:pPr>
              <w:spacing w:line="380" w:lineRule="exact"/>
              <w:jc w:val="center"/>
              <w:rPr>
                <w:sz w:val="24"/>
                <w:szCs w:val="24"/>
              </w:rPr>
            </w:pPr>
            <w:r>
              <w:rPr>
                <w:rFonts w:hint="eastAsia"/>
                <w:sz w:val="24"/>
                <w:szCs w:val="24"/>
              </w:rPr>
              <w:t>131650</w:t>
            </w:r>
          </w:p>
        </w:tc>
        <w:tc>
          <w:tcPr>
            <w:tcW w:w="1134" w:type="dxa"/>
            <w:vAlign w:val="center"/>
          </w:tcPr>
          <w:p>
            <w:pPr>
              <w:spacing w:line="380" w:lineRule="exact"/>
              <w:jc w:val="center"/>
              <w:rPr>
                <w:sz w:val="24"/>
                <w:szCs w:val="24"/>
              </w:rPr>
            </w:pPr>
            <w:r>
              <w:rPr>
                <w:rFonts w:hint="eastAsia"/>
                <w:sz w:val="24"/>
                <w:szCs w:val="24"/>
              </w:rPr>
              <w:t>6263350</w:t>
            </w:r>
          </w:p>
        </w:tc>
        <w:tc>
          <w:tcPr>
            <w:tcW w:w="1080" w:type="dxa"/>
            <w:tcBorders>
              <w:right w:val="nil"/>
            </w:tcBorders>
            <w:vAlign w:val="center"/>
          </w:tcPr>
          <w:p>
            <w:pPr>
              <w:spacing w:line="380" w:lineRule="exact"/>
              <w:jc w:val="center"/>
              <w:rPr>
                <w:sz w:val="24"/>
                <w:szCs w:val="24"/>
              </w:rPr>
            </w:pPr>
            <w:r>
              <w:rPr>
                <w:rFonts w:hint="eastAsia"/>
                <w:sz w:val="24"/>
                <w:szCs w:val="24"/>
              </w:rPr>
              <w:t>3.6</w:t>
            </w:r>
          </w:p>
        </w:tc>
        <w:tc>
          <w:tcPr>
            <w:tcW w:w="1046" w:type="dxa"/>
            <w:tcBorders>
              <w:right w:val="nil"/>
            </w:tcBorders>
            <w:vAlign w:val="center"/>
          </w:tcPr>
          <w:p>
            <w:pPr>
              <w:spacing w:line="380" w:lineRule="exact"/>
              <w:jc w:val="center"/>
              <w:rPr>
                <w:sz w:val="24"/>
                <w:szCs w:val="24"/>
              </w:rPr>
            </w:pPr>
            <w:r>
              <w:rPr>
                <w:rFonts w:hint="eastAsia"/>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rPr>
                <w:sz w:val="24"/>
                <w:szCs w:val="24"/>
              </w:rPr>
            </w:pPr>
            <w:r>
              <w:rPr>
                <w:rFonts w:hint="eastAsia"/>
                <w:sz w:val="24"/>
                <w:szCs w:val="24"/>
              </w:rPr>
              <w:t>1、分区域</w:t>
            </w:r>
          </w:p>
        </w:tc>
        <w:tc>
          <w:tcPr>
            <w:tcW w:w="1134" w:type="dxa"/>
            <w:vAlign w:val="center"/>
          </w:tcPr>
          <w:p>
            <w:pPr>
              <w:spacing w:line="380" w:lineRule="exact"/>
              <w:jc w:val="center"/>
              <w:rPr>
                <w:sz w:val="24"/>
                <w:szCs w:val="24"/>
              </w:rPr>
            </w:pPr>
          </w:p>
        </w:tc>
        <w:tc>
          <w:tcPr>
            <w:tcW w:w="1134" w:type="dxa"/>
            <w:vAlign w:val="center"/>
          </w:tcPr>
          <w:p>
            <w:pPr>
              <w:spacing w:line="380" w:lineRule="exact"/>
              <w:jc w:val="center"/>
              <w:rPr>
                <w:sz w:val="24"/>
                <w:szCs w:val="24"/>
              </w:rPr>
            </w:pPr>
          </w:p>
        </w:tc>
        <w:tc>
          <w:tcPr>
            <w:tcW w:w="1134" w:type="dxa"/>
            <w:vAlign w:val="center"/>
          </w:tcPr>
          <w:p>
            <w:pPr>
              <w:spacing w:line="380" w:lineRule="exact"/>
              <w:jc w:val="center"/>
              <w:rPr>
                <w:sz w:val="24"/>
                <w:szCs w:val="24"/>
              </w:rPr>
            </w:pPr>
          </w:p>
        </w:tc>
        <w:tc>
          <w:tcPr>
            <w:tcW w:w="1134" w:type="dxa"/>
            <w:vAlign w:val="center"/>
          </w:tcPr>
          <w:p>
            <w:pPr>
              <w:spacing w:line="380" w:lineRule="exact"/>
              <w:jc w:val="center"/>
              <w:rPr>
                <w:sz w:val="24"/>
                <w:szCs w:val="24"/>
              </w:rPr>
            </w:pPr>
          </w:p>
        </w:tc>
        <w:tc>
          <w:tcPr>
            <w:tcW w:w="1080" w:type="dxa"/>
            <w:tcBorders>
              <w:right w:val="nil"/>
            </w:tcBorders>
            <w:vAlign w:val="center"/>
          </w:tcPr>
          <w:p>
            <w:pPr>
              <w:spacing w:line="380" w:lineRule="exact"/>
              <w:jc w:val="center"/>
              <w:rPr>
                <w:sz w:val="24"/>
                <w:szCs w:val="24"/>
              </w:rPr>
            </w:pPr>
          </w:p>
        </w:tc>
        <w:tc>
          <w:tcPr>
            <w:tcW w:w="1046" w:type="dxa"/>
            <w:tcBorders>
              <w:right w:val="nil"/>
            </w:tcBorders>
            <w:vAlign w:val="center"/>
          </w:tcPr>
          <w:p>
            <w:pPr>
              <w:spacing w:line="380" w:lineRule="exact"/>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rPr>
                <w:sz w:val="24"/>
                <w:szCs w:val="24"/>
              </w:rPr>
            </w:pPr>
            <w:r>
              <w:rPr>
                <w:rFonts w:hint="eastAsia"/>
                <w:sz w:val="24"/>
                <w:szCs w:val="24"/>
              </w:rPr>
              <w:t xml:space="preserve">   城镇</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110005</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478110</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99941</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506093</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10.1</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748" w:firstLineChars="290"/>
              <w:rPr>
                <w:sz w:val="24"/>
                <w:szCs w:val="24"/>
              </w:rPr>
            </w:pPr>
            <w:r>
              <w:rPr>
                <w:rFonts w:hint="eastAsia"/>
                <w:sz w:val="24"/>
                <w:szCs w:val="24"/>
              </w:rPr>
              <w:t>其中：市区</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40800</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266415</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41862</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273982</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-2.5</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rPr>
                <w:sz w:val="24"/>
                <w:szCs w:val="24"/>
              </w:rPr>
            </w:pPr>
            <w:r>
              <w:rPr>
                <w:rFonts w:hint="eastAsia"/>
                <w:sz w:val="24"/>
                <w:szCs w:val="24"/>
              </w:rPr>
              <w:t xml:space="preserve">   乡村</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26326</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110442</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31709</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120257</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-17.0</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rPr>
                <w:sz w:val="24"/>
                <w:szCs w:val="24"/>
              </w:rPr>
            </w:pPr>
            <w:r>
              <w:rPr>
                <w:rFonts w:hint="eastAsia"/>
                <w:sz w:val="24"/>
                <w:szCs w:val="24"/>
              </w:rPr>
              <w:t>2、分行业</w:t>
            </w:r>
          </w:p>
        </w:tc>
        <w:tc>
          <w:tcPr>
            <w:tcW w:w="1134" w:type="dxa"/>
            <w:vAlign w:val="center"/>
          </w:tcPr>
          <w:p>
            <w:pPr>
              <w:spacing w:line="380" w:lineRule="exact"/>
              <w:jc w:val="center"/>
              <w:rPr>
                <w:sz w:val="24"/>
                <w:szCs w:val="24"/>
              </w:rPr>
            </w:pPr>
          </w:p>
        </w:tc>
        <w:tc>
          <w:tcPr>
            <w:tcW w:w="1134" w:type="dxa"/>
            <w:vAlign w:val="center"/>
          </w:tcPr>
          <w:p>
            <w:pPr>
              <w:spacing w:line="380" w:lineRule="exact"/>
              <w:jc w:val="center"/>
              <w:rPr>
                <w:sz w:val="24"/>
                <w:szCs w:val="24"/>
              </w:rPr>
            </w:pPr>
          </w:p>
        </w:tc>
        <w:tc>
          <w:tcPr>
            <w:tcW w:w="1134" w:type="dxa"/>
            <w:vAlign w:val="center"/>
          </w:tcPr>
          <w:p>
            <w:pPr>
              <w:spacing w:line="380" w:lineRule="exact"/>
              <w:jc w:val="center"/>
              <w:rPr>
                <w:sz w:val="24"/>
                <w:szCs w:val="24"/>
              </w:rPr>
            </w:pPr>
          </w:p>
        </w:tc>
        <w:tc>
          <w:tcPr>
            <w:tcW w:w="1134" w:type="dxa"/>
            <w:vAlign w:val="center"/>
          </w:tcPr>
          <w:p>
            <w:pPr>
              <w:spacing w:line="380" w:lineRule="exact"/>
              <w:jc w:val="center"/>
              <w:rPr>
                <w:sz w:val="24"/>
                <w:szCs w:val="24"/>
              </w:rPr>
            </w:pPr>
          </w:p>
        </w:tc>
        <w:tc>
          <w:tcPr>
            <w:tcW w:w="1080" w:type="dxa"/>
            <w:tcBorders>
              <w:right w:val="nil"/>
            </w:tcBorders>
            <w:vAlign w:val="center"/>
          </w:tcPr>
          <w:p>
            <w:pPr>
              <w:spacing w:line="380" w:lineRule="exact"/>
              <w:jc w:val="center"/>
              <w:rPr>
                <w:sz w:val="24"/>
                <w:szCs w:val="24"/>
              </w:rPr>
            </w:pPr>
          </w:p>
        </w:tc>
        <w:tc>
          <w:tcPr>
            <w:tcW w:w="1046" w:type="dxa"/>
            <w:tcBorders>
              <w:right w:val="nil"/>
            </w:tcBorders>
            <w:vAlign w:val="center"/>
          </w:tcPr>
          <w:p>
            <w:pPr>
              <w:spacing w:line="380" w:lineRule="exact"/>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258" w:firstLineChars="100"/>
              <w:rPr>
                <w:sz w:val="24"/>
                <w:szCs w:val="24"/>
              </w:rPr>
            </w:pPr>
            <w:r>
              <w:rPr>
                <w:rFonts w:hint="eastAsia"/>
                <w:sz w:val="24"/>
                <w:szCs w:val="24"/>
              </w:rPr>
              <w:t>批发业</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25076</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103990</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22434</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106545</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11.8</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258" w:firstLineChars="100"/>
              <w:rPr>
                <w:sz w:val="24"/>
                <w:szCs w:val="24"/>
              </w:rPr>
            </w:pPr>
            <w:r>
              <w:rPr>
                <w:rFonts w:hint="eastAsia"/>
                <w:sz w:val="24"/>
                <w:szCs w:val="24"/>
              </w:rPr>
              <w:t xml:space="preserve">    限额以上</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1938</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8420</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1430</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5420</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35.5</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55.4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765" w:firstLineChars="297"/>
              <w:rPr>
                <w:sz w:val="24"/>
                <w:szCs w:val="24"/>
              </w:rPr>
            </w:pPr>
            <w:r>
              <w:rPr>
                <w:rFonts w:hint="eastAsia"/>
                <w:sz w:val="24"/>
                <w:szCs w:val="24"/>
              </w:rPr>
              <w:t>限额以下</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23138</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95570</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21004</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101125</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10.2</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258" w:firstLineChars="100"/>
              <w:rPr>
                <w:sz w:val="24"/>
                <w:szCs w:val="24"/>
              </w:rPr>
            </w:pPr>
            <w:r>
              <w:rPr>
                <w:rFonts w:hint="eastAsia"/>
                <w:sz w:val="24"/>
                <w:szCs w:val="24"/>
              </w:rPr>
              <w:t>零售业</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101686</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423996</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96802</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453139</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5.0</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763" w:firstLineChars="296"/>
              <w:rPr>
                <w:sz w:val="24"/>
                <w:szCs w:val="24"/>
              </w:rPr>
            </w:pPr>
            <w:r>
              <w:rPr>
                <w:rFonts w:hint="eastAsia"/>
                <w:sz w:val="24"/>
                <w:szCs w:val="24"/>
              </w:rPr>
              <w:t>限额以上</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9921</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40970</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8922</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39288</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11.2</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739" w:firstLineChars="287"/>
              <w:rPr>
                <w:sz w:val="24"/>
                <w:szCs w:val="24"/>
              </w:rPr>
            </w:pPr>
            <w:r>
              <w:rPr>
                <w:rFonts w:hint="eastAsia"/>
                <w:sz w:val="24"/>
                <w:szCs w:val="24"/>
              </w:rPr>
              <w:t>限额以下</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91765</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383026</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87880</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413851</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4.4</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258" w:firstLineChars="100"/>
              <w:rPr>
                <w:sz w:val="24"/>
                <w:szCs w:val="24"/>
              </w:rPr>
            </w:pPr>
            <w:r>
              <w:rPr>
                <w:rFonts w:hint="eastAsia"/>
                <w:sz w:val="24"/>
                <w:szCs w:val="24"/>
              </w:rPr>
              <w:t>住宿业</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1881</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9436</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2638</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11005</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-28.7</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757" w:firstLineChars="294"/>
              <w:rPr>
                <w:sz w:val="24"/>
                <w:szCs w:val="24"/>
              </w:rPr>
            </w:pPr>
            <w:r>
              <w:rPr>
                <w:rFonts w:hint="eastAsia"/>
                <w:sz w:val="24"/>
                <w:szCs w:val="24"/>
              </w:rPr>
              <w:t>限额以上</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625</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2725</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624</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2780</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0.2</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rPr>
                <w:sz w:val="24"/>
                <w:szCs w:val="24"/>
              </w:rPr>
            </w:pPr>
            <w:r>
              <w:rPr>
                <w:rFonts w:hint="eastAsia"/>
                <w:sz w:val="24"/>
                <w:szCs w:val="24"/>
              </w:rPr>
              <w:t xml:space="preserve">      限额以下</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1256</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6711</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2014</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8225</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-37.6</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252" w:firstLineChars="98"/>
              <w:rPr>
                <w:sz w:val="24"/>
                <w:szCs w:val="24"/>
              </w:rPr>
            </w:pPr>
            <w:r>
              <w:rPr>
                <w:rFonts w:hint="eastAsia"/>
                <w:sz w:val="24"/>
                <w:szCs w:val="24"/>
              </w:rPr>
              <w:t>餐饮业</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7688</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51130</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9776</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55661</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-21.4</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757" w:firstLineChars="294"/>
              <w:rPr>
                <w:sz w:val="24"/>
                <w:szCs w:val="24"/>
              </w:rPr>
            </w:pPr>
            <w:r>
              <w:rPr>
                <w:rFonts w:hint="eastAsia"/>
                <w:sz w:val="24"/>
                <w:szCs w:val="24"/>
              </w:rPr>
              <w:t>限额以上</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539</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2318</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536</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2296</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0.6</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rPr>
                <w:sz w:val="24"/>
                <w:szCs w:val="24"/>
              </w:rPr>
            </w:pPr>
            <w:r>
              <w:rPr>
                <w:rFonts w:hint="eastAsia"/>
                <w:sz w:val="24"/>
                <w:szCs w:val="24"/>
              </w:rPr>
              <w:t xml:space="preserve">      限额以下</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7149</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48812</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9240</w:t>
            </w:r>
          </w:p>
        </w:tc>
        <w:tc>
          <w:tcPr>
            <w:tcW w:w="1134"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53365</w:t>
            </w:r>
          </w:p>
        </w:tc>
        <w:tc>
          <w:tcPr>
            <w:tcW w:w="1080"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-22.6</w:t>
            </w:r>
          </w:p>
        </w:tc>
        <w:tc>
          <w:tcPr>
            <w:tcW w:w="1046"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-8.5</w:t>
            </w:r>
          </w:p>
        </w:tc>
      </w:tr>
    </w:tbl>
    <w:p>
      <w:pPr>
        <w:spacing w:line="380" w:lineRule="exact"/>
        <w:rPr>
          <w:rFonts w:ascii="黑体" w:eastAsia="黑体"/>
          <w:sz w:val="32"/>
          <w:szCs w:val="32"/>
        </w:rPr>
      </w:pPr>
    </w:p>
    <w:p>
      <w:pPr>
        <w:spacing w:line="380" w:lineRule="exact"/>
        <w:ind w:firstLine="3486" w:firstLineChars="1170"/>
        <w:outlineLvl w:val="0"/>
        <w:rPr>
          <w:rFonts w:ascii="黑体" w:hAnsi="黑体" w:eastAsia="黑体"/>
        </w:rPr>
      </w:pPr>
      <w:r>
        <w:rPr>
          <w:rFonts w:hint="eastAsia" w:ascii="黑体" w:hAnsi="黑体" w:eastAsia="黑体"/>
        </w:rPr>
        <w:t>（二）对外贸易</w:t>
      </w:r>
    </w:p>
    <w:p>
      <w:pPr>
        <w:spacing w:line="380" w:lineRule="exact"/>
        <w:ind w:right="129"/>
        <w:jc w:val="right"/>
        <w:rPr>
          <w:rFonts w:ascii="黑体" w:eastAsia="黑体"/>
          <w:sz w:val="32"/>
          <w:szCs w:val="32"/>
        </w:rPr>
      </w:pPr>
      <w:r>
        <w:rPr>
          <w:rFonts w:hint="eastAsia" w:ascii="宋体" w:hAnsi="宋体"/>
          <w:sz w:val="24"/>
          <w:szCs w:val="24"/>
        </w:rPr>
        <w:t>（单位：万美元）</w:t>
      </w:r>
    </w:p>
    <w:tbl>
      <w:tblPr>
        <w:tblStyle w:val="8"/>
        <w:tblW w:w="90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1997"/>
        <w:gridCol w:w="1998"/>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3085" w:type="dxa"/>
            <w:tcBorders>
              <w:left w:val="nil"/>
            </w:tcBorders>
            <w:vAlign w:val="center"/>
          </w:tcPr>
          <w:p>
            <w:pPr>
              <w:spacing w:line="380" w:lineRule="exact"/>
              <w:jc w:val="center"/>
              <w:rPr>
                <w:sz w:val="24"/>
                <w:szCs w:val="24"/>
              </w:rPr>
            </w:pPr>
            <w:r>
              <w:rPr>
                <w:rFonts w:hint="eastAsia"/>
                <w:sz w:val="24"/>
                <w:szCs w:val="24"/>
              </w:rPr>
              <w:t>指标名称</w:t>
            </w:r>
          </w:p>
        </w:tc>
        <w:tc>
          <w:tcPr>
            <w:tcW w:w="1997" w:type="dxa"/>
            <w:vAlign w:val="center"/>
          </w:tcPr>
          <w:p>
            <w:pPr>
              <w:spacing w:line="380" w:lineRule="exact"/>
              <w:jc w:val="center"/>
              <w:rPr>
                <w:sz w:val="24"/>
                <w:szCs w:val="24"/>
              </w:rPr>
            </w:pPr>
            <w:r>
              <w:rPr>
                <w:rFonts w:hint="eastAsia"/>
                <w:sz w:val="24"/>
                <w:szCs w:val="24"/>
              </w:rPr>
              <w:t>本月</w:t>
            </w:r>
          </w:p>
        </w:tc>
        <w:tc>
          <w:tcPr>
            <w:tcW w:w="1998" w:type="dxa"/>
            <w:vAlign w:val="center"/>
          </w:tcPr>
          <w:p>
            <w:pPr>
              <w:spacing w:line="380" w:lineRule="exact"/>
              <w:jc w:val="center"/>
              <w:rPr>
                <w:sz w:val="24"/>
                <w:szCs w:val="24"/>
              </w:rPr>
            </w:pPr>
            <w:r>
              <w:rPr>
                <w:rFonts w:hint="eastAsia"/>
                <w:sz w:val="24"/>
                <w:szCs w:val="24"/>
              </w:rPr>
              <w:t>本年累计</w:t>
            </w:r>
          </w:p>
        </w:tc>
        <w:tc>
          <w:tcPr>
            <w:tcW w:w="1998" w:type="dxa"/>
            <w:tcBorders>
              <w:right w:val="nil"/>
            </w:tcBorders>
            <w:vAlign w:val="center"/>
          </w:tcPr>
          <w:p>
            <w:pPr>
              <w:spacing w:line="380" w:lineRule="exact"/>
              <w:jc w:val="center"/>
              <w:rPr>
                <w:sz w:val="24"/>
                <w:szCs w:val="24"/>
              </w:rPr>
            </w:pPr>
            <w:r>
              <w:rPr>
                <w:rFonts w:hint="eastAsia"/>
                <w:sz w:val="24"/>
                <w:szCs w:val="24"/>
              </w:rPr>
              <w:t>同比</w:t>
            </w:r>
            <w:r>
              <w:rPr>
                <w:rFonts w:hint="eastAsia" w:ascii="宋体" w:hAnsi="宋体"/>
                <w:sz w:val="24"/>
                <w:szCs w:val="24"/>
              </w:rPr>
              <w:t>±</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Borders>
              <w:left w:val="nil"/>
            </w:tcBorders>
            <w:vAlign w:val="center"/>
          </w:tcPr>
          <w:p>
            <w:pPr>
              <w:spacing w:line="380" w:lineRule="exact"/>
              <w:jc w:val="center"/>
              <w:rPr>
                <w:sz w:val="24"/>
                <w:szCs w:val="24"/>
              </w:rPr>
            </w:pPr>
            <w:r>
              <w:rPr>
                <w:rFonts w:hint="eastAsia"/>
                <w:sz w:val="24"/>
                <w:szCs w:val="24"/>
              </w:rPr>
              <w:t>进出口总值</w:t>
            </w:r>
          </w:p>
        </w:tc>
        <w:tc>
          <w:tcPr>
            <w:tcW w:w="1997" w:type="dxa"/>
            <w:vAlign w:val="center"/>
          </w:tcPr>
          <w:p>
            <w:pPr>
              <w:spacing w:line="380" w:lineRule="exact"/>
              <w:jc w:val="center"/>
              <w:rPr>
                <w:rFonts w:hint="default" w:ascii="宋体" w:hAnsi="宋体" w:eastAsia="宋体"/>
                <w:sz w:val="24"/>
                <w:szCs w:val="24"/>
                <w:lang w:val="en-US" w:eastAsia="zh-CN"/>
              </w:rPr>
            </w:pPr>
            <w:r>
              <w:rPr>
                <w:rFonts w:hint="eastAsia" w:ascii="宋体" w:hAnsi="宋体"/>
                <w:sz w:val="24"/>
                <w:szCs w:val="24"/>
                <w:lang w:val="en-US" w:eastAsia="zh-CN"/>
              </w:rPr>
              <w:t>3138</w:t>
            </w:r>
          </w:p>
        </w:tc>
        <w:tc>
          <w:tcPr>
            <w:tcW w:w="1998" w:type="dxa"/>
            <w:vAlign w:val="center"/>
          </w:tcPr>
          <w:p>
            <w:pPr>
              <w:spacing w:line="380" w:lineRule="exact"/>
              <w:jc w:val="center"/>
              <w:rPr>
                <w:rFonts w:hint="default" w:ascii="宋体" w:hAnsi="宋体" w:eastAsia="宋体"/>
                <w:sz w:val="24"/>
                <w:szCs w:val="24"/>
                <w:lang w:val="en-US" w:eastAsia="zh-CN"/>
              </w:rPr>
            </w:pPr>
            <w:r>
              <w:rPr>
                <w:rFonts w:hint="eastAsia" w:ascii="宋体" w:hAnsi="宋体"/>
                <w:sz w:val="24"/>
                <w:szCs w:val="24"/>
                <w:lang w:val="en-US" w:eastAsia="zh-CN"/>
              </w:rPr>
              <w:t>9518</w:t>
            </w:r>
          </w:p>
        </w:tc>
        <w:tc>
          <w:tcPr>
            <w:tcW w:w="1998" w:type="dxa"/>
            <w:tcBorders>
              <w:right w:val="nil"/>
            </w:tcBorders>
            <w:vAlign w:val="center"/>
          </w:tcPr>
          <w:p>
            <w:pPr>
              <w:spacing w:line="380" w:lineRule="exact"/>
              <w:jc w:val="center"/>
              <w:rPr>
                <w:rFonts w:hint="default" w:ascii="宋体" w:hAnsi="宋体" w:eastAsia="宋体"/>
                <w:sz w:val="24"/>
                <w:szCs w:val="24"/>
                <w:lang w:val="en-US" w:eastAsia="zh-CN"/>
              </w:rPr>
            </w:pPr>
            <w:r>
              <w:rPr>
                <w:rFonts w:hint="eastAsia" w:ascii="宋体" w:hAnsi="宋体"/>
                <w:sz w:val="24"/>
                <w:szCs w:val="24"/>
                <w:lang w:val="en-US" w:eastAsia="zh-CN"/>
              </w:rPr>
              <w:t>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85" w:type="dxa"/>
            <w:tcBorders>
              <w:left w:val="nil"/>
            </w:tcBorders>
            <w:vAlign w:val="center"/>
          </w:tcPr>
          <w:p>
            <w:pPr>
              <w:spacing w:line="380" w:lineRule="exact"/>
              <w:ind w:firstLine="1137" w:firstLineChars="441"/>
              <w:rPr>
                <w:sz w:val="24"/>
                <w:szCs w:val="24"/>
              </w:rPr>
            </w:pPr>
            <w:r>
              <w:rPr>
                <w:rFonts w:hint="eastAsia"/>
                <w:sz w:val="24"/>
                <w:szCs w:val="24"/>
              </w:rPr>
              <w:t>出口</w:t>
            </w:r>
          </w:p>
        </w:tc>
        <w:tc>
          <w:tcPr>
            <w:tcW w:w="1997" w:type="dxa"/>
            <w:vAlign w:val="center"/>
          </w:tcPr>
          <w:p>
            <w:pPr>
              <w:spacing w:line="380" w:lineRule="exact"/>
              <w:jc w:val="center"/>
              <w:rPr>
                <w:rFonts w:hint="default" w:ascii="宋体" w:hAnsi="宋体" w:eastAsia="宋体"/>
                <w:sz w:val="24"/>
                <w:szCs w:val="24"/>
                <w:lang w:val="en-US" w:eastAsia="zh-CN"/>
              </w:rPr>
            </w:pPr>
            <w:r>
              <w:rPr>
                <w:rFonts w:hint="eastAsia" w:ascii="宋体" w:hAnsi="宋体"/>
                <w:sz w:val="24"/>
                <w:szCs w:val="24"/>
                <w:lang w:val="en-US" w:eastAsia="zh-CN"/>
              </w:rPr>
              <w:t>2942</w:t>
            </w:r>
          </w:p>
        </w:tc>
        <w:tc>
          <w:tcPr>
            <w:tcW w:w="1998" w:type="dxa"/>
            <w:vAlign w:val="center"/>
          </w:tcPr>
          <w:p>
            <w:pPr>
              <w:spacing w:line="380" w:lineRule="exact"/>
              <w:jc w:val="center"/>
              <w:rPr>
                <w:rFonts w:hint="default" w:ascii="宋体" w:hAnsi="宋体" w:eastAsia="宋体"/>
                <w:sz w:val="24"/>
                <w:szCs w:val="24"/>
                <w:lang w:val="en-US" w:eastAsia="zh-CN"/>
              </w:rPr>
            </w:pPr>
            <w:r>
              <w:rPr>
                <w:rFonts w:hint="eastAsia" w:ascii="宋体" w:hAnsi="宋体"/>
                <w:sz w:val="24"/>
                <w:szCs w:val="24"/>
                <w:lang w:val="en-US" w:eastAsia="zh-CN"/>
              </w:rPr>
              <w:t>7976</w:t>
            </w:r>
          </w:p>
        </w:tc>
        <w:tc>
          <w:tcPr>
            <w:tcW w:w="1998" w:type="dxa"/>
            <w:tcBorders>
              <w:right w:val="nil"/>
            </w:tcBorders>
            <w:vAlign w:val="center"/>
          </w:tcPr>
          <w:p>
            <w:pPr>
              <w:spacing w:line="380" w:lineRule="exact"/>
              <w:jc w:val="center"/>
              <w:rPr>
                <w:rFonts w:hint="default" w:ascii="宋体" w:hAnsi="宋体" w:eastAsia="宋体"/>
                <w:sz w:val="24"/>
                <w:szCs w:val="24"/>
                <w:lang w:val="en-US" w:eastAsia="zh-CN"/>
              </w:rPr>
            </w:pPr>
            <w:r>
              <w:rPr>
                <w:rFonts w:hint="eastAsia" w:ascii="宋体" w:hAnsi="宋体"/>
                <w:sz w:val="24"/>
                <w:szCs w:val="24"/>
                <w:lang w:val="en-US" w:eastAsia="zh-CN"/>
              </w:rPr>
              <w:t>118.3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Borders>
              <w:left w:val="nil"/>
            </w:tcBorders>
            <w:vAlign w:val="center"/>
          </w:tcPr>
          <w:p>
            <w:pPr>
              <w:spacing w:line="380" w:lineRule="exact"/>
              <w:ind w:firstLine="1137" w:firstLineChars="441"/>
              <w:rPr>
                <w:sz w:val="24"/>
                <w:szCs w:val="24"/>
              </w:rPr>
            </w:pPr>
            <w:r>
              <w:rPr>
                <w:rFonts w:hint="eastAsia"/>
                <w:sz w:val="24"/>
                <w:szCs w:val="24"/>
              </w:rPr>
              <w:t>进口</w:t>
            </w:r>
          </w:p>
        </w:tc>
        <w:tc>
          <w:tcPr>
            <w:tcW w:w="1997" w:type="dxa"/>
            <w:vAlign w:val="center"/>
          </w:tcPr>
          <w:p>
            <w:pPr>
              <w:spacing w:line="380" w:lineRule="exact"/>
              <w:jc w:val="center"/>
              <w:rPr>
                <w:rFonts w:hint="default" w:ascii="宋体" w:hAnsi="宋体" w:eastAsia="宋体"/>
                <w:sz w:val="24"/>
                <w:szCs w:val="24"/>
                <w:lang w:val="en-US" w:eastAsia="zh-CN"/>
              </w:rPr>
            </w:pPr>
            <w:r>
              <w:rPr>
                <w:rFonts w:hint="eastAsia" w:ascii="宋体" w:hAnsi="宋体"/>
                <w:sz w:val="24"/>
                <w:szCs w:val="24"/>
                <w:lang w:val="en-US" w:eastAsia="zh-CN"/>
              </w:rPr>
              <w:t>196</w:t>
            </w:r>
          </w:p>
        </w:tc>
        <w:tc>
          <w:tcPr>
            <w:tcW w:w="1998" w:type="dxa"/>
            <w:vAlign w:val="center"/>
          </w:tcPr>
          <w:p>
            <w:pPr>
              <w:spacing w:line="380" w:lineRule="exact"/>
              <w:jc w:val="center"/>
              <w:rPr>
                <w:rFonts w:hint="default" w:ascii="宋体" w:hAnsi="宋体" w:eastAsia="宋体"/>
                <w:sz w:val="24"/>
                <w:szCs w:val="24"/>
                <w:lang w:val="en-US" w:eastAsia="zh-CN"/>
              </w:rPr>
            </w:pPr>
            <w:r>
              <w:rPr>
                <w:rFonts w:hint="eastAsia" w:ascii="宋体" w:hAnsi="宋体"/>
                <w:sz w:val="24"/>
                <w:szCs w:val="24"/>
                <w:lang w:val="en-US" w:eastAsia="zh-CN"/>
              </w:rPr>
              <w:t>1542</w:t>
            </w:r>
          </w:p>
        </w:tc>
        <w:tc>
          <w:tcPr>
            <w:tcW w:w="1998" w:type="dxa"/>
            <w:tcBorders>
              <w:right w:val="nil"/>
            </w:tcBorders>
            <w:vAlign w:val="center"/>
          </w:tcPr>
          <w:p>
            <w:pPr>
              <w:spacing w:line="380" w:lineRule="exact"/>
              <w:jc w:val="center"/>
              <w:rPr>
                <w:rFonts w:hint="default" w:ascii="宋体" w:hAnsi="宋体" w:eastAsia="宋体"/>
                <w:sz w:val="24"/>
                <w:szCs w:val="24"/>
                <w:lang w:val="en-US" w:eastAsia="zh-CN"/>
              </w:rPr>
            </w:pPr>
            <w:r>
              <w:rPr>
                <w:rFonts w:hint="eastAsia" w:ascii="宋体" w:hAnsi="宋体"/>
                <w:sz w:val="24"/>
                <w:szCs w:val="24"/>
                <w:lang w:val="en-US" w:eastAsia="zh-CN"/>
              </w:rPr>
              <w:t>-3.3</w:t>
            </w:r>
          </w:p>
        </w:tc>
      </w:tr>
    </w:tbl>
    <w:p>
      <w:pPr>
        <w:spacing w:line="380" w:lineRule="exact"/>
        <w:outlineLvl w:val="0"/>
        <w:rPr>
          <w:rFonts w:ascii="宋体" w:hAnsi="宋体"/>
          <w:color w:val="000000"/>
          <w:sz w:val="21"/>
          <w:szCs w:val="21"/>
        </w:rPr>
      </w:pPr>
      <w:r>
        <w:rPr>
          <w:rFonts w:hint="eastAsia" w:ascii="宋体" w:hAnsi="宋体"/>
          <w:color w:val="000000"/>
          <w:sz w:val="21"/>
          <w:szCs w:val="21"/>
        </w:rPr>
        <w:t>注：因四舍五入的原因，部分数据总计不等于分项之和。</w:t>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r>
        <w:rPr>
          <w:rFonts w:hint="eastAsia" w:ascii="黑体" w:eastAsia="黑体"/>
          <w:sz w:val="32"/>
          <w:szCs w:val="32"/>
        </w:rPr>
        <w:t>九、金    融</w:t>
      </w:r>
    </w:p>
    <w:p>
      <w:pPr>
        <w:spacing w:line="380" w:lineRule="exact"/>
        <w:jc w:val="right"/>
        <w:outlineLvl w:val="0"/>
        <w:rPr>
          <w:rFonts w:ascii="黑体" w:eastAsia="黑体"/>
          <w:sz w:val="24"/>
          <w:szCs w:val="24"/>
        </w:rPr>
      </w:pPr>
      <w:r>
        <w:rPr>
          <w:rFonts w:hint="eastAsia" w:ascii="宋体" w:hAnsi="宋体"/>
          <w:sz w:val="24"/>
          <w:szCs w:val="24"/>
        </w:rPr>
        <w:t>（单位：万元）</w:t>
      </w:r>
    </w:p>
    <w:tbl>
      <w:tblPr>
        <w:tblStyle w:val="8"/>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9"/>
        <w:gridCol w:w="2480"/>
        <w:gridCol w:w="2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4219" w:type="dxa"/>
            <w:tcBorders>
              <w:left w:val="nil"/>
            </w:tcBorders>
            <w:vAlign w:val="center"/>
          </w:tcPr>
          <w:p>
            <w:pPr>
              <w:spacing w:line="380" w:lineRule="exact"/>
              <w:jc w:val="center"/>
              <w:rPr>
                <w:sz w:val="24"/>
                <w:szCs w:val="24"/>
              </w:rPr>
            </w:pPr>
            <w:r>
              <w:rPr>
                <w:rFonts w:hint="eastAsia"/>
                <w:sz w:val="24"/>
                <w:szCs w:val="24"/>
              </w:rPr>
              <w:t>指标名称</w:t>
            </w:r>
          </w:p>
        </w:tc>
        <w:tc>
          <w:tcPr>
            <w:tcW w:w="2480" w:type="dxa"/>
            <w:vAlign w:val="center"/>
          </w:tcPr>
          <w:p>
            <w:pPr>
              <w:spacing w:line="380" w:lineRule="exact"/>
              <w:jc w:val="center"/>
              <w:rPr>
                <w:sz w:val="24"/>
                <w:szCs w:val="24"/>
              </w:rPr>
            </w:pPr>
            <w:r>
              <w:rPr>
                <w:rFonts w:hint="eastAsia"/>
                <w:sz w:val="24"/>
                <w:szCs w:val="24"/>
              </w:rPr>
              <w:t>本月余额</w:t>
            </w:r>
          </w:p>
        </w:tc>
        <w:tc>
          <w:tcPr>
            <w:tcW w:w="2481" w:type="dxa"/>
            <w:tcBorders>
              <w:right w:val="nil"/>
            </w:tcBorders>
            <w:vAlign w:val="center"/>
          </w:tcPr>
          <w:p>
            <w:pPr>
              <w:spacing w:line="380" w:lineRule="exact"/>
              <w:jc w:val="center"/>
              <w:rPr>
                <w:sz w:val="24"/>
                <w:szCs w:val="24"/>
              </w:rPr>
            </w:pPr>
            <w:r>
              <w:rPr>
                <w:rFonts w:hint="eastAsia"/>
                <w:sz w:val="24"/>
                <w:szCs w:val="24"/>
              </w:rPr>
              <w:t>比年初</w:t>
            </w:r>
            <w:r>
              <w:rPr>
                <w:rFonts w:hint="eastAsia" w:ascii="宋体" w:hAnsi="宋体"/>
                <w:sz w:val="24"/>
                <w:szCs w:val="24"/>
              </w:rPr>
              <w:t>±额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sz w:val="24"/>
                <w:szCs w:val="24"/>
              </w:rPr>
            </w:pPr>
            <w:r>
              <w:rPr>
                <w:rFonts w:hint="eastAsia"/>
                <w:sz w:val="24"/>
                <w:szCs w:val="24"/>
              </w:rPr>
              <w:t>一、金融机构各项存款余额</w:t>
            </w:r>
          </w:p>
        </w:tc>
        <w:tc>
          <w:tcPr>
            <w:tcW w:w="2480" w:type="dxa"/>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4133473</w:t>
            </w:r>
          </w:p>
        </w:tc>
        <w:tc>
          <w:tcPr>
            <w:tcW w:w="2481" w:type="dxa"/>
            <w:tcBorders>
              <w:right w:val="nil"/>
            </w:tcBorders>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304169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626" w:firstLineChars="243"/>
              <w:rPr>
                <w:sz w:val="24"/>
                <w:szCs w:val="24"/>
              </w:rPr>
            </w:pPr>
            <w:r>
              <w:rPr>
                <w:rFonts w:hint="eastAsia"/>
                <w:sz w:val="24"/>
                <w:szCs w:val="24"/>
              </w:rPr>
              <w:t>住户存款</w:t>
            </w:r>
          </w:p>
        </w:tc>
        <w:tc>
          <w:tcPr>
            <w:tcW w:w="2480" w:type="dxa"/>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3404311</w:t>
            </w:r>
          </w:p>
        </w:tc>
        <w:tc>
          <w:tcPr>
            <w:tcW w:w="2481" w:type="dxa"/>
            <w:tcBorders>
              <w:right w:val="nil"/>
            </w:tcBorders>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349614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sz w:val="24"/>
                <w:szCs w:val="24"/>
              </w:rPr>
            </w:pPr>
            <w:r>
              <w:rPr>
                <w:rFonts w:hint="eastAsia"/>
                <w:sz w:val="24"/>
                <w:szCs w:val="24"/>
              </w:rPr>
              <w:t xml:space="preserve">     非金融企业存款</w:t>
            </w:r>
          </w:p>
        </w:tc>
        <w:tc>
          <w:tcPr>
            <w:tcW w:w="2480" w:type="dxa"/>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482811</w:t>
            </w:r>
          </w:p>
        </w:tc>
        <w:tc>
          <w:tcPr>
            <w:tcW w:w="2481" w:type="dxa"/>
            <w:tcBorders>
              <w:right w:val="nil"/>
            </w:tcBorders>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-8265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sz w:val="24"/>
                <w:szCs w:val="24"/>
              </w:rPr>
            </w:pPr>
            <w:r>
              <w:rPr>
                <w:rFonts w:hint="eastAsia"/>
                <w:sz w:val="24"/>
                <w:szCs w:val="24"/>
              </w:rPr>
              <w:t xml:space="preserve">     广义政府存款</w:t>
            </w:r>
          </w:p>
        </w:tc>
        <w:tc>
          <w:tcPr>
            <w:tcW w:w="2480" w:type="dxa"/>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246004</w:t>
            </w:r>
          </w:p>
        </w:tc>
        <w:tc>
          <w:tcPr>
            <w:tcW w:w="2481" w:type="dxa"/>
            <w:tcBorders>
              <w:right w:val="nil"/>
            </w:tcBorders>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-37208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645" w:firstLineChars="250"/>
              <w:rPr>
                <w:sz w:val="24"/>
                <w:szCs w:val="24"/>
              </w:rPr>
            </w:pPr>
            <w:r>
              <w:rPr>
                <w:rFonts w:hint="eastAsia"/>
                <w:sz w:val="24"/>
                <w:szCs w:val="24"/>
              </w:rPr>
              <w:t>非银行金融机构存款</w:t>
            </w:r>
          </w:p>
        </w:tc>
        <w:tc>
          <w:tcPr>
            <w:tcW w:w="2480" w:type="dxa"/>
            <w:vAlign w:val="bottom"/>
          </w:tcPr>
          <w:p>
            <w:pPr>
              <w:spacing w:line="380" w:lineRule="exact"/>
              <w:jc w:val="center"/>
              <w:rPr>
                <w:rFonts w:hint="eastAsia" w:ascii="宋体" w:hAnsi="宋体" w:eastAsia="宋体" w:cs="Arial"/>
                <w:sz w:val="24"/>
                <w:szCs w:val="24"/>
                <w:lang w:val="en-US" w:eastAsia="zh-CN"/>
              </w:rPr>
            </w:pPr>
            <w:r>
              <w:rPr>
                <w:rFonts w:hint="eastAsia" w:ascii="宋体" w:hAnsi="宋体" w:cs="Arial"/>
                <w:sz w:val="24"/>
                <w:szCs w:val="24"/>
                <w:lang w:val="en-US" w:eastAsia="zh-CN"/>
              </w:rPr>
              <w:t>3</w:t>
            </w:r>
          </w:p>
        </w:tc>
        <w:tc>
          <w:tcPr>
            <w:tcW w:w="2481" w:type="dxa"/>
            <w:tcBorders>
              <w:right w:val="nil"/>
            </w:tcBorders>
            <w:vAlign w:val="bottom"/>
          </w:tcPr>
          <w:p>
            <w:pPr>
              <w:spacing w:line="380" w:lineRule="exact"/>
              <w:jc w:val="center"/>
              <w:rPr>
                <w:rFonts w:hint="eastAsia" w:ascii="宋体" w:hAnsi="宋体" w:eastAsia="宋体" w:cs="Arial"/>
                <w:sz w:val="24"/>
                <w:szCs w:val="24"/>
                <w:lang w:val="en-US" w:eastAsia="zh-CN"/>
              </w:rPr>
            </w:pPr>
            <w:r>
              <w:rPr>
                <w:rFonts w:hint="eastAsia" w:ascii="宋体" w:hAnsi="宋体" w:cs="Arial"/>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sz w:val="24"/>
                <w:szCs w:val="24"/>
              </w:rPr>
            </w:pPr>
            <w:r>
              <w:rPr>
                <w:rFonts w:hint="eastAsia"/>
                <w:sz w:val="24"/>
                <w:szCs w:val="24"/>
              </w:rPr>
              <w:t>二、金融机构各项贷款余额</w:t>
            </w:r>
          </w:p>
        </w:tc>
        <w:tc>
          <w:tcPr>
            <w:tcW w:w="2480" w:type="dxa"/>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2559569</w:t>
            </w:r>
          </w:p>
        </w:tc>
        <w:tc>
          <w:tcPr>
            <w:tcW w:w="2481" w:type="dxa"/>
            <w:tcBorders>
              <w:right w:val="nil"/>
            </w:tcBorders>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372395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tabs>
                <w:tab w:val="left" w:pos="495"/>
              </w:tabs>
              <w:spacing w:line="380" w:lineRule="exact"/>
              <w:rPr>
                <w:sz w:val="24"/>
                <w:szCs w:val="24"/>
              </w:rPr>
            </w:pPr>
            <w:r>
              <w:rPr>
                <w:rFonts w:hint="eastAsia"/>
                <w:sz w:val="24"/>
                <w:szCs w:val="24"/>
              </w:rPr>
              <w:t xml:space="preserve">    住户贷款</w:t>
            </w:r>
          </w:p>
        </w:tc>
        <w:tc>
          <w:tcPr>
            <w:tcW w:w="2480" w:type="dxa"/>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1036163</w:t>
            </w:r>
          </w:p>
        </w:tc>
        <w:tc>
          <w:tcPr>
            <w:tcW w:w="2481" w:type="dxa"/>
            <w:tcBorders>
              <w:right w:val="nil"/>
            </w:tcBorders>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105793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1010" w:firstLineChars="392"/>
              <w:rPr>
                <w:sz w:val="24"/>
                <w:szCs w:val="24"/>
              </w:rPr>
            </w:pPr>
            <w:r>
              <w:rPr>
                <w:rFonts w:hint="eastAsia"/>
                <w:sz w:val="24"/>
                <w:szCs w:val="24"/>
              </w:rPr>
              <w:t>其中：短期贷款</w:t>
            </w:r>
          </w:p>
        </w:tc>
        <w:tc>
          <w:tcPr>
            <w:tcW w:w="2480" w:type="dxa"/>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356047</w:t>
            </w:r>
          </w:p>
        </w:tc>
        <w:tc>
          <w:tcPr>
            <w:tcW w:w="2481" w:type="dxa"/>
            <w:tcBorders>
              <w:right w:val="nil"/>
            </w:tcBorders>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55786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tabs>
                <w:tab w:val="left" w:pos="1365"/>
              </w:tabs>
              <w:spacing w:line="380" w:lineRule="exact"/>
              <w:rPr>
                <w:sz w:val="24"/>
                <w:szCs w:val="24"/>
              </w:rPr>
            </w:pPr>
            <w:r>
              <w:rPr>
                <w:rFonts w:hint="eastAsia"/>
                <w:sz w:val="24"/>
                <w:szCs w:val="24"/>
              </w:rPr>
              <w:t xml:space="preserve">              中长期贷款</w:t>
            </w:r>
          </w:p>
        </w:tc>
        <w:tc>
          <w:tcPr>
            <w:tcW w:w="2480" w:type="dxa"/>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680117</w:t>
            </w:r>
          </w:p>
        </w:tc>
        <w:tc>
          <w:tcPr>
            <w:tcW w:w="2481" w:type="dxa"/>
            <w:tcBorders>
              <w:right w:val="nil"/>
            </w:tcBorders>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50007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tabs>
                <w:tab w:val="left" w:pos="1335"/>
              </w:tabs>
              <w:spacing w:line="380" w:lineRule="exact"/>
              <w:ind w:firstLine="505" w:firstLineChars="196"/>
              <w:rPr>
                <w:sz w:val="24"/>
                <w:szCs w:val="24"/>
              </w:rPr>
            </w:pPr>
            <w:r>
              <w:rPr>
                <w:rFonts w:hint="eastAsia"/>
                <w:sz w:val="24"/>
                <w:szCs w:val="24"/>
              </w:rPr>
              <w:t>非金融企业及机关团体贷款</w:t>
            </w:r>
          </w:p>
        </w:tc>
        <w:tc>
          <w:tcPr>
            <w:tcW w:w="2480" w:type="dxa"/>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1523311</w:t>
            </w:r>
          </w:p>
        </w:tc>
        <w:tc>
          <w:tcPr>
            <w:tcW w:w="2481" w:type="dxa"/>
            <w:tcBorders>
              <w:right w:val="nil"/>
            </w:tcBorders>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266605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sz w:val="24"/>
                <w:szCs w:val="24"/>
              </w:rPr>
            </w:pPr>
            <w:r>
              <w:rPr>
                <w:rFonts w:hint="eastAsia"/>
                <w:sz w:val="24"/>
                <w:szCs w:val="24"/>
              </w:rPr>
              <w:t xml:space="preserve">        其中：短期贷款</w:t>
            </w:r>
          </w:p>
        </w:tc>
        <w:tc>
          <w:tcPr>
            <w:tcW w:w="2480" w:type="dxa"/>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538160</w:t>
            </w:r>
          </w:p>
        </w:tc>
        <w:tc>
          <w:tcPr>
            <w:tcW w:w="2481" w:type="dxa"/>
            <w:tcBorders>
              <w:right w:val="nil"/>
            </w:tcBorders>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82110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sz w:val="24"/>
                <w:szCs w:val="24"/>
              </w:rPr>
            </w:pPr>
            <w:r>
              <w:rPr>
                <w:rFonts w:hint="eastAsia"/>
                <w:sz w:val="24"/>
                <w:szCs w:val="24"/>
              </w:rPr>
              <w:t xml:space="preserve">              中长期贷款</w:t>
            </w:r>
          </w:p>
        </w:tc>
        <w:tc>
          <w:tcPr>
            <w:tcW w:w="2480" w:type="dxa"/>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946605</w:t>
            </w:r>
          </w:p>
        </w:tc>
        <w:tc>
          <w:tcPr>
            <w:tcW w:w="2481" w:type="dxa"/>
            <w:tcBorders>
              <w:right w:val="nil"/>
            </w:tcBorders>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152307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1795" w:firstLineChars="696"/>
              <w:rPr>
                <w:sz w:val="24"/>
                <w:szCs w:val="24"/>
              </w:rPr>
            </w:pPr>
            <w:r>
              <w:rPr>
                <w:rFonts w:hint="eastAsia"/>
                <w:sz w:val="24"/>
                <w:szCs w:val="24"/>
              </w:rPr>
              <w:t>票据融资</w:t>
            </w:r>
          </w:p>
        </w:tc>
        <w:tc>
          <w:tcPr>
            <w:tcW w:w="2480" w:type="dxa"/>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38546</w:t>
            </w:r>
          </w:p>
        </w:tc>
        <w:tc>
          <w:tcPr>
            <w:tcW w:w="2481" w:type="dxa"/>
            <w:tcBorders>
              <w:right w:val="nil"/>
            </w:tcBorders>
            <w:vAlign w:val="bottom"/>
          </w:tcPr>
          <w:p>
            <w:pPr>
              <w:spacing w:line="380" w:lineRule="exact"/>
              <w:jc w:val="center"/>
              <w:rPr>
                <w:rFonts w:hint="default" w:ascii="宋体" w:hAnsi="宋体" w:eastAsia="宋体" w:cs="Arial"/>
                <w:sz w:val="24"/>
                <w:szCs w:val="24"/>
                <w:lang w:val="en-US" w:eastAsia="zh-CN"/>
              </w:rPr>
            </w:pPr>
            <w:r>
              <w:rPr>
                <w:rFonts w:hint="eastAsia" w:ascii="宋体" w:hAnsi="宋体" w:cs="Arial"/>
                <w:sz w:val="24"/>
                <w:szCs w:val="24"/>
                <w:lang w:val="en-US" w:eastAsia="zh-CN"/>
              </w:rPr>
              <w:t>32188</w:t>
            </w:r>
          </w:p>
        </w:tc>
      </w:tr>
    </w:tbl>
    <w:p>
      <w:pPr>
        <w:spacing w:line="380" w:lineRule="exact"/>
        <w:rPr>
          <w:b/>
          <w:sz w:val="21"/>
          <w:szCs w:val="21"/>
        </w:rPr>
      </w:pPr>
    </w:p>
    <w:p>
      <w:pPr>
        <w:spacing w:line="380" w:lineRule="exact"/>
        <w:ind w:firstLine="3629" w:firstLineChars="1074"/>
        <w:outlineLvl w:val="0"/>
        <w:rPr>
          <w:rFonts w:ascii="黑体" w:eastAsia="黑体"/>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sz w:val="32"/>
          <w:szCs w:val="32"/>
        </w:rPr>
      </w:pPr>
    </w:p>
    <w:p>
      <w:pPr>
        <w:spacing w:line="380" w:lineRule="exact"/>
        <w:ind w:firstLine="3629" w:firstLineChars="1074"/>
        <w:outlineLvl w:val="0"/>
        <w:rPr>
          <w:rFonts w:ascii="黑体" w:eastAsia="黑体"/>
          <w:sz w:val="32"/>
          <w:szCs w:val="32"/>
        </w:rPr>
      </w:pPr>
    </w:p>
    <w:p>
      <w:pPr>
        <w:spacing w:line="380" w:lineRule="exact"/>
        <w:ind w:firstLine="3629" w:firstLineChars="1074"/>
        <w:outlineLvl w:val="0"/>
        <w:rPr>
          <w:rFonts w:ascii="黑体" w:eastAsia="黑体"/>
          <w:sz w:val="32"/>
          <w:szCs w:val="32"/>
        </w:rPr>
      </w:pPr>
      <w:r>
        <w:rPr>
          <w:rFonts w:hint="eastAsia" w:ascii="黑体" w:eastAsia="黑体"/>
          <w:sz w:val="32"/>
          <w:szCs w:val="32"/>
        </w:rPr>
        <w:t>十、社会保障</w:t>
      </w:r>
    </w:p>
    <w:tbl>
      <w:tblPr>
        <w:tblStyle w:val="8"/>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1345"/>
        <w:gridCol w:w="448"/>
        <w:gridCol w:w="897"/>
        <w:gridCol w:w="896"/>
        <w:gridCol w:w="449"/>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top w:val="nil"/>
              <w:left w:val="nil"/>
              <w:right w:val="nil"/>
            </w:tcBorders>
            <w:vAlign w:val="center"/>
          </w:tcPr>
          <w:p>
            <w:pPr>
              <w:spacing w:line="380" w:lineRule="exact"/>
              <w:jc w:val="center"/>
              <w:rPr>
                <w:rFonts w:ascii="黑体" w:hAnsi="黑体" w:eastAsia="黑体"/>
              </w:rPr>
            </w:pPr>
            <w:r>
              <w:rPr>
                <w:rFonts w:hint="eastAsia" w:ascii="黑体" w:hAnsi="黑体" w:eastAsia="黑体"/>
              </w:rPr>
              <w:t>（一）企业职工养老保险情况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jc w:val="center"/>
              <w:rPr>
                <w:sz w:val="24"/>
                <w:szCs w:val="24"/>
              </w:rPr>
            </w:pPr>
            <w:r>
              <w:rPr>
                <w:rFonts w:hint="eastAsia"/>
                <w:sz w:val="24"/>
                <w:szCs w:val="24"/>
              </w:rPr>
              <w:t>指标名称</w:t>
            </w:r>
          </w:p>
        </w:tc>
        <w:tc>
          <w:tcPr>
            <w:tcW w:w="1345" w:type="dxa"/>
            <w:vAlign w:val="center"/>
          </w:tcPr>
          <w:p>
            <w:pPr>
              <w:spacing w:line="380" w:lineRule="exact"/>
              <w:jc w:val="center"/>
              <w:rPr>
                <w:sz w:val="24"/>
                <w:szCs w:val="24"/>
              </w:rPr>
            </w:pPr>
            <w:r>
              <w:rPr>
                <w:rFonts w:hint="eastAsia"/>
                <w:sz w:val="24"/>
                <w:szCs w:val="24"/>
              </w:rPr>
              <w:t>本月</w:t>
            </w:r>
          </w:p>
        </w:tc>
        <w:tc>
          <w:tcPr>
            <w:tcW w:w="1345" w:type="dxa"/>
            <w:gridSpan w:val="2"/>
            <w:vAlign w:val="center"/>
          </w:tcPr>
          <w:p>
            <w:pPr>
              <w:spacing w:line="380" w:lineRule="exact"/>
              <w:jc w:val="center"/>
              <w:rPr>
                <w:sz w:val="24"/>
                <w:szCs w:val="24"/>
              </w:rPr>
            </w:pPr>
            <w:r>
              <w:rPr>
                <w:rFonts w:hint="eastAsia"/>
                <w:sz w:val="24"/>
                <w:szCs w:val="24"/>
              </w:rPr>
              <w:t>累计</w:t>
            </w:r>
          </w:p>
        </w:tc>
        <w:tc>
          <w:tcPr>
            <w:tcW w:w="1345" w:type="dxa"/>
            <w:gridSpan w:val="2"/>
            <w:vAlign w:val="center"/>
          </w:tcPr>
          <w:p>
            <w:pPr>
              <w:spacing w:line="380" w:lineRule="exact"/>
              <w:jc w:val="center"/>
              <w:rPr>
                <w:sz w:val="24"/>
                <w:szCs w:val="24"/>
              </w:rPr>
            </w:pPr>
            <w:r>
              <w:rPr>
                <w:rFonts w:hint="eastAsia"/>
                <w:sz w:val="24"/>
                <w:szCs w:val="24"/>
              </w:rPr>
              <w:t>同期累计</w:t>
            </w:r>
          </w:p>
        </w:tc>
        <w:tc>
          <w:tcPr>
            <w:tcW w:w="1351" w:type="dxa"/>
            <w:tcBorders>
              <w:right w:val="nil"/>
            </w:tcBorders>
            <w:vAlign w:val="center"/>
          </w:tcPr>
          <w:p>
            <w:pPr>
              <w:spacing w:line="380" w:lineRule="exact"/>
              <w:jc w:val="center"/>
              <w:rPr>
                <w:sz w:val="24"/>
                <w:szCs w:val="24"/>
              </w:rPr>
            </w:pPr>
            <w:r>
              <w:rPr>
                <w:rFonts w:hint="eastAsia"/>
                <w:sz w:val="24"/>
                <w:szCs w:val="24"/>
              </w:rPr>
              <w:t xml:space="preserve">同比±%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sz w:val="24"/>
                <w:szCs w:val="24"/>
              </w:rPr>
            </w:pPr>
            <w:r>
              <w:rPr>
                <w:rFonts w:hint="eastAsia"/>
                <w:sz w:val="24"/>
                <w:szCs w:val="24"/>
              </w:rPr>
              <w:t>参保单位数（户）</w:t>
            </w:r>
          </w:p>
        </w:tc>
        <w:tc>
          <w:tcPr>
            <w:tcW w:w="1345" w:type="dxa"/>
            <w:vAlign w:val="center"/>
          </w:tcPr>
          <w:p>
            <w:pPr>
              <w:spacing w:line="380" w:lineRule="exact"/>
              <w:jc w:val="center"/>
              <w:rPr>
                <w:sz w:val="24"/>
                <w:szCs w:val="24"/>
              </w:rPr>
            </w:pPr>
            <w:r>
              <w:rPr>
                <w:rFonts w:hint="eastAsia"/>
                <w:sz w:val="24"/>
                <w:szCs w:val="24"/>
              </w:rPr>
              <w:t>—</w:t>
            </w:r>
          </w:p>
        </w:tc>
        <w:tc>
          <w:tcPr>
            <w:tcW w:w="1345" w:type="dxa"/>
            <w:gridSpan w:val="2"/>
            <w:vAlign w:val="center"/>
          </w:tcPr>
          <w:p>
            <w:pPr>
              <w:spacing w:line="380" w:lineRule="exact"/>
              <w:jc w:val="center"/>
              <w:rPr>
                <w:rFonts w:hint="default" w:eastAsia="宋体"/>
                <w:sz w:val="24"/>
                <w:szCs w:val="24"/>
                <w:lang w:val="en-US" w:eastAsia="zh-CN"/>
              </w:rPr>
            </w:pPr>
            <w:r>
              <w:rPr>
                <w:rFonts w:hint="eastAsia"/>
                <w:sz w:val="24"/>
                <w:szCs w:val="24"/>
                <w:lang w:val="en-US" w:eastAsia="zh-CN"/>
              </w:rPr>
              <w:t>729</w:t>
            </w:r>
          </w:p>
        </w:tc>
        <w:tc>
          <w:tcPr>
            <w:tcW w:w="1345" w:type="dxa"/>
            <w:gridSpan w:val="2"/>
            <w:vAlign w:val="center"/>
          </w:tcPr>
          <w:p>
            <w:pPr>
              <w:spacing w:line="380" w:lineRule="exact"/>
              <w:jc w:val="center"/>
              <w:rPr>
                <w:rFonts w:hint="default" w:eastAsia="宋体"/>
                <w:sz w:val="24"/>
                <w:szCs w:val="24"/>
                <w:lang w:val="en-US" w:eastAsia="zh-CN"/>
              </w:rPr>
            </w:pPr>
            <w:r>
              <w:rPr>
                <w:rFonts w:hint="eastAsia"/>
                <w:sz w:val="24"/>
                <w:szCs w:val="24"/>
                <w:lang w:val="en-US" w:eastAsia="zh-CN"/>
              </w:rPr>
              <w:t>602</w:t>
            </w:r>
          </w:p>
        </w:tc>
        <w:tc>
          <w:tcPr>
            <w:tcW w:w="1351"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sz w:val="24"/>
                <w:szCs w:val="24"/>
              </w:rPr>
            </w:pPr>
            <w:r>
              <w:rPr>
                <w:rFonts w:hint="eastAsia"/>
                <w:sz w:val="24"/>
                <w:szCs w:val="24"/>
              </w:rPr>
              <w:t>参保人数（人）</w:t>
            </w:r>
          </w:p>
        </w:tc>
        <w:tc>
          <w:tcPr>
            <w:tcW w:w="1345" w:type="dxa"/>
            <w:vAlign w:val="center"/>
          </w:tcPr>
          <w:p>
            <w:pPr>
              <w:spacing w:line="380" w:lineRule="exact"/>
              <w:jc w:val="center"/>
              <w:rPr>
                <w:sz w:val="24"/>
                <w:szCs w:val="24"/>
              </w:rPr>
            </w:pPr>
            <w:r>
              <w:rPr>
                <w:rFonts w:hint="eastAsia"/>
                <w:sz w:val="24"/>
                <w:szCs w:val="24"/>
              </w:rPr>
              <w:t>—</w:t>
            </w:r>
          </w:p>
        </w:tc>
        <w:tc>
          <w:tcPr>
            <w:tcW w:w="1345" w:type="dxa"/>
            <w:gridSpan w:val="2"/>
            <w:vAlign w:val="center"/>
          </w:tcPr>
          <w:p>
            <w:pPr>
              <w:spacing w:line="380" w:lineRule="exact"/>
              <w:ind w:firstLine="254" w:firstLineChars="99"/>
              <w:rPr>
                <w:rFonts w:hint="default" w:eastAsia="宋体"/>
                <w:sz w:val="24"/>
                <w:szCs w:val="24"/>
                <w:lang w:val="en-US" w:eastAsia="zh-CN"/>
              </w:rPr>
            </w:pPr>
            <w:r>
              <w:rPr>
                <w:rFonts w:hint="eastAsia"/>
                <w:sz w:val="24"/>
                <w:szCs w:val="24"/>
                <w:lang w:val="en-US" w:eastAsia="zh-CN"/>
              </w:rPr>
              <w:t>50440</w:t>
            </w:r>
          </w:p>
        </w:tc>
        <w:tc>
          <w:tcPr>
            <w:tcW w:w="1345" w:type="dxa"/>
            <w:gridSpan w:val="2"/>
            <w:vAlign w:val="center"/>
          </w:tcPr>
          <w:p>
            <w:pPr>
              <w:spacing w:line="380" w:lineRule="exact"/>
              <w:ind w:firstLine="254" w:firstLineChars="99"/>
              <w:rPr>
                <w:rFonts w:hint="default" w:eastAsia="宋体"/>
                <w:sz w:val="24"/>
                <w:szCs w:val="24"/>
                <w:lang w:val="en-US" w:eastAsia="zh-CN"/>
              </w:rPr>
            </w:pPr>
            <w:r>
              <w:rPr>
                <w:rFonts w:hint="eastAsia"/>
                <w:sz w:val="24"/>
                <w:szCs w:val="24"/>
                <w:lang w:val="en-US" w:eastAsia="zh-CN"/>
              </w:rPr>
              <w:t>48694</w:t>
            </w:r>
          </w:p>
        </w:tc>
        <w:tc>
          <w:tcPr>
            <w:tcW w:w="1351"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sz w:val="24"/>
                <w:szCs w:val="24"/>
              </w:rPr>
            </w:pPr>
            <w:r>
              <w:rPr>
                <w:rFonts w:hint="eastAsia"/>
                <w:sz w:val="24"/>
                <w:szCs w:val="24"/>
              </w:rPr>
              <w:t>离退休人数（人）</w:t>
            </w:r>
          </w:p>
        </w:tc>
        <w:tc>
          <w:tcPr>
            <w:tcW w:w="1345" w:type="dxa"/>
            <w:vAlign w:val="center"/>
          </w:tcPr>
          <w:p>
            <w:pPr>
              <w:spacing w:line="380" w:lineRule="exact"/>
              <w:jc w:val="center"/>
              <w:rPr>
                <w:sz w:val="24"/>
                <w:szCs w:val="24"/>
              </w:rPr>
            </w:pPr>
            <w:r>
              <w:rPr>
                <w:rFonts w:hint="eastAsia"/>
                <w:sz w:val="24"/>
                <w:szCs w:val="24"/>
              </w:rPr>
              <w:t>—</w:t>
            </w:r>
          </w:p>
        </w:tc>
        <w:tc>
          <w:tcPr>
            <w:tcW w:w="1345" w:type="dxa"/>
            <w:gridSpan w:val="2"/>
            <w:vAlign w:val="center"/>
          </w:tcPr>
          <w:p>
            <w:pPr>
              <w:spacing w:line="380" w:lineRule="exact"/>
              <w:jc w:val="center"/>
              <w:rPr>
                <w:rFonts w:hint="default" w:eastAsia="宋体"/>
                <w:sz w:val="24"/>
                <w:szCs w:val="24"/>
                <w:lang w:val="en-US" w:eastAsia="zh-CN"/>
              </w:rPr>
            </w:pPr>
            <w:r>
              <w:rPr>
                <w:rFonts w:hint="eastAsia"/>
                <w:sz w:val="24"/>
                <w:szCs w:val="24"/>
                <w:lang w:val="en-US" w:eastAsia="zh-CN"/>
              </w:rPr>
              <w:t>37147</w:t>
            </w:r>
          </w:p>
        </w:tc>
        <w:tc>
          <w:tcPr>
            <w:tcW w:w="1345" w:type="dxa"/>
            <w:gridSpan w:val="2"/>
            <w:vAlign w:val="center"/>
          </w:tcPr>
          <w:p>
            <w:pPr>
              <w:spacing w:line="380" w:lineRule="exact"/>
              <w:jc w:val="center"/>
              <w:rPr>
                <w:rFonts w:hint="default" w:eastAsia="宋体"/>
                <w:sz w:val="24"/>
                <w:szCs w:val="24"/>
                <w:lang w:val="en-US" w:eastAsia="zh-CN"/>
              </w:rPr>
            </w:pPr>
            <w:r>
              <w:rPr>
                <w:rFonts w:hint="eastAsia"/>
                <w:sz w:val="24"/>
                <w:szCs w:val="24"/>
                <w:lang w:val="en-US" w:eastAsia="zh-CN"/>
              </w:rPr>
              <w:t>29669</w:t>
            </w:r>
          </w:p>
        </w:tc>
        <w:tc>
          <w:tcPr>
            <w:tcW w:w="1351"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sz w:val="24"/>
                <w:szCs w:val="24"/>
              </w:rPr>
            </w:pPr>
            <w:r>
              <w:rPr>
                <w:rFonts w:hint="eastAsia"/>
                <w:sz w:val="24"/>
                <w:szCs w:val="24"/>
              </w:rPr>
              <w:t>实收保费（万元）</w:t>
            </w:r>
          </w:p>
        </w:tc>
        <w:tc>
          <w:tcPr>
            <w:tcW w:w="1345" w:type="dxa"/>
            <w:vAlign w:val="center"/>
          </w:tcPr>
          <w:p>
            <w:pPr>
              <w:spacing w:line="380" w:lineRule="exact"/>
              <w:jc w:val="center"/>
              <w:rPr>
                <w:rFonts w:hint="default" w:eastAsia="宋体"/>
                <w:sz w:val="24"/>
                <w:szCs w:val="24"/>
                <w:lang w:val="en-US" w:eastAsia="zh-CN"/>
              </w:rPr>
            </w:pPr>
            <w:r>
              <w:rPr>
                <w:rFonts w:hint="eastAsia"/>
                <w:sz w:val="24"/>
                <w:szCs w:val="24"/>
                <w:lang w:val="en-US" w:eastAsia="zh-CN"/>
              </w:rPr>
              <w:t>10</w:t>
            </w:r>
          </w:p>
        </w:tc>
        <w:tc>
          <w:tcPr>
            <w:tcW w:w="1345" w:type="dxa"/>
            <w:gridSpan w:val="2"/>
            <w:vAlign w:val="center"/>
          </w:tcPr>
          <w:p>
            <w:pPr>
              <w:spacing w:line="380" w:lineRule="exact"/>
              <w:jc w:val="center"/>
              <w:rPr>
                <w:rFonts w:hint="default" w:eastAsia="宋体"/>
                <w:sz w:val="24"/>
                <w:szCs w:val="24"/>
                <w:lang w:val="en-US" w:eastAsia="zh-CN"/>
              </w:rPr>
            </w:pPr>
            <w:r>
              <w:rPr>
                <w:rFonts w:hint="eastAsia"/>
                <w:sz w:val="24"/>
                <w:szCs w:val="24"/>
                <w:lang w:val="en-US" w:eastAsia="zh-CN"/>
              </w:rPr>
              <w:t>13993</w:t>
            </w:r>
          </w:p>
        </w:tc>
        <w:tc>
          <w:tcPr>
            <w:tcW w:w="1345" w:type="dxa"/>
            <w:gridSpan w:val="2"/>
            <w:vAlign w:val="center"/>
          </w:tcPr>
          <w:p>
            <w:pPr>
              <w:spacing w:line="380" w:lineRule="exact"/>
              <w:jc w:val="center"/>
              <w:rPr>
                <w:rFonts w:hint="default" w:eastAsia="宋体"/>
                <w:sz w:val="24"/>
                <w:szCs w:val="24"/>
                <w:lang w:val="en-US" w:eastAsia="zh-CN"/>
              </w:rPr>
            </w:pPr>
            <w:r>
              <w:rPr>
                <w:rFonts w:hint="eastAsia"/>
                <w:sz w:val="24"/>
                <w:szCs w:val="24"/>
                <w:lang w:val="en-US" w:eastAsia="zh-CN"/>
              </w:rPr>
              <w:t>21838</w:t>
            </w:r>
          </w:p>
        </w:tc>
        <w:tc>
          <w:tcPr>
            <w:tcW w:w="1351"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-35.9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sz w:val="24"/>
                <w:szCs w:val="24"/>
              </w:rPr>
            </w:pPr>
            <w:r>
              <w:rPr>
                <w:rFonts w:hint="eastAsia"/>
                <w:sz w:val="24"/>
                <w:szCs w:val="24"/>
              </w:rPr>
              <w:t>实付养老金（万元）</w:t>
            </w:r>
          </w:p>
        </w:tc>
        <w:tc>
          <w:tcPr>
            <w:tcW w:w="1345" w:type="dxa"/>
            <w:vAlign w:val="center"/>
          </w:tcPr>
          <w:p>
            <w:pPr>
              <w:spacing w:line="380" w:lineRule="exact"/>
              <w:jc w:val="center"/>
              <w:rPr>
                <w:sz w:val="24"/>
                <w:szCs w:val="24"/>
              </w:rPr>
            </w:pPr>
            <w:r>
              <w:rPr>
                <w:rFonts w:hint="eastAsia"/>
                <w:sz w:val="24"/>
                <w:szCs w:val="24"/>
              </w:rPr>
              <w:t>—</w:t>
            </w:r>
          </w:p>
        </w:tc>
        <w:tc>
          <w:tcPr>
            <w:tcW w:w="1345" w:type="dxa"/>
            <w:gridSpan w:val="2"/>
            <w:vAlign w:val="center"/>
          </w:tcPr>
          <w:p>
            <w:pPr>
              <w:spacing w:line="380" w:lineRule="exact"/>
              <w:jc w:val="center"/>
              <w:rPr>
                <w:rFonts w:hint="default" w:eastAsia="宋体"/>
                <w:sz w:val="24"/>
                <w:szCs w:val="24"/>
                <w:lang w:val="en-US" w:eastAsia="zh-CN"/>
              </w:rPr>
            </w:pPr>
            <w:r>
              <w:rPr>
                <w:rFonts w:hint="eastAsia"/>
                <w:sz w:val="24"/>
                <w:szCs w:val="24"/>
                <w:lang w:val="en-US" w:eastAsia="zh-CN"/>
              </w:rPr>
              <w:t>37147</w:t>
            </w:r>
          </w:p>
        </w:tc>
        <w:tc>
          <w:tcPr>
            <w:tcW w:w="1345" w:type="dxa"/>
            <w:gridSpan w:val="2"/>
            <w:vAlign w:val="center"/>
          </w:tcPr>
          <w:p>
            <w:pPr>
              <w:spacing w:line="380" w:lineRule="exact"/>
              <w:jc w:val="center"/>
              <w:rPr>
                <w:rFonts w:hint="default" w:eastAsia="宋体"/>
                <w:sz w:val="24"/>
                <w:szCs w:val="24"/>
                <w:lang w:val="en-US" w:eastAsia="zh-CN"/>
              </w:rPr>
            </w:pPr>
            <w:r>
              <w:rPr>
                <w:rFonts w:hint="eastAsia"/>
                <w:sz w:val="24"/>
                <w:szCs w:val="24"/>
                <w:lang w:val="en-US" w:eastAsia="zh-CN"/>
              </w:rPr>
              <w:t>33496</w:t>
            </w:r>
          </w:p>
        </w:tc>
        <w:tc>
          <w:tcPr>
            <w:tcW w:w="1351" w:type="dxa"/>
            <w:tcBorders>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top w:val="nil"/>
              <w:left w:val="nil"/>
              <w:bottom w:val="single" w:color="auto" w:sz="4" w:space="0"/>
              <w:right w:val="nil"/>
            </w:tcBorders>
            <w:vAlign w:val="center"/>
          </w:tcPr>
          <w:p>
            <w:pPr>
              <w:spacing w:line="380" w:lineRule="exact"/>
              <w:ind w:firstLine="2467" w:firstLineChars="828"/>
              <w:rPr>
                <w:rFonts w:ascii="黑体" w:hAnsi="黑体" w:eastAsia="黑体"/>
              </w:rPr>
            </w:pPr>
            <w:r>
              <w:rPr>
                <w:rFonts w:hint="eastAsia" w:ascii="黑体" w:hAnsi="黑体" w:eastAsia="黑体"/>
              </w:rPr>
              <w:t>（二）机关事业单位养老保险情况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right w:val="single" w:color="auto" w:sz="4" w:space="0"/>
            </w:tcBorders>
            <w:vAlign w:val="center"/>
          </w:tcPr>
          <w:p>
            <w:pPr>
              <w:spacing w:line="380" w:lineRule="exact"/>
              <w:jc w:val="center"/>
              <w:rPr>
                <w:sz w:val="24"/>
                <w:szCs w:val="24"/>
              </w:rPr>
            </w:pPr>
            <w:r>
              <w:rPr>
                <w:rFonts w:hint="eastAsia"/>
                <w:sz w:val="24"/>
                <w:szCs w:val="24"/>
              </w:rPr>
              <w:t>指标名称</w:t>
            </w:r>
          </w:p>
        </w:tc>
        <w:tc>
          <w:tcPr>
            <w:tcW w:w="1345" w:type="dxa"/>
            <w:tcBorders>
              <w:left w:val="single" w:color="auto" w:sz="4" w:space="0"/>
              <w:right w:val="single" w:color="auto" w:sz="4" w:space="0"/>
            </w:tcBorders>
            <w:vAlign w:val="center"/>
          </w:tcPr>
          <w:p>
            <w:pPr>
              <w:spacing w:line="380" w:lineRule="exact"/>
              <w:jc w:val="center"/>
              <w:rPr>
                <w:sz w:val="24"/>
                <w:szCs w:val="24"/>
              </w:rPr>
            </w:pPr>
            <w:r>
              <w:rPr>
                <w:rFonts w:hint="eastAsia"/>
                <w:sz w:val="24"/>
                <w:szCs w:val="24"/>
              </w:rPr>
              <w:t>本月</w:t>
            </w:r>
          </w:p>
        </w:tc>
        <w:tc>
          <w:tcPr>
            <w:tcW w:w="1345" w:type="dxa"/>
            <w:gridSpan w:val="2"/>
            <w:tcBorders>
              <w:left w:val="single" w:color="auto" w:sz="4" w:space="0"/>
              <w:right w:val="single" w:color="auto" w:sz="4" w:space="0"/>
            </w:tcBorders>
            <w:vAlign w:val="center"/>
          </w:tcPr>
          <w:p>
            <w:pPr>
              <w:spacing w:line="380" w:lineRule="exact"/>
              <w:jc w:val="center"/>
              <w:rPr>
                <w:sz w:val="24"/>
                <w:szCs w:val="24"/>
              </w:rPr>
            </w:pPr>
            <w:r>
              <w:rPr>
                <w:rFonts w:hint="eastAsia"/>
                <w:sz w:val="24"/>
                <w:szCs w:val="24"/>
              </w:rPr>
              <w:t>累计</w:t>
            </w:r>
          </w:p>
        </w:tc>
        <w:tc>
          <w:tcPr>
            <w:tcW w:w="1345" w:type="dxa"/>
            <w:gridSpan w:val="2"/>
            <w:tcBorders>
              <w:left w:val="single" w:color="auto" w:sz="4" w:space="0"/>
              <w:right w:val="nil"/>
            </w:tcBorders>
            <w:vAlign w:val="center"/>
          </w:tcPr>
          <w:p>
            <w:pPr>
              <w:spacing w:line="380" w:lineRule="exact"/>
              <w:jc w:val="center"/>
              <w:rPr>
                <w:sz w:val="24"/>
                <w:szCs w:val="24"/>
              </w:rPr>
            </w:pPr>
            <w:r>
              <w:rPr>
                <w:rFonts w:hint="eastAsia"/>
                <w:sz w:val="24"/>
                <w:szCs w:val="24"/>
              </w:rPr>
              <w:t>同期累计</w:t>
            </w:r>
          </w:p>
        </w:tc>
        <w:tc>
          <w:tcPr>
            <w:tcW w:w="1351" w:type="dxa"/>
            <w:tcBorders>
              <w:left w:val="single" w:color="auto" w:sz="4" w:space="0"/>
              <w:right w:val="nil"/>
            </w:tcBorders>
            <w:vAlign w:val="center"/>
          </w:tcPr>
          <w:p>
            <w:pPr>
              <w:spacing w:line="380" w:lineRule="exact"/>
              <w:jc w:val="center"/>
              <w:rPr>
                <w:sz w:val="24"/>
                <w:szCs w:val="24"/>
              </w:rPr>
            </w:pPr>
            <w:r>
              <w:rPr>
                <w:rFonts w:hint="eastAsia"/>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市本级参保人数（人）</w:t>
            </w:r>
          </w:p>
        </w:tc>
        <w:tc>
          <w:tcPr>
            <w:tcW w:w="1345" w:type="dxa"/>
            <w:tcBorders>
              <w:left w:val="nil"/>
            </w:tcBorders>
            <w:vAlign w:val="center"/>
          </w:tcPr>
          <w:p>
            <w:pPr>
              <w:spacing w:line="380" w:lineRule="exact"/>
              <w:jc w:val="center"/>
              <w:rPr>
                <w:sz w:val="24"/>
                <w:szCs w:val="24"/>
              </w:rPr>
            </w:pPr>
            <w:r>
              <w:rPr>
                <w:rFonts w:hint="eastAsia"/>
                <w:sz w:val="24"/>
                <w:szCs w:val="24"/>
              </w:rPr>
              <w:t>—</w:t>
            </w:r>
          </w:p>
        </w:tc>
        <w:tc>
          <w:tcPr>
            <w:tcW w:w="1345" w:type="dxa"/>
            <w:gridSpan w:val="2"/>
            <w:tcBorders>
              <w:left w:val="nil"/>
              <w:right w:val="single" w:color="auto" w:sz="4" w:space="0"/>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16798</w:t>
            </w:r>
          </w:p>
        </w:tc>
        <w:tc>
          <w:tcPr>
            <w:tcW w:w="1345" w:type="dxa"/>
            <w:gridSpan w:val="2"/>
            <w:tcBorders>
              <w:left w:val="single" w:color="auto" w:sz="4" w:space="0"/>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16667</w:t>
            </w:r>
          </w:p>
        </w:tc>
        <w:tc>
          <w:tcPr>
            <w:tcW w:w="1351" w:type="dxa"/>
            <w:tcBorders>
              <w:left w:val="single" w:color="auto" w:sz="4" w:space="0"/>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市本级养老保险基金收入(万元)</w:t>
            </w:r>
          </w:p>
        </w:tc>
        <w:tc>
          <w:tcPr>
            <w:tcW w:w="1345" w:type="dxa"/>
            <w:tcBorders>
              <w:left w:val="nil"/>
            </w:tcBorders>
            <w:vAlign w:val="center"/>
          </w:tcPr>
          <w:p>
            <w:pPr>
              <w:tabs>
                <w:tab w:val="left" w:pos="523"/>
              </w:tabs>
              <w:spacing w:line="380" w:lineRule="exact"/>
              <w:ind w:firstLine="125" w:firstLineChars="49"/>
              <w:jc w:val="left"/>
              <w:rPr>
                <w:rFonts w:hint="default"/>
                <w:sz w:val="24"/>
                <w:szCs w:val="24"/>
                <w:lang w:val="en-US" w:eastAsia="zh-CN"/>
              </w:rPr>
            </w:pPr>
            <w:r>
              <w:rPr>
                <w:rFonts w:hint="eastAsia"/>
                <w:sz w:val="24"/>
                <w:szCs w:val="24"/>
                <w:lang w:val="en-US" w:eastAsia="zh-CN"/>
              </w:rPr>
              <w:t>2759.19</w:t>
            </w:r>
          </w:p>
        </w:tc>
        <w:tc>
          <w:tcPr>
            <w:tcW w:w="1345" w:type="dxa"/>
            <w:gridSpan w:val="2"/>
            <w:tcBorders>
              <w:left w:val="nil"/>
              <w:right w:val="single" w:color="auto" w:sz="4" w:space="0"/>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22934.32</w:t>
            </w:r>
          </w:p>
        </w:tc>
        <w:tc>
          <w:tcPr>
            <w:tcW w:w="1345" w:type="dxa"/>
            <w:gridSpan w:val="2"/>
            <w:tcBorders>
              <w:left w:val="single" w:color="auto" w:sz="4" w:space="0"/>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19993.72</w:t>
            </w:r>
          </w:p>
        </w:tc>
        <w:tc>
          <w:tcPr>
            <w:tcW w:w="1351" w:type="dxa"/>
            <w:tcBorders>
              <w:left w:val="single" w:color="auto" w:sz="4" w:space="0"/>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市级养老保险基金支出（万元）</w:t>
            </w:r>
          </w:p>
        </w:tc>
        <w:tc>
          <w:tcPr>
            <w:tcW w:w="1345" w:type="dxa"/>
            <w:tcBorders>
              <w:lef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3815.11</w:t>
            </w:r>
          </w:p>
        </w:tc>
        <w:tc>
          <w:tcPr>
            <w:tcW w:w="1345" w:type="dxa"/>
            <w:gridSpan w:val="2"/>
            <w:tcBorders>
              <w:left w:val="nil"/>
              <w:right w:val="single" w:color="auto" w:sz="4" w:space="0"/>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22931.2</w:t>
            </w:r>
          </w:p>
        </w:tc>
        <w:tc>
          <w:tcPr>
            <w:tcW w:w="1345" w:type="dxa"/>
            <w:gridSpan w:val="2"/>
            <w:tcBorders>
              <w:left w:val="single" w:color="auto" w:sz="4" w:space="0"/>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21705.68</w:t>
            </w:r>
          </w:p>
        </w:tc>
        <w:tc>
          <w:tcPr>
            <w:tcW w:w="1351" w:type="dxa"/>
            <w:tcBorders>
              <w:left w:val="single" w:color="auto" w:sz="4" w:space="0"/>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期末养老保险金结余（万元）</w:t>
            </w:r>
          </w:p>
        </w:tc>
        <w:tc>
          <w:tcPr>
            <w:tcW w:w="1345" w:type="dxa"/>
            <w:tcBorders>
              <w:lef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-1055.92</w:t>
            </w:r>
          </w:p>
        </w:tc>
        <w:tc>
          <w:tcPr>
            <w:tcW w:w="1345" w:type="dxa"/>
            <w:gridSpan w:val="2"/>
            <w:tcBorders>
              <w:left w:val="nil"/>
              <w:right w:val="single" w:color="auto" w:sz="4" w:space="0"/>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3.12</w:t>
            </w:r>
          </w:p>
        </w:tc>
        <w:tc>
          <w:tcPr>
            <w:tcW w:w="1345" w:type="dxa"/>
            <w:gridSpan w:val="2"/>
            <w:tcBorders>
              <w:left w:val="single" w:color="auto" w:sz="4" w:space="0"/>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-1711.96</w:t>
            </w:r>
          </w:p>
        </w:tc>
        <w:tc>
          <w:tcPr>
            <w:tcW w:w="1351" w:type="dxa"/>
            <w:tcBorders>
              <w:left w:val="single" w:color="auto" w:sz="4" w:space="0"/>
              <w:right w:val="nil"/>
            </w:tcBorders>
            <w:vAlign w:val="center"/>
          </w:tcPr>
          <w:p>
            <w:pPr>
              <w:spacing w:line="380" w:lineRule="exact"/>
              <w:jc w:val="center"/>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left w:val="nil"/>
              <w:right w:val="nil"/>
            </w:tcBorders>
            <w:vAlign w:val="center"/>
          </w:tcPr>
          <w:p>
            <w:pPr>
              <w:spacing w:line="360" w:lineRule="exact"/>
              <w:ind w:firstLine="2753" w:firstLineChars="924"/>
              <w:rPr>
                <w:rFonts w:ascii="黑体" w:hAnsi="黑体" w:eastAsia="黑体"/>
              </w:rPr>
            </w:pPr>
            <w:r>
              <w:rPr>
                <w:rFonts w:hint="eastAsia" w:ascii="黑体" w:hAnsi="黑体" w:eastAsia="黑体"/>
              </w:rPr>
              <w:t>（三）失业保险情况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jc w:val="center"/>
              <w:rPr>
                <w:sz w:val="24"/>
                <w:szCs w:val="24"/>
              </w:rPr>
            </w:pPr>
            <w:r>
              <w:rPr>
                <w:rFonts w:hint="eastAsia"/>
                <w:sz w:val="24"/>
                <w:szCs w:val="24"/>
              </w:rPr>
              <w:t>指标名称</w:t>
            </w:r>
          </w:p>
        </w:tc>
        <w:tc>
          <w:tcPr>
            <w:tcW w:w="2690" w:type="dxa"/>
            <w:gridSpan w:val="3"/>
            <w:tcBorders>
              <w:left w:val="nil"/>
              <w:right w:val="single" w:color="auto" w:sz="4" w:space="0"/>
            </w:tcBorders>
            <w:vAlign w:val="center"/>
          </w:tcPr>
          <w:p>
            <w:pPr>
              <w:spacing w:line="360" w:lineRule="exact"/>
              <w:jc w:val="center"/>
              <w:rPr>
                <w:sz w:val="24"/>
                <w:szCs w:val="24"/>
              </w:rPr>
            </w:pPr>
            <w:r>
              <w:rPr>
                <w:rFonts w:hint="eastAsia"/>
                <w:sz w:val="24"/>
                <w:szCs w:val="24"/>
              </w:rPr>
              <w:t>本月</w:t>
            </w:r>
          </w:p>
        </w:tc>
        <w:tc>
          <w:tcPr>
            <w:tcW w:w="2696" w:type="dxa"/>
            <w:gridSpan w:val="3"/>
            <w:tcBorders>
              <w:left w:val="single" w:color="auto" w:sz="4" w:space="0"/>
              <w:right w:val="nil"/>
            </w:tcBorders>
            <w:vAlign w:val="center"/>
          </w:tcPr>
          <w:p>
            <w:pPr>
              <w:spacing w:line="360" w:lineRule="exact"/>
              <w:jc w:val="center"/>
              <w:rPr>
                <w:sz w:val="24"/>
                <w:szCs w:val="24"/>
              </w:rPr>
            </w:pPr>
            <w:r>
              <w:rPr>
                <w:rFonts w:hint="eastAsia"/>
                <w:sz w:val="24"/>
                <w:szCs w:val="24"/>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期末参保人数（人）</w:t>
            </w:r>
          </w:p>
        </w:tc>
        <w:tc>
          <w:tcPr>
            <w:tcW w:w="2690" w:type="dxa"/>
            <w:gridSpan w:val="3"/>
            <w:tcBorders>
              <w:left w:val="nil"/>
              <w:right w:val="single" w:color="auto" w:sz="4" w:space="0"/>
            </w:tcBorders>
            <w:vAlign w:val="center"/>
          </w:tcPr>
          <w:p>
            <w:pPr>
              <w:spacing w:line="360" w:lineRule="exact"/>
              <w:jc w:val="center"/>
              <w:rPr>
                <w:sz w:val="24"/>
                <w:szCs w:val="24"/>
              </w:rPr>
            </w:pPr>
            <w:r>
              <w:rPr>
                <w:rFonts w:hint="eastAsia"/>
                <w:sz w:val="24"/>
                <w:szCs w:val="24"/>
              </w:rPr>
              <w:t>--</w:t>
            </w:r>
          </w:p>
        </w:tc>
        <w:tc>
          <w:tcPr>
            <w:tcW w:w="2696" w:type="dxa"/>
            <w:gridSpan w:val="3"/>
            <w:tcBorders>
              <w:left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32498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失业保险基金收入（万元）</w:t>
            </w:r>
          </w:p>
        </w:tc>
        <w:tc>
          <w:tcPr>
            <w:tcW w:w="2690" w:type="dxa"/>
            <w:gridSpan w:val="3"/>
            <w:tcBorders>
              <w:left w:val="nil"/>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110.66</w:t>
            </w:r>
          </w:p>
        </w:tc>
        <w:tc>
          <w:tcPr>
            <w:tcW w:w="2696" w:type="dxa"/>
            <w:gridSpan w:val="3"/>
            <w:tcBorders>
              <w:left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605.5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失业保险基金支出（万元）</w:t>
            </w:r>
          </w:p>
        </w:tc>
        <w:tc>
          <w:tcPr>
            <w:tcW w:w="2690" w:type="dxa"/>
            <w:gridSpan w:val="3"/>
            <w:tcBorders>
              <w:left w:val="nil"/>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201.66</w:t>
            </w:r>
          </w:p>
        </w:tc>
        <w:tc>
          <w:tcPr>
            <w:tcW w:w="2696" w:type="dxa"/>
            <w:gridSpan w:val="3"/>
            <w:tcBorders>
              <w:left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1482.1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领取失业保险金人数（人）</w:t>
            </w:r>
          </w:p>
        </w:tc>
        <w:tc>
          <w:tcPr>
            <w:tcW w:w="2690" w:type="dxa"/>
            <w:gridSpan w:val="3"/>
            <w:tcBorders>
              <w:left w:val="nil"/>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1357</w:t>
            </w:r>
          </w:p>
        </w:tc>
        <w:tc>
          <w:tcPr>
            <w:tcW w:w="2696" w:type="dxa"/>
            <w:gridSpan w:val="3"/>
            <w:tcBorders>
              <w:left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失业保险基金结余（万元）</w:t>
            </w:r>
          </w:p>
        </w:tc>
        <w:tc>
          <w:tcPr>
            <w:tcW w:w="2690" w:type="dxa"/>
            <w:gridSpan w:val="3"/>
            <w:tcBorders>
              <w:left w:val="nil"/>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-91</w:t>
            </w:r>
          </w:p>
        </w:tc>
        <w:tc>
          <w:tcPr>
            <w:tcW w:w="2696" w:type="dxa"/>
            <w:gridSpan w:val="3"/>
            <w:tcBorders>
              <w:left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1441.7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left w:val="nil"/>
              <w:right w:val="nil"/>
            </w:tcBorders>
            <w:vAlign w:val="center"/>
          </w:tcPr>
          <w:p>
            <w:pPr>
              <w:spacing w:line="360" w:lineRule="exact"/>
              <w:ind w:firstLine="2741" w:firstLineChars="920"/>
              <w:rPr>
                <w:rFonts w:ascii="黑体" w:hAnsi="黑体" w:eastAsia="黑体"/>
              </w:rPr>
            </w:pPr>
            <w:r>
              <w:rPr>
                <w:rFonts w:hint="eastAsia" w:ascii="黑体" w:hAnsi="黑体" w:eastAsia="黑体"/>
              </w:rPr>
              <w:t>（四）最低生活保障情况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jc w:val="center"/>
              <w:rPr>
                <w:sz w:val="24"/>
                <w:szCs w:val="24"/>
              </w:rPr>
            </w:pPr>
            <w:r>
              <w:rPr>
                <w:rFonts w:hint="eastAsia"/>
                <w:sz w:val="24"/>
                <w:szCs w:val="24"/>
              </w:rPr>
              <w:t>指标名称</w:t>
            </w:r>
          </w:p>
        </w:tc>
        <w:tc>
          <w:tcPr>
            <w:tcW w:w="1793" w:type="dxa"/>
            <w:gridSpan w:val="2"/>
            <w:tcBorders>
              <w:left w:val="nil"/>
            </w:tcBorders>
            <w:vAlign w:val="center"/>
          </w:tcPr>
          <w:p>
            <w:pPr>
              <w:spacing w:line="360" w:lineRule="exact"/>
              <w:jc w:val="center"/>
              <w:rPr>
                <w:sz w:val="24"/>
                <w:szCs w:val="24"/>
              </w:rPr>
            </w:pPr>
            <w:r>
              <w:rPr>
                <w:rFonts w:hint="eastAsia"/>
                <w:sz w:val="24"/>
                <w:szCs w:val="24"/>
              </w:rPr>
              <w:t>当月发放</w:t>
            </w:r>
          </w:p>
          <w:p>
            <w:pPr>
              <w:spacing w:line="360" w:lineRule="exact"/>
              <w:jc w:val="center"/>
              <w:rPr>
                <w:sz w:val="24"/>
                <w:szCs w:val="24"/>
              </w:rPr>
            </w:pPr>
            <w:r>
              <w:rPr>
                <w:rFonts w:hint="eastAsia"/>
                <w:sz w:val="24"/>
                <w:szCs w:val="24"/>
              </w:rPr>
              <w:t>户数（户）</w:t>
            </w:r>
          </w:p>
        </w:tc>
        <w:tc>
          <w:tcPr>
            <w:tcW w:w="1793" w:type="dxa"/>
            <w:gridSpan w:val="2"/>
            <w:tcBorders>
              <w:left w:val="nil"/>
            </w:tcBorders>
            <w:vAlign w:val="center"/>
          </w:tcPr>
          <w:p>
            <w:pPr>
              <w:spacing w:line="360" w:lineRule="exact"/>
              <w:jc w:val="center"/>
              <w:rPr>
                <w:sz w:val="24"/>
                <w:szCs w:val="24"/>
              </w:rPr>
            </w:pPr>
            <w:r>
              <w:rPr>
                <w:rFonts w:hint="eastAsia"/>
                <w:sz w:val="24"/>
                <w:szCs w:val="24"/>
              </w:rPr>
              <w:t>当月发放</w:t>
            </w:r>
          </w:p>
          <w:p>
            <w:pPr>
              <w:spacing w:line="360" w:lineRule="exact"/>
              <w:jc w:val="center"/>
              <w:rPr>
                <w:sz w:val="24"/>
                <w:szCs w:val="24"/>
              </w:rPr>
            </w:pPr>
            <w:r>
              <w:rPr>
                <w:rFonts w:hint="eastAsia"/>
                <w:sz w:val="24"/>
                <w:szCs w:val="24"/>
              </w:rPr>
              <w:t>人数（人）</w:t>
            </w:r>
          </w:p>
        </w:tc>
        <w:tc>
          <w:tcPr>
            <w:tcW w:w="1800" w:type="dxa"/>
            <w:gridSpan w:val="2"/>
            <w:tcBorders>
              <w:left w:val="nil"/>
              <w:right w:val="nil"/>
            </w:tcBorders>
            <w:vAlign w:val="center"/>
          </w:tcPr>
          <w:p>
            <w:pPr>
              <w:spacing w:line="360" w:lineRule="exact"/>
              <w:jc w:val="center"/>
              <w:rPr>
                <w:sz w:val="24"/>
                <w:szCs w:val="24"/>
              </w:rPr>
            </w:pPr>
            <w:r>
              <w:rPr>
                <w:rFonts w:hint="eastAsia"/>
                <w:sz w:val="24"/>
                <w:szCs w:val="24"/>
              </w:rPr>
              <w:t>当月发放</w:t>
            </w:r>
          </w:p>
          <w:p>
            <w:pPr>
              <w:spacing w:line="360" w:lineRule="exact"/>
              <w:jc w:val="center"/>
              <w:rPr>
                <w:sz w:val="24"/>
                <w:szCs w:val="24"/>
              </w:rPr>
            </w:pPr>
            <w:r>
              <w:rPr>
                <w:rFonts w:hint="eastAsia"/>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 xml:space="preserve">       总 计</w:t>
            </w:r>
          </w:p>
        </w:tc>
        <w:tc>
          <w:tcPr>
            <w:tcW w:w="1793" w:type="dxa"/>
            <w:gridSpan w:val="2"/>
            <w:tcBorders>
              <w:lef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9393</w:t>
            </w:r>
          </w:p>
        </w:tc>
        <w:tc>
          <w:tcPr>
            <w:tcW w:w="1793" w:type="dxa"/>
            <w:gridSpan w:val="2"/>
            <w:tcBorders>
              <w:lef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17402</w:t>
            </w:r>
          </w:p>
        </w:tc>
        <w:tc>
          <w:tcPr>
            <w:tcW w:w="1800" w:type="dxa"/>
            <w:gridSpan w:val="2"/>
            <w:tcBorders>
              <w:left w:val="nil"/>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500.1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3794" w:type="dxa"/>
            <w:tcBorders>
              <w:left w:val="nil"/>
            </w:tcBorders>
            <w:vAlign w:val="center"/>
          </w:tcPr>
          <w:p>
            <w:pPr>
              <w:spacing w:line="360" w:lineRule="exact"/>
              <w:rPr>
                <w:sz w:val="24"/>
                <w:szCs w:val="24"/>
              </w:rPr>
            </w:pPr>
            <w:r>
              <w:rPr>
                <w:rFonts w:hint="eastAsia"/>
                <w:sz w:val="24"/>
                <w:szCs w:val="24"/>
              </w:rPr>
              <w:t xml:space="preserve">       城 镇</w:t>
            </w:r>
          </w:p>
        </w:tc>
        <w:tc>
          <w:tcPr>
            <w:tcW w:w="1793" w:type="dxa"/>
            <w:gridSpan w:val="2"/>
            <w:tcBorders>
              <w:lef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2947</w:t>
            </w:r>
          </w:p>
        </w:tc>
        <w:tc>
          <w:tcPr>
            <w:tcW w:w="1793" w:type="dxa"/>
            <w:gridSpan w:val="2"/>
            <w:tcBorders>
              <w:lef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4235</w:t>
            </w:r>
          </w:p>
        </w:tc>
        <w:tc>
          <w:tcPr>
            <w:tcW w:w="1800" w:type="dxa"/>
            <w:gridSpan w:val="2"/>
            <w:tcBorders>
              <w:left w:val="nil"/>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146.4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94" w:type="dxa"/>
            <w:tcBorders>
              <w:left w:val="nil"/>
              <w:bottom w:val="single" w:color="auto" w:sz="4" w:space="0"/>
            </w:tcBorders>
            <w:vAlign w:val="center"/>
          </w:tcPr>
          <w:p>
            <w:pPr>
              <w:spacing w:line="360" w:lineRule="exact"/>
              <w:ind w:firstLine="879" w:firstLineChars="341"/>
              <w:rPr>
                <w:sz w:val="24"/>
                <w:szCs w:val="24"/>
              </w:rPr>
            </w:pPr>
            <w:r>
              <w:rPr>
                <w:rFonts w:hint="eastAsia"/>
                <w:sz w:val="24"/>
                <w:szCs w:val="24"/>
              </w:rPr>
              <w:t>农 村</w:t>
            </w:r>
          </w:p>
        </w:tc>
        <w:tc>
          <w:tcPr>
            <w:tcW w:w="1793" w:type="dxa"/>
            <w:gridSpan w:val="2"/>
            <w:tcBorders>
              <w:left w:val="nil"/>
              <w:bottom w:val="single" w:color="auto" w:sz="4" w:space="0"/>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6446</w:t>
            </w:r>
          </w:p>
        </w:tc>
        <w:tc>
          <w:tcPr>
            <w:tcW w:w="1793" w:type="dxa"/>
            <w:gridSpan w:val="2"/>
            <w:tcBorders>
              <w:left w:val="nil"/>
              <w:bottom w:val="single" w:color="auto" w:sz="4" w:space="0"/>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13167</w:t>
            </w:r>
          </w:p>
        </w:tc>
        <w:tc>
          <w:tcPr>
            <w:tcW w:w="1800" w:type="dxa"/>
            <w:gridSpan w:val="2"/>
            <w:tcBorders>
              <w:left w:val="nil"/>
              <w:bottom w:val="single" w:color="auto" w:sz="4" w:space="0"/>
              <w:right w:val="nil"/>
            </w:tcBorders>
            <w:vAlign w:val="center"/>
          </w:tcPr>
          <w:p>
            <w:pPr>
              <w:spacing w:line="380" w:lineRule="exact"/>
              <w:jc w:val="center"/>
              <w:rPr>
                <w:rFonts w:hint="default" w:eastAsia="宋体"/>
                <w:sz w:val="24"/>
                <w:szCs w:val="24"/>
                <w:lang w:val="en-US" w:eastAsia="zh-CN"/>
              </w:rPr>
            </w:pPr>
            <w:r>
              <w:rPr>
                <w:rFonts w:hint="eastAsia"/>
                <w:sz w:val="24"/>
                <w:szCs w:val="24"/>
                <w:lang w:val="en-US" w:eastAsia="zh-CN"/>
              </w:rPr>
              <w:t>353.7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top w:val="nil"/>
              <w:left w:val="nil"/>
              <w:right w:val="nil"/>
            </w:tcBorders>
            <w:vAlign w:val="center"/>
          </w:tcPr>
          <w:p>
            <w:pPr>
              <w:spacing w:line="360" w:lineRule="exact"/>
              <w:jc w:val="center"/>
              <w:rPr>
                <w:rFonts w:ascii="黑体" w:hAnsi="黑体" w:eastAsia="黑体"/>
              </w:rPr>
            </w:pPr>
          </w:p>
          <w:p>
            <w:pPr>
              <w:spacing w:line="360" w:lineRule="exact"/>
              <w:ind w:firstLine="2753" w:firstLineChars="924"/>
              <w:rPr>
                <w:rFonts w:ascii="黑体" w:hAnsi="黑体" w:eastAsia="黑体"/>
              </w:rPr>
            </w:pPr>
            <w:r>
              <w:rPr>
                <w:rFonts w:hint="eastAsia" w:ascii="黑体" w:hAnsi="黑体" w:eastAsia="黑体"/>
              </w:rPr>
              <w:t>（五）医疗保险情况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vMerge w:val="restart"/>
            <w:tcBorders>
              <w:left w:val="nil"/>
            </w:tcBorders>
            <w:vAlign w:val="center"/>
          </w:tcPr>
          <w:p>
            <w:pPr>
              <w:spacing w:line="360" w:lineRule="exact"/>
              <w:jc w:val="center"/>
              <w:rPr>
                <w:sz w:val="24"/>
                <w:szCs w:val="24"/>
              </w:rPr>
            </w:pPr>
            <w:r>
              <w:rPr>
                <w:rFonts w:hint="eastAsia"/>
                <w:sz w:val="24"/>
                <w:szCs w:val="24"/>
              </w:rPr>
              <w:t>指标名称</w:t>
            </w:r>
          </w:p>
        </w:tc>
        <w:tc>
          <w:tcPr>
            <w:tcW w:w="2690" w:type="dxa"/>
            <w:gridSpan w:val="3"/>
            <w:tcBorders>
              <w:left w:val="nil"/>
              <w:bottom w:val="single" w:color="auto" w:sz="4" w:space="0"/>
              <w:right w:val="single" w:color="auto" w:sz="4" w:space="0"/>
            </w:tcBorders>
            <w:vAlign w:val="center"/>
          </w:tcPr>
          <w:p>
            <w:pPr>
              <w:spacing w:line="360" w:lineRule="exact"/>
              <w:jc w:val="center"/>
              <w:rPr>
                <w:sz w:val="24"/>
                <w:szCs w:val="24"/>
              </w:rPr>
            </w:pPr>
            <w:r>
              <w:rPr>
                <w:rFonts w:hint="eastAsia"/>
                <w:sz w:val="24"/>
                <w:szCs w:val="24"/>
              </w:rPr>
              <w:t>本月</w:t>
            </w:r>
          </w:p>
        </w:tc>
        <w:tc>
          <w:tcPr>
            <w:tcW w:w="2696" w:type="dxa"/>
            <w:gridSpan w:val="3"/>
            <w:tcBorders>
              <w:left w:val="single" w:color="auto" w:sz="4" w:space="0"/>
              <w:bottom w:val="single" w:color="auto" w:sz="4" w:space="0"/>
              <w:right w:val="nil"/>
            </w:tcBorders>
            <w:vAlign w:val="center"/>
          </w:tcPr>
          <w:p>
            <w:pPr>
              <w:spacing w:line="360" w:lineRule="exact"/>
              <w:jc w:val="center"/>
              <w:rPr>
                <w:sz w:val="24"/>
                <w:szCs w:val="24"/>
              </w:rPr>
            </w:pPr>
            <w:r>
              <w:rPr>
                <w:rFonts w:hint="eastAsia"/>
                <w:sz w:val="24"/>
                <w:szCs w:val="24"/>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vMerge w:val="continue"/>
            <w:tcBorders>
              <w:left w:val="nil"/>
            </w:tcBorders>
            <w:vAlign w:val="center"/>
          </w:tcPr>
          <w:p>
            <w:pPr>
              <w:spacing w:line="360" w:lineRule="exact"/>
              <w:jc w:val="center"/>
              <w:rPr>
                <w:sz w:val="24"/>
                <w:szCs w:val="24"/>
              </w:rPr>
            </w:pPr>
          </w:p>
        </w:tc>
        <w:tc>
          <w:tcPr>
            <w:tcW w:w="1345" w:type="dxa"/>
            <w:tcBorders>
              <w:left w:val="nil"/>
              <w:bottom w:val="single" w:color="auto" w:sz="4" w:space="0"/>
              <w:right w:val="single" w:color="auto" w:sz="4" w:space="0"/>
            </w:tcBorders>
            <w:vAlign w:val="center"/>
          </w:tcPr>
          <w:p>
            <w:pPr>
              <w:spacing w:line="360" w:lineRule="exact"/>
              <w:jc w:val="center"/>
              <w:rPr>
                <w:sz w:val="24"/>
                <w:szCs w:val="24"/>
              </w:rPr>
            </w:pPr>
            <w:r>
              <w:rPr>
                <w:rFonts w:hint="eastAsia"/>
                <w:sz w:val="24"/>
                <w:szCs w:val="24"/>
              </w:rPr>
              <w:t>职工</w:t>
            </w:r>
          </w:p>
        </w:tc>
        <w:tc>
          <w:tcPr>
            <w:tcW w:w="1345" w:type="dxa"/>
            <w:gridSpan w:val="2"/>
            <w:tcBorders>
              <w:left w:val="single" w:color="auto" w:sz="4" w:space="0"/>
              <w:bottom w:val="single" w:color="auto" w:sz="4" w:space="0"/>
              <w:right w:val="single" w:color="auto" w:sz="4" w:space="0"/>
            </w:tcBorders>
            <w:vAlign w:val="center"/>
          </w:tcPr>
          <w:p>
            <w:pPr>
              <w:spacing w:line="360" w:lineRule="exact"/>
              <w:jc w:val="center"/>
              <w:rPr>
                <w:sz w:val="24"/>
                <w:szCs w:val="24"/>
              </w:rPr>
            </w:pPr>
            <w:r>
              <w:rPr>
                <w:rFonts w:hint="eastAsia"/>
                <w:sz w:val="24"/>
                <w:szCs w:val="24"/>
              </w:rPr>
              <w:t>合计</w:t>
            </w:r>
          </w:p>
        </w:tc>
        <w:tc>
          <w:tcPr>
            <w:tcW w:w="1345" w:type="dxa"/>
            <w:gridSpan w:val="2"/>
            <w:tcBorders>
              <w:left w:val="single" w:color="auto" w:sz="4" w:space="0"/>
              <w:bottom w:val="single" w:color="auto" w:sz="4" w:space="0"/>
              <w:right w:val="single" w:color="auto" w:sz="4" w:space="0"/>
            </w:tcBorders>
            <w:vAlign w:val="center"/>
          </w:tcPr>
          <w:p>
            <w:pPr>
              <w:spacing w:line="360" w:lineRule="exact"/>
              <w:jc w:val="center"/>
              <w:rPr>
                <w:sz w:val="24"/>
                <w:szCs w:val="24"/>
              </w:rPr>
            </w:pPr>
            <w:r>
              <w:rPr>
                <w:rFonts w:hint="eastAsia"/>
                <w:sz w:val="24"/>
                <w:szCs w:val="24"/>
              </w:rPr>
              <w:t>职工</w:t>
            </w:r>
          </w:p>
        </w:tc>
        <w:tc>
          <w:tcPr>
            <w:tcW w:w="1351" w:type="dxa"/>
            <w:tcBorders>
              <w:left w:val="single" w:color="auto" w:sz="4" w:space="0"/>
              <w:bottom w:val="single" w:color="auto" w:sz="4" w:space="0"/>
              <w:right w:val="nil"/>
            </w:tcBorders>
            <w:vAlign w:val="center"/>
          </w:tcPr>
          <w:p>
            <w:pPr>
              <w:spacing w:line="360" w:lineRule="exact"/>
              <w:jc w:val="center"/>
              <w:rPr>
                <w:sz w:val="24"/>
                <w:szCs w:val="24"/>
              </w:rPr>
            </w:pPr>
            <w:r>
              <w:rPr>
                <w:rFonts w:hint="eastAsia"/>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参保人数（人）</w:t>
            </w:r>
          </w:p>
        </w:tc>
        <w:tc>
          <w:tcPr>
            <w:tcW w:w="1345" w:type="dxa"/>
            <w:tcBorders>
              <w:top w:val="single" w:color="auto" w:sz="4" w:space="0"/>
              <w:left w:val="nil"/>
              <w:bottom w:val="single" w:color="auto" w:sz="4" w:space="0"/>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63</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5499</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59498</w:t>
            </w:r>
          </w:p>
        </w:tc>
        <w:tc>
          <w:tcPr>
            <w:tcW w:w="1351" w:type="dxa"/>
            <w:tcBorders>
              <w:top w:val="single" w:color="auto" w:sz="4" w:space="0"/>
              <w:left w:val="single" w:color="auto" w:sz="4" w:space="0"/>
              <w:bottom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777602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医疗基金收入（万元）</w:t>
            </w:r>
          </w:p>
        </w:tc>
        <w:tc>
          <w:tcPr>
            <w:tcW w:w="1345" w:type="dxa"/>
            <w:tcBorders>
              <w:top w:val="single" w:color="auto" w:sz="4" w:space="0"/>
              <w:left w:val="nil"/>
              <w:bottom w:val="single" w:color="auto" w:sz="4" w:space="0"/>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1996</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4003</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9416</w:t>
            </w:r>
          </w:p>
        </w:tc>
        <w:tc>
          <w:tcPr>
            <w:tcW w:w="1351" w:type="dxa"/>
            <w:tcBorders>
              <w:top w:val="single" w:color="auto" w:sz="4" w:space="0"/>
              <w:left w:val="single" w:color="auto" w:sz="4" w:space="0"/>
              <w:bottom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12403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医疗基金支出（万元）</w:t>
            </w:r>
          </w:p>
        </w:tc>
        <w:tc>
          <w:tcPr>
            <w:tcW w:w="1345" w:type="dxa"/>
            <w:tcBorders>
              <w:top w:val="single" w:color="auto" w:sz="4" w:space="0"/>
              <w:left w:val="nil"/>
              <w:bottom w:val="single" w:color="auto" w:sz="4" w:space="0"/>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1230</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firstLine="252" w:firstLineChars="98"/>
              <w:rPr>
                <w:rFonts w:hint="default" w:eastAsia="宋体"/>
                <w:sz w:val="24"/>
                <w:szCs w:val="24"/>
                <w:lang w:val="en-US" w:eastAsia="zh-CN"/>
              </w:rPr>
            </w:pPr>
            <w:r>
              <w:rPr>
                <w:rFonts w:hint="eastAsia"/>
                <w:sz w:val="24"/>
                <w:szCs w:val="24"/>
                <w:lang w:val="en-US" w:eastAsia="zh-CN"/>
              </w:rPr>
              <w:t>7756</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11985</w:t>
            </w:r>
          </w:p>
        </w:tc>
        <w:tc>
          <w:tcPr>
            <w:tcW w:w="1351" w:type="dxa"/>
            <w:tcBorders>
              <w:top w:val="single" w:color="auto" w:sz="4" w:space="0"/>
              <w:left w:val="single" w:color="auto" w:sz="4" w:space="0"/>
              <w:bottom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45690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医疗基金结余（万元）</w:t>
            </w:r>
          </w:p>
        </w:tc>
        <w:tc>
          <w:tcPr>
            <w:tcW w:w="1345" w:type="dxa"/>
            <w:tcBorders>
              <w:top w:val="single" w:color="auto" w:sz="4" w:space="0"/>
              <w:left w:val="nil"/>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766</w:t>
            </w:r>
          </w:p>
        </w:tc>
        <w:tc>
          <w:tcPr>
            <w:tcW w:w="1345" w:type="dxa"/>
            <w:gridSpan w:val="2"/>
            <w:tcBorders>
              <w:top w:val="single" w:color="auto" w:sz="4" w:space="0"/>
              <w:left w:val="single" w:color="auto" w:sz="4" w:space="0"/>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-3753</w:t>
            </w:r>
          </w:p>
        </w:tc>
        <w:tc>
          <w:tcPr>
            <w:tcW w:w="1345" w:type="dxa"/>
            <w:gridSpan w:val="2"/>
            <w:tcBorders>
              <w:top w:val="single" w:color="auto" w:sz="4" w:space="0"/>
              <w:left w:val="single" w:color="auto" w:sz="4" w:space="0"/>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-2569</w:t>
            </w:r>
          </w:p>
        </w:tc>
        <w:tc>
          <w:tcPr>
            <w:tcW w:w="1351" w:type="dxa"/>
            <w:tcBorders>
              <w:top w:val="single" w:color="auto" w:sz="4" w:space="0"/>
              <w:left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-6399</w:t>
            </w:r>
          </w:p>
        </w:tc>
      </w:tr>
    </w:tbl>
    <w:p>
      <w:pPr>
        <w:spacing w:line="380" w:lineRule="exact"/>
        <w:jc w:val="center"/>
        <w:rPr>
          <w:rFonts w:ascii="黑体" w:hAnsi="黑体" w:eastAsia="黑体"/>
        </w:rPr>
      </w:pPr>
    </w:p>
    <w:p>
      <w:pPr>
        <w:spacing w:line="380" w:lineRule="exact"/>
        <w:jc w:val="center"/>
        <w:rPr>
          <w:rFonts w:ascii="黑体" w:hAnsi="黑体" w:eastAsia="黑体"/>
        </w:rPr>
      </w:pPr>
    </w:p>
    <w:p>
      <w:pPr>
        <w:spacing w:line="380" w:lineRule="exact"/>
        <w:ind w:firstLine="2895" w:firstLineChars="972"/>
        <w:rPr>
          <w:rFonts w:ascii="黑体" w:hAnsi="黑体" w:eastAsia="黑体"/>
        </w:rPr>
      </w:pPr>
    </w:p>
    <w:p>
      <w:pPr>
        <w:spacing w:line="380" w:lineRule="exact"/>
        <w:ind w:firstLine="2622" w:firstLineChars="880"/>
        <w:rPr>
          <w:rFonts w:ascii="黑体" w:hAnsi="黑体" w:eastAsia="黑体"/>
        </w:rPr>
      </w:pPr>
      <w:r>
        <w:rPr>
          <w:rFonts w:hint="eastAsia" w:ascii="黑体" w:hAnsi="黑体" w:eastAsia="黑体"/>
        </w:rPr>
        <w:t>（六）职工工伤保险情况</w:t>
      </w:r>
    </w:p>
    <w:tbl>
      <w:tblPr>
        <w:tblStyle w:val="8"/>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1345"/>
        <w:gridCol w:w="1345"/>
        <w:gridCol w:w="1345"/>
        <w:gridCol w:w="1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right w:val="single" w:color="auto" w:sz="4" w:space="0"/>
            </w:tcBorders>
            <w:vAlign w:val="center"/>
          </w:tcPr>
          <w:p>
            <w:pPr>
              <w:spacing w:line="380" w:lineRule="exact"/>
              <w:jc w:val="center"/>
              <w:rPr>
                <w:sz w:val="24"/>
                <w:szCs w:val="24"/>
              </w:rPr>
            </w:pPr>
            <w:r>
              <w:rPr>
                <w:rFonts w:hint="eastAsia"/>
                <w:sz w:val="24"/>
                <w:szCs w:val="24"/>
              </w:rPr>
              <w:t>指标名称</w:t>
            </w:r>
          </w:p>
        </w:tc>
        <w:tc>
          <w:tcPr>
            <w:tcW w:w="1345" w:type="dxa"/>
            <w:tcBorders>
              <w:left w:val="single" w:color="auto" w:sz="4" w:space="0"/>
              <w:right w:val="single" w:color="auto" w:sz="4" w:space="0"/>
            </w:tcBorders>
            <w:vAlign w:val="center"/>
          </w:tcPr>
          <w:p>
            <w:pPr>
              <w:spacing w:line="380" w:lineRule="exact"/>
              <w:jc w:val="center"/>
              <w:rPr>
                <w:sz w:val="24"/>
                <w:szCs w:val="24"/>
              </w:rPr>
            </w:pPr>
            <w:r>
              <w:rPr>
                <w:rFonts w:hint="eastAsia"/>
                <w:sz w:val="24"/>
                <w:szCs w:val="24"/>
              </w:rPr>
              <w:t>本月</w:t>
            </w:r>
          </w:p>
        </w:tc>
        <w:tc>
          <w:tcPr>
            <w:tcW w:w="1345" w:type="dxa"/>
            <w:tcBorders>
              <w:left w:val="single" w:color="auto" w:sz="4" w:space="0"/>
              <w:right w:val="single" w:color="auto" w:sz="4" w:space="0"/>
            </w:tcBorders>
            <w:vAlign w:val="center"/>
          </w:tcPr>
          <w:p>
            <w:pPr>
              <w:spacing w:line="380" w:lineRule="exact"/>
              <w:jc w:val="center"/>
              <w:rPr>
                <w:sz w:val="24"/>
                <w:szCs w:val="24"/>
              </w:rPr>
            </w:pPr>
            <w:r>
              <w:rPr>
                <w:rFonts w:hint="eastAsia"/>
                <w:sz w:val="24"/>
                <w:szCs w:val="24"/>
              </w:rPr>
              <w:t>累计</w:t>
            </w:r>
          </w:p>
        </w:tc>
        <w:tc>
          <w:tcPr>
            <w:tcW w:w="1345" w:type="dxa"/>
            <w:tcBorders>
              <w:left w:val="single" w:color="auto" w:sz="4" w:space="0"/>
              <w:right w:val="nil"/>
            </w:tcBorders>
            <w:vAlign w:val="center"/>
          </w:tcPr>
          <w:p>
            <w:pPr>
              <w:spacing w:line="380" w:lineRule="exact"/>
              <w:jc w:val="center"/>
              <w:rPr>
                <w:sz w:val="24"/>
                <w:szCs w:val="24"/>
              </w:rPr>
            </w:pPr>
            <w:r>
              <w:rPr>
                <w:rFonts w:hint="eastAsia"/>
                <w:sz w:val="24"/>
                <w:szCs w:val="24"/>
              </w:rPr>
              <w:t>同期累计</w:t>
            </w:r>
          </w:p>
        </w:tc>
        <w:tc>
          <w:tcPr>
            <w:tcW w:w="1345" w:type="dxa"/>
            <w:tcBorders>
              <w:left w:val="single" w:color="auto" w:sz="4" w:space="0"/>
              <w:right w:val="nil"/>
            </w:tcBorders>
            <w:vAlign w:val="center"/>
          </w:tcPr>
          <w:p>
            <w:pPr>
              <w:spacing w:line="380" w:lineRule="exact"/>
              <w:jc w:val="center"/>
              <w:rPr>
                <w:sz w:val="24"/>
                <w:szCs w:val="24"/>
              </w:rPr>
            </w:pPr>
            <w:r>
              <w:rPr>
                <w:rFonts w:hint="eastAsia"/>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参保人数（人）</w:t>
            </w:r>
          </w:p>
        </w:tc>
        <w:tc>
          <w:tcPr>
            <w:tcW w:w="1345" w:type="dxa"/>
            <w:tcBorders>
              <w:lef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1224</w:t>
            </w:r>
          </w:p>
        </w:tc>
        <w:tc>
          <w:tcPr>
            <w:tcW w:w="1345" w:type="dxa"/>
            <w:tcBorders>
              <w:left w:val="nil"/>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49724</w:t>
            </w:r>
          </w:p>
        </w:tc>
        <w:tc>
          <w:tcPr>
            <w:tcW w:w="1345" w:type="dxa"/>
            <w:tcBorders>
              <w:left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40519</w:t>
            </w:r>
          </w:p>
        </w:tc>
        <w:tc>
          <w:tcPr>
            <w:tcW w:w="1345" w:type="dxa"/>
            <w:tcBorders>
              <w:left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保费收入(万元)</w:t>
            </w:r>
          </w:p>
        </w:tc>
        <w:tc>
          <w:tcPr>
            <w:tcW w:w="1345" w:type="dxa"/>
            <w:tcBorders>
              <w:lef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87</w:t>
            </w:r>
          </w:p>
        </w:tc>
        <w:tc>
          <w:tcPr>
            <w:tcW w:w="1345" w:type="dxa"/>
            <w:tcBorders>
              <w:left w:val="nil"/>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879</w:t>
            </w:r>
          </w:p>
        </w:tc>
        <w:tc>
          <w:tcPr>
            <w:tcW w:w="1345" w:type="dxa"/>
            <w:tcBorders>
              <w:left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833</w:t>
            </w:r>
          </w:p>
        </w:tc>
        <w:tc>
          <w:tcPr>
            <w:tcW w:w="1345" w:type="dxa"/>
            <w:tcBorders>
              <w:left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保费支出（万元）</w:t>
            </w:r>
          </w:p>
        </w:tc>
        <w:tc>
          <w:tcPr>
            <w:tcW w:w="1345" w:type="dxa"/>
            <w:tcBorders>
              <w:lef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52</w:t>
            </w:r>
          </w:p>
        </w:tc>
        <w:tc>
          <w:tcPr>
            <w:tcW w:w="1345" w:type="dxa"/>
            <w:tcBorders>
              <w:left w:val="nil"/>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790</w:t>
            </w:r>
          </w:p>
        </w:tc>
        <w:tc>
          <w:tcPr>
            <w:tcW w:w="1345" w:type="dxa"/>
            <w:tcBorders>
              <w:left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560</w:t>
            </w:r>
          </w:p>
        </w:tc>
        <w:tc>
          <w:tcPr>
            <w:tcW w:w="1345" w:type="dxa"/>
            <w:tcBorders>
              <w:left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sz w:val="24"/>
                <w:szCs w:val="24"/>
              </w:rPr>
            </w:pPr>
            <w:r>
              <w:rPr>
                <w:rFonts w:hint="eastAsia"/>
                <w:sz w:val="24"/>
                <w:szCs w:val="24"/>
              </w:rPr>
              <w:t>保费结余（万元）</w:t>
            </w:r>
          </w:p>
        </w:tc>
        <w:tc>
          <w:tcPr>
            <w:tcW w:w="1345" w:type="dxa"/>
            <w:tcBorders>
              <w:lef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35</w:t>
            </w:r>
          </w:p>
        </w:tc>
        <w:tc>
          <w:tcPr>
            <w:tcW w:w="1345" w:type="dxa"/>
            <w:tcBorders>
              <w:left w:val="nil"/>
              <w:right w:val="single" w:color="auto" w:sz="4" w:space="0"/>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89</w:t>
            </w:r>
          </w:p>
        </w:tc>
        <w:tc>
          <w:tcPr>
            <w:tcW w:w="1345" w:type="dxa"/>
            <w:tcBorders>
              <w:left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273</w:t>
            </w:r>
          </w:p>
        </w:tc>
        <w:tc>
          <w:tcPr>
            <w:tcW w:w="1345" w:type="dxa"/>
            <w:tcBorders>
              <w:left w:val="single" w:color="auto" w:sz="4" w:space="0"/>
              <w:right w:val="nil"/>
            </w:tcBorders>
            <w:vAlign w:val="center"/>
          </w:tcPr>
          <w:p>
            <w:pPr>
              <w:spacing w:line="360" w:lineRule="exact"/>
              <w:jc w:val="center"/>
              <w:rPr>
                <w:rFonts w:hint="default" w:eastAsia="宋体"/>
                <w:sz w:val="24"/>
                <w:szCs w:val="24"/>
                <w:lang w:val="en-US" w:eastAsia="zh-CN"/>
              </w:rPr>
            </w:pPr>
            <w:r>
              <w:rPr>
                <w:rFonts w:hint="eastAsia"/>
                <w:sz w:val="24"/>
                <w:szCs w:val="24"/>
                <w:lang w:val="en-US" w:eastAsia="zh-CN"/>
              </w:rPr>
              <w:t>-67.4</w:t>
            </w:r>
          </w:p>
        </w:tc>
      </w:tr>
    </w:tbl>
    <w:p>
      <w:pPr>
        <w:jc w:val="left"/>
        <w:outlineLvl w:val="0"/>
        <w:rPr>
          <w:rFonts w:ascii="宋体" w:hAnsi="宋体" w:cs="宋体"/>
          <w:sz w:val="24"/>
          <w:szCs w:val="24"/>
        </w:rPr>
      </w:pPr>
    </w:p>
    <w:sectPr>
      <w:pgSz w:w="11906" w:h="16838"/>
      <w:pgMar w:top="1701" w:right="843" w:bottom="1361" w:left="1701" w:header="851" w:footer="1361" w:gutter="0"/>
      <w:cols w:space="720" w:num="1"/>
      <w:docGrid w:type="linesAndChars" w:linePitch="574" w:charSpace="38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E18462"/>
    <w:multiLevelType w:val="singleLevel"/>
    <w:tmpl w:val="56E1846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299"/>
  <w:drawingGridVerticalSpacing w:val="287"/>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0804"/>
    <w:rsid w:val="00000B21"/>
    <w:rsid w:val="00000CBE"/>
    <w:rsid w:val="00001BF2"/>
    <w:rsid w:val="00001EC5"/>
    <w:rsid w:val="0000277D"/>
    <w:rsid w:val="00003598"/>
    <w:rsid w:val="000038D0"/>
    <w:rsid w:val="000053A4"/>
    <w:rsid w:val="00010492"/>
    <w:rsid w:val="00010C6C"/>
    <w:rsid w:val="0001169F"/>
    <w:rsid w:val="00011D0D"/>
    <w:rsid w:val="00012BA7"/>
    <w:rsid w:val="00013028"/>
    <w:rsid w:val="000130D7"/>
    <w:rsid w:val="00013B0F"/>
    <w:rsid w:val="00013B8D"/>
    <w:rsid w:val="00013E0C"/>
    <w:rsid w:val="00014BD5"/>
    <w:rsid w:val="000156F7"/>
    <w:rsid w:val="0001628D"/>
    <w:rsid w:val="0001661B"/>
    <w:rsid w:val="000205D6"/>
    <w:rsid w:val="00020757"/>
    <w:rsid w:val="00021E38"/>
    <w:rsid w:val="00022385"/>
    <w:rsid w:val="00023C06"/>
    <w:rsid w:val="00023FE5"/>
    <w:rsid w:val="00024107"/>
    <w:rsid w:val="000244A9"/>
    <w:rsid w:val="00024905"/>
    <w:rsid w:val="00024DBB"/>
    <w:rsid w:val="00025AE5"/>
    <w:rsid w:val="00026063"/>
    <w:rsid w:val="00027653"/>
    <w:rsid w:val="00027D25"/>
    <w:rsid w:val="000300BC"/>
    <w:rsid w:val="0003024D"/>
    <w:rsid w:val="000303B9"/>
    <w:rsid w:val="00030ACB"/>
    <w:rsid w:val="00030F6A"/>
    <w:rsid w:val="000317E6"/>
    <w:rsid w:val="00032136"/>
    <w:rsid w:val="000328BE"/>
    <w:rsid w:val="00032AC6"/>
    <w:rsid w:val="00032CFA"/>
    <w:rsid w:val="00033498"/>
    <w:rsid w:val="000348F1"/>
    <w:rsid w:val="00034A77"/>
    <w:rsid w:val="00034BC0"/>
    <w:rsid w:val="00035416"/>
    <w:rsid w:val="0003762B"/>
    <w:rsid w:val="00037BD3"/>
    <w:rsid w:val="00042616"/>
    <w:rsid w:val="00042A93"/>
    <w:rsid w:val="0004514D"/>
    <w:rsid w:val="00045433"/>
    <w:rsid w:val="000457B8"/>
    <w:rsid w:val="0004592C"/>
    <w:rsid w:val="0004611C"/>
    <w:rsid w:val="00046448"/>
    <w:rsid w:val="000469ED"/>
    <w:rsid w:val="00047BAC"/>
    <w:rsid w:val="0005127A"/>
    <w:rsid w:val="0005153B"/>
    <w:rsid w:val="000533AD"/>
    <w:rsid w:val="000536C2"/>
    <w:rsid w:val="0005377B"/>
    <w:rsid w:val="000537B1"/>
    <w:rsid w:val="00053FF2"/>
    <w:rsid w:val="00054C40"/>
    <w:rsid w:val="000559FE"/>
    <w:rsid w:val="00056CC2"/>
    <w:rsid w:val="00060069"/>
    <w:rsid w:val="00061348"/>
    <w:rsid w:val="00063589"/>
    <w:rsid w:val="0006418D"/>
    <w:rsid w:val="000642CB"/>
    <w:rsid w:val="000646DC"/>
    <w:rsid w:val="00064A15"/>
    <w:rsid w:val="000661CA"/>
    <w:rsid w:val="0006639D"/>
    <w:rsid w:val="000665E0"/>
    <w:rsid w:val="000666D3"/>
    <w:rsid w:val="00066B44"/>
    <w:rsid w:val="00066DA7"/>
    <w:rsid w:val="00066F22"/>
    <w:rsid w:val="00067995"/>
    <w:rsid w:val="00070010"/>
    <w:rsid w:val="000704E1"/>
    <w:rsid w:val="00070609"/>
    <w:rsid w:val="000707E0"/>
    <w:rsid w:val="00071022"/>
    <w:rsid w:val="00071E9C"/>
    <w:rsid w:val="00072701"/>
    <w:rsid w:val="000740E3"/>
    <w:rsid w:val="00074C6F"/>
    <w:rsid w:val="00074D7C"/>
    <w:rsid w:val="00075DA8"/>
    <w:rsid w:val="00080EB6"/>
    <w:rsid w:val="00081000"/>
    <w:rsid w:val="0008119F"/>
    <w:rsid w:val="0008152F"/>
    <w:rsid w:val="000818BA"/>
    <w:rsid w:val="00082E10"/>
    <w:rsid w:val="00083E16"/>
    <w:rsid w:val="00084F58"/>
    <w:rsid w:val="000857C3"/>
    <w:rsid w:val="00086BA3"/>
    <w:rsid w:val="00087ABC"/>
    <w:rsid w:val="0009115F"/>
    <w:rsid w:val="00091D1A"/>
    <w:rsid w:val="00092195"/>
    <w:rsid w:val="000928A0"/>
    <w:rsid w:val="0009292C"/>
    <w:rsid w:val="00092DE8"/>
    <w:rsid w:val="0009392B"/>
    <w:rsid w:val="00094C7C"/>
    <w:rsid w:val="00095831"/>
    <w:rsid w:val="00096D2C"/>
    <w:rsid w:val="000A0B14"/>
    <w:rsid w:val="000A127B"/>
    <w:rsid w:val="000A4069"/>
    <w:rsid w:val="000A422E"/>
    <w:rsid w:val="000A4ADE"/>
    <w:rsid w:val="000A4BEC"/>
    <w:rsid w:val="000A4D62"/>
    <w:rsid w:val="000A7930"/>
    <w:rsid w:val="000A7B4D"/>
    <w:rsid w:val="000B0609"/>
    <w:rsid w:val="000B0CC0"/>
    <w:rsid w:val="000B0F42"/>
    <w:rsid w:val="000B14B2"/>
    <w:rsid w:val="000B150C"/>
    <w:rsid w:val="000B2A1B"/>
    <w:rsid w:val="000B2CD2"/>
    <w:rsid w:val="000B2FB6"/>
    <w:rsid w:val="000B34C3"/>
    <w:rsid w:val="000B36D6"/>
    <w:rsid w:val="000B4AEC"/>
    <w:rsid w:val="000B4B18"/>
    <w:rsid w:val="000B58C7"/>
    <w:rsid w:val="000B5AA7"/>
    <w:rsid w:val="000B6491"/>
    <w:rsid w:val="000B6647"/>
    <w:rsid w:val="000B7634"/>
    <w:rsid w:val="000C027D"/>
    <w:rsid w:val="000C0554"/>
    <w:rsid w:val="000C08F6"/>
    <w:rsid w:val="000C2462"/>
    <w:rsid w:val="000C258D"/>
    <w:rsid w:val="000C2A83"/>
    <w:rsid w:val="000C3739"/>
    <w:rsid w:val="000C3AD1"/>
    <w:rsid w:val="000C420E"/>
    <w:rsid w:val="000C56DD"/>
    <w:rsid w:val="000C5A22"/>
    <w:rsid w:val="000C5A65"/>
    <w:rsid w:val="000C5B9B"/>
    <w:rsid w:val="000C6A62"/>
    <w:rsid w:val="000C6F21"/>
    <w:rsid w:val="000C7C9E"/>
    <w:rsid w:val="000C7E13"/>
    <w:rsid w:val="000D283F"/>
    <w:rsid w:val="000D37C7"/>
    <w:rsid w:val="000D3A31"/>
    <w:rsid w:val="000D51A0"/>
    <w:rsid w:val="000D52C0"/>
    <w:rsid w:val="000D60F1"/>
    <w:rsid w:val="000D6288"/>
    <w:rsid w:val="000D721C"/>
    <w:rsid w:val="000D7F2C"/>
    <w:rsid w:val="000E06EB"/>
    <w:rsid w:val="000E1A2C"/>
    <w:rsid w:val="000E270A"/>
    <w:rsid w:val="000E3560"/>
    <w:rsid w:val="000E36E6"/>
    <w:rsid w:val="000E375E"/>
    <w:rsid w:val="000E44FF"/>
    <w:rsid w:val="000E6727"/>
    <w:rsid w:val="000E68E6"/>
    <w:rsid w:val="000E7002"/>
    <w:rsid w:val="000E7B73"/>
    <w:rsid w:val="000E7ED5"/>
    <w:rsid w:val="000F0668"/>
    <w:rsid w:val="000F1334"/>
    <w:rsid w:val="000F1730"/>
    <w:rsid w:val="000F24EF"/>
    <w:rsid w:val="000F32B8"/>
    <w:rsid w:val="000F360F"/>
    <w:rsid w:val="000F36F3"/>
    <w:rsid w:val="000F409D"/>
    <w:rsid w:val="000F4986"/>
    <w:rsid w:val="000F4C24"/>
    <w:rsid w:val="000F5963"/>
    <w:rsid w:val="000F6161"/>
    <w:rsid w:val="000F6FAC"/>
    <w:rsid w:val="000F7724"/>
    <w:rsid w:val="000F77B2"/>
    <w:rsid w:val="000F7BAB"/>
    <w:rsid w:val="000F7C12"/>
    <w:rsid w:val="001006D5"/>
    <w:rsid w:val="00101382"/>
    <w:rsid w:val="00101A55"/>
    <w:rsid w:val="001028AB"/>
    <w:rsid w:val="001045E0"/>
    <w:rsid w:val="00104ECD"/>
    <w:rsid w:val="00104F84"/>
    <w:rsid w:val="0010542F"/>
    <w:rsid w:val="001054DE"/>
    <w:rsid w:val="001057A2"/>
    <w:rsid w:val="00106124"/>
    <w:rsid w:val="001070E6"/>
    <w:rsid w:val="001071D6"/>
    <w:rsid w:val="00111762"/>
    <w:rsid w:val="001135F0"/>
    <w:rsid w:val="00113B94"/>
    <w:rsid w:val="00115658"/>
    <w:rsid w:val="0011585C"/>
    <w:rsid w:val="00115982"/>
    <w:rsid w:val="001162B7"/>
    <w:rsid w:val="0011660F"/>
    <w:rsid w:val="00116B1F"/>
    <w:rsid w:val="00117314"/>
    <w:rsid w:val="00117397"/>
    <w:rsid w:val="00117CB3"/>
    <w:rsid w:val="001202E5"/>
    <w:rsid w:val="00121122"/>
    <w:rsid w:val="0012118A"/>
    <w:rsid w:val="001211C0"/>
    <w:rsid w:val="00121ADD"/>
    <w:rsid w:val="0012226F"/>
    <w:rsid w:val="00122D2C"/>
    <w:rsid w:val="00122F03"/>
    <w:rsid w:val="00123C3C"/>
    <w:rsid w:val="0012611E"/>
    <w:rsid w:val="00126378"/>
    <w:rsid w:val="00130202"/>
    <w:rsid w:val="0013033B"/>
    <w:rsid w:val="0013145E"/>
    <w:rsid w:val="00131B7E"/>
    <w:rsid w:val="00131FFE"/>
    <w:rsid w:val="001325E0"/>
    <w:rsid w:val="001325E4"/>
    <w:rsid w:val="00132C13"/>
    <w:rsid w:val="00132E19"/>
    <w:rsid w:val="00133065"/>
    <w:rsid w:val="001330D6"/>
    <w:rsid w:val="0013461A"/>
    <w:rsid w:val="00134C6C"/>
    <w:rsid w:val="00134D68"/>
    <w:rsid w:val="001351FE"/>
    <w:rsid w:val="001352E0"/>
    <w:rsid w:val="001358FC"/>
    <w:rsid w:val="001366C4"/>
    <w:rsid w:val="00137817"/>
    <w:rsid w:val="00137A71"/>
    <w:rsid w:val="0014158F"/>
    <w:rsid w:val="001428E5"/>
    <w:rsid w:val="00142CE2"/>
    <w:rsid w:val="00142FDD"/>
    <w:rsid w:val="001439ED"/>
    <w:rsid w:val="00143A4E"/>
    <w:rsid w:val="00143E62"/>
    <w:rsid w:val="0014429B"/>
    <w:rsid w:val="0014444D"/>
    <w:rsid w:val="00144849"/>
    <w:rsid w:val="001457A0"/>
    <w:rsid w:val="00145B66"/>
    <w:rsid w:val="00145D91"/>
    <w:rsid w:val="001465A3"/>
    <w:rsid w:val="001468A9"/>
    <w:rsid w:val="00146C7F"/>
    <w:rsid w:val="00146DBA"/>
    <w:rsid w:val="00147320"/>
    <w:rsid w:val="001477A6"/>
    <w:rsid w:val="00150776"/>
    <w:rsid w:val="00151609"/>
    <w:rsid w:val="00152A8E"/>
    <w:rsid w:val="0015377C"/>
    <w:rsid w:val="0015485C"/>
    <w:rsid w:val="00154B0B"/>
    <w:rsid w:val="00155504"/>
    <w:rsid w:val="001577E4"/>
    <w:rsid w:val="001621AA"/>
    <w:rsid w:val="001639A9"/>
    <w:rsid w:val="00164820"/>
    <w:rsid w:val="00164F8D"/>
    <w:rsid w:val="001658CD"/>
    <w:rsid w:val="00165AD5"/>
    <w:rsid w:val="0016605A"/>
    <w:rsid w:val="00167CBD"/>
    <w:rsid w:val="00170159"/>
    <w:rsid w:val="001704A4"/>
    <w:rsid w:val="00171439"/>
    <w:rsid w:val="0017177E"/>
    <w:rsid w:val="001726CB"/>
    <w:rsid w:val="001729D4"/>
    <w:rsid w:val="00172A27"/>
    <w:rsid w:val="00172BF0"/>
    <w:rsid w:val="00172C9F"/>
    <w:rsid w:val="001735C0"/>
    <w:rsid w:val="00175D97"/>
    <w:rsid w:val="00176A3E"/>
    <w:rsid w:val="00176A47"/>
    <w:rsid w:val="00177605"/>
    <w:rsid w:val="00177E28"/>
    <w:rsid w:val="00180C78"/>
    <w:rsid w:val="00180CE4"/>
    <w:rsid w:val="0018151D"/>
    <w:rsid w:val="001815B3"/>
    <w:rsid w:val="00181B73"/>
    <w:rsid w:val="00182196"/>
    <w:rsid w:val="001828BF"/>
    <w:rsid w:val="00182A15"/>
    <w:rsid w:val="00182C2B"/>
    <w:rsid w:val="00183104"/>
    <w:rsid w:val="00184C8E"/>
    <w:rsid w:val="00185B0F"/>
    <w:rsid w:val="00186383"/>
    <w:rsid w:val="0019016B"/>
    <w:rsid w:val="00190AD4"/>
    <w:rsid w:val="00190D37"/>
    <w:rsid w:val="00191056"/>
    <w:rsid w:val="00191309"/>
    <w:rsid w:val="001914DD"/>
    <w:rsid w:val="0019177E"/>
    <w:rsid w:val="00191A53"/>
    <w:rsid w:val="00192C1F"/>
    <w:rsid w:val="0019346B"/>
    <w:rsid w:val="001934B7"/>
    <w:rsid w:val="0019407C"/>
    <w:rsid w:val="001942B7"/>
    <w:rsid w:val="00194CA7"/>
    <w:rsid w:val="0019594C"/>
    <w:rsid w:val="00195C5A"/>
    <w:rsid w:val="001964DE"/>
    <w:rsid w:val="00196654"/>
    <w:rsid w:val="00196743"/>
    <w:rsid w:val="0019679A"/>
    <w:rsid w:val="0019688B"/>
    <w:rsid w:val="00196D44"/>
    <w:rsid w:val="0019788B"/>
    <w:rsid w:val="001A0208"/>
    <w:rsid w:val="001A06AC"/>
    <w:rsid w:val="001A0BEE"/>
    <w:rsid w:val="001A1842"/>
    <w:rsid w:val="001A242A"/>
    <w:rsid w:val="001A2959"/>
    <w:rsid w:val="001A4CCF"/>
    <w:rsid w:val="001A4CD6"/>
    <w:rsid w:val="001A7821"/>
    <w:rsid w:val="001B0076"/>
    <w:rsid w:val="001B0467"/>
    <w:rsid w:val="001B10F5"/>
    <w:rsid w:val="001B1CF0"/>
    <w:rsid w:val="001B2F1E"/>
    <w:rsid w:val="001B2F69"/>
    <w:rsid w:val="001B31F2"/>
    <w:rsid w:val="001B381C"/>
    <w:rsid w:val="001B4095"/>
    <w:rsid w:val="001B503E"/>
    <w:rsid w:val="001B61B9"/>
    <w:rsid w:val="001B7C78"/>
    <w:rsid w:val="001C038C"/>
    <w:rsid w:val="001C0CBC"/>
    <w:rsid w:val="001C1361"/>
    <w:rsid w:val="001C163A"/>
    <w:rsid w:val="001C171F"/>
    <w:rsid w:val="001C22F7"/>
    <w:rsid w:val="001C40F3"/>
    <w:rsid w:val="001C43C3"/>
    <w:rsid w:val="001C47B8"/>
    <w:rsid w:val="001C5A5E"/>
    <w:rsid w:val="001C6F96"/>
    <w:rsid w:val="001C74A2"/>
    <w:rsid w:val="001C7945"/>
    <w:rsid w:val="001C7CE4"/>
    <w:rsid w:val="001C7E54"/>
    <w:rsid w:val="001D00E3"/>
    <w:rsid w:val="001D02D7"/>
    <w:rsid w:val="001D176C"/>
    <w:rsid w:val="001D1A60"/>
    <w:rsid w:val="001D2793"/>
    <w:rsid w:val="001D29C1"/>
    <w:rsid w:val="001D371A"/>
    <w:rsid w:val="001D4DA3"/>
    <w:rsid w:val="001D4E7E"/>
    <w:rsid w:val="001D4E9C"/>
    <w:rsid w:val="001D51F1"/>
    <w:rsid w:val="001D52D5"/>
    <w:rsid w:val="001D5364"/>
    <w:rsid w:val="001D5454"/>
    <w:rsid w:val="001D54B6"/>
    <w:rsid w:val="001D552C"/>
    <w:rsid w:val="001D57EB"/>
    <w:rsid w:val="001D66F6"/>
    <w:rsid w:val="001D6DF2"/>
    <w:rsid w:val="001D7516"/>
    <w:rsid w:val="001D7B68"/>
    <w:rsid w:val="001E03E1"/>
    <w:rsid w:val="001E04C9"/>
    <w:rsid w:val="001E0836"/>
    <w:rsid w:val="001E1B71"/>
    <w:rsid w:val="001E245E"/>
    <w:rsid w:val="001E2820"/>
    <w:rsid w:val="001E2994"/>
    <w:rsid w:val="001E359C"/>
    <w:rsid w:val="001E4936"/>
    <w:rsid w:val="001E5196"/>
    <w:rsid w:val="001E61DD"/>
    <w:rsid w:val="001E6B7C"/>
    <w:rsid w:val="001E6EC0"/>
    <w:rsid w:val="001F1F60"/>
    <w:rsid w:val="001F2024"/>
    <w:rsid w:val="001F22E3"/>
    <w:rsid w:val="001F2477"/>
    <w:rsid w:val="001F25F0"/>
    <w:rsid w:val="001F2836"/>
    <w:rsid w:val="001F302F"/>
    <w:rsid w:val="001F331B"/>
    <w:rsid w:val="001F3736"/>
    <w:rsid w:val="001F3A50"/>
    <w:rsid w:val="001F3E48"/>
    <w:rsid w:val="001F4297"/>
    <w:rsid w:val="001F45E5"/>
    <w:rsid w:val="001F5131"/>
    <w:rsid w:val="001F6A8E"/>
    <w:rsid w:val="001F6BE7"/>
    <w:rsid w:val="00200DD8"/>
    <w:rsid w:val="00201628"/>
    <w:rsid w:val="00201990"/>
    <w:rsid w:val="0020264F"/>
    <w:rsid w:val="00203EDC"/>
    <w:rsid w:val="002040D8"/>
    <w:rsid w:val="00204568"/>
    <w:rsid w:val="002052A8"/>
    <w:rsid w:val="0020574A"/>
    <w:rsid w:val="00205E45"/>
    <w:rsid w:val="00207B10"/>
    <w:rsid w:val="0021065D"/>
    <w:rsid w:val="00210D06"/>
    <w:rsid w:val="002129DD"/>
    <w:rsid w:val="00212EB5"/>
    <w:rsid w:val="00214724"/>
    <w:rsid w:val="0021540B"/>
    <w:rsid w:val="002167A8"/>
    <w:rsid w:val="00216B5F"/>
    <w:rsid w:val="00217946"/>
    <w:rsid w:val="002205E9"/>
    <w:rsid w:val="00221AE6"/>
    <w:rsid w:val="002226E4"/>
    <w:rsid w:val="0022358F"/>
    <w:rsid w:val="00224097"/>
    <w:rsid w:val="00224176"/>
    <w:rsid w:val="0022422C"/>
    <w:rsid w:val="00224789"/>
    <w:rsid w:val="00224865"/>
    <w:rsid w:val="002259D0"/>
    <w:rsid w:val="00225DC2"/>
    <w:rsid w:val="00225E00"/>
    <w:rsid w:val="00225FAD"/>
    <w:rsid w:val="00227401"/>
    <w:rsid w:val="00227DBB"/>
    <w:rsid w:val="002308E0"/>
    <w:rsid w:val="00231863"/>
    <w:rsid w:val="00232020"/>
    <w:rsid w:val="002332EA"/>
    <w:rsid w:val="0023525E"/>
    <w:rsid w:val="00235E87"/>
    <w:rsid w:val="002373FC"/>
    <w:rsid w:val="00237874"/>
    <w:rsid w:val="00237DC9"/>
    <w:rsid w:val="002409F0"/>
    <w:rsid w:val="00240E02"/>
    <w:rsid w:val="002413DC"/>
    <w:rsid w:val="002426D1"/>
    <w:rsid w:val="00242C5D"/>
    <w:rsid w:val="00242E93"/>
    <w:rsid w:val="002434E3"/>
    <w:rsid w:val="00243ECF"/>
    <w:rsid w:val="00244187"/>
    <w:rsid w:val="00244E46"/>
    <w:rsid w:val="00245240"/>
    <w:rsid w:val="00245336"/>
    <w:rsid w:val="002457EA"/>
    <w:rsid w:val="002459EC"/>
    <w:rsid w:val="00245D0D"/>
    <w:rsid w:val="002462FA"/>
    <w:rsid w:val="002479BC"/>
    <w:rsid w:val="00250BF7"/>
    <w:rsid w:val="00250EA6"/>
    <w:rsid w:val="00251A4C"/>
    <w:rsid w:val="00253676"/>
    <w:rsid w:val="0025377F"/>
    <w:rsid w:val="00254703"/>
    <w:rsid w:val="002549EC"/>
    <w:rsid w:val="00254AE4"/>
    <w:rsid w:val="00254F74"/>
    <w:rsid w:val="002553E6"/>
    <w:rsid w:val="002574D0"/>
    <w:rsid w:val="002611E1"/>
    <w:rsid w:val="00261332"/>
    <w:rsid w:val="002616AE"/>
    <w:rsid w:val="00261BF5"/>
    <w:rsid w:val="002638C7"/>
    <w:rsid w:val="00264625"/>
    <w:rsid w:val="00264824"/>
    <w:rsid w:val="00264C74"/>
    <w:rsid w:val="00264D12"/>
    <w:rsid w:val="00265AB1"/>
    <w:rsid w:val="00266C68"/>
    <w:rsid w:val="002704F0"/>
    <w:rsid w:val="0027109E"/>
    <w:rsid w:val="002718B5"/>
    <w:rsid w:val="0027220A"/>
    <w:rsid w:val="00274A23"/>
    <w:rsid w:val="00274C62"/>
    <w:rsid w:val="002759F3"/>
    <w:rsid w:val="00275ED2"/>
    <w:rsid w:val="0027628C"/>
    <w:rsid w:val="00276CD3"/>
    <w:rsid w:val="00276DD4"/>
    <w:rsid w:val="002770D8"/>
    <w:rsid w:val="00277358"/>
    <w:rsid w:val="00277CFC"/>
    <w:rsid w:val="002804D6"/>
    <w:rsid w:val="002804E5"/>
    <w:rsid w:val="00280631"/>
    <w:rsid w:val="002812A7"/>
    <w:rsid w:val="002812E9"/>
    <w:rsid w:val="00281859"/>
    <w:rsid w:val="00281946"/>
    <w:rsid w:val="00281A2A"/>
    <w:rsid w:val="00281A42"/>
    <w:rsid w:val="00281D0A"/>
    <w:rsid w:val="00282C26"/>
    <w:rsid w:val="00282DA0"/>
    <w:rsid w:val="002835C1"/>
    <w:rsid w:val="00283DFA"/>
    <w:rsid w:val="00285CD7"/>
    <w:rsid w:val="00285CFD"/>
    <w:rsid w:val="002861C3"/>
    <w:rsid w:val="002868EF"/>
    <w:rsid w:val="0028734D"/>
    <w:rsid w:val="00287C7C"/>
    <w:rsid w:val="002912A4"/>
    <w:rsid w:val="002920C2"/>
    <w:rsid w:val="002927C0"/>
    <w:rsid w:val="002928C8"/>
    <w:rsid w:val="00293548"/>
    <w:rsid w:val="00293E11"/>
    <w:rsid w:val="002941E8"/>
    <w:rsid w:val="00294749"/>
    <w:rsid w:val="00294D94"/>
    <w:rsid w:val="0029504B"/>
    <w:rsid w:val="00295886"/>
    <w:rsid w:val="002967A6"/>
    <w:rsid w:val="00297599"/>
    <w:rsid w:val="002975E3"/>
    <w:rsid w:val="002A0258"/>
    <w:rsid w:val="002A1519"/>
    <w:rsid w:val="002A173C"/>
    <w:rsid w:val="002A38C3"/>
    <w:rsid w:val="002A3B11"/>
    <w:rsid w:val="002A3C98"/>
    <w:rsid w:val="002A3F30"/>
    <w:rsid w:val="002A44DE"/>
    <w:rsid w:val="002A4675"/>
    <w:rsid w:val="002A4AB0"/>
    <w:rsid w:val="002A4B4F"/>
    <w:rsid w:val="002A4E19"/>
    <w:rsid w:val="002A51FD"/>
    <w:rsid w:val="002A57E2"/>
    <w:rsid w:val="002A64FA"/>
    <w:rsid w:val="002A6F3D"/>
    <w:rsid w:val="002A73A1"/>
    <w:rsid w:val="002A78B3"/>
    <w:rsid w:val="002A7D6C"/>
    <w:rsid w:val="002B008E"/>
    <w:rsid w:val="002B0BCB"/>
    <w:rsid w:val="002B1621"/>
    <w:rsid w:val="002B18BA"/>
    <w:rsid w:val="002B1DE4"/>
    <w:rsid w:val="002B3081"/>
    <w:rsid w:val="002B4121"/>
    <w:rsid w:val="002B453F"/>
    <w:rsid w:val="002B4F52"/>
    <w:rsid w:val="002B5525"/>
    <w:rsid w:val="002B5EE4"/>
    <w:rsid w:val="002B646A"/>
    <w:rsid w:val="002B69E4"/>
    <w:rsid w:val="002C0463"/>
    <w:rsid w:val="002C073A"/>
    <w:rsid w:val="002C3D0F"/>
    <w:rsid w:val="002C3D88"/>
    <w:rsid w:val="002C4707"/>
    <w:rsid w:val="002C5075"/>
    <w:rsid w:val="002C5CDD"/>
    <w:rsid w:val="002C5DAF"/>
    <w:rsid w:val="002C68CC"/>
    <w:rsid w:val="002C6CFE"/>
    <w:rsid w:val="002D05B0"/>
    <w:rsid w:val="002D0F39"/>
    <w:rsid w:val="002D1521"/>
    <w:rsid w:val="002D32D2"/>
    <w:rsid w:val="002D3563"/>
    <w:rsid w:val="002D3646"/>
    <w:rsid w:val="002D4289"/>
    <w:rsid w:val="002D45E3"/>
    <w:rsid w:val="002D4EB7"/>
    <w:rsid w:val="002D5213"/>
    <w:rsid w:val="002D5C84"/>
    <w:rsid w:val="002D5D79"/>
    <w:rsid w:val="002D630A"/>
    <w:rsid w:val="002D6C31"/>
    <w:rsid w:val="002D6F58"/>
    <w:rsid w:val="002E1240"/>
    <w:rsid w:val="002E1794"/>
    <w:rsid w:val="002E1FDA"/>
    <w:rsid w:val="002E318B"/>
    <w:rsid w:val="002E3282"/>
    <w:rsid w:val="002E36F6"/>
    <w:rsid w:val="002E38EF"/>
    <w:rsid w:val="002E3CF6"/>
    <w:rsid w:val="002E3F6F"/>
    <w:rsid w:val="002E40C6"/>
    <w:rsid w:val="002E4499"/>
    <w:rsid w:val="002E459B"/>
    <w:rsid w:val="002E51F0"/>
    <w:rsid w:val="002E5271"/>
    <w:rsid w:val="002E54E2"/>
    <w:rsid w:val="002E55A4"/>
    <w:rsid w:val="002E6155"/>
    <w:rsid w:val="002E66BD"/>
    <w:rsid w:val="002E6EF1"/>
    <w:rsid w:val="002E7242"/>
    <w:rsid w:val="002F0338"/>
    <w:rsid w:val="002F08CB"/>
    <w:rsid w:val="002F099D"/>
    <w:rsid w:val="002F169C"/>
    <w:rsid w:val="002F1F7C"/>
    <w:rsid w:val="002F2D77"/>
    <w:rsid w:val="002F35DE"/>
    <w:rsid w:val="002F3D41"/>
    <w:rsid w:val="002F4417"/>
    <w:rsid w:val="002F458E"/>
    <w:rsid w:val="002F4BC4"/>
    <w:rsid w:val="002F55EF"/>
    <w:rsid w:val="002F5B2B"/>
    <w:rsid w:val="002F6220"/>
    <w:rsid w:val="002F6760"/>
    <w:rsid w:val="002F6B74"/>
    <w:rsid w:val="002F755C"/>
    <w:rsid w:val="002F780A"/>
    <w:rsid w:val="002F7BB0"/>
    <w:rsid w:val="00300197"/>
    <w:rsid w:val="003003AD"/>
    <w:rsid w:val="00300AE8"/>
    <w:rsid w:val="0030117B"/>
    <w:rsid w:val="00302BE7"/>
    <w:rsid w:val="00302C39"/>
    <w:rsid w:val="00303856"/>
    <w:rsid w:val="00303DE1"/>
    <w:rsid w:val="003042F2"/>
    <w:rsid w:val="00304982"/>
    <w:rsid w:val="00306C3F"/>
    <w:rsid w:val="0030723C"/>
    <w:rsid w:val="003102BE"/>
    <w:rsid w:val="003103AD"/>
    <w:rsid w:val="00310927"/>
    <w:rsid w:val="003129A4"/>
    <w:rsid w:val="003133C4"/>
    <w:rsid w:val="00314905"/>
    <w:rsid w:val="00316DBE"/>
    <w:rsid w:val="00316E7B"/>
    <w:rsid w:val="0031717B"/>
    <w:rsid w:val="00317257"/>
    <w:rsid w:val="00317731"/>
    <w:rsid w:val="00317AEC"/>
    <w:rsid w:val="0032050B"/>
    <w:rsid w:val="00320CD9"/>
    <w:rsid w:val="00320E50"/>
    <w:rsid w:val="00320ED2"/>
    <w:rsid w:val="00321806"/>
    <w:rsid w:val="00321EB0"/>
    <w:rsid w:val="00321ECF"/>
    <w:rsid w:val="003220A5"/>
    <w:rsid w:val="00322338"/>
    <w:rsid w:val="00322593"/>
    <w:rsid w:val="003227EB"/>
    <w:rsid w:val="00323767"/>
    <w:rsid w:val="00324C9A"/>
    <w:rsid w:val="00324CDC"/>
    <w:rsid w:val="00324EC0"/>
    <w:rsid w:val="003257AD"/>
    <w:rsid w:val="003267C7"/>
    <w:rsid w:val="0032690D"/>
    <w:rsid w:val="00327178"/>
    <w:rsid w:val="003272A5"/>
    <w:rsid w:val="00330378"/>
    <w:rsid w:val="00330D07"/>
    <w:rsid w:val="003315B9"/>
    <w:rsid w:val="0033229C"/>
    <w:rsid w:val="0033338F"/>
    <w:rsid w:val="00333667"/>
    <w:rsid w:val="00334CC4"/>
    <w:rsid w:val="00335162"/>
    <w:rsid w:val="00335366"/>
    <w:rsid w:val="00337447"/>
    <w:rsid w:val="00337FC7"/>
    <w:rsid w:val="0034017A"/>
    <w:rsid w:val="00340893"/>
    <w:rsid w:val="0034121A"/>
    <w:rsid w:val="00341730"/>
    <w:rsid w:val="00342411"/>
    <w:rsid w:val="00342A83"/>
    <w:rsid w:val="003435E5"/>
    <w:rsid w:val="00343643"/>
    <w:rsid w:val="00343A64"/>
    <w:rsid w:val="00343B35"/>
    <w:rsid w:val="00343CBD"/>
    <w:rsid w:val="003442CF"/>
    <w:rsid w:val="00344417"/>
    <w:rsid w:val="003444FB"/>
    <w:rsid w:val="003447AD"/>
    <w:rsid w:val="00344842"/>
    <w:rsid w:val="00346AE7"/>
    <w:rsid w:val="00346EB0"/>
    <w:rsid w:val="003475DC"/>
    <w:rsid w:val="00347B3C"/>
    <w:rsid w:val="003514F0"/>
    <w:rsid w:val="003515EE"/>
    <w:rsid w:val="00351BD0"/>
    <w:rsid w:val="00351C04"/>
    <w:rsid w:val="003529CF"/>
    <w:rsid w:val="00352C4E"/>
    <w:rsid w:val="00353667"/>
    <w:rsid w:val="0035406F"/>
    <w:rsid w:val="00354094"/>
    <w:rsid w:val="0035433D"/>
    <w:rsid w:val="003547CC"/>
    <w:rsid w:val="00354E97"/>
    <w:rsid w:val="00355064"/>
    <w:rsid w:val="00355211"/>
    <w:rsid w:val="00357132"/>
    <w:rsid w:val="00357AB0"/>
    <w:rsid w:val="00357BA3"/>
    <w:rsid w:val="00360320"/>
    <w:rsid w:val="003612B8"/>
    <w:rsid w:val="00361CA3"/>
    <w:rsid w:val="0036267F"/>
    <w:rsid w:val="003628B3"/>
    <w:rsid w:val="00362E7D"/>
    <w:rsid w:val="003631BA"/>
    <w:rsid w:val="003632F3"/>
    <w:rsid w:val="00363740"/>
    <w:rsid w:val="00363E32"/>
    <w:rsid w:val="00364A58"/>
    <w:rsid w:val="00364B28"/>
    <w:rsid w:val="0036557B"/>
    <w:rsid w:val="00365CF3"/>
    <w:rsid w:val="00365F0C"/>
    <w:rsid w:val="00366D55"/>
    <w:rsid w:val="0037018E"/>
    <w:rsid w:val="0037105C"/>
    <w:rsid w:val="00371F2E"/>
    <w:rsid w:val="00372503"/>
    <w:rsid w:val="0037262D"/>
    <w:rsid w:val="0037298E"/>
    <w:rsid w:val="0037299D"/>
    <w:rsid w:val="00372F11"/>
    <w:rsid w:val="003732F7"/>
    <w:rsid w:val="00373F67"/>
    <w:rsid w:val="00374386"/>
    <w:rsid w:val="003751B1"/>
    <w:rsid w:val="00375873"/>
    <w:rsid w:val="00375BA0"/>
    <w:rsid w:val="00376336"/>
    <w:rsid w:val="003771EC"/>
    <w:rsid w:val="003778DF"/>
    <w:rsid w:val="00377B23"/>
    <w:rsid w:val="00380F18"/>
    <w:rsid w:val="00381096"/>
    <w:rsid w:val="0038116A"/>
    <w:rsid w:val="00382BE2"/>
    <w:rsid w:val="00382C54"/>
    <w:rsid w:val="00382D04"/>
    <w:rsid w:val="00382EEF"/>
    <w:rsid w:val="00383F9C"/>
    <w:rsid w:val="00384660"/>
    <w:rsid w:val="003854C8"/>
    <w:rsid w:val="003857B1"/>
    <w:rsid w:val="00385F2D"/>
    <w:rsid w:val="00385F75"/>
    <w:rsid w:val="00385FB6"/>
    <w:rsid w:val="003871EB"/>
    <w:rsid w:val="00387310"/>
    <w:rsid w:val="00387DE4"/>
    <w:rsid w:val="0039065E"/>
    <w:rsid w:val="00390EFA"/>
    <w:rsid w:val="003910EA"/>
    <w:rsid w:val="00391A14"/>
    <w:rsid w:val="0039284B"/>
    <w:rsid w:val="00392A34"/>
    <w:rsid w:val="00392DFD"/>
    <w:rsid w:val="00393885"/>
    <w:rsid w:val="00393CD9"/>
    <w:rsid w:val="0039434C"/>
    <w:rsid w:val="00394D6F"/>
    <w:rsid w:val="003A0AC8"/>
    <w:rsid w:val="003A0C45"/>
    <w:rsid w:val="003A2013"/>
    <w:rsid w:val="003A3218"/>
    <w:rsid w:val="003A39DA"/>
    <w:rsid w:val="003A48FF"/>
    <w:rsid w:val="003A4963"/>
    <w:rsid w:val="003A4F88"/>
    <w:rsid w:val="003A57CA"/>
    <w:rsid w:val="003A5DFD"/>
    <w:rsid w:val="003B0A45"/>
    <w:rsid w:val="003B0E7D"/>
    <w:rsid w:val="003B13BB"/>
    <w:rsid w:val="003B148D"/>
    <w:rsid w:val="003B2D4F"/>
    <w:rsid w:val="003B3A21"/>
    <w:rsid w:val="003B424C"/>
    <w:rsid w:val="003B4353"/>
    <w:rsid w:val="003B48B6"/>
    <w:rsid w:val="003B5FB9"/>
    <w:rsid w:val="003B6619"/>
    <w:rsid w:val="003B6BAA"/>
    <w:rsid w:val="003C028F"/>
    <w:rsid w:val="003C139B"/>
    <w:rsid w:val="003C1403"/>
    <w:rsid w:val="003C1639"/>
    <w:rsid w:val="003C22BA"/>
    <w:rsid w:val="003C3B9B"/>
    <w:rsid w:val="003C4BD9"/>
    <w:rsid w:val="003C52B9"/>
    <w:rsid w:val="003C5718"/>
    <w:rsid w:val="003C573F"/>
    <w:rsid w:val="003C5878"/>
    <w:rsid w:val="003C5A71"/>
    <w:rsid w:val="003C6958"/>
    <w:rsid w:val="003C6E45"/>
    <w:rsid w:val="003C6E9E"/>
    <w:rsid w:val="003D030B"/>
    <w:rsid w:val="003D08A7"/>
    <w:rsid w:val="003D0D7A"/>
    <w:rsid w:val="003D122F"/>
    <w:rsid w:val="003D2524"/>
    <w:rsid w:val="003D2DF6"/>
    <w:rsid w:val="003D30D7"/>
    <w:rsid w:val="003D4954"/>
    <w:rsid w:val="003D4FAE"/>
    <w:rsid w:val="003D515D"/>
    <w:rsid w:val="003D5691"/>
    <w:rsid w:val="003D5B6A"/>
    <w:rsid w:val="003D5BFC"/>
    <w:rsid w:val="003D659F"/>
    <w:rsid w:val="003D6AE1"/>
    <w:rsid w:val="003D75F0"/>
    <w:rsid w:val="003E0119"/>
    <w:rsid w:val="003E0B1C"/>
    <w:rsid w:val="003E0F15"/>
    <w:rsid w:val="003E13C1"/>
    <w:rsid w:val="003E13FD"/>
    <w:rsid w:val="003E2551"/>
    <w:rsid w:val="003E2962"/>
    <w:rsid w:val="003E31CE"/>
    <w:rsid w:val="003E4162"/>
    <w:rsid w:val="003E4313"/>
    <w:rsid w:val="003E441E"/>
    <w:rsid w:val="003E4463"/>
    <w:rsid w:val="003E6ABC"/>
    <w:rsid w:val="003E7747"/>
    <w:rsid w:val="003E7B85"/>
    <w:rsid w:val="003E7BBF"/>
    <w:rsid w:val="003E7F6D"/>
    <w:rsid w:val="003F00BB"/>
    <w:rsid w:val="003F3917"/>
    <w:rsid w:val="003F41EB"/>
    <w:rsid w:val="003F4BE7"/>
    <w:rsid w:val="003F4E1F"/>
    <w:rsid w:val="003F4F09"/>
    <w:rsid w:val="003F632B"/>
    <w:rsid w:val="003F7EC2"/>
    <w:rsid w:val="00401EF2"/>
    <w:rsid w:val="004028AE"/>
    <w:rsid w:val="00402C4D"/>
    <w:rsid w:val="004049B9"/>
    <w:rsid w:val="004049DA"/>
    <w:rsid w:val="004056D3"/>
    <w:rsid w:val="00406334"/>
    <w:rsid w:val="0040646E"/>
    <w:rsid w:val="0040775C"/>
    <w:rsid w:val="00410137"/>
    <w:rsid w:val="004108D4"/>
    <w:rsid w:val="004110D1"/>
    <w:rsid w:val="00412BC9"/>
    <w:rsid w:val="00412CB6"/>
    <w:rsid w:val="00413825"/>
    <w:rsid w:val="0041386C"/>
    <w:rsid w:val="00413ED7"/>
    <w:rsid w:val="00415322"/>
    <w:rsid w:val="00415899"/>
    <w:rsid w:val="00415A3A"/>
    <w:rsid w:val="004164B1"/>
    <w:rsid w:val="0041685E"/>
    <w:rsid w:val="0041725C"/>
    <w:rsid w:val="00417789"/>
    <w:rsid w:val="004178AF"/>
    <w:rsid w:val="00417EAA"/>
    <w:rsid w:val="00420E94"/>
    <w:rsid w:val="00423A9A"/>
    <w:rsid w:val="0042405F"/>
    <w:rsid w:val="00424373"/>
    <w:rsid w:val="00424793"/>
    <w:rsid w:val="00424C85"/>
    <w:rsid w:val="00425040"/>
    <w:rsid w:val="0042569C"/>
    <w:rsid w:val="00425DB6"/>
    <w:rsid w:val="00426A3E"/>
    <w:rsid w:val="00430CB5"/>
    <w:rsid w:val="004313EB"/>
    <w:rsid w:val="00431B03"/>
    <w:rsid w:val="00432172"/>
    <w:rsid w:val="00432F99"/>
    <w:rsid w:val="004333B9"/>
    <w:rsid w:val="004347DF"/>
    <w:rsid w:val="00434A63"/>
    <w:rsid w:val="0043594B"/>
    <w:rsid w:val="00437151"/>
    <w:rsid w:val="004372B5"/>
    <w:rsid w:val="0043756D"/>
    <w:rsid w:val="0043764D"/>
    <w:rsid w:val="00440987"/>
    <w:rsid w:val="00440D69"/>
    <w:rsid w:val="0044141D"/>
    <w:rsid w:val="00442BE0"/>
    <w:rsid w:val="00442BF0"/>
    <w:rsid w:val="00443CB1"/>
    <w:rsid w:val="00444474"/>
    <w:rsid w:val="0044464F"/>
    <w:rsid w:val="004448A9"/>
    <w:rsid w:val="00445186"/>
    <w:rsid w:val="004465E7"/>
    <w:rsid w:val="00446A6B"/>
    <w:rsid w:val="00446F16"/>
    <w:rsid w:val="004473A6"/>
    <w:rsid w:val="0044761B"/>
    <w:rsid w:val="00447B97"/>
    <w:rsid w:val="00447D8A"/>
    <w:rsid w:val="00450665"/>
    <w:rsid w:val="00450BEB"/>
    <w:rsid w:val="00450D01"/>
    <w:rsid w:val="004515B6"/>
    <w:rsid w:val="00452230"/>
    <w:rsid w:val="004526B7"/>
    <w:rsid w:val="00452CED"/>
    <w:rsid w:val="00453137"/>
    <w:rsid w:val="004538C5"/>
    <w:rsid w:val="00454EBE"/>
    <w:rsid w:val="00454F3C"/>
    <w:rsid w:val="00455A20"/>
    <w:rsid w:val="00455E42"/>
    <w:rsid w:val="00456978"/>
    <w:rsid w:val="00456D00"/>
    <w:rsid w:val="004579C9"/>
    <w:rsid w:val="004579D6"/>
    <w:rsid w:val="00457D00"/>
    <w:rsid w:val="00460D30"/>
    <w:rsid w:val="00460EA5"/>
    <w:rsid w:val="00460FF2"/>
    <w:rsid w:val="004613D6"/>
    <w:rsid w:val="00461D03"/>
    <w:rsid w:val="004626CF"/>
    <w:rsid w:val="00463A17"/>
    <w:rsid w:val="00464004"/>
    <w:rsid w:val="0046409D"/>
    <w:rsid w:val="00465324"/>
    <w:rsid w:val="00465398"/>
    <w:rsid w:val="00465D51"/>
    <w:rsid w:val="00465FB5"/>
    <w:rsid w:val="00466743"/>
    <w:rsid w:val="004677FD"/>
    <w:rsid w:val="00467AF0"/>
    <w:rsid w:val="00467C94"/>
    <w:rsid w:val="0047108D"/>
    <w:rsid w:val="004710AF"/>
    <w:rsid w:val="00471297"/>
    <w:rsid w:val="004713ED"/>
    <w:rsid w:val="004716DE"/>
    <w:rsid w:val="00471D10"/>
    <w:rsid w:val="004729DE"/>
    <w:rsid w:val="0047308C"/>
    <w:rsid w:val="0047348F"/>
    <w:rsid w:val="00474087"/>
    <w:rsid w:val="004746CD"/>
    <w:rsid w:val="0047473D"/>
    <w:rsid w:val="004747C9"/>
    <w:rsid w:val="00474F22"/>
    <w:rsid w:val="00480457"/>
    <w:rsid w:val="0048158E"/>
    <w:rsid w:val="004815E3"/>
    <w:rsid w:val="00481611"/>
    <w:rsid w:val="004831F3"/>
    <w:rsid w:val="00483B1D"/>
    <w:rsid w:val="00484061"/>
    <w:rsid w:val="00484111"/>
    <w:rsid w:val="00484488"/>
    <w:rsid w:val="00484968"/>
    <w:rsid w:val="00485164"/>
    <w:rsid w:val="004859E9"/>
    <w:rsid w:val="00486238"/>
    <w:rsid w:val="00487C1B"/>
    <w:rsid w:val="00487D56"/>
    <w:rsid w:val="004907C0"/>
    <w:rsid w:val="00490CA8"/>
    <w:rsid w:val="0049229E"/>
    <w:rsid w:val="0049383C"/>
    <w:rsid w:val="00494592"/>
    <w:rsid w:val="00495526"/>
    <w:rsid w:val="00495B1B"/>
    <w:rsid w:val="00495C87"/>
    <w:rsid w:val="00497192"/>
    <w:rsid w:val="0049730C"/>
    <w:rsid w:val="00497864"/>
    <w:rsid w:val="004A0666"/>
    <w:rsid w:val="004A18D7"/>
    <w:rsid w:val="004A218A"/>
    <w:rsid w:val="004A250E"/>
    <w:rsid w:val="004A2895"/>
    <w:rsid w:val="004A29CF"/>
    <w:rsid w:val="004A29ED"/>
    <w:rsid w:val="004A2A30"/>
    <w:rsid w:val="004A2AE1"/>
    <w:rsid w:val="004A2E6E"/>
    <w:rsid w:val="004A300D"/>
    <w:rsid w:val="004A3501"/>
    <w:rsid w:val="004A3884"/>
    <w:rsid w:val="004A3E7A"/>
    <w:rsid w:val="004A5CF0"/>
    <w:rsid w:val="004A5E0C"/>
    <w:rsid w:val="004A67ED"/>
    <w:rsid w:val="004A74B3"/>
    <w:rsid w:val="004A78DD"/>
    <w:rsid w:val="004B5730"/>
    <w:rsid w:val="004B6481"/>
    <w:rsid w:val="004B7E9B"/>
    <w:rsid w:val="004C03C1"/>
    <w:rsid w:val="004C09AB"/>
    <w:rsid w:val="004C1341"/>
    <w:rsid w:val="004C17B5"/>
    <w:rsid w:val="004C2C9F"/>
    <w:rsid w:val="004C2FB9"/>
    <w:rsid w:val="004C4107"/>
    <w:rsid w:val="004C4642"/>
    <w:rsid w:val="004C4908"/>
    <w:rsid w:val="004C5066"/>
    <w:rsid w:val="004C5AF7"/>
    <w:rsid w:val="004C6AEE"/>
    <w:rsid w:val="004C6D70"/>
    <w:rsid w:val="004C732E"/>
    <w:rsid w:val="004C76AB"/>
    <w:rsid w:val="004C77C5"/>
    <w:rsid w:val="004C7E11"/>
    <w:rsid w:val="004D0005"/>
    <w:rsid w:val="004D103D"/>
    <w:rsid w:val="004D10F3"/>
    <w:rsid w:val="004D160B"/>
    <w:rsid w:val="004D27E3"/>
    <w:rsid w:val="004D294E"/>
    <w:rsid w:val="004D2A7D"/>
    <w:rsid w:val="004D46EC"/>
    <w:rsid w:val="004D494C"/>
    <w:rsid w:val="004D497F"/>
    <w:rsid w:val="004D4B77"/>
    <w:rsid w:val="004D5064"/>
    <w:rsid w:val="004D5411"/>
    <w:rsid w:val="004D54FD"/>
    <w:rsid w:val="004D58D1"/>
    <w:rsid w:val="004D6BD5"/>
    <w:rsid w:val="004D6FA3"/>
    <w:rsid w:val="004D72D3"/>
    <w:rsid w:val="004D7EFF"/>
    <w:rsid w:val="004E0671"/>
    <w:rsid w:val="004E0867"/>
    <w:rsid w:val="004E16CF"/>
    <w:rsid w:val="004E36C4"/>
    <w:rsid w:val="004E39A4"/>
    <w:rsid w:val="004E4450"/>
    <w:rsid w:val="004E4DFD"/>
    <w:rsid w:val="004E52DF"/>
    <w:rsid w:val="004E6806"/>
    <w:rsid w:val="004E704E"/>
    <w:rsid w:val="004E712E"/>
    <w:rsid w:val="004E74D4"/>
    <w:rsid w:val="004E7766"/>
    <w:rsid w:val="004E7EB5"/>
    <w:rsid w:val="004F02E3"/>
    <w:rsid w:val="004F0A38"/>
    <w:rsid w:val="004F11D7"/>
    <w:rsid w:val="004F1217"/>
    <w:rsid w:val="004F3324"/>
    <w:rsid w:val="004F34B0"/>
    <w:rsid w:val="004F36CC"/>
    <w:rsid w:val="004F3943"/>
    <w:rsid w:val="004F4D87"/>
    <w:rsid w:val="004F5E99"/>
    <w:rsid w:val="004F6E7F"/>
    <w:rsid w:val="005007FC"/>
    <w:rsid w:val="00500EEB"/>
    <w:rsid w:val="00501ABD"/>
    <w:rsid w:val="005033B0"/>
    <w:rsid w:val="005034DE"/>
    <w:rsid w:val="00503C42"/>
    <w:rsid w:val="00503DF7"/>
    <w:rsid w:val="00504126"/>
    <w:rsid w:val="00505D1F"/>
    <w:rsid w:val="0050611F"/>
    <w:rsid w:val="00506653"/>
    <w:rsid w:val="00506D68"/>
    <w:rsid w:val="005076AB"/>
    <w:rsid w:val="00510430"/>
    <w:rsid w:val="00512A1C"/>
    <w:rsid w:val="00513206"/>
    <w:rsid w:val="00514827"/>
    <w:rsid w:val="00514A67"/>
    <w:rsid w:val="00514BB3"/>
    <w:rsid w:val="00515772"/>
    <w:rsid w:val="0051611D"/>
    <w:rsid w:val="005161A3"/>
    <w:rsid w:val="005178DA"/>
    <w:rsid w:val="00521EAD"/>
    <w:rsid w:val="005222F7"/>
    <w:rsid w:val="005226A9"/>
    <w:rsid w:val="005240A5"/>
    <w:rsid w:val="00524BE9"/>
    <w:rsid w:val="005252BD"/>
    <w:rsid w:val="00526039"/>
    <w:rsid w:val="00526387"/>
    <w:rsid w:val="00526D8B"/>
    <w:rsid w:val="00527219"/>
    <w:rsid w:val="00527FA3"/>
    <w:rsid w:val="00530E95"/>
    <w:rsid w:val="0053172D"/>
    <w:rsid w:val="00531C91"/>
    <w:rsid w:val="00532ACB"/>
    <w:rsid w:val="00532BBF"/>
    <w:rsid w:val="0053480E"/>
    <w:rsid w:val="00535F8A"/>
    <w:rsid w:val="0053610A"/>
    <w:rsid w:val="00540135"/>
    <w:rsid w:val="005418F0"/>
    <w:rsid w:val="00541B2E"/>
    <w:rsid w:val="00542CB8"/>
    <w:rsid w:val="00543082"/>
    <w:rsid w:val="005432EF"/>
    <w:rsid w:val="0054331C"/>
    <w:rsid w:val="005439C8"/>
    <w:rsid w:val="005443EB"/>
    <w:rsid w:val="00544B3E"/>
    <w:rsid w:val="00544D99"/>
    <w:rsid w:val="00545133"/>
    <w:rsid w:val="005456DE"/>
    <w:rsid w:val="005458AC"/>
    <w:rsid w:val="00545B52"/>
    <w:rsid w:val="00546196"/>
    <w:rsid w:val="00546400"/>
    <w:rsid w:val="00546892"/>
    <w:rsid w:val="005477E8"/>
    <w:rsid w:val="005477F5"/>
    <w:rsid w:val="005478DB"/>
    <w:rsid w:val="005505A6"/>
    <w:rsid w:val="0055060B"/>
    <w:rsid w:val="00550BF2"/>
    <w:rsid w:val="00550E99"/>
    <w:rsid w:val="00551873"/>
    <w:rsid w:val="00552529"/>
    <w:rsid w:val="00552CA4"/>
    <w:rsid w:val="00552EE8"/>
    <w:rsid w:val="00554641"/>
    <w:rsid w:val="0055467A"/>
    <w:rsid w:val="00554712"/>
    <w:rsid w:val="0055616D"/>
    <w:rsid w:val="005561A8"/>
    <w:rsid w:val="00557616"/>
    <w:rsid w:val="00557C02"/>
    <w:rsid w:val="0056007A"/>
    <w:rsid w:val="0056092D"/>
    <w:rsid w:val="00561D74"/>
    <w:rsid w:val="00562068"/>
    <w:rsid w:val="00562590"/>
    <w:rsid w:val="00562B52"/>
    <w:rsid w:val="005636B8"/>
    <w:rsid w:val="00563850"/>
    <w:rsid w:val="00564D87"/>
    <w:rsid w:val="005655BD"/>
    <w:rsid w:val="0056602D"/>
    <w:rsid w:val="00566A88"/>
    <w:rsid w:val="00566B00"/>
    <w:rsid w:val="0056725C"/>
    <w:rsid w:val="00567D64"/>
    <w:rsid w:val="0057000C"/>
    <w:rsid w:val="00570B96"/>
    <w:rsid w:val="0057151B"/>
    <w:rsid w:val="00571C44"/>
    <w:rsid w:val="00572796"/>
    <w:rsid w:val="00573939"/>
    <w:rsid w:val="00576CCD"/>
    <w:rsid w:val="00576F33"/>
    <w:rsid w:val="0058047B"/>
    <w:rsid w:val="0058086F"/>
    <w:rsid w:val="00580A1E"/>
    <w:rsid w:val="00581777"/>
    <w:rsid w:val="00581AC4"/>
    <w:rsid w:val="00581E25"/>
    <w:rsid w:val="00581FA3"/>
    <w:rsid w:val="0058207E"/>
    <w:rsid w:val="00583D85"/>
    <w:rsid w:val="0058448C"/>
    <w:rsid w:val="00584847"/>
    <w:rsid w:val="00586510"/>
    <w:rsid w:val="00586E0D"/>
    <w:rsid w:val="00590CF7"/>
    <w:rsid w:val="005911DF"/>
    <w:rsid w:val="00592662"/>
    <w:rsid w:val="00592D77"/>
    <w:rsid w:val="0059330D"/>
    <w:rsid w:val="00593DE6"/>
    <w:rsid w:val="00594210"/>
    <w:rsid w:val="005948C2"/>
    <w:rsid w:val="0059581A"/>
    <w:rsid w:val="00597EA6"/>
    <w:rsid w:val="005A0557"/>
    <w:rsid w:val="005A20DB"/>
    <w:rsid w:val="005A2EAB"/>
    <w:rsid w:val="005A3D13"/>
    <w:rsid w:val="005A4212"/>
    <w:rsid w:val="005A4C6C"/>
    <w:rsid w:val="005A57E1"/>
    <w:rsid w:val="005A59A5"/>
    <w:rsid w:val="005A65EC"/>
    <w:rsid w:val="005A6618"/>
    <w:rsid w:val="005A7AD5"/>
    <w:rsid w:val="005A7EF7"/>
    <w:rsid w:val="005B0CBB"/>
    <w:rsid w:val="005B0E02"/>
    <w:rsid w:val="005B0F26"/>
    <w:rsid w:val="005B1C2E"/>
    <w:rsid w:val="005B23A1"/>
    <w:rsid w:val="005B369F"/>
    <w:rsid w:val="005B4332"/>
    <w:rsid w:val="005B496C"/>
    <w:rsid w:val="005B5491"/>
    <w:rsid w:val="005B561D"/>
    <w:rsid w:val="005B72A7"/>
    <w:rsid w:val="005C0E0B"/>
    <w:rsid w:val="005C15A0"/>
    <w:rsid w:val="005C16B5"/>
    <w:rsid w:val="005C19D5"/>
    <w:rsid w:val="005C47FB"/>
    <w:rsid w:val="005C4E38"/>
    <w:rsid w:val="005C5615"/>
    <w:rsid w:val="005C64E0"/>
    <w:rsid w:val="005C683B"/>
    <w:rsid w:val="005C6C0D"/>
    <w:rsid w:val="005C7D7F"/>
    <w:rsid w:val="005D0A5E"/>
    <w:rsid w:val="005D0CBB"/>
    <w:rsid w:val="005D21C5"/>
    <w:rsid w:val="005D2BF6"/>
    <w:rsid w:val="005D322D"/>
    <w:rsid w:val="005D3980"/>
    <w:rsid w:val="005D454F"/>
    <w:rsid w:val="005D4876"/>
    <w:rsid w:val="005D4D44"/>
    <w:rsid w:val="005D5FF4"/>
    <w:rsid w:val="005D6467"/>
    <w:rsid w:val="005D67AB"/>
    <w:rsid w:val="005D73FD"/>
    <w:rsid w:val="005D77E5"/>
    <w:rsid w:val="005D7BE8"/>
    <w:rsid w:val="005E03E5"/>
    <w:rsid w:val="005E1058"/>
    <w:rsid w:val="005E132D"/>
    <w:rsid w:val="005E2AC6"/>
    <w:rsid w:val="005E2B75"/>
    <w:rsid w:val="005E2CB0"/>
    <w:rsid w:val="005E31C3"/>
    <w:rsid w:val="005E3249"/>
    <w:rsid w:val="005E67BE"/>
    <w:rsid w:val="005E7664"/>
    <w:rsid w:val="005E7A2A"/>
    <w:rsid w:val="005E7E66"/>
    <w:rsid w:val="005F0431"/>
    <w:rsid w:val="005F044C"/>
    <w:rsid w:val="005F0C81"/>
    <w:rsid w:val="005F11FD"/>
    <w:rsid w:val="005F2054"/>
    <w:rsid w:val="005F2F0C"/>
    <w:rsid w:val="005F490C"/>
    <w:rsid w:val="005F64E8"/>
    <w:rsid w:val="006002DC"/>
    <w:rsid w:val="006004EE"/>
    <w:rsid w:val="006005D8"/>
    <w:rsid w:val="00601323"/>
    <w:rsid w:val="00603F26"/>
    <w:rsid w:val="00604B6C"/>
    <w:rsid w:val="00604C98"/>
    <w:rsid w:val="00606476"/>
    <w:rsid w:val="00610409"/>
    <w:rsid w:val="006104BB"/>
    <w:rsid w:val="0061061C"/>
    <w:rsid w:val="00610E86"/>
    <w:rsid w:val="00610EB4"/>
    <w:rsid w:val="00611CA5"/>
    <w:rsid w:val="006121FF"/>
    <w:rsid w:val="006123C6"/>
    <w:rsid w:val="00613D9F"/>
    <w:rsid w:val="00614DB1"/>
    <w:rsid w:val="00616190"/>
    <w:rsid w:val="0061625C"/>
    <w:rsid w:val="00616A09"/>
    <w:rsid w:val="00616EDA"/>
    <w:rsid w:val="006170AA"/>
    <w:rsid w:val="0061780E"/>
    <w:rsid w:val="00620311"/>
    <w:rsid w:val="00620C67"/>
    <w:rsid w:val="0062156A"/>
    <w:rsid w:val="006217AC"/>
    <w:rsid w:val="00622FD0"/>
    <w:rsid w:val="006232A1"/>
    <w:rsid w:val="006235A8"/>
    <w:rsid w:val="00623957"/>
    <w:rsid w:val="0062438C"/>
    <w:rsid w:val="00624505"/>
    <w:rsid w:val="00624BC1"/>
    <w:rsid w:val="006268F8"/>
    <w:rsid w:val="00626AAF"/>
    <w:rsid w:val="00626C52"/>
    <w:rsid w:val="00627C3A"/>
    <w:rsid w:val="00631E90"/>
    <w:rsid w:val="0063231D"/>
    <w:rsid w:val="00632326"/>
    <w:rsid w:val="006328FF"/>
    <w:rsid w:val="00633658"/>
    <w:rsid w:val="00633C76"/>
    <w:rsid w:val="00634EC4"/>
    <w:rsid w:val="0063542C"/>
    <w:rsid w:val="0063593E"/>
    <w:rsid w:val="00637676"/>
    <w:rsid w:val="00637AC9"/>
    <w:rsid w:val="00637B73"/>
    <w:rsid w:val="00642B71"/>
    <w:rsid w:val="00642C73"/>
    <w:rsid w:val="0064309E"/>
    <w:rsid w:val="00643E20"/>
    <w:rsid w:val="006446A9"/>
    <w:rsid w:val="006447F2"/>
    <w:rsid w:val="00644C4E"/>
    <w:rsid w:val="00644C77"/>
    <w:rsid w:val="00644EC0"/>
    <w:rsid w:val="0064560F"/>
    <w:rsid w:val="00645BD6"/>
    <w:rsid w:val="00646026"/>
    <w:rsid w:val="00647AC3"/>
    <w:rsid w:val="00651256"/>
    <w:rsid w:val="0065154C"/>
    <w:rsid w:val="00651DCD"/>
    <w:rsid w:val="00652694"/>
    <w:rsid w:val="00652B77"/>
    <w:rsid w:val="00653056"/>
    <w:rsid w:val="00655CD8"/>
    <w:rsid w:val="00655ED8"/>
    <w:rsid w:val="006563C4"/>
    <w:rsid w:val="00656C43"/>
    <w:rsid w:val="00657B10"/>
    <w:rsid w:val="00660D1F"/>
    <w:rsid w:val="006629E6"/>
    <w:rsid w:val="006630D7"/>
    <w:rsid w:val="00663718"/>
    <w:rsid w:val="00663734"/>
    <w:rsid w:val="00663C8F"/>
    <w:rsid w:val="006643C2"/>
    <w:rsid w:val="00664594"/>
    <w:rsid w:val="00666A86"/>
    <w:rsid w:val="00667521"/>
    <w:rsid w:val="0067038B"/>
    <w:rsid w:val="006706FF"/>
    <w:rsid w:val="0067252F"/>
    <w:rsid w:val="006730A2"/>
    <w:rsid w:val="006737D5"/>
    <w:rsid w:val="0067401E"/>
    <w:rsid w:val="00674519"/>
    <w:rsid w:val="0067546F"/>
    <w:rsid w:val="0067650B"/>
    <w:rsid w:val="006767B6"/>
    <w:rsid w:val="00676E88"/>
    <w:rsid w:val="0067756B"/>
    <w:rsid w:val="00677D89"/>
    <w:rsid w:val="006808D3"/>
    <w:rsid w:val="00680F9F"/>
    <w:rsid w:val="00681136"/>
    <w:rsid w:val="00681164"/>
    <w:rsid w:val="00681D10"/>
    <w:rsid w:val="006838A1"/>
    <w:rsid w:val="006841CC"/>
    <w:rsid w:val="00684D78"/>
    <w:rsid w:val="0068528F"/>
    <w:rsid w:val="006852C7"/>
    <w:rsid w:val="00685973"/>
    <w:rsid w:val="00685B0C"/>
    <w:rsid w:val="0068625C"/>
    <w:rsid w:val="00686444"/>
    <w:rsid w:val="00687414"/>
    <w:rsid w:val="00690F90"/>
    <w:rsid w:val="0069146D"/>
    <w:rsid w:val="00691E0B"/>
    <w:rsid w:val="00692024"/>
    <w:rsid w:val="006924A4"/>
    <w:rsid w:val="00692A8C"/>
    <w:rsid w:val="006936CA"/>
    <w:rsid w:val="00695A09"/>
    <w:rsid w:val="006965E3"/>
    <w:rsid w:val="006970A9"/>
    <w:rsid w:val="0069757A"/>
    <w:rsid w:val="0069774E"/>
    <w:rsid w:val="00697996"/>
    <w:rsid w:val="006A05FD"/>
    <w:rsid w:val="006A3FFA"/>
    <w:rsid w:val="006A4251"/>
    <w:rsid w:val="006A46BE"/>
    <w:rsid w:val="006A575B"/>
    <w:rsid w:val="006A65D8"/>
    <w:rsid w:val="006A78AD"/>
    <w:rsid w:val="006A7AAD"/>
    <w:rsid w:val="006B090A"/>
    <w:rsid w:val="006B0ABD"/>
    <w:rsid w:val="006B19A0"/>
    <w:rsid w:val="006B2E9D"/>
    <w:rsid w:val="006B67C5"/>
    <w:rsid w:val="006B67DD"/>
    <w:rsid w:val="006B67EE"/>
    <w:rsid w:val="006B6940"/>
    <w:rsid w:val="006B69B2"/>
    <w:rsid w:val="006B73B3"/>
    <w:rsid w:val="006B773A"/>
    <w:rsid w:val="006C0D74"/>
    <w:rsid w:val="006C0EFE"/>
    <w:rsid w:val="006C1B92"/>
    <w:rsid w:val="006C2D60"/>
    <w:rsid w:val="006C4EC0"/>
    <w:rsid w:val="006C53B6"/>
    <w:rsid w:val="006C6648"/>
    <w:rsid w:val="006C6CB0"/>
    <w:rsid w:val="006C6DFD"/>
    <w:rsid w:val="006C70C0"/>
    <w:rsid w:val="006C728D"/>
    <w:rsid w:val="006C7554"/>
    <w:rsid w:val="006C7FF7"/>
    <w:rsid w:val="006D1AB2"/>
    <w:rsid w:val="006D364E"/>
    <w:rsid w:val="006D4DC7"/>
    <w:rsid w:val="006D5432"/>
    <w:rsid w:val="006D5A8B"/>
    <w:rsid w:val="006D62D6"/>
    <w:rsid w:val="006D6C8A"/>
    <w:rsid w:val="006D75F7"/>
    <w:rsid w:val="006E0C72"/>
    <w:rsid w:val="006E2633"/>
    <w:rsid w:val="006E5C13"/>
    <w:rsid w:val="006E635B"/>
    <w:rsid w:val="006E66F3"/>
    <w:rsid w:val="006E6BC1"/>
    <w:rsid w:val="006E6FE6"/>
    <w:rsid w:val="006E7D4A"/>
    <w:rsid w:val="006F01F7"/>
    <w:rsid w:val="006F0584"/>
    <w:rsid w:val="006F09B2"/>
    <w:rsid w:val="006F390A"/>
    <w:rsid w:val="006F4117"/>
    <w:rsid w:val="006F4653"/>
    <w:rsid w:val="006F577C"/>
    <w:rsid w:val="006F5AB4"/>
    <w:rsid w:val="006F5BC4"/>
    <w:rsid w:val="006F5CD2"/>
    <w:rsid w:val="006F686F"/>
    <w:rsid w:val="006F6E15"/>
    <w:rsid w:val="006F6F9B"/>
    <w:rsid w:val="006F7E10"/>
    <w:rsid w:val="007000BF"/>
    <w:rsid w:val="007009D8"/>
    <w:rsid w:val="007029AF"/>
    <w:rsid w:val="00702C59"/>
    <w:rsid w:val="007039B4"/>
    <w:rsid w:val="00703F79"/>
    <w:rsid w:val="007043A5"/>
    <w:rsid w:val="00704C6D"/>
    <w:rsid w:val="00705043"/>
    <w:rsid w:val="007064B8"/>
    <w:rsid w:val="00706D74"/>
    <w:rsid w:val="007104FA"/>
    <w:rsid w:val="00711161"/>
    <w:rsid w:val="00711882"/>
    <w:rsid w:val="00711F6C"/>
    <w:rsid w:val="00712614"/>
    <w:rsid w:val="0071278D"/>
    <w:rsid w:val="00712859"/>
    <w:rsid w:val="00714ED3"/>
    <w:rsid w:val="007159EE"/>
    <w:rsid w:val="007161C3"/>
    <w:rsid w:val="00716D44"/>
    <w:rsid w:val="00716D4F"/>
    <w:rsid w:val="00721263"/>
    <w:rsid w:val="00721B5A"/>
    <w:rsid w:val="00722E65"/>
    <w:rsid w:val="00722F5C"/>
    <w:rsid w:val="00723118"/>
    <w:rsid w:val="007231EA"/>
    <w:rsid w:val="007235F4"/>
    <w:rsid w:val="00723D0B"/>
    <w:rsid w:val="007240B8"/>
    <w:rsid w:val="007257FA"/>
    <w:rsid w:val="00725E3E"/>
    <w:rsid w:val="0072644A"/>
    <w:rsid w:val="0072695E"/>
    <w:rsid w:val="00727712"/>
    <w:rsid w:val="00727CF0"/>
    <w:rsid w:val="00731086"/>
    <w:rsid w:val="0073172C"/>
    <w:rsid w:val="00731D15"/>
    <w:rsid w:val="00731EAA"/>
    <w:rsid w:val="00733278"/>
    <w:rsid w:val="00733850"/>
    <w:rsid w:val="007340F9"/>
    <w:rsid w:val="0073479F"/>
    <w:rsid w:val="00734C42"/>
    <w:rsid w:val="0073679B"/>
    <w:rsid w:val="00736DD9"/>
    <w:rsid w:val="007370E1"/>
    <w:rsid w:val="00740B81"/>
    <w:rsid w:val="00740F96"/>
    <w:rsid w:val="007424CB"/>
    <w:rsid w:val="007424EF"/>
    <w:rsid w:val="007438A6"/>
    <w:rsid w:val="00743D5B"/>
    <w:rsid w:val="00743FED"/>
    <w:rsid w:val="007446BF"/>
    <w:rsid w:val="00744917"/>
    <w:rsid w:val="0074570E"/>
    <w:rsid w:val="00745AA7"/>
    <w:rsid w:val="00745C4E"/>
    <w:rsid w:val="0074652E"/>
    <w:rsid w:val="007467CE"/>
    <w:rsid w:val="00746980"/>
    <w:rsid w:val="00746A86"/>
    <w:rsid w:val="00747E97"/>
    <w:rsid w:val="00747EFC"/>
    <w:rsid w:val="00750005"/>
    <w:rsid w:val="007506D3"/>
    <w:rsid w:val="00750A00"/>
    <w:rsid w:val="00750BE4"/>
    <w:rsid w:val="00751B73"/>
    <w:rsid w:val="0075212D"/>
    <w:rsid w:val="00752E3A"/>
    <w:rsid w:val="00754730"/>
    <w:rsid w:val="00754B85"/>
    <w:rsid w:val="00754F16"/>
    <w:rsid w:val="007555D5"/>
    <w:rsid w:val="007556E5"/>
    <w:rsid w:val="007557C8"/>
    <w:rsid w:val="00755A66"/>
    <w:rsid w:val="00755F77"/>
    <w:rsid w:val="00756DC6"/>
    <w:rsid w:val="007602D0"/>
    <w:rsid w:val="007606CD"/>
    <w:rsid w:val="00760C4C"/>
    <w:rsid w:val="00760D99"/>
    <w:rsid w:val="007615C8"/>
    <w:rsid w:val="007616C2"/>
    <w:rsid w:val="00761A3A"/>
    <w:rsid w:val="00761D76"/>
    <w:rsid w:val="00761D82"/>
    <w:rsid w:val="00762672"/>
    <w:rsid w:val="0076343F"/>
    <w:rsid w:val="00763A59"/>
    <w:rsid w:val="00764723"/>
    <w:rsid w:val="0076473A"/>
    <w:rsid w:val="00764B43"/>
    <w:rsid w:val="00764E6F"/>
    <w:rsid w:val="007655D4"/>
    <w:rsid w:val="00766060"/>
    <w:rsid w:val="00766112"/>
    <w:rsid w:val="0076729C"/>
    <w:rsid w:val="00767826"/>
    <w:rsid w:val="00770778"/>
    <w:rsid w:val="00770CBB"/>
    <w:rsid w:val="00770FB4"/>
    <w:rsid w:val="0077136E"/>
    <w:rsid w:val="007723A4"/>
    <w:rsid w:val="00773D09"/>
    <w:rsid w:val="00774505"/>
    <w:rsid w:val="00774D55"/>
    <w:rsid w:val="007762F5"/>
    <w:rsid w:val="007766B5"/>
    <w:rsid w:val="0077717C"/>
    <w:rsid w:val="00780B92"/>
    <w:rsid w:val="00781C5E"/>
    <w:rsid w:val="00782974"/>
    <w:rsid w:val="00782A2D"/>
    <w:rsid w:val="00782F28"/>
    <w:rsid w:val="007839D0"/>
    <w:rsid w:val="00785875"/>
    <w:rsid w:val="00786F82"/>
    <w:rsid w:val="00790594"/>
    <w:rsid w:val="0079095C"/>
    <w:rsid w:val="00791042"/>
    <w:rsid w:val="007917B1"/>
    <w:rsid w:val="00791C6C"/>
    <w:rsid w:val="00791D4E"/>
    <w:rsid w:val="00793CFE"/>
    <w:rsid w:val="007942D4"/>
    <w:rsid w:val="00794A44"/>
    <w:rsid w:val="007960C6"/>
    <w:rsid w:val="007964BC"/>
    <w:rsid w:val="00796715"/>
    <w:rsid w:val="0079692E"/>
    <w:rsid w:val="0079749B"/>
    <w:rsid w:val="007A0945"/>
    <w:rsid w:val="007A0AB5"/>
    <w:rsid w:val="007A155D"/>
    <w:rsid w:val="007A17CF"/>
    <w:rsid w:val="007A1A97"/>
    <w:rsid w:val="007A1B77"/>
    <w:rsid w:val="007A2A23"/>
    <w:rsid w:val="007A38F3"/>
    <w:rsid w:val="007A42E2"/>
    <w:rsid w:val="007A4D4C"/>
    <w:rsid w:val="007A52D4"/>
    <w:rsid w:val="007A55CA"/>
    <w:rsid w:val="007A66D7"/>
    <w:rsid w:val="007A6738"/>
    <w:rsid w:val="007A67F9"/>
    <w:rsid w:val="007A6B90"/>
    <w:rsid w:val="007A72C1"/>
    <w:rsid w:val="007A7978"/>
    <w:rsid w:val="007A7A0C"/>
    <w:rsid w:val="007A7F46"/>
    <w:rsid w:val="007B0CC2"/>
    <w:rsid w:val="007B2082"/>
    <w:rsid w:val="007B263E"/>
    <w:rsid w:val="007B47D7"/>
    <w:rsid w:val="007B489A"/>
    <w:rsid w:val="007B5351"/>
    <w:rsid w:val="007B6163"/>
    <w:rsid w:val="007B6206"/>
    <w:rsid w:val="007B628C"/>
    <w:rsid w:val="007B6FDC"/>
    <w:rsid w:val="007B7690"/>
    <w:rsid w:val="007C0704"/>
    <w:rsid w:val="007C0C3B"/>
    <w:rsid w:val="007C0C3E"/>
    <w:rsid w:val="007C125B"/>
    <w:rsid w:val="007C1266"/>
    <w:rsid w:val="007C20A7"/>
    <w:rsid w:val="007C25DF"/>
    <w:rsid w:val="007C2FC8"/>
    <w:rsid w:val="007C3587"/>
    <w:rsid w:val="007C390A"/>
    <w:rsid w:val="007C3DF2"/>
    <w:rsid w:val="007C5273"/>
    <w:rsid w:val="007C5362"/>
    <w:rsid w:val="007C5ED8"/>
    <w:rsid w:val="007C71BF"/>
    <w:rsid w:val="007C7358"/>
    <w:rsid w:val="007C76A6"/>
    <w:rsid w:val="007D04DD"/>
    <w:rsid w:val="007D065A"/>
    <w:rsid w:val="007D1441"/>
    <w:rsid w:val="007D1A0E"/>
    <w:rsid w:val="007D1DC4"/>
    <w:rsid w:val="007D22A4"/>
    <w:rsid w:val="007D24DA"/>
    <w:rsid w:val="007D2CCA"/>
    <w:rsid w:val="007D2E3C"/>
    <w:rsid w:val="007D38F7"/>
    <w:rsid w:val="007D3AF5"/>
    <w:rsid w:val="007D4649"/>
    <w:rsid w:val="007D532C"/>
    <w:rsid w:val="007D575D"/>
    <w:rsid w:val="007D5813"/>
    <w:rsid w:val="007D6143"/>
    <w:rsid w:val="007D6670"/>
    <w:rsid w:val="007D6E89"/>
    <w:rsid w:val="007D7A98"/>
    <w:rsid w:val="007D7D1B"/>
    <w:rsid w:val="007E013F"/>
    <w:rsid w:val="007E03DB"/>
    <w:rsid w:val="007E05A1"/>
    <w:rsid w:val="007E0695"/>
    <w:rsid w:val="007E0E84"/>
    <w:rsid w:val="007E1E9C"/>
    <w:rsid w:val="007E21F5"/>
    <w:rsid w:val="007E23DB"/>
    <w:rsid w:val="007E2A09"/>
    <w:rsid w:val="007E2C44"/>
    <w:rsid w:val="007E3F54"/>
    <w:rsid w:val="007E3FA5"/>
    <w:rsid w:val="007E40BC"/>
    <w:rsid w:val="007E4ECD"/>
    <w:rsid w:val="007E54ED"/>
    <w:rsid w:val="007E67F8"/>
    <w:rsid w:val="007E79BE"/>
    <w:rsid w:val="007F008E"/>
    <w:rsid w:val="007F1F5E"/>
    <w:rsid w:val="007F2855"/>
    <w:rsid w:val="007F32EC"/>
    <w:rsid w:val="007F3325"/>
    <w:rsid w:val="007F5312"/>
    <w:rsid w:val="007F57DD"/>
    <w:rsid w:val="007F5861"/>
    <w:rsid w:val="007F5C93"/>
    <w:rsid w:val="007F780C"/>
    <w:rsid w:val="007F7816"/>
    <w:rsid w:val="0080022F"/>
    <w:rsid w:val="0080232C"/>
    <w:rsid w:val="00802EFF"/>
    <w:rsid w:val="00803664"/>
    <w:rsid w:val="00803836"/>
    <w:rsid w:val="008069AD"/>
    <w:rsid w:val="00806AAA"/>
    <w:rsid w:val="008079F2"/>
    <w:rsid w:val="0081201D"/>
    <w:rsid w:val="00812085"/>
    <w:rsid w:val="00812338"/>
    <w:rsid w:val="008125F7"/>
    <w:rsid w:val="0081382B"/>
    <w:rsid w:val="00813E0F"/>
    <w:rsid w:val="0081405D"/>
    <w:rsid w:val="00814553"/>
    <w:rsid w:val="00815368"/>
    <w:rsid w:val="0081538B"/>
    <w:rsid w:val="00815464"/>
    <w:rsid w:val="00815EF0"/>
    <w:rsid w:val="00815EFA"/>
    <w:rsid w:val="008160A9"/>
    <w:rsid w:val="008166D1"/>
    <w:rsid w:val="00816D98"/>
    <w:rsid w:val="008177D1"/>
    <w:rsid w:val="00821081"/>
    <w:rsid w:val="00821220"/>
    <w:rsid w:val="00821AF7"/>
    <w:rsid w:val="00822B3B"/>
    <w:rsid w:val="00823D6B"/>
    <w:rsid w:val="00824CBB"/>
    <w:rsid w:val="008252F9"/>
    <w:rsid w:val="00825602"/>
    <w:rsid w:val="008258CA"/>
    <w:rsid w:val="0082645B"/>
    <w:rsid w:val="0082781B"/>
    <w:rsid w:val="00827DC7"/>
    <w:rsid w:val="008300C5"/>
    <w:rsid w:val="0083442C"/>
    <w:rsid w:val="00834506"/>
    <w:rsid w:val="008347CE"/>
    <w:rsid w:val="00834EE8"/>
    <w:rsid w:val="00835E03"/>
    <w:rsid w:val="008369A6"/>
    <w:rsid w:val="00836CD6"/>
    <w:rsid w:val="00836E3E"/>
    <w:rsid w:val="00836F3D"/>
    <w:rsid w:val="00837474"/>
    <w:rsid w:val="00837878"/>
    <w:rsid w:val="00840264"/>
    <w:rsid w:val="008415AD"/>
    <w:rsid w:val="00841DDF"/>
    <w:rsid w:val="00842206"/>
    <w:rsid w:val="008423D3"/>
    <w:rsid w:val="0084259D"/>
    <w:rsid w:val="0084330E"/>
    <w:rsid w:val="0084468F"/>
    <w:rsid w:val="00844D06"/>
    <w:rsid w:val="00844F72"/>
    <w:rsid w:val="008472B1"/>
    <w:rsid w:val="008476A0"/>
    <w:rsid w:val="00847976"/>
    <w:rsid w:val="00850AA9"/>
    <w:rsid w:val="008513AF"/>
    <w:rsid w:val="008515A1"/>
    <w:rsid w:val="008516C0"/>
    <w:rsid w:val="00851953"/>
    <w:rsid w:val="00851C17"/>
    <w:rsid w:val="008522C6"/>
    <w:rsid w:val="00852F28"/>
    <w:rsid w:val="008538C0"/>
    <w:rsid w:val="00854DAE"/>
    <w:rsid w:val="008550B5"/>
    <w:rsid w:val="00855A5B"/>
    <w:rsid w:val="00855B74"/>
    <w:rsid w:val="00855BDB"/>
    <w:rsid w:val="008560B7"/>
    <w:rsid w:val="0085644E"/>
    <w:rsid w:val="00857320"/>
    <w:rsid w:val="00857877"/>
    <w:rsid w:val="00857894"/>
    <w:rsid w:val="00860198"/>
    <w:rsid w:val="00860300"/>
    <w:rsid w:val="00860EC2"/>
    <w:rsid w:val="00861055"/>
    <w:rsid w:val="00861D96"/>
    <w:rsid w:val="008620FB"/>
    <w:rsid w:val="00862544"/>
    <w:rsid w:val="00865EB8"/>
    <w:rsid w:val="008661C2"/>
    <w:rsid w:val="0086682E"/>
    <w:rsid w:val="008670DF"/>
    <w:rsid w:val="008674B5"/>
    <w:rsid w:val="00867AB6"/>
    <w:rsid w:val="00871890"/>
    <w:rsid w:val="008726B1"/>
    <w:rsid w:val="00872E06"/>
    <w:rsid w:val="00873388"/>
    <w:rsid w:val="00873C73"/>
    <w:rsid w:val="00874698"/>
    <w:rsid w:val="00874DE1"/>
    <w:rsid w:val="008756FB"/>
    <w:rsid w:val="008761DE"/>
    <w:rsid w:val="00876D18"/>
    <w:rsid w:val="00876F8B"/>
    <w:rsid w:val="008770F8"/>
    <w:rsid w:val="0088022B"/>
    <w:rsid w:val="00880315"/>
    <w:rsid w:val="00880444"/>
    <w:rsid w:val="008806E7"/>
    <w:rsid w:val="0088120F"/>
    <w:rsid w:val="00882753"/>
    <w:rsid w:val="008827FF"/>
    <w:rsid w:val="0088283D"/>
    <w:rsid w:val="00882B5E"/>
    <w:rsid w:val="00882DF7"/>
    <w:rsid w:val="00882ED1"/>
    <w:rsid w:val="0088378E"/>
    <w:rsid w:val="0088485A"/>
    <w:rsid w:val="00885F3D"/>
    <w:rsid w:val="00886546"/>
    <w:rsid w:val="00886837"/>
    <w:rsid w:val="00886C5B"/>
    <w:rsid w:val="00887058"/>
    <w:rsid w:val="0088740A"/>
    <w:rsid w:val="008900F3"/>
    <w:rsid w:val="00890833"/>
    <w:rsid w:val="00891A24"/>
    <w:rsid w:val="00892A77"/>
    <w:rsid w:val="008932CB"/>
    <w:rsid w:val="00893F99"/>
    <w:rsid w:val="00895C0F"/>
    <w:rsid w:val="00896712"/>
    <w:rsid w:val="00896BD8"/>
    <w:rsid w:val="00896CA3"/>
    <w:rsid w:val="008979AB"/>
    <w:rsid w:val="008A0FF5"/>
    <w:rsid w:val="008A1028"/>
    <w:rsid w:val="008A103F"/>
    <w:rsid w:val="008A16B9"/>
    <w:rsid w:val="008A1776"/>
    <w:rsid w:val="008A3026"/>
    <w:rsid w:val="008A33CB"/>
    <w:rsid w:val="008A366C"/>
    <w:rsid w:val="008A37F5"/>
    <w:rsid w:val="008A3AF1"/>
    <w:rsid w:val="008A3EF4"/>
    <w:rsid w:val="008A560B"/>
    <w:rsid w:val="008A5A42"/>
    <w:rsid w:val="008A5E95"/>
    <w:rsid w:val="008A678E"/>
    <w:rsid w:val="008A7246"/>
    <w:rsid w:val="008B02A2"/>
    <w:rsid w:val="008B08AF"/>
    <w:rsid w:val="008B0DA3"/>
    <w:rsid w:val="008B0EC1"/>
    <w:rsid w:val="008B21B5"/>
    <w:rsid w:val="008B238F"/>
    <w:rsid w:val="008B25A3"/>
    <w:rsid w:val="008B2B11"/>
    <w:rsid w:val="008B3AA4"/>
    <w:rsid w:val="008B3CB3"/>
    <w:rsid w:val="008B4F73"/>
    <w:rsid w:val="008B55D5"/>
    <w:rsid w:val="008B5995"/>
    <w:rsid w:val="008B6022"/>
    <w:rsid w:val="008B6398"/>
    <w:rsid w:val="008B70A9"/>
    <w:rsid w:val="008B735A"/>
    <w:rsid w:val="008C0A49"/>
    <w:rsid w:val="008C106A"/>
    <w:rsid w:val="008C24E3"/>
    <w:rsid w:val="008C2F40"/>
    <w:rsid w:val="008C3267"/>
    <w:rsid w:val="008C3D4A"/>
    <w:rsid w:val="008C3E78"/>
    <w:rsid w:val="008C422E"/>
    <w:rsid w:val="008C5BE4"/>
    <w:rsid w:val="008C5E91"/>
    <w:rsid w:val="008C600D"/>
    <w:rsid w:val="008C6218"/>
    <w:rsid w:val="008C65BD"/>
    <w:rsid w:val="008C76FC"/>
    <w:rsid w:val="008D01F4"/>
    <w:rsid w:val="008D0E4D"/>
    <w:rsid w:val="008D20CA"/>
    <w:rsid w:val="008D2420"/>
    <w:rsid w:val="008D2C97"/>
    <w:rsid w:val="008D3C58"/>
    <w:rsid w:val="008D4421"/>
    <w:rsid w:val="008D5117"/>
    <w:rsid w:val="008D5562"/>
    <w:rsid w:val="008D5690"/>
    <w:rsid w:val="008D5D35"/>
    <w:rsid w:val="008D6B8D"/>
    <w:rsid w:val="008D6C90"/>
    <w:rsid w:val="008D74CD"/>
    <w:rsid w:val="008D7A49"/>
    <w:rsid w:val="008D7BDD"/>
    <w:rsid w:val="008E0A30"/>
    <w:rsid w:val="008E0E4C"/>
    <w:rsid w:val="008E1B96"/>
    <w:rsid w:val="008E24AD"/>
    <w:rsid w:val="008E2A65"/>
    <w:rsid w:val="008E366A"/>
    <w:rsid w:val="008E457C"/>
    <w:rsid w:val="008E4B39"/>
    <w:rsid w:val="008E5944"/>
    <w:rsid w:val="008E59C5"/>
    <w:rsid w:val="008E5BC3"/>
    <w:rsid w:val="008E5E9A"/>
    <w:rsid w:val="008E6003"/>
    <w:rsid w:val="008E659C"/>
    <w:rsid w:val="008E6A3A"/>
    <w:rsid w:val="008E6E23"/>
    <w:rsid w:val="008E7EC1"/>
    <w:rsid w:val="008F15F1"/>
    <w:rsid w:val="008F1751"/>
    <w:rsid w:val="008F1C51"/>
    <w:rsid w:val="008F2786"/>
    <w:rsid w:val="008F2CE8"/>
    <w:rsid w:val="008F2D29"/>
    <w:rsid w:val="008F2F33"/>
    <w:rsid w:val="008F37A9"/>
    <w:rsid w:val="008F3C83"/>
    <w:rsid w:val="008F55F3"/>
    <w:rsid w:val="008F5824"/>
    <w:rsid w:val="008F5FE4"/>
    <w:rsid w:val="008F690E"/>
    <w:rsid w:val="008F6924"/>
    <w:rsid w:val="008F6FE1"/>
    <w:rsid w:val="008F7C4A"/>
    <w:rsid w:val="00900959"/>
    <w:rsid w:val="00900E3C"/>
    <w:rsid w:val="009022C4"/>
    <w:rsid w:val="00903199"/>
    <w:rsid w:val="009040C7"/>
    <w:rsid w:val="00904A88"/>
    <w:rsid w:val="00904AD6"/>
    <w:rsid w:val="00904DBE"/>
    <w:rsid w:val="00904FCE"/>
    <w:rsid w:val="00905000"/>
    <w:rsid w:val="00905D97"/>
    <w:rsid w:val="0090692C"/>
    <w:rsid w:val="009070B8"/>
    <w:rsid w:val="00910F53"/>
    <w:rsid w:val="009110C2"/>
    <w:rsid w:val="00911FF5"/>
    <w:rsid w:val="00912689"/>
    <w:rsid w:val="00912A3D"/>
    <w:rsid w:val="00912F1D"/>
    <w:rsid w:val="00913075"/>
    <w:rsid w:val="009137DA"/>
    <w:rsid w:val="0091385E"/>
    <w:rsid w:val="00914108"/>
    <w:rsid w:val="00914245"/>
    <w:rsid w:val="00914FAE"/>
    <w:rsid w:val="00915E01"/>
    <w:rsid w:val="00916538"/>
    <w:rsid w:val="00923786"/>
    <w:rsid w:val="00923FAE"/>
    <w:rsid w:val="00924407"/>
    <w:rsid w:val="009246FE"/>
    <w:rsid w:val="00924709"/>
    <w:rsid w:val="009247A9"/>
    <w:rsid w:val="009257B1"/>
    <w:rsid w:val="009268B8"/>
    <w:rsid w:val="009278A2"/>
    <w:rsid w:val="00930EA9"/>
    <w:rsid w:val="009310D5"/>
    <w:rsid w:val="009317EA"/>
    <w:rsid w:val="00931B85"/>
    <w:rsid w:val="00931E40"/>
    <w:rsid w:val="00932241"/>
    <w:rsid w:val="009328C8"/>
    <w:rsid w:val="00933128"/>
    <w:rsid w:val="00933ED7"/>
    <w:rsid w:val="009342EC"/>
    <w:rsid w:val="0093431A"/>
    <w:rsid w:val="009343E5"/>
    <w:rsid w:val="00934C47"/>
    <w:rsid w:val="00935191"/>
    <w:rsid w:val="00936948"/>
    <w:rsid w:val="00936D8C"/>
    <w:rsid w:val="00936F2F"/>
    <w:rsid w:val="009376F8"/>
    <w:rsid w:val="00940902"/>
    <w:rsid w:val="00940E45"/>
    <w:rsid w:val="0094209A"/>
    <w:rsid w:val="009429E6"/>
    <w:rsid w:val="00942AA1"/>
    <w:rsid w:val="00943B5D"/>
    <w:rsid w:val="00943CAB"/>
    <w:rsid w:val="009440FE"/>
    <w:rsid w:val="00945856"/>
    <w:rsid w:val="009460C9"/>
    <w:rsid w:val="00947DE7"/>
    <w:rsid w:val="00947E83"/>
    <w:rsid w:val="009500C3"/>
    <w:rsid w:val="009505DA"/>
    <w:rsid w:val="00950D32"/>
    <w:rsid w:val="0095107E"/>
    <w:rsid w:val="00951D5C"/>
    <w:rsid w:val="009530AC"/>
    <w:rsid w:val="0095393E"/>
    <w:rsid w:val="00953F28"/>
    <w:rsid w:val="00954172"/>
    <w:rsid w:val="00954935"/>
    <w:rsid w:val="00955280"/>
    <w:rsid w:val="009556A2"/>
    <w:rsid w:val="00957782"/>
    <w:rsid w:val="00960392"/>
    <w:rsid w:val="009603B1"/>
    <w:rsid w:val="00960FE1"/>
    <w:rsid w:val="009617F3"/>
    <w:rsid w:val="009619DA"/>
    <w:rsid w:val="00961A87"/>
    <w:rsid w:val="00961E81"/>
    <w:rsid w:val="00962324"/>
    <w:rsid w:val="00963EC3"/>
    <w:rsid w:val="00964657"/>
    <w:rsid w:val="0096469A"/>
    <w:rsid w:val="00964A25"/>
    <w:rsid w:val="00964BAE"/>
    <w:rsid w:val="009650F7"/>
    <w:rsid w:val="0096577C"/>
    <w:rsid w:val="00965E52"/>
    <w:rsid w:val="00967094"/>
    <w:rsid w:val="0097115E"/>
    <w:rsid w:val="0097160C"/>
    <w:rsid w:val="00971C35"/>
    <w:rsid w:val="00972772"/>
    <w:rsid w:val="00973908"/>
    <w:rsid w:val="00974920"/>
    <w:rsid w:val="0097499B"/>
    <w:rsid w:val="009753FA"/>
    <w:rsid w:val="00975C05"/>
    <w:rsid w:val="00975EFA"/>
    <w:rsid w:val="00976B6F"/>
    <w:rsid w:val="0097734A"/>
    <w:rsid w:val="00980080"/>
    <w:rsid w:val="0098186B"/>
    <w:rsid w:val="009818F6"/>
    <w:rsid w:val="0098288A"/>
    <w:rsid w:val="009832F3"/>
    <w:rsid w:val="0098358E"/>
    <w:rsid w:val="009842E4"/>
    <w:rsid w:val="0098496B"/>
    <w:rsid w:val="00984B78"/>
    <w:rsid w:val="00985031"/>
    <w:rsid w:val="00985255"/>
    <w:rsid w:val="009857B2"/>
    <w:rsid w:val="00985F93"/>
    <w:rsid w:val="009860D7"/>
    <w:rsid w:val="00986933"/>
    <w:rsid w:val="00986F6F"/>
    <w:rsid w:val="00986FCF"/>
    <w:rsid w:val="0098732F"/>
    <w:rsid w:val="009873EC"/>
    <w:rsid w:val="00987D28"/>
    <w:rsid w:val="0099028D"/>
    <w:rsid w:val="009906E6"/>
    <w:rsid w:val="00990ADB"/>
    <w:rsid w:val="009918DA"/>
    <w:rsid w:val="009919B0"/>
    <w:rsid w:val="00992861"/>
    <w:rsid w:val="00992CF4"/>
    <w:rsid w:val="00992EF9"/>
    <w:rsid w:val="00993037"/>
    <w:rsid w:val="0099372B"/>
    <w:rsid w:val="00994E73"/>
    <w:rsid w:val="00995182"/>
    <w:rsid w:val="0099559C"/>
    <w:rsid w:val="00995FE3"/>
    <w:rsid w:val="00996126"/>
    <w:rsid w:val="009961FF"/>
    <w:rsid w:val="0099657B"/>
    <w:rsid w:val="00996B5F"/>
    <w:rsid w:val="009973A9"/>
    <w:rsid w:val="009A1E9F"/>
    <w:rsid w:val="009A226D"/>
    <w:rsid w:val="009A4918"/>
    <w:rsid w:val="009A58F1"/>
    <w:rsid w:val="009A60D0"/>
    <w:rsid w:val="009A626D"/>
    <w:rsid w:val="009A64B5"/>
    <w:rsid w:val="009A7A4A"/>
    <w:rsid w:val="009A7B5F"/>
    <w:rsid w:val="009B067C"/>
    <w:rsid w:val="009B0B2B"/>
    <w:rsid w:val="009B0D48"/>
    <w:rsid w:val="009B158E"/>
    <w:rsid w:val="009B1841"/>
    <w:rsid w:val="009B1BBB"/>
    <w:rsid w:val="009B1C2D"/>
    <w:rsid w:val="009B2529"/>
    <w:rsid w:val="009B4E2A"/>
    <w:rsid w:val="009B4F0C"/>
    <w:rsid w:val="009B509C"/>
    <w:rsid w:val="009B50D2"/>
    <w:rsid w:val="009B565E"/>
    <w:rsid w:val="009B5C98"/>
    <w:rsid w:val="009B64AC"/>
    <w:rsid w:val="009B75FA"/>
    <w:rsid w:val="009C1163"/>
    <w:rsid w:val="009C1360"/>
    <w:rsid w:val="009C1518"/>
    <w:rsid w:val="009C1907"/>
    <w:rsid w:val="009C1921"/>
    <w:rsid w:val="009C2017"/>
    <w:rsid w:val="009C2109"/>
    <w:rsid w:val="009C2404"/>
    <w:rsid w:val="009C5155"/>
    <w:rsid w:val="009C5769"/>
    <w:rsid w:val="009C579C"/>
    <w:rsid w:val="009C66C6"/>
    <w:rsid w:val="009C6B49"/>
    <w:rsid w:val="009C77CC"/>
    <w:rsid w:val="009C782F"/>
    <w:rsid w:val="009D123E"/>
    <w:rsid w:val="009D169D"/>
    <w:rsid w:val="009D1CBD"/>
    <w:rsid w:val="009D1DA9"/>
    <w:rsid w:val="009D3010"/>
    <w:rsid w:val="009D31FD"/>
    <w:rsid w:val="009D4354"/>
    <w:rsid w:val="009D4485"/>
    <w:rsid w:val="009D4CA2"/>
    <w:rsid w:val="009D61AC"/>
    <w:rsid w:val="009D7534"/>
    <w:rsid w:val="009D79AC"/>
    <w:rsid w:val="009D7E3C"/>
    <w:rsid w:val="009D7FD1"/>
    <w:rsid w:val="009E0B6E"/>
    <w:rsid w:val="009E0CAB"/>
    <w:rsid w:val="009E1850"/>
    <w:rsid w:val="009E20CB"/>
    <w:rsid w:val="009E292E"/>
    <w:rsid w:val="009E2EED"/>
    <w:rsid w:val="009E2FAA"/>
    <w:rsid w:val="009E37A9"/>
    <w:rsid w:val="009E40B0"/>
    <w:rsid w:val="009E4731"/>
    <w:rsid w:val="009E5823"/>
    <w:rsid w:val="009E58D8"/>
    <w:rsid w:val="009E5E5E"/>
    <w:rsid w:val="009E62C5"/>
    <w:rsid w:val="009E7A43"/>
    <w:rsid w:val="009F1BBD"/>
    <w:rsid w:val="009F38A1"/>
    <w:rsid w:val="009F4FDE"/>
    <w:rsid w:val="009F54D9"/>
    <w:rsid w:val="009F70CE"/>
    <w:rsid w:val="009F76BD"/>
    <w:rsid w:val="00A01C23"/>
    <w:rsid w:val="00A025DD"/>
    <w:rsid w:val="00A0278F"/>
    <w:rsid w:val="00A02953"/>
    <w:rsid w:val="00A03207"/>
    <w:rsid w:val="00A033E4"/>
    <w:rsid w:val="00A045BC"/>
    <w:rsid w:val="00A0489D"/>
    <w:rsid w:val="00A0570F"/>
    <w:rsid w:val="00A0587B"/>
    <w:rsid w:val="00A05E45"/>
    <w:rsid w:val="00A06195"/>
    <w:rsid w:val="00A06FCB"/>
    <w:rsid w:val="00A11407"/>
    <w:rsid w:val="00A115A3"/>
    <w:rsid w:val="00A11815"/>
    <w:rsid w:val="00A120BC"/>
    <w:rsid w:val="00A13284"/>
    <w:rsid w:val="00A13A45"/>
    <w:rsid w:val="00A142CF"/>
    <w:rsid w:val="00A143EF"/>
    <w:rsid w:val="00A14B91"/>
    <w:rsid w:val="00A163FE"/>
    <w:rsid w:val="00A16502"/>
    <w:rsid w:val="00A16869"/>
    <w:rsid w:val="00A17898"/>
    <w:rsid w:val="00A17B6C"/>
    <w:rsid w:val="00A2010C"/>
    <w:rsid w:val="00A20180"/>
    <w:rsid w:val="00A20263"/>
    <w:rsid w:val="00A2046B"/>
    <w:rsid w:val="00A2146F"/>
    <w:rsid w:val="00A21BEE"/>
    <w:rsid w:val="00A22148"/>
    <w:rsid w:val="00A22EB7"/>
    <w:rsid w:val="00A23D81"/>
    <w:rsid w:val="00A23F42"/>
    <w:rsid w:val="00A240BF"/>
    <w:rsid w:val="00A252A4"/>
    <w:rsid w:val="00A26390"/>
    <w:rsid w:val="00A26DE3"/>
    <w:rsid w:val="00A26E89"/>
    <w:rsid w:val="00A27030"/>
    <w:rsid w:val="00A2744E"/>
    <w:rsid w:val="00A277E4"/>
    <w:rsid w:val="00A27C13"/>
    <w:rsid w:val="00A30179"/>
    <w:rsid w:val="00A31178"/>
    <w:rsid w:val="00A31474"/>
    <w:rsid w:val="00A32364"/>
    <w:rsid w:val="00A32892"/>
    <w:rsid w:val="00A33CE0"/>
    <w:rsid w:val="00A33EC5"/>
    <w:rsid w:val="00A33F27"/>
    <w:rsid w:val="00A35490"/>
    <w:rsid w:val="00A3577C"/>
    <w:rsid w:val="00A35F5C"/>
    <w:rsid w:val="00A36420"/>
    <w:rsid w:val="00A376D6"/>
    <w:rsid w:val="00A37FA0"/>
    <w:rsid w:val="00A403B0"/>
    <w:rsid w:val="00A40F60"/>
    <w:rsid w:val="00A431CC"/>
    <w:rsid w:val="00A4397B"/>
    <w:rsid w:val="00A44BFD"/>
    <w:rsid w:val="00A458E4"/>
    <w:rsid w:val="00A45962"/>
    <w:rsid w:val="00A50114"/>
    <w:rsid w:val="00A5053E"/>
    <w:rsid w:val="00A50E60"/>
    <w:rsid w:val="00A53127"/>
    <w:rsid w:val="00A532DD"/>
    <w:rsid w:val="00A539CF"/>
    <w:rsid w:val="00A53C23"/>
    <w:rsid w:val="00A5468B"/>
    <w:rsid w:val="00A551DA"/>
    <w:rsid w:val="00A5573D"/>
    <w:rsid w:val="00A55DC0"/>
    <w:rsid w:val="00A55F62"/>
    <w:rsid w:val="00A563C9"/>
    <w:rsid w:val="00A56CE0"/>
    <w:rsid w:val="00A57B5E"/>
    <w:rsid w:val="00A6006A"/>
    <w:rsid w:val="00A60099"/>
    <w:rsid w:val="00A6079E"/>
    <w:rsid w:val="00A609D2"/>
    <w:rsid w:val="00A60EE8"/>
    <w:rsid w:val="00A61130"/>
    <w:rsid w:val="00A63636"/>
    <w:rsid w:val="00A6382E"/>
    <w:rsid w:val="00A643A6"/>
    <w:rsid w:val="00A65CBD"/>
    <w:rsid w:val="00A6651A"/>
    <w:rsid w:val="00A66790"/>
    <w:rsid w:val="00A66A27"/>
    <w:rsid w:val="00A66E37"/>
    <w:rsid w:val="00A670D3"/>
    <w:rsid w:val="00A705AE"/>
    <w:rsid w:val="00A70C20"/>
    <w:rsid w:val="00A723B5"/>
    <w:rsid w:val="00A729F9"/>
    <w:rsid w:val="00A731D1"/>
    <w:rsid w:val="00A73906"/>
    <w:rsid w:val="00A77695"/>
    <w:rsid w:val="00A80696"/>
    <w:rsid w:val="00A80717"/>
    <w:rsid w:val="00A80E97"/>
    <w:rsid w:val="00A8163A"/>
    <w:rsid w:val="00A828FA"/>
    <w:rsid w:val="00A82B0F"/>
    <w:rsid w:val="00A85C32"/>
    <w:rsid w:val="00A85D05"/>
    <w:rsid w:val="00A8640A"/>
    <w:rsid w:val="00A86B7A"/>
    <w:rsid w:val="00A9095D"/>
    <w:rsid w:val="00A90EFE"/>
    <w:rsid w:val="00A90F1A"/>
    <w:rsid w:val="00A9175E"/>
    <w:rsid w:val="00A91C82"/>
    <w:rsid w:val="00A92537"/>
    <w:rsid w:val="00A9294E"/>
    <w:rsid w:val="00A92EE9"/>
    <w:rsid w:val="00A9367A"/>
    <w:rsid w:val="00A94326"/>
    <w:rsid w:val="00A94A23"/>
    <w:rsid w:val="00A954EC"/>
    <w:rsid w:val="00A95932"/>
    <w:rsid w:val="00A969BF"/>
    <w:rsid w:val="00AA0776"/>
    <w:rsid w:val="00AA0AEB"/>
    <w:rsid w:val="00AA16CE"/>
    <w:rsid w:val="00AA1961"/>
    <w:rsid w:val="00AA2969"/>
    <w:rsid w:val="00AA2F5C"/>
    <w:rsid w:val="00AA30AB"/>
    <w:rsid w:val="00AA335C"/>
    <w:rsid w:val="00AA371A"/>
    <w:rsid w:val="00AA395A"/>
    <w:rsid w:val="00AA5AB8"/>
    <w:rsid w:val="00AA5ADC"/>
    <w:rsid w:val="00AA64AF"/>
    <w:rsid w:val="00AA6D4C"/>
    <w:rsid w:val="00AB0326"/>
    <w:rsid w:val="00AB0658"/>
    <w:rsid w:val="00AB17A7"/>
    <w:rsid w:val="00AB1AC6"/>
    <w:rsid w:val="00AB386E"/>
    <w:rsid w:val="00AB39F7"/>
    <w:rsid w:val="00AB3D70"/>
    <w:rsid w:val="00AB4392"/>
    <w:rsid w:val="00AB4984"/>
    <w:rsid w:val="00AB4A74"/>
    <w:rsid w:val="00AB60D8"/>
    <w:rsid w:val="00AB77AC"/>
    <w:rsid w:val="00AC1C4E"/>
    <w:rsid w:val="00AC1EA5"/>
    <w:rsid w:val="00AC2697"/>
    <w:rsid w:val="00AC34D1"/>
    <w:rsid w:val="00AC441A"/>
    <w:rsid w:val="00AC49FE"/>
    <w:rsid w:val="00AC4F0D"/>
    <w:rsid w:val="00AC5CC1"/>
    <w:rsid w:val="00AC72D0"/>
    <w:rsid w:val="00AC77B3"/>
    <w:rsid w:val="00AD045C"/>
    <w:rsid w:val="00AD071E"/>
    <w:rsid w:val="00AD0BAE"/>
    <w:rsid w:val="00AD17B0"/>
    <w:rsid w:val="00AD19FB"/>
    <w:rsid w:val="00AD1F72"/>
    <w:rsid w:val="00AD280A"/>
    <w:rsid w:val="00AD2AA9"/>
    <w:rsid w:val="00AD30BB"/>
    <w:rsid w:val="00AD3BCB"/>
    <w:rsid w:val="00AD441B"/>
    <w:rsid w:val="00AD449E"/>
    <w:rsid w:val="00AD4F85"/>
    <w:rsid w:val="00AD5FDE"/>
    <w:rsid w:val="00AD6A65"/>
    <w:rsid w:val="00AD6D1B"/>
    <w:rsid w:val="00AD6ECD"/>
    <w:rsid w:val="00AE04CE"/>
    <w:rsid w:val="00AE3367"/>
    <w:rsid w:val="00AE3AFF"/>
    <w:rsid w:val="00AE3F78"/>
    <w:rsid w:val="00AE451E"/>
    <w:rsid w:val="00AE4825"/>
    <w:rsid w:val="00AE48FC"/>
    <w:rsid w:val="00AE4BA8"/>
    <w:rsid w:val="00AE5D7A"/>
    <w:rsid w:val="00AE5E8F"/>
    <w:rsid w:val="00AE724B"/>
    <w:rsid w:val="00AE7C46"/>
    <w:rsid w:val="00AF0046"/>
    <w:rsid w:val="00AF077B"/>
    <w:rsid w:val="00AF0A0A"/>
    <w:rsid w:val="00AF129A"/>
    <w:rsid w:val="00AF175F"/>
    <w:rsid w:val="00AF1ACF"/>
    <w:rsid w:val="00AF1AF0"/>
    <w:rsid w:val="00AF1DB9"/>
    <w:rsid w:val="00AF20FE"/>
    <w:rsid w:val="00AF2187"/>
    <w:rsid w:val="00AF2A83"/>
    <w:rsid w:val="00AF2B23"/>
    <w:rsid w:val="00AF4DCF"/>
    <w:rsid w:val="00AF4EA3"/>
    <w:rsid w:val="00AF4F02"/>
    <w:rsid w:val="00AF539A"/>
    <w:rsid w:val="00AF5A94"/>
    <w:rsid w:val="00AF5D19"/>
    <w:rsid w:val="00AF649D"/>
    <w:rsid w:val="00AF78C6"/>
    <w:rsid w:val="00B00C64"/>
    <w:rsid w:val="00B00E34"/>
    <w:rsid w:val="00B012E4"/>
    <w:rsid w:val="00B01A66"/>
    <w:rsid w:val="00B01BAD"/>
    <w:rsid w:val="00B01D1D"/>
    <w:rsid w:val="00B01D7B"/>
    <w:rsid w:val="00B02045"/>
    <w:rsid w:val="00B0258C"/>
    <w:rsid w:val="00B025F1"/>
    <w:rsid w:val="00B03A7A"/>
    <w:rsid w:val="00B04225"/>
    <w:rsid w:val="00B04D82"/>
    <w:rsid w:val="00B112BB"/>
    <w:rsid w:val="00B1345D"/>
    <w:rsid w:val="00B13520"/>
    <w:rsid w:val="00B139F6"/>
    <w:rsid w:val="00B13A86"/>
    <w:rsid w:val="00B14446"/>
    <w:rsid w:val="00B160D4"/>
    <w:rsid w:val="00B16894"/>
    <w:rsid w:val="00B16B6B"/>
    <w:rsid w:val="00B17FD5"/>
    <w:rsid w:val="00B20109"/>
    <w:rsid w:val="00B2137B"/>
    <w:rsid w:val="00B21767"/>
    <w:rsid w:val="00B2296F"/>
    <w:rsid w:val="00B23A1B"/>
    <w:rsid w:val="00B23BEF"/>
    <w:rsid w:val="00B258E4"/>
    <w:rsid w:val="00B27ACE"/>
    <w:rsid w:val="00B30367"/>
    <w:rsid w:val="00B3095D"/>
    <w:rsid w:val="00B30D34"/>
    <w:rsid w:val="00B31060"/>
    <w:rsid w:val="00B31F35"/>
    <w:rsid w:val="00B32A6E"/>
    <w:rsid w:val="00B33F9E"/>
    <w:rsid w:val="00B375FC"/>
    <w:rsid w:val="00B4070B"/>
    <w:rsid w:val="00B40DCF"/>
    <w:rsid w:val="00B421A4"/>
    <w:rsid w:val="00B43464"/>
    <w:rsid w:val="00B45D51"/>
    <w:rsid w:val="00B46DBE"/>
    <w:rsid w:val="00B46E8B"/>
    <w:rsid w:val="00B46FCE"/>
    <w:rsid w:val="00B47558"/>
    <w:rsid w:val="00B47A4C"/>
    <w:rsid w:val="00B47A89"/>
    <w:rsid w:val="00B47CFF"/>
    <w:rsid w:val="00B505BF"/>
    <w:rsid w:val="00B50AD1"/>
    <w:rsid w:val="00B518E4"/>
    <w:rsid w:val="00B5225B"/>
    <w:rsid w:val="00B5296F"/>
    <w:rsid w:val="00B537FC"/>
    <w:rsid w:val="00B53CBA"/>
    <w:rsid w:val="00B5462D"/>
    <w:rsid w:val="00B553D9"/>
    <w:rsid w:val="00B55D5C"/>
    <w:rsid w:val="00B56C89"/>
    <w:rsid w:val="00B573EE"/>
    <w:rsid w:val="00B57A2A"/>
    <w:rsid w:val="00B60344"/>
    <w:rsid w:val="00B61C6E"/>
    <w:rsid w:val="00B64825"/>
    <w:rsid w:val="00B648B8"/>
    <w:rsid w:val="00B6511E"/>
    <w:rsid w:val="00B65C38"/>
    <w:rsid w:val="00B6629A"/>
    <w:rsid w:val="00B7018B"/>
    <w:rsid w:val="00B70275"/>
    <w:rsid w:val="00B703EF"/>
    <w:rsid w:val="00B7066D"/>
    <w:rsid w:val="00B71B34"/>
    <w:rsid w:val="00B723AF"/>
    <w:rsid w:val="00B72DD9"/>
    <w:rsid w:val="00B74918"/>
    <w:rsid w:val="00B765D7"/>
    <w:rsid w:val="00B76763"/>
    <w:rsid w:val="00B76CE0"/>
    <w:rsid w:val="00B7722C"/>
    <w:rsid w:val="00B77294"/>
    <w:rsid w:val="00B77451"/>
    <w:rsid w:val="00B77BA6"/>
    <w:rsid w:val="00B8137C"/>
    <w:rsid w:val="00B82766"/>
    <w:rsid w:val="00B83822"/>
    <w:rsid w:val="00B845B5"/>
    <w:rsid w:val="00B84FE1"/>
    <w:rsid w:val="00B86113"/>
    <w:rsid w:val="00B864A7"/>
    <w:rsid w:val="00B86EDB"/>
    <w:rsid w:val="00B87AE1"/>
    <w:rsid w:val="00B87E89"/>
    <w:rsid w:val="00B903DD"/>
    <w:rsid w:val="00B90958"/>
    <w:rsid w:val="00B90BBF"/>
    <w:rsid w:val="00B9100A"/>
    <w:rsid w:val="00B9145F"/>
    <w:rsid w:val="00B9169E"/>
    <w:rsid w:val="00B91D46"/>
    <w:rsid w:val="00B91DFF"/>
    <w:rsid w:val="00B92542"/>
    <w:rsid w:val="00B9294D"/>
    <w:rsid w:val="00B92BAF"/>
    <w:rsid w:val="00B93848"/>
    <w:rsid w:val="00B95837"/>
    <w:rsid w:val="00B95ACD"/>
    <w:rsid w:val="00B96158"/>
    <w:rsid w:val="00B968DB"/>
    <w:rsid w:val="00B973D5"/>
    <w:rsid w:val="00B97CDC"/>
    <w:rsid w:val="00BA0087"/>
    <w:rsid w:val="00BA0310"/>
    <w:rsid w:val="00BA0DC1"/>
    <w:rsid w:val="00BA0DDE"/>
    <w:rsid w:val="00BA11E3"/>
    <w:rsid w:val="00BA17E7"/>
    <w:rsid w:val="00BA1D18"/>
    <w:rsid w:val="00BA29E5"/>
    <w:rsid w:val="00BA3881"/>
    <w:rsid w:val="00BA39B0"/>
    <w:rsid w:val="00BA3D54"/>
    <w:rsid w:val="00BA457A"/>
    <w:rsid w:val="00BA47BE"/>
    <w:rsid w:val="00BA5C0F"/>
    <w:rsid w:val="00BA75AB"/>
    <w:rsid w:val="00BA773C"/>
    <w:rsid w:val="00BA7852"/>
    <w:rsid w:val="00BB0446"/>
    <w:rsid w:val="00BB0AEB"/>
    <w:rsid w:val="00BB1072"/>
    <w:rsid w:val="00BB31D6"/>
    <w:rsid w:val="00BB31E3"/>
    <w:rsid w:val="00BB36A4"/>
    <w:rsid w:val="00BB3CAA"/>
    <w:rsid w:val="00BB3E4B"/>
    <w:rsid w:val="00BB4B31"/>
    <w:rsid w:val="00BB4D8E"/>
    <w:rsid w:val="00BB5A49"/>
    <w:rsid w:val="00BB641F"/>
    <w:rsid w:val="00BC03FB"/>
    <w:rsid w:val="00BC0AA3"/>
    <w:rsid w:val="00BC24EC"/>
    <w:rsid w:val="00BC3BCE"/>
    <w:rsid w:val="00BC5459"/>
    <w:rsid w:val="00BC5BA5"/>
    <w:rsid w:val="00BD1095"/>
    <w:rsid w:val="00BD136C"/>
    <w:rsid w:val="00BD14C4"/>
    <w:rsid w:val="00BD16B2"/>
    <w:rsid w:val="00BD2DA3"/>
    <w:rsid w:val="00BD3B8C"/>
    <w:rsid w:val="00BD4644"/>
    <w:rsid w:val="00BD479C"/>
    <w:rsid w:val="00BD4FD6"/>
    <w:rsid w:val="00BD6307"/>
    <w:rsid w:val="00BD6454"/>
    <w:rsid w:val="00BD7138"/>
    <w:rsid w:val="00BD7567"/>
    <w:rsid w:val="00BD76D6"/>
    <w:rsid w:val="00BE0BEF"/>
    <w:rsid w:val="00BE0D3C"/>
    <w:rsid w:val="00BE22F3"/>
    <w:rsid w:val="00BE2D96"/>
    <w:rsid w:val="00BE39F3"/>
    <w:rsid w:val="00BE4F32"/>
    <w:rsid w:val="00BE7285"/>
    <w:rsid w:val="00BE7388"/>
    <w:rsid w:val="00BE7585"/>
    <w:rsid w:val="00BE7954"/>
    <w:rsid w:val="00BF1EAC"/>
    <w:rsid w:val="00BF215D"/>
    <w:rsid w:val="00BF226A"/>
    <w:rsid w:val="00BF248F"/>
    <w:rsid w:val="00BF3D71"/>
    <w:rsid w:val="00BF40BD"/>
    <w:rsid w:val="00BF57EA"/>
    <w:rsid w:val="00BF66B7"/>
    <w:rsid w:val="00BF6932"/>
    <w:rsid w:val="00BF69AF"/>
    <w:rsid w:val="00BF7762"/>
    <w:rsid w:val="00BF7C20"/>
    <w:rsid w:val="00BF7E64"/>
    <w:rsid w:val="00C028F5"/>
    <w:rsid w:val="00C035A7"/>
    <w:rsid w:val="00C03836"/>
    <w:rsid w:val="00C03999"/>
    <w:rsid w:val="00C03D56"/>
    <w:rsid w:val="00C04135"/>
    <w:rsid w:val="00C055A8"/>
    <w:rsid w:val="00C059D0"/>
    <w:rsid w:val="00C05E79"/>
    <w:rsid w:val="00C06499"/>
    <w:rsid w:val="00C066F9"/>
    <w:rsid w:val="00C06841"/>
    <w:rsid w:val="00C06F70"/>
    <w:rsid w:val="00C1212E"/>
    <w:rsid w:val="00C136EE"/>
    <w:rsid w:val="00C13B7D"/>
    <w:rsid w:val="00C14BCB"/>
    <w:rsid w:val="00C16382"/>
    <w:rsid w:val="00C171AE"/>
    <w:rsid w:val="00C17467"/>
    <w:rsid w:val="00C17566"/>
    <w:rsid w:val="00C17B58"/>
    <w:rsid w:val="00C209B4"/>
    <w:rsid w:val="00C20B08"/>
    <w:rsid w:val="00C2101E"/>
    <w:rsid w:val="00C22543"/>
    <w:rsid w:val="00C2256C"/>
    <w:rsid w:val="00C225C3"/>
    <w:rsid w:val="00C24AF9"/>
    <w:rsid w:val="00C24EA3"/>
    <w:rsid w:val="00C25AC8"/>
    <w:rsid w:val="00C263F1"/>
    <w:rsid w:val="00C265AB"/>
    <w:rsid w:val="00C276C8"/>
    <w:rsid w:val="00C27E0E"/>
    <w:rsid w:val="00C300A5"/>
    <w:rsid w:val="00C300AC"/>
    <w:rsid w:val="00C3070E"/>
    <w:rsid w:val="00C30D1E"/>
    <w:rsid w:val="00C31A10"/>
    <w:rsid w:val="00C31C7A"/>
    <w:rsid w:val="00C32565"/>
    <w:rsid w:val="00C326AE"/>
    <w:rsid w:val="00C326D5"/>
    <w:rsid w:val="00C329EA"/>
    <w:rsid w:val="00C3488B"/>
    <w:rsid w:val="00C34D74"/>
    <w:rsid w:val="00C34F0B"/>
    <w:rsid w:val="00C3587B"/>
    <w:rsid w:val="00C373EB"/>
    <w:rsid w:val="00C379FD"/>
    <w:rsid w:val="00C40EC4"/>
    <w:rsid w:val="00C4355B"/>
    <w:rsid w:val="00C4424A"/>
    <w:rsid w:val="00C455B0"/>
    <w:rsid w:val="00C456DE"/>
    <w:rsid w:val="00C45C83"/>
    <w:rsid w:val="00C461C7"/>
    <w:rsid w:val="00C46263"/>
    <w:rsid w:val="00C46441"/>
    <w:rsid w:val="00C46835"/>
    <w:rsid w:val="00C47478"/>
    <w:rsid w:val="00C503F8"/>
    <w:rsid w:val="00C507F5"/>
    <w:rsid w:val="00C508FC"/>
    <w:rsid w:val="00C50D58"/>
    <w:rsid w:val="00C525D7"/>
    <w:rsid w:val="00C5324D"/>
    <w:rsid w:val="00C5398F"/>
    <w:rsid w:val="00C53BDF"/>
    <w:rsid w:val="00C54B14"/>
    <w:rsid w:val="00C54C3C"/>
    <w:rsid w:val="00C55903"/>
    <w:rsid w:val="00C561F4"/>
    <w:rsid w:val="00C57922"/>
    <w:rsid w:val="00C57B3B"/>
    <w:rsid w:val="00C60BAC"/>
    <w:rsid w:val="00C60CF7"/>
    <w:rsid w:val="00C66869"/>
    <w:rsid w:val="00C673E5"/>
    <w:rsid w:val="00C701F6"/>
    <w:rsid w:val="00C7098F"/>
    <w:rsid w:val="00C70ABA"/>
    <w:rsid w:val="00C70AD0"/>
    <w:rsid w:val="00C70BA6"/>
    <w:rsid w:val="00C739EB"/>
    <w:rsid w:val="00C75256"/>
    <w:rsid w:val="00C75430"/>
    <w:rsid w:val="00C75BB6"/>
    <w:rsid w:val="00C75F3F"/>
    <w:rsid w:val="00C7607E"/>
    <w:rsid w:val="00C768DC"/>
    <w:rsid w:val="00C810F9"/>
    <w:rsid w:val="00C811E4"/>
    <w:rsid w:val="00C81BB7"/>
    <w:rsid w:val="00C83D2E"/>
    <w:rsid w:val="00C83D4B"/>
    <w:rsid w:val="00C8489E"/>
    <w:rsid w:val="00C8646A"/>
    <w:rsid w:val="00C866F3"/>
    <w:rsid w:val="00C86F28"/>
    <w:rsid w:val="00C878BC"/>
    <w:rsid w:val="00C87D96"/>
    <w:rsid w:val="00C90068"/>
    <w:rsid w:val="00C9115C"/>
    <w:rsid w:val="00C91A17"/>
    <w:rsid w:val="00C9245E"/>
    <w:rsid w:val="00C92486"/>
    <w:rsid w:val="00C928A6"/>
    <w:rsid w:val="00C92D92"/>
    <w:rsid w:val="00C92ED7"/>
    <w:rsid w:val="00C93190"/>
    <w:rsid w:val="00C94BD8"/>
    <w:rsid w:val="00C94FE2"/>
    <w:rsid w:val="00C95518"/>
    <w:rsid w:val="00C9604E"/>
    <w:rsid w:val="00C9665B"/>
    <w:rsid w:val="00C977F3"/>
    <w:rsid w:val="00C97FD0"/>
    <w:rsid w:val="00CA0101"/>
    <w:rsid w:val="00CA164E"/>
    <w:rsid w:val="00CA1B4E"/>
    <w:rsid w:val="00CA2BDF"/>
    <w:rsid w:val="00CA3563"/>
    <w:rsid w:val="00CA43C1"/>
    <w:rsid w:val="00CA4FC5"/>
    <w:rsid w:val="00CA53B7"/>
    <w:rsid w:val="00CA69AC"/>
    <w:rsid w:val="00CA7B73"/>
    <w:rsid w:val="00CA7D16"/>
    <w:rsid w:val="00CA7DD3"/>
    <w:rsid w:val="00CA7F34"/>
    <w:rsid w:val="00CB0261"/>
    <w:rsid w:val="00CB0436"/>
    <w:rsid w:val="00CB0F28"/>
    <w:rsid w:val="00CB13B3"/>
    <w:rsid w:val="00CB1BAC"/>
    <w:rsid w:val="00CB1FD2"/>
    <w:rsid w:val="00CB22E2"/>
    <w:rsid w:val="00CB2F56"/>
    <w:rsid w:val="00CB315F"/>
    <w:rsid w:val="00CB3273"/>
    <w:rsid w:val="00CB6939"/>
    <w:rsid w:val="00CB6DF2"/>
    <w:rsid w:val="00CB7C61"/>
    <w:rsid w:val="00CB7E07"/>
    <w:rsid w:val="00CC0D34"/>
    <w:rsid w:val="00CC20D1"/>
    <w:rsid w:val="00CC213D"/>
    <w:rsid w:val="00CC29B6"/>
    <w:rsid w:val="00CC4764"/>
    <w:rsid w:val="00CC479A"/>
    <w:rsid w:val="00CC4CA3"/>
    <w:rsid w:val="00CC5163"/>
    <w:rsid w:val="00CC5DCA"/>
    <w:rsid w:val="00CC5E8D"/>
    <w:rsid w:val="00CC6CC5"/>
    <w:rsid w:val="00CC71EF"/>
    <w:rsid w:val="00CC722B"/>
    <w:rsid w:val="00CC7BBE"/>
    <w:rsid w:val="00CD15FB"/>
    <w:rsid w:val="00CD2E6A"/>
    <w:rsid w:val="00CD3426"/>
    <w:rsid w:val="00CD3540"/>
    <w:rsid w:val="00CD45D8"/>
    <w:rsid w:val="00CD498B"/>
    <w:rsid w:val="00CD4D42"/>
    <w:rsid w:val="00CD58CF"/>
    <w:rsid w:val="00CD5B82"/>
    <w:rsid w:val="00CD6238"/>
    <w:rsid w:val="00CD654A"/>
    <w:rsid w:val="00CD72BE"/>
    <w:rsid w:val="00CE0BD5"/>
    <w:rsid w:val="00CE0DF0"/>
    <w:rsid w:val="00CE13B5"/>
    <w:rsid w:val="00CE17E0"/>
    <w:rsid w:val="00CE2733"/>
    <w:rsid w:val="00CE367E"/>
    <w:rsid w:val="00CE48E6"/>
    <w:rsid w:val="00CE5BB8"/>
    <w:rsid w:val="00CE5C2F"/>
    <w:rsid w:val="00CE63D9"/>
    <w:rsid w:val="00CE789D"/>
    <w:rsid w:val="00CE7D50"/>
    <w:rsid w:val="00CE7D88"/>
    <w:rsid w:val="00CF019E"/>
    <w:rsid w:val="00CF0243"/>
    <w:rsid w:val="00CF044D"/>
    <w:rsid w:val="00CF0C55"/>
    <w:rsid w:val="00CF0CC7"/>
    <w:rsid w:val="00CF1FAB"/>
    <w:rsid w:val="00CF1FE1"/>
    <w:rsid w:val="00CF26F7"/>
    <w:rsid w:val="00CF2D5B"/>
    <w:rsid w:val="00CF3A9F"/>
    <w:rsid w:val="00CF3D04"/>
    <w:rsid w:val="00CF51E3"/>
    <w:rsid w:val="00CF5359"/>
    <w:rsid w:val="00CF5642"/>
    <w:rsid w:val="00CF74D4"/>
    <w:rsid w:val="00CF7577"/>
    <w:rsid w:val="00CF7B06"/>
    <w:rsid w:val="00D00789"/>
    <w:rsid w:val="00D0082C"/>
    <w:rsid w:val="00D00A87"/>
    <w:rsid w:val="00D00B0B"/>
    <w:rsid w:val="00D01F5D"/>
    <w:rsid w:val="00D041A2"/>
    <w:rsid w:val="00D0422A"/>
    <w:rsid w:val="00D04796"/>
    <w:rsid w:val="00D05210"/>
    <w:rsid w:val="00D05241"/>
    <w:rsid w:val="00D05882"/>
    <w:rsid w:val="00D05A3B"/>
    <w:rsid w:val="00D0653F"/>
    <w:rsid w:val="00D06BBB"/>
    <w:rsid w:val="00D075F0"/>
    <w:rsid w:val="00D10500"/>
    <w:rsid w:val="00D118ED"/>
    <w:rsid w:val="00D11A39"/>
    <w:rsid w:val="00D1205D"/>
    <w:rsid w:val="00D12A20"/>
    <w:rsid w:val="00D13DF5"/>
    <w:rsid w:val="00D13EC0"/>
    <w:rsid w:val="00D13F77"/>
    <w:rsid w:val="00D15883"/>
    <w:rsid w:val="00D159F2"/>
    <w:rsid w:val="00D16CA8"/>
    <w:rsid w:val="00D17422"/>
    <w:rsid w:val="00D17A10"/>
    <w:rsid w:val="00D17ABB"/>
    <w:rsid w:val="00D20990"/>
    <w:rsid w:val="00D229AD"/>
    <w:rsid w:val="00D23077"/>
    <w:rsid w:val="00D235F1"/>
    <w:rsid w:val="00D23C04"/>
    <w:rsid w:val="00D24235"/>
    <w:rsid w:val="00D24444"/>
    <w:rsid w:val="00D24541"/>
    <w:rsid w:val="00D252DC"/>
    <w:rsid w:val="00D255DF"/>
    <w:rsid w:val="00D26BA9"/>
    <w:rsid w:val="00D273CD"/>
    <w:rsid w:val="00D30FBA"/>
    <w:rsid w:val="00D31A0A"/>
    <w:rsid w:val="00D32713"/>
    <w:rsid w:val="00D32E2E"/>
    <w:rsid w:val="00D32FFD"/>
    <w:rsid w:val="00D33084"/>
    <w:rsid w:val="00D330C6"/>
    <w:rsid w:val="00D3400A"/>
    <w:rsid w:val="00D34653"/>
    <w:rsid w:val="00D359BA"/>
    <w:rsid w:val="00D35DBE"/>
    <w:rsid w:val="00D3654F"/>
    <w:rsid w:val="00D36CAF"/>
    <w:rsid w:val="00D36FB9"/>
    <w:rsid w:val="00D4028B"/>
    <w:rsid w:val="00D4137E"/>
    <w:rsid w:val="00D41A01"/>
    <w:rsid w:val="00D41E4B"/>
    <w:rsid w:val="00D429BA"/>
    <w:rsid w:val="00D45100"/>
    <w:rsid w:val="00D45A98"/>
    <w:rsid w:val="00D45C42"/>
    <w:rsid w:val="00D47EF1"/>
    <w:rsid w:val="00D508FF"/>
    <w:rsid w:val="00D516C7"/>
    <w:rsid w:val="00D525DD"/>
    <w:rsid w:val="00D52844"/>
    <w:rsid w:val="00D52E10"/>
    <w:rsid w:val="00D52EB4"/>
    <w:rsid w:val="00D53297"/>
    <w:rsid w:val="00D5357D"/>
    <w:rsid w:val="00D537D7"/>
    <w:rsid w:val="00D540ED"/>
    <w:rsid w:val="00D54EB4"/>
    <w:rsid w:val="00D55B37"/>
    <w:rsid w:val="00D55DDB"/>
    <w:rsid w:val="00D56D6E"/>
    <w:rsid w:val="00D607D1"/>
    <w:rsid w:val="00D60B9E"/>
    <w:rsid w:val="00D60CB1"/>
    <w:rsid w:val="00D60CF0"/>
    <w:rsid w:val="00D622A1"/>
    <w:rsid w:val="00D626D6"/>
    <w:rsid w:val="00D647C4"/>
    <w:rsid w:val="00D64849"/>
    <w:rsid w:val="00D649F8"/>
    <w:rsid w:val="00D64F9F"/>
    <w:rsid w:val="00D65860"/>
    <w:rsid w:val="00D65C39"/>
    <w:rsid w:val="00D65DEB"/>
    <w:rsid w:val="00D66255"/>
    <w:rsid w:val="00D66ED2"/>
    <w:rsid w:val="00D67FE2"/>
    <w:rsid w:val="00D7066B"/>
    <w:rsid w:val="00D72546"/>
    <w:rsid w:val="00D73146"/>
    <w:rsid w:val="00D73700"/>
    <w:rsid w:val="00D74950"/>
    <w:rsid w:val="00D74B2C"/>
    <w:rsid w:val="00D74F60"/>
    <w:rsid w:val="00D752A4"/>
    <w:rsid w:val="00D7571E"/>
    <w:rsid w:val="00D75B0E"/>
    <w:rsid w:val="00D764E8"/>
    <w:rsid w:val="00D76A4E"/>
    <w:rsid w:val="00D8113A"/>
    <w:rsid w:val="00D81F29"/>
    <w:rsid w:val="00D82E71"/>
    <w:rsid w:val="00D82F0B"/>
    <w:rsid w:val="00D83354"/>
    <w:rsid w:val="00D839D4"/>
    <w:rsid w:val="00D842C8"/>
    <w:rsid w:val="00D84B5C"/>
    <w:rsid w:val="00D8518C"/>
    <w:rsid w:val="00D855E1"/>
    <w:rsid w:val="00D85E74"/>
    <w:rsid w:val="00D8692B"/>
    <w:rsid w:val="00D86FC1"/>
    <w:rsid w:val="00D905CE"/>
    <w:rsid w:val="00D908B1"/>
    <w:rsid w:val="00D90C67"/>
    <w:rsid w:val="00D91CCC"/>
    <w:rsid w:val="00D92BDE"/>
    <w:rsid w:val="00D9318B"/>
    <w:rsid w:val="00D9344C"/>
    <w:rsid w:val="00D9381F"/>
    <w:rsid w:val="00D93AE2"/>
    <w:rsid w:val="00D941E5"/>
    <w:rsid w:val="00D94CC8"/>
    <w:rsid w:val="00D95F7B"/>
    <w:rsid w:val="00D964EB"/>
    <w:rsid w:val="00D96EE2"/>
    <w:rsid w:val="00D972B5"/>
    <w:rsid w:val="00D97A24"/>
    <w:rsid w:val="00DA04C9"/>
    <w:rsid w:val="00DA050C"/>
    <w:rsid w:val="00DA20BB"/>
    <w:rsid w:val="00DA221F"/>
    <w:rsid w:val="00DA2BC1"/>
    <w:rsid w:val="00DA33D6"/>
    <w:rsid w:val="00DA3E4B"/>
    <w:rsid w:val="00DA4F28"/>
    <w:rsid w:val="00DA5523"/>
    <w:rsid w:val="00DA569F"/>
    <w:rsid w:val="00DA5AF4"/>
    <w:rsid w:val="00DA6362"/>
    <w:rsid w:val="00DA6C05"/>
    <w:rsid w:val="00DB06DF"/>
    <w:rsid w:val="00DB12AB"/>
    <w:rsid w:val="00DB2341"/>
    <w:rsid w:val="00DB2B8B"/>
    <w:rsid w:val="00DB3721"/>
    <w:rsid w:val="00DB40AE"/>
    <w:rsid w:val="00DB4BF4"/>
    <w:rsid w:val="00DB5C8B"/>
    <w:rsid w:val="00DB5E48"/>
    <w:rsid w:val="00DB6C6E"/>
    <w:rsid w:val="00DB72E6"/>
    <w:rsid w:val="00DB75FD"/>
    <w:rsid w:val="00DB7716"/>
    <w:rsid w:val="00DB7C8E"/>
    <w:rsid w:val="00DC05D0"/>
    <w:rsid w:val="00DC079E"/>
    <w:rsid w:val="00DC1397"/>
    <w:rsid w:val="00DC1F0E"/>
    <w:rsid w:val="00DC2013"/>
    <w:rsid w:val="00DC2EB5"/>
    <w:rsid w:val="00DC2EFE"/>
    <w:rsid w:val="00DC30D4"/>
    <w:rsid w:val="00DC3550"/>
    <w:rsid w:val="00DC401A"/>
    <w:rsid w:val="00DC4CE6"/>
    <w:rsid w:val="00DC500B"/>
    <w:rsid w:val="00DC51F2"/>
    <w:rsid w:val="00DC536C"/>
    <w:rsid w:val="00DC5ABD"/>
    <w:rsid w:val="00DC5B8B"/>
    <w:rsid w:val="00DC5FD1"/>
    <w:rsid w:val="00DC6864"/>
    <w:rsid w:val="00DC6EAD"/>
    <w:rsid w:val="00DC773A"/>
    <w:rsid w:val="00DD0548"/>
    <w:rsid w:val="00DD0E57"/>
    <w:rsid w:val="00DD1413"/>
    <w:rsid w:val="00DD1845"/>
    <w:rsid w:val="00DD1CA6"/>
    <w:rsid w:val="00DD35CF"/>
    <w:rsid w:val="00DD4173"/>
    <w:rsid w:val="00DD45DA"/>
    <w:rsid w:val="00DD4995"/>
    <w:rsid w:val="00DD598D"/>
    <w:rsid w:val="00DD59B6"/>
    <w:rsid w:val="00DD5F25"/>
    <w:rsid w:val="00DE0529"/>
    <w:rsid w:val="00DE0A89"/>
    <w:rsid w:val="00DE1BC0"/>
    <w:rsid w:val="00DE1D83"/>
    <w:rsid w:val="00DE1F21"/>
    <w:rsid w:val="00DE2C49"/>
    <w:rsid w:val="00DE2EA4"/>
    <w:rsid w:val="00DE3259"/>
    <w:rsid w:val="00DE32BF"/>
    <w:rsid w:val="00DE37FE"/>
    <w:rsid w:val="00DE3943"/>
    <w:rsid w:val="00DE3DB4"/>
    <w:rsid w:val="00DE4998"/>
    <w:rsid w:val="00DE50AD"/>
    <w:rsid w:val="00DE53CF"/>
    <w:rsid w:val="00DE5A90"/>
    <w:rsid w:val="00DE5B95"/>
    <w:rsid w:val="00DE60B3"/>
    <w:rsid w:val="00DE6A0E"/>
    <w:rsid w:val="00DE7237"/>
    <w:rsid w:val="00DE75D8"/>
    <w:rsid w:val="00DE78FD"/>
    <w:rsid w:val="00DF0118"/>
    <w:rsid w:val="00DF0F93"/>
    <w:rsid w:val="00DF17F1"/>
    <w:rsid w:val="00DF1C54"/>
    <w:rsid w:val="00DF1E0D"/>
    <w:rsid w:val="00DF1E20"/>
    <w:rsid w:val="00DF2463"/>
    <w:rsid w:val="00DF336F"/>
    <w:rsid w:val="00DF3792"/>
    <w:rsid w:val="00DF3846"/>
    <w:rsid w:val="00DF4076"/>
    <w:rsid w:val="00DF5079"/>
    <w:rsid w:val="00DF5982"/>
    <w:rsid w:val="00DF5A5B"/>
    <w:rsid w:val="00DF63AD"/>
    <w:rsid w:val="00DF6994"/>
    <w:rsid w:val="00DF6CBA"/>
    <w:rsid w:val="00DF7C1F"/>
    <w:rsid w:val="00E01FCB"/>
    <w:rsid w:val="00E024F5"/>
    <w:rsid w:val="00E02DE2"/>
    <w:rsid w:val="00E03060"/>
    <w:rsid w:val="00E03767"/>
    <w:rsid w:val="00E03E28"/>
    <w:rsid w:val="00E040D6"/>
    <w:rsid w:val="00E0436A"/>
    <w:rsid w:val="00E06A17"/>
    <w:rsid w:val="00E06E44"/>
    <w:rsid w:val="00E109AA"/>
    <w:rsid w:val="00E121F7"/>
    <w:rsid w:val="00E12552"/>
    <w:rsid w:val="00E134DE"/>
    <w:rsid w:val="00E13BD4"/>
    <w:rsid w:val="00E1493D"/>
    <w:rsid w:val="00E14C41"/>
    <w:rsid w:val="00E16056"/>
    <w:rsid w:val="00E16B7F"/>
    <w:rsid w:val="00E16C11"/>
    <w:rsid w:val="00E17A5A"/>
    <w:rsid w:val="00E20E5F"/>
    <w:rsid w:val="00E21209"/>
    <w:rsid w:val="00E2125A"/>
    <w:rsid w:val="00E223B0"/>
    <w:rsid w:val="00E22C7B"/>
    <w:rsid w:val="00E22FBE"/>
    <w:rsid w:val="00E23AD1"/>
    <w:rsid w:val="00E24106"/>
    <w:rsid w:val="00E250C3"/>
    <w:rsid w:val="00E256FD"/>
    <w:rsid w:val="00E25F23"/>
    <w:rsid w:val="00E26A34"/>
    <w:rsid w:val="00E304CE"/>
    <w:rsid w:val="00E308A5"/>
    <w:rsid w:val="00E315BC"/>
    <w:rsid w:val="00E31D45"/>
    <w:rsid w:val="00E31EC0"/>
    <w:rsid w:val="00E33438"/>
    <w:rsid w:val="00E3346A"/>
    <w:rsid w:val="00E337D0"/>
    <w:rsid w:val="00E34786"/>
    <w:rsid w:val="00E3567A"/>
    <w:rsid w:val="00E35833"/>
    <w:rsid w:val="00E35F70"/>
    <w:rsid w:val="00E3657C"/>
    <w:rsid w:val="00E37086"/>
    <w:rsid w:val="00E378F8"/>
    <w:rsid w:val="00E37CAB"/>
    <w:rsid w:val="00E403FA"/>
    <w:rsid w:val="00E40C26"/>
    <w:rsid w:val="00E42784"/>
    <w:rsid w:val="00E432AB"/>
    <w:rsid w:val="00E43887"/>
    <w:rsid w:val="00E43B6A"/>
    <w:rsid w:val="00E45296"/>
    <w:rsid w:val="00E4587F"/>
    <w:rsid w:val="00E45B2B"/>
    <w:rsid w:val="00E46BF7"/>
    <w:rsid w:val="00E46CC4"/>
    <w:rsid w:val="00E5049A"/>
    <w:rsid w:val="00E505F9"/>
    <w:rsid w:val="00E50973"/>
    <w:rsid w:val="00E51667"/>
    <w:rsid w:val="00E518D5"/>
    <w:rsid w:val="00E520FC"/>
    <w:rsid w:val="00E52271"/>
    <w:rsid w:val="00E53A2E"/>
    <w:rsid w:val="00E546BA"/>
    <w:rsid w:val="00E547D1"/>
    <w:rsid w:val="00E54BE8"/>
    <w:rsid w:val="00E54C05"/>
    <w:rsid w:val="00E55AB4"/>
    <w:rsid w:val="00E560EB"/>
    <w:rsid w:val="00E57069"/>
    <w:rsid w:val="00E57E22"/>
    <w:rsid w:val="00E57E63"/>
    <w:rsid w:val="00E6010D"/>
    <w:rsid w:val="00E609B6"/>
    <w:rsid w:val="00E6116D"/>
    <w:rsid w:val="00E6117E"/>
    <w:rsid w:val="00E61666"/>
    <w:rsid w:val="00E61AAA"/>
    <w:rsid w:val="00E61E0B"/>
    <w:rsid w:val="00E628E6"/>
    <w:rsid w:val="00E64BDF"/>
    <w:rsid w:val="00E65138"/>
    <w:rsid w:val="00E65915"/>
    <w:rsid w:val="00E65A0D"/>
    <w:rsid w:val="00E6601E"/>
    <w:rsid w:val="00E66F8F"/>
    <w:rsid w:val="00E677CC"/>
    <w:rsid w:val="00E701B7"/>
    <w:rsid w:val="00E7029B"/>
    <w:rsid w:val="00E705D9"/>
    <w:rsid w:val="00E707CD"/>
    <w:rsid w:val="00E711C0"/>
    <w:rsid w:val="00E712C6"/>
    <w:rsid w:val="00E71B3F"/>
    <w:rsid w:val="00E71FFE"/>
    <w:rsid w:val="00E72900"/>
    <w:rsid w:val="00E72A91"/>
    <w:rsid w:val="00E72D33"/>
    <w:rsid w:val="00E72F1D"/>
    <w:rsid w:val="00E738A8"/>
    <w:rsid w:val="00E73C74"/>
    <w:rsid w:val="00E73D1F"/>
    <w:rsid w:val="00E7411D"/>
    <w:rsid w:val="00E74B33"/>
    <w:rsid w:val="00E751A3"/>
    <w:rsid w:val="00E76975"/>
    <w:rsid w:val="00E76BC7"/>
    <w:rsid w:val="00E7715D"/>
    <w:rsid w:val="00E775A1"/>
    <w:rsid w:val="00E77766"/>
    <w:rsid w:val="00E77CEA"/>
    <w:rsid w:val="00E8041B"/>
    <w:rsid w:val="00E808FB"/>
    <w:rsid w:val="00E80A2E"/>
    <w:rsid w:val="00E80EBA"/>
    <w:rsid w:val="00E8180A"/>
    <w:rsid w:val="00E82567"/>
    <w:rsid w:val="00E826C8"/>
    <w:rsid w:val="00E84DB4"/>
    <w:rsid w:val="00E853C9"/>
    <w:rsid w:val="00E860CF"/>
    <w:rsid w:val="00E86457"/>
    <w:rsid w:val="00E867B2"/>
    <w:rsid w:val="00E91B2D"/>
    <w:rsid w:val="00E92279"/>
    <w:rsid w:val="00E923F0"/>
    <w:rsid w:val="00E92543"/>
    <w:rsid w:val="00E92677"/>
    <w:rsid w:val="00E92EB9"/>
    <w:rsid w:val="00E93CEB"/>
    <w:rsid w:val="00E942F0"/>
    <w:rsid w:val="00E95FE3"/>
    <w:rsid w:val="00E9613D"/>
    <w:rsid w:val="00E963F1"/>
    <w:rsid w:val="00E9653D"/>
    <w:rsid w:val="00E96E57"/>
    <w:rsid w:val="00E972C5"/>
    <w:rsid w:val="00E97D25"/>
    <w:rsid w:val="00E97D50"/>
    <w:rsid w:val="00EA2001"/>
    <w:rsid w:val="00EA223A"/>
    <w:rsid w:val="00EA27FE"/>
    <w:rsid w:val="00EA3200"/>
    <w:rsid w:val="00EA3764"/>
    <w:rsid w:val="00EA3B43"/>
    <w:rsid w:val="00EA4F76"/>
    <w:rsid w:val="00EA574B"/>
    <w:rsid w:val="00EA5865"/>
    <w:rsid w:val="00EA66A5"/>
    <w:rsid w:val="00EA6DAB"/>
    <w:rsid w:val="00EB06CA"/>
    <w:rsid w:val="00EB09CF"/>
    <w:rsid w:val="00EB2317"/>
    <w:rsid w:val="00EB2B57"/>
    <w:rsid w:val="00EB2D86"/>
    <w:rsid w:val="00EB329D"/>
    <w:rsid w:val="00EB371C"/>
    <w:rsid w:val="00EB38D7"/>
    <w:rsid w:val="00EB4DEA"/>
    <w:rsid w:val="00EB4EAC"/>
    <w:rsid w:val="00EB5EEE"/>
    <w:rsid w:val="00EB6FDB"/>
    <w:rsid w:val="00EB7401"/>
    <w:rsid w:val="00EB74C4"/>
    <w:rsid w:val="00EB7CD1"/>
    <w:rsid w:val="00EC13CE"/>
    <w:rsid w:val="00EC167A"/>
    <w:rsid w:val="00EC1B1F"/>
    <w:rsid w:val="00EC2252"/>
    <w:rsid w:val="00EC2560"/>
    <w:rsid w:val="00EC2B80"/>
    <w:rsid w:val="00EC3438"/>
    <w:rsid w:val="00EC3797"/>
    <w:rsid w:val="00EC46CC"/>
    <w:rsid w:val="00EC4720"/>
    <w:rsid w:val="00EC62B3"/>
    <w:rsid w:val="00ED19C4"/>
    <w:rsid w:val="00ED3676"/>
    <w:rsid w:val="00ED37B8"/>
    <w:rsid w:val="00ED37FF"/>
    <w:rsid w:val="00ED3C1F"/>
    <w:rsid w:val="00ED4FD5"/>
    <w:rsid w:val="00ED525B"/>
    <w:rsid w:val="00ED554E"/>
    <w:rsid w:val="00ED65A4"/>
    <w:rsid w:val="00ED6989"/>
    <w:rsid w:val="00ED723A"/>
    <w:rsid w:val="00ED77F1"/>
    <w:rsid w:val="00ED7C1E"/>
    <w:rsid w:val="00EE1385"/>
    <w:rsid w:val="00EE162C"/>
    <w:rsid w:val="00EE2FBE"/>
    <w:rsid w:val="00EE304C"/>
    <w:rsid w:val="00EE385F"/>
    <w:rsid w:val="00EE4CA9"/>
    <w:rsid w:val="00EE54C8"/>
    <w:rsid w:val="00EE6109"/>
    <w:rsid w:val="00EE65D2"/>
    <w:rsid w:val="00EE65F7"/>
    <w:rsid w:val="00EE7383"/>
    <w:rsid w:val="00EE7F77"/>
    <w:rsid w:val="00EF175A"/>
    <w:rsid w:val="00EF17C6"/>
    <w:rsid w:val="00EF1BFE"/>
    <w:rsid w:val="00EF2EC6"/>
    <w:rsid w:val="00EF3B14"/>
    <w:rsid w:val="00EF56FA"/>
    <w:rsid w:val="00EF58B9"/>
    <w:rsid w:val="00EF5AD1"/>
    <w:rsid w:val="00EF5C8D"/>
    <w:rsid w:val="00EF72DE"/>
    <w:rsid w:val="00EF773B"/>
    <w:rsid w:val="00EF7D3D"/>
    <w:rsid w:val="00F00EFA"/>
    <w:rsid w:val="00F00F55"/>
    <w:rsid w:val="00F011F0"/>
    <w:rsid w:val="00F0169D"/>
    <w:rsid w:val="00F01AD9"/>
    <w:rsid w:val="00F028A9"/>
    <w:rsid w:val="00F02CFE"/>
    <w:rsid w:val="00F031DE"/>
    <w:rsid w:val="00F03B7A"/>
    <w:rsid w:val="00F04041"/>
    <w:rsid w:val="00F05863"/>
    <w:rsid w:val="00F06306"/>
    <w:rsid w:val="00F0661B"/>
    <w:rsid w:val="00F06780"/>
    <w:rsid w:val="00F06A2F"/>
    <w:rsid w:val="00F06F9D"/>
    <w:rsid w:val="00F0750E"/>
    <w:rsid w:val="00F07F1D"/>
    <w:rsid w:val="00F10048"/>
    <w:rsid w:val="00F107C4"/>
    <w:rsid w:val="00F10FE8"/>
    <w:rsid w:val="00F13F2A"/>
    <w:rsid w:val="00F141F6"/>
    <w:rsid w:val="00F14E87"/>
    <w:rsid w:val="00F15F7A"/>
    <w:rsid w:val="00F16089"/>
    <w:rsid w:val="00F160E5"/>
    <w:rsid w:val="00F174D1"/>
    <w:rsid w:val="00F17617"/>
    <w:rsid w:val="00F17ACE"/>
    <w:rsid w:val="00F200E4"/>
    <w:rsid w:val="00F20299"/>
    <w:rsid w:val="00F207ED"/>
    <w:rsid w:val="00F20BF1"/>
    <w:rsid w:val="00F215B3"/>
    <w:rsid w:val="00F21B93"/>
    <w:rsid w:val="00F22FAE"/>
    <w:rsid w:val="00F230A9"/>
    <w:rsid w:val="00F230EA"/>
    <w:rsid w:val="00F24E6D"/>
    <w:rsid w:val="00F26A6A"/>
    <w:rsid w:val="00F26F38"/>
    <w:rsid w:val="00F27138"/>
    <w:rsid w:val="00F2727D"/>
    <w:rsid w:val="00F279AE"/>
    <w:rsid w:val="00F3040A"/>
    <w:rsid w:val="00F32000"/>
    <w:rsid w:val="00F32101"/>
    <w:rsid w:val="00F32604"/>
    <w:rsid w:val="00F329E2"/>
    <w:rsid w:val="00F32D6E"/>
    <w:rsid w:val="00F34D56"/>
    <w:rsid w:val="00F35ABA"/>
    <w:rsid w:val="00F377D9"/>
    <w:rsid w:val="00F37D10"/>
    <w:rsid w:val="00F37E20"/>
    <w:rsid w:val="00F4044D"/>
    <w:rsid w:val="00F407BD"/>
    <w:rsid w:val="00F40E95"/>
    <w:rsid w:val="00F40F0A"/>
    <w:rsid w:val="00F41163"/>
    <w:rsid w:val="00F41E15"/>
    <w:rsid w:val="00F423B2"/>
    <w:rsid w:val="00F44711"/>
    <w:rsid w:val="00F4496A"/>
    <w:rsid w:val="00F44A67"/>
    <w:rsid w:val="00F44AFD"/>
    <w:rsid w:val="00F44C79"/>
    <w:rsid w:val="00F51BC4"/>
    <w:rsid w:val="00F52380"/>
    <w:rsid w:val="00F523F8"/>
    <w:rsid w:val="00F52A96"/>
    <w:rsid w:val="00F534FF"/>
    <w:rsid w:val="00F5358D"/>
    <w:rsid w:val="00F53B85"/>
    <w:rsid w:val="00F53D72"/>
    <w:rsid w:val="00F54876"/>
    <w:rsid w:val="00F54945"/>
    <w:rsid w:val="00F55043"/>
    <w:rsid w:val="00F5538B"/>
    <w:rsid w:val="00F55417"/>
    <w:rsid w:val="00F57A84"/>
    <w:rsid w:val="00F604FA"/>
    <w:rsid w:val="00F60880"/>
    <w:rsid w:val="00F614B4"/>
    <w:rsid w:val="00F61A55"/>
    <w:rsid w:val="00F62B41"/>
    <w:rsid w:val="00F62B55"/>
    <w:rsid w:val="00F62F89"/>
    <w:rsid w:val="00F657CE"/>
    <w:rsid w:val="00F65953"/>
    <w:rsid w:val="00F65984"/>
    <w:rsid w:val="00F65FFE"/>
    <w:rsid w:val="00F667D5"/>
    <w:rsid w:val="00F66A03"/>
    <w:rsid w:val="00F66A18"/>
    <w:rsid w:val="00F70F8A"/>
    <w:rsid w:val="00F71201"/>
    <w:rsid w:val="00F7168F"/>
    <w:rsid w:val="00F72D9E"/>
    <w:rsid w:val="00F72E69"/>
    <w:rsid w:val="00F75A67"/>
    <w:rsid w:val="00F75BD0"/>
    <w:rsid w:val="00F806CC"/>
    <w:rsid w:val="00F8167D"/>
    <w:rsid w:val="00F819E8"/>
    <w:rsid w:val="00F8239E"/>
    <w:rsid w:val="00F82743"/>
    <w:rsid w:val="00F834F1"/>
    <w:rsid w:val="00F83659"/>
    <w:rsid w:val="00F837ED"/>
    <w:rsid w:val="00F844D1"/>
    <w:rsid w:val="00F85827"/>
    <w:rsid w:val="00F85E02"/>
    <w:rsid w:val="00F85E86"/>
    <w:rsid w:val="00F86311"/>
    <w:rsid w:val="00F863DE"/>
    <w:rsid w:val="00F8685D"/>
    <w:rsid w:val="00F87668"/>
    <w:rsid w:val="00F876D0"/>
    <w:rsid w:val="00F87AC8"/>
    <w:rsid w:val="00F87C82"/>
    <w:rsid w:val="00F9093F"/>
    <w:rsid w:val="00F91E29"/>
    <w:rsid w:val="00F91E2A"/>
    <w:rsid w:val="00F939A3"/>
    <w:rsid w:val="00F93F28"/>
    <w:rsid w:val="00F93F2F"/>
    <w:rsid w:val="00F943C6"/>
    <w:rsid w:val="00F94CCE"/>
    <w:rsid w:val="00F963C3"/>
    <w:rsid w:val="00F965AD"/>
    <w:rsid w:val="00F9766D"/>
    <w:rsid w:val="00F977F0"/>
    <w:rsid w:val="00F97A07"/>
    <w:rsid w:val="00FA09CD"/>
    <w:rsid w:val="00FA11E2"/>
    <w:rsid w:val="00FA187B"/>
    <w:rsid w:val="00FA1F04"/>
    <w:rsid w:val="00FA3D11"/>
    <w:rsid w:val="00FA4252"/>
    <w:rsid w:val="00FA47FC"/>
    <w:rsid w:val="00FA4AE0"/>
    <w:rsid w:val="00FA53BB"/>
    <w:rsid w:val="00FA59E6"/>
    <w:rsid w:val="00FA61D3"/>
    <w:rsid w:val="00FB0FF4"/>
    <w:rsid w:val="00FB118B"/>
    <w:rsid w:val="00FB1363"/>
    <w:rsid w:val="00FB1A48"/>
    <w:rsid w:val="00FB1BE2"/>
    <w:rsid w:val="00FB1FF4"/>
    <w:rsid w:val="00FB23BC"/>
    <w:rsid w:val="00FB2F56"/>
    <w:rsid w:val="00FB3192"/>
    <w:rsid w:val="00FB3D38"/>
    <w:rsid w:val="00FB5516"/>
    <w:rsid w:val="00FB5E0A"/>
    <w:rsid w:val="00FB5F1D"/>
    <w:rsid w:val="00FB5F2C"/>
    <w:rsid w:val="00FB7883"/>
    <w:rsid w:val="00FC0219"/>
    <w:rsid w:val="00FC11F2"/>
    <w:rsid w:val="00FC2112"/>
    <w:rsid w:val="00FC295A"/>
    <w:rsid w:val="00FC3E5A"/>
    <w:rsid w:val="00FC4433"/>
    <w:rsid w:val="00FC4598"/>
    <w:rsid w:val="00FC4B49"/>
    <w:rsid w:val="00FC50E3"/>
    <w:rsid w:val="00FC5B74"/>
    <w:rsid w:val="00FD0415"/>
    <w:rsid w:val="00FD1399"/>
    <w:rsid w:val="00FD1BAA"/>
    <w:rsid w:val="00FD2B81"/>
    <w:rsid w:val="00FD2C97"/>
    <w:rsid w:val="00FD36DD"/>
    <w:rsid w:val="00FD4159"/>
    <w:rsid w:val="00FD544C"/>
    <w:rsid w:val="00FD55A0"/>
    <w:rsid w:val="00FD5D9A"/>
    <w:rsid w:val="00FD65F0"/>
    <w:rsid w:val="00FD6CF9"/>
    <w:rsid w:val="00FD7029"/>
    <w:rsid w:val="00FD7553"/>
    <w:rsid w:val="00FD7AE6"/>
    <w:rsid w:val="00FE0F60"/>
    <w:rsid w:val="00FE169D"/>
    <w:rsid w:val="00FE300F"/>
    <w:rsid w:val="00FE3E27"/>
    <w:rsid w:val="00FE4C39"/>
    <w:rsid w:val="00FE7167"/>
    <w:rsid w:val="00FE7EC0"/>
    <w:rsid w:val="00FF0064"/>
    <w:rsid w:val="00FF2654"/>
    <w:rsid w:val="00FF28C1"/>
    <w:rsid w:val="00FF2CDE"/>
    <w:rsid w:val="00FF2DFE"/>
    <w:rsid w:val="00FF3FAE"/>
    <w:rsid w:val="00FF43CB"/>
    <w:rsid w:val="00FF4E76"/>
    <w:rsid w:val="00FF54F0"/>
    <w:rsid w:val="00FF564A"/>
    <w:rsid w:val="00FF5D7E"/>
    <w:rsid w:val="00FF5EE3"/>
    <w:rsid w:val="00FF64D7"/>
    <w:rsid w:val="010C3842"/>
    <w:rsid w:val="015A73C5"/>
    <w:rsid w:val="015F0E9A"/>
    <w:rsid w:val="01701B1D"/>
    <w:rsid w:val="01734E59"/>
    <w:rsid w:val="01792A29"/>
    <w:rsid w:val="018441F9"/>
    <w:rsid w:val="0189476C"/>
    <w:rsid w:val="019E1AA5"/>
    <w:rsid w:val="01D81B74"/>
    <w:rsid w:val="020D21EB"/>
    <w:rsid w:val="02405EF4"/>
    <w:rsid w:val="025F1D17"/>
    <w:rsid w:val="02B112BD"/>
    <w:rsid w:val="02B71938"/>
    <w:rsid w:val="02FF35C9"/>
    <w:rsid w:val="030350B7"/>
    <w:rsid w:val="032E099D"/>
    <w:rsid w:val="03C7160A"/>
    <w:rsid w:val="04006592"/>
    <w:rsid w:val="041064EE"/>
    <w:rsid w:val="043A0595"/>
    <w:rsid w:val="043C1242"/>
    <w:rsid w:val="044C5927"/>
    <w:rsid w:val="04544623"/>
    <w:rsid w:val="04C13AC2"/>
    <w:rsid w:val="04E16C7F"/>
    <w:rsid w:val="051A367F"/>
    <w:rsid w:val="051A587D"/>
    <w:rsid w:val="057F4E0A"/>
    <w:rsid w:val="058902AB"/>
    <w:rsid w:val="05922380"/>
    <w:rsid w:val="05DC27B4"/>
    <w:rsid w:val="05FD77F8"/>
    <w:rsid w:val="06264ABE"/>
    <w:rsid w:val="062846F0"/>
    <w:rsid w:val="068073A2"/>
    <w:rsid w:val="06AA511A"/>
    <w:rsid w:val="07484CAA"/>
    <w:rsid w:val="0752640C"/>
    <w:rsid w:val="075B1051"/>
    <w:rsid w:val="081F28EB"/>
    <w:rsid w:val="082C307A"/>
    <w:rsid w:val="08477B26"/>
    <w:rsid w:val="08855302"/>
    <w:rsid w:val="08950FFE"/>
    <w:rsid w:val="089D7AB3"/>
    <w:rsid w:val="08BB428A"/>
    <w:rsid w:val="08ED4DE0"/>
    <w:rsid w:val="08F15073"/>
    <w:rsid w:val="0906794E"/>
    <w:rsid w:val="09101580"/>
    <w:rsid w:val="09246B8A"/>
    <w:rsid w:val="093E0008"/>
    <w:rsid w:val="094955DA"/>
    <w:rsid w:val="094F0553"/>
    <w:rsid w:val="098A155E"/>
    <w:rsid w:val="09AB679C"/>
    <w:rsid w:val="09C643A0"/>
    <w:rsid w:val="09CB2F66"/>
    <w:rsid w:val="09DF1AE6"/>
    <w:rsid w:val="09F71371"/>
    <w:rsid w:val="0A7C09E5"/>
    <w:rsid w:val="0ADF7D70"/>
    <w:rsid w:val="0AE275F7"/>
    <w:rsid w:val="0AE929B1"/>
    <w:rsid w:val="0AFD7DEF"/>
    <w:rsid w:val="0B52441F"/>
    <w:rsid w:val="0B7419A9"/>
    <w:rsid w:val="0B7C6547"/>
    <w:rsid w:val="0BAC60F3"/>
    <w:rsid w:val="0BB727AF"/>
    <w:rsid w:val="0BC97900"/>
    <w:rsid w:val="0BDC7AD6"/>
    <w:rsid w:val="0C172A8C"/>
    <w:rsid w:val="0C353855"/>
    <w:rsid w:val="0C4154B7"/>
    <w:rsid w:val="0C6A7997"/>
    <w:rsid w:val="0C9575AC"/>
    <w:rsid w:val="0CAD2833"/>
    <w:rsid w:val="0CAD4E12"/>
    <w:rsid w:val="0CB54B40"/>
    <w:rsid w:val="0CDF3388"/>
    <w:rsid w:val="0D1632D4"/>
    <w:rsid w:val="0D312FD6"/>
    <w:rsid w:val="0D380DA0"/>
    <w:rsid w:val="0D397BEB"/>
    <w:rsid w:val="0D3B5150"/>
    <w:rsid w:val="0D870514"/>
    <w:rsid w:val="0DCC081E"/>
    <w:rsid w:val="0DD94FFD"/>
    <w:rsid w:val="0DDF4BBA"/>
    <w:rsid w:val="0DE71094"/>
    <w:rsid w:val="0DF74F82"/>
    <w:rsid w:val="0DFF0289"/>
    <w:rsid w:val="0E054764"/>
    <w:rsid w:val="0E334DFD"/>
    <w:rsid w:val="0E3A670B"/>
    <w:rsid w:val="0E572F38"/>
    <w:rsid w:val="0E63148D"/>
    <w:rsid w:val="0E6D5BE4"/>
    <w:rsid w:val="0EB96843"/>
    <w:rsid w:val="0EC32318"/>
    <w:rsid w:val="0EC70447"/>
    <w:rsid w:val="0EC75168"/>
    <w:rsid w:val="0F290375"/>
    <w:rsid w:val="0F3E2F51"/>
    <w:rsid w:val="0F8016F5"/>
    <w:rsid w:val="0FAA320F"/>
    <w:rsid w:val="0FD257E0"/>
    <w:rsid w:val="0FDA3F23"/>
    <w:rsid w:val="10321FEB"/>
    <w:rsid w:val="10485844"/>
    <w:rsid w:val="10700BAD"/>
    <w:rsid w:val="109951A1"/>
    <w:rsid w:val="10C43D24"/>
    <w:rsid w:val="10F01AC8"/>
    <w:rsid w:val="111D5DC0"/>
    <w:rsid w:val="1157758F"/>
    <w:rsid w:val="118E1CC3"/>
    <w:rsid w:val="11B53EF0"/>
    <w:rsid w:val="120E035B"/>
    <w:rsid w:val="122D396F"/>
    <w:rsid w:val="124D5D85"/>
    <w:rsid w:val="12664DFC"/>
    <w:rsid w:val="12744A32"/>
    <w:rsid w:val="12C35606"/>
    <w:rsid w:val="12F33A0D"/>
    <w:rsid w:val="135370F5"/>
    <w:rsid w:val="1361035C"/>
    <w:rsid w:val="13C12B1F"/>
    <w:rsid w:val="13CF2EF9"/>
    <w:rsid w:val="13DE479E"/>
    <w:rsid w:val="13F97C8D"/>
    <w:rsid w:val="14405E79"/>
    <w:rsid w:val="14591212"/>
    <w:rsid w:val="14A73825"/>
    <w:rsid w:val="14AA4F92"/>
    <w:rsid w:val="14AA5947"/>
    <w:rsid w:val="14BD57FA"/>
    <w:rsid w:val="14C7556F"/>
    <w:rsid w:val="14D25FDB"/>
    <w:rsid w:val="14E512CB"/>
    <w:rsid w:val="14E928F3"/>
    <w:rsid w:val="14F05B19"/>
    <w:rsid w:val="15006DD7"/>
    <w:rsid w:val="150B2E6D"/>
    <w:rsid w:val="15352778"/>
    <w:rsid w:val="153744AE"/>
    <w:rsid w:val="153E0610"/>
    <w:rsid w:val="15490E19"/>
    <w:rsid w:val="155C3927"/>
    <w:rsid w:val="155E2CC9"/>
    <w:rsid w:val="157A2235"/>
    <w:rsid w:val="158535DD"/>
    <w:rsid w:val="15AD7966"/>
    <w:rsid w:val="15E70B48"/>
    <w:rsid w:val="15FE0A04"/>
    <w:rsid w:val="163B3EBD"/>
    <w:rsid w:val="16A46591"/>
    <w:rsid w:val="16B36391"/>
    <w:rsid w:val="16BA5CCC"/>
    <w:rsid w:val="16C54FF2"/>
    <w:rsid w:val="16CF2C06"/>
    <w:rsid w:val="16E16ED1"/>
    <w:rsid w:val="16F8514B"/>
    <w:rsid w:val="171401D1"/>
    <w:rsid w:val="1727293A"/>
    <w:rsid w:val="17295797"/>
    <w:rsid w:val="176854B8"/>
    <w:rsid w:val="178578E1"/>
    <w:rsid w:val="1799104C"/>
    <w:rsid w:val="179C4683"/>
    <w:rsid w:val="17B11B23"/>
    <w:rsid w:val="17D855FB"/>
    <w:rsid w:val="17EC52CA"/>
    <w:rsid w:val="18245038"/>
    <w:rsid w:val="18287DA4"/>
    <w:rsid w:val="18401A86"/>
    <w:rsid w:val="186B47A8"/>
    <w:rsid w:val="188C45B8"/>
    <w:rsid w:val="18B32CC2"/>
    <w:rsid w:val="18BA6E98"/>
    <w:rsid w:val="19004E44"/>
    <w:rsid w:val="19216320"/>
    <w:rsid w:val="19734EA8"/>
    <w:rsid w:val="19B64EFE"/>
    <w:rsid w:val="19EB0215"/>
    <w:rsid w:val="19FC5498"/>
    <w:rsid w:val="19FF486F"/>
    <w:rsid w:val="1A0B192F"/>
    <w:rsid w:val="1A1A0F26"/>
    <w:rsid w:val="1A26674F"/>
    <w:rsid w:val="1A2C31B7"/>
    <w:rsid w:val="1A3A4EF9"/>
    <w:rsid w:val="1A4A5477"/>
    <w:rsid w:val="1AAF06F6"/>
    <w:rsid w:val="1ABF65C9"/>
    <w:rsid w:val="1B043911"/>
    <w:rsid w:val="1BC10F5E"/>
    <w:rsid w:val="1BD40D4F"/>
    <w:rsid w:val="1BD57672"/>
    <w:rsid w:val="1BE42F4B"/>
    <w:rsid w:val="1BF458C0"/>
    <w:rsid w:val="1BF77A06"/>
    <w:rsid w:val="1C332AAF"/>
    <w:rsid w:val="1C38576B"/>
    <w:rsid w:val="1C6F5367"/>
    <w:rsid w:val="1C856DBE"/>
    <w:rsid w:val="1CA4679D"/>
    <w:rsid w:val="1CAC5B28"/>
    <w:rsid w:val="1CBB4592"/>
    <w:rsid w:val="1CC16EAD"/>
    <w:rsid w:val="1CC951CB"/>
    <w:rsid w:val="1D2E604F"/>
    <w:rsid w:val="1DAB435A"/>
    <w:rsid w:val="1DB8156A"/>
    <w:rsid w:val="1DDB76E8"/>
    <w:rsid w:val="1DE454FC"/>
    <w:rsid w:val="1DF034A2"/>
    <w:rsid w:val="1E08527A"/>
    <w:rsid w:val="1E102801"/>
    <w:rsid w:val="1E127EE6"/>
    <w:rsid w:val="1E183809"/>
    <w:rsid w:val="1E1C446F"/>
    <w:rsid w:val="1E2D0140"/>
    <w:rsid w:val="1E9C1EFD"/>
    <w:rsid w:val="1EAF2AE4"/>
    <w:rsid w:val="1EBD7B4B"/>
    <w:rsid w:val="1EC57116"/>
    <w:rsid w:val="1EF8089D"/>
    <w:rsid w:val="1F493008"/>
    <w:rsid w:val="1F5A7AB8"/>
    <w:rsid w:val="1F703A1F"/>
    <w:rsid w:val="1F7344D9"/>
    <w:rsid w:val="1F85572A"/>
    <w:rsid w:val="1FAB654B"/>
    <w:rsid w:val="1FC13B95"/>
    <w:rsid w:val="1FD2579A"/>
    <w:rsid w:val="1FD632EC"/>
    <w:rsid w:val="20043368"/>
    <w:rsid w:val="203D16EA"/>
    <w:rsid w:val="20550B5B"/>
    <w:rsid w:val="20810DF7"/>
    <w:rsid w:val="20811346"/>
    <w:rsid w:val="20B75FAE"/>
    <w:rsid w:val="20CB48B2"/>
    <w:rsid w:val="20FC0583"/>
    <w:rsid w:val="21196452"/>
    <w:rsid w:val="212825CF"/>
    <w:rsid w:val="21447859"/>
    <w:rsid w:val="21737D29"/>
    <w:rsid w:val="21CA4F14"/>
    <w:rsid w:val="21F83850"/>
    <w:rsid w:val="220103A0"/>
    <w:rsid w:val="220B78A0"/>
    <w:rsid w:val="221B2B28"/>
    <w:rsid w:val="22F40CE5"/>
    <w:rsid w:val="237C3FA6"/>
    <w:rsid w:val="23853191"/>
    <w:rsid w:val="23894B65"/>
    <w:rsid w:val="23DC09A6"/>
    <w:rsid w:val="240D40DD"/>
    <w:rsid w:val="244959C1"/>
    <w:rsid w:val="244A3CAD"/>
    <w:rsid w:val="245D64CA"/>
    <w:rsid w:val="247A0586"/>
    <w:rsid w:val="251204FC"/>
    <w:rsid w:val="255B6DDC"/>
    <w:rsid w:val="25732278"/>
    <w:rsid w:val="25A34BF8"/>
    <w:rsid w:val="25D9357D"/>
    <w:rsid w:val="25DD07DD"/>
    <w:rsid w:val="26473C3D"/>
    <w:rsid w:val="26763FBA"/>
    <w:rsid w:val="26A80FB7"/>
    <w:rsid w:val="2737253D"/>
    <w:rsid w:val="275D5EA3"/>
    <w:rsid w:val="276D4DE9"/>
    <w:rsid w:val="278E0E1E"/>
    <w:rsid w:val="279573F7"/>
    <w:rsid w:val="27B338B0"/>
    <w:rsid w:val="27C13EA6"/>
    <w:rsid w:val="284836B6"/>
    <w:rsid w:val="286617C6"/>
    <w:rsid w:val="286F08F1"/>
    <w:rsid w:val="28867AF8"/>
    <w:rsid w:val="289D5F35"/>
    <w:rsid w:val="28B44116"/>
    <w:rsid w:val="28CC5AAD"/>
    <w:rsid w:val="28DD1891"/>
    <w:rsid w:val="28ED5D0E"/>
    <w:rsid w:val="29234D46"/>
    <w:rsid w:val="29281FA7"/>
    <w:rsid w:val="29530CE0"/>
    <w:rsid w:val="29601C2E"/>
    <w:rsid w:val="29650799"/>
    <w:rsid w:val="29751C5A"/>
    <w:rsid w:val="29785A1F"/>
    <w:rsid w:val="29806CF0"/>
    <w:rsid w:val="29980E81"/>
    <w:rsid w:val="299D0953"/>
    <w:rsid w:val="29BA5AA4"/>
    <w:rsid w:val="2A525C24"/>
    <w:rsid w:val="2A700B1C"/>
    <w:rsid w:val="2AB42256"/>
    <w:rsid w:val="2AB447E7"/>
    <w:rsid w:val="2B0771CA"/>
    <w:rsid w:val="2B123D34"/>
    <w:rsid w:val="2B3E398A"/>
    <w:rsid w:val="2B716DED"/>
    <w:rsid w:val="2BB23E68"/>
    <w:rsid w:val="2BF1229D"/>
    <w:rsid w:val="2C2C311B"/>
    <w:rsid w:val="2C570EE1"/>
    <w:rsid w:val="2C693A68"/>
    <w:rsid w:val="2C88307D"/>
    <w:rsid w:val="2CDE4343"/>
    <w:rsid w:val="2CE368E8"/>
    <w:rsid w:val="2CFB101B"/>
    <w:rsid w:val="2D430B7E"/>
    <w:rsid w:val="2D765A50"/>
    <w:rsid w:val="2DAC36C0"/>
    <w:rsid w:val="2DC579D3"/>
    <w:rsid w:val="2DE3156A"/>
    <w:rsid w:val="2DEB4B51"/>
    <w:rsid w:val="2E214D47"/>
    <w:rsid w:val="2E8B4F49"/>
    <w:rsid w:val="2E904E78"/>
    <w:rsid w:val="2EBB035D"/>
    <w:rsid w:val="2ECF3637"/>
    <w:rsid w:val="2F661ED4"/>
    <w:rsid w:val="2F8C00F1"/>
    <w:rsid w:val="2FA4098E"/>
    <w:rsid w:val="2FCD3DD0"/>
    <w:rsid w:val="2FF619BC"/>
    <w:rsid w:val="300B6B7B"/>
    <w:rsid w:val="30555350"/>
    <w:rsid w:val="30A67244"/>
    <w:rsid w:val="30B350BD"/>
    <w:rsid w:val="30B72C37"/>
    <w:rsid w:val="30F85BB6"/>
    <w:rsid w:val="316D10BA"/>
    <w:rsid w:val="3173098D"/>
    <w:rsid w:val="31CA7286"/>
    <w:rsid w:val="325E5379"/>
    <w:rsid w:val="329F792E"/>
    <w:rsid w:val="32CA619F"/>
    <w:rsid w:val="32F70D3B"/>
    <w:rsid w:val="33013B12"/>
    <w:rsid w:val="33014E52"/>
    <w:rsid w:val="330932FE"/>
    <w:rsid w:val="33396B2A"/>
    <w:rsid w:val="33870278"/>
    <w:rsid w:val="338E6B83"/>
    <w:rsid w:val="33901D1E"/>
    <w:rsid w:val="33D00FED"/>
    <w:rsid w:val="33F3160C"/>
    <w:rsid w:val="33FA6C9A"/>
    <w:rsid w:val="342C16B3"/>
    <w:rsid w:val="34497C48"/>
    <w:rsid w:val="345410CE"/>
    <w:rsid w:val="34641710"/>
    <w:rsid w:val="3486648A"/>
    <w:rsid w:val="34CD6927"/>
    <w:rsid w:val="34CE2098"/>
    <w:rsid w:val="34D614BE"/>
    <w:rsid w:val="34EF52F3"/>
    <w:rsid w:val="352A266B"/>
    <w:rsid w:val="35345C57"/>
    <w:rsid w:val="3538516C"/>
    <w:rsid w:val="35651DDE"/>
    <w:rsid w:val="35D56E9E"/>
    <w:rsid w:val="35EA7949"/>
    <w:rsid w:val="36031893"/>
    <w:rsid w:val="3655592D"/>
    <w:rsid w:val="367F7299"/>
    <w:rsid w:val="368D3F29"/>
    <w:rsid w:val="36A53226"/>
    <w:rsid w:val="3739703A"/>
    <w:rsid w:val="377C5D83"/>
    <w:rsid w:val="378A730A"/>
    <w:rsid w:val="379B312E"/>
    <w:rsid w:val="379C5225"/>
    <w:rsid w:val="37BB1925"/>
    <w:rsid w:val="37DC1C45"/>
    <w:rsid w:val="383F04BB"/>
    <w:rsid w:val="385A00E1"/>
    <w:rsid w:val="3892254B"/>
    <w:rsid w:val="38B41DCF"/>
    <w:rsid w:val="38E82719"/>
    <w:rsid w:val="391A2177"/>
    <w:rsid w:val="392943C6"/>
    <w:rsid w:val="39507292"/>
    <w:rsid w:val="395D06EE"/>
    <w:rsid w:val="39685325"/>
    <w:rsid w:val="398F4F35"/>
    <w:rsid w:val="39B067A2"/>
    <w:rsid w:val="39B135D7"/>
    <w:rsid w:val="39E90732"/>
    <w:rsid w:val="39F953D5"/>
    <w:rsid w:val="3A025C9E"/>
    <w:rsid w:val="3A0C5F02"/>
    <w:rsid w:val="3A2D57AA"/>
    <w:rsid w:val="3A372D42"/>
    <w:rsid w:val="3A67574A"/>
    <w:rsid w:val="3AA0371E"/>
    <w:rsid w:val="3AAD4A9F"/>
    <w:rsid w:val="3AC176F3"/>
    <w:rsid w:val="3AC91C44"/>
    <w:rsid w:val="3B1E7285"/>
    <w:rsid w:val="3B4F7464"/>
    <w:rsid w:val="3B501EBF"/>
    <w:rsid w:val="3B5D10F2"/>
    <w:rsid w:val="3B7540BA"/>
    <w:rsid w:val="3B7D4225"/>
    <w:rsid w:val="3BBA7134"/>
    <w:rsid w:val="3BC52D3F"/>
    <w:rsid w:val="3C265FFF"/>
    <w:rsid w:val="3C303EAE"/>
    <w:rsid w:val="3C5F18B6"/>
    <w:rsid w:val="3C961B37"/>
    <w:rsid w:val="3C991986"/>
    <w:rsid w:val="3CB57B33"/>
    <w:rsid w:val="3CF90DDA"/>
    <w:rsid w:val="3D41045C"/>
    <w:rsid w:val="3D53493D"/>
    <w:rsid w:val="3D7E76ED"/>
    <w:rsid w:val="3D8164C1"/>
    <w:rsid w:val="3DAB3099"/>
    <w:rsid w:val="3DD24F84"/>
    <w:rsid w:val="3DE10129"/>
    <w:rsid w:val="3E166638"/>
    <w:rsid w:val="3E4330B7"/>
    <w:rsid w:val="3E4C7BD1"/>
    <w:rsid w:val="3E8060AD"/>
    <w:rsid w:val="3E915EED"/>
    <w:rsid w:val="3EB258AC"/>
    <w:rsid w:val="3EC90C8B"/>
    <w:rsid w:val="3EF6700C"/>
    <w:rsid w:val="3F49375F"/>
    <w:rsid w:val="3F592E64"/>
    <w:rsid w:val="3F6518C3"/>
    <w:rsid w:val="3FB32319"/>
    <w:rsid w:val="3FE41A06"/>
    <w:rsid w:val="4015242A"/>
    <w:rsid w:val="403E1203"/>
    <w:rsid w:val="40504C49"/>
    <w:rsid w:val="4064307C"/>
    <w:rsid w:val="40DF6DAB"/>
    <w:rsid w:val="40E75E35"/>
    <w:rsid w:val="4132750F"/>
    <w:rsid w:val="41597A89"/>
    <w:rsid w:val="41A04C31"/>
    <w:rsid w:val="41AF7F04"/>
    <w:rsid w:val="41B74A1A"/>
    <w:rsid w:val="41BB533F"/>
    <w:rsid w:val="41BF3B25"/>
    <w:rsid w:val="41D577F3"/>
    <w:rsid w:val="41E03F5F"/>
    <w:rsid w:val="420F4C80"/>
    <w:rsid w:val="4222602A"/>
    <w:rsid w:val="42FC39B8"/>
    <w:rsid w:val="430454B6"/>
    <w:rsid w:val="435028F3"/>
    <w:rsid w:val="435E366D"/>
    <w:rsid w:val="439B42DE"/>
    <w:rsid w:val="43A312A3"/>
    <w:rsid w:val="43C60A47"/>
    <w:rsid w:val="43C8753F"/>
    <w:rsid w:val="43DB1525"/>
    <w:rsid w:val="442B5DF8"/>
    <w:rsid w:val="44481C55"/>
    <w:rsid w:val="446B2EC0"/>
    <w:rsid w:val="44926525"/>
    <w:rsid w:val="44987886"/>
    <w:rsid w:val="44DC12D4"/>
    <w:rsid w:val="44DE6128"/>
    <w:rsid w:val="44E651E7"/>
    <w:rsid w:val="44F33ED1"/>
    <w:rsid w:val="44F41DAD"/>
    <w:rsid w:val="450053A5"/>
    <w:rsid w:val="45094F28"/>
    <w:rsid w:val="453A574B"/>
    <w:rsid w:val="45407DF0"/>
    <w:rsid w:val="456F0206"/>
    <w:rsid w:val="45730CA6"/>
    <w:rsid w:val="457A54F3"/>
    <w:rsid w:val="45C33BBE"/>
    <w:rsid w:val="461A2030"/>
    <w:rsid w:val="462E5819"/>
    <w:rsid w:val="4707550C"/>
    <w:rsid w:val="471817BB"/>
    <w:rsid w:val="471A446E"/>
    <w:rsid w:val="47412C1D"/>
    <w:rsid w:val="474B7AD7"/>
    <w:rsid w:val="47695160"/>
    <w:rsid w:val="47772BD3"/>
    <w:rsid w:val="47794D83"/>
    <w:rsid w:val="477D5E4C"/>
    <w:rsid w:val="47AF19C8"/>
    <w:rsid w:val="47D65A0B"/>
    <w:rsid w:val="4848512D"/>
    <w:rsid w:val="48791B86"/>
    <w:rsid w:val="48887CB1"/>
    <w:rsid w:val="48A53086"/>
    <w:rsid w:val="48AB7D3C"/>
    <w:rsid w:val="48B43F5B"/>
    <w:rsid w:val="48B83D59"/>
    <w:rsid w:val="49142DB3"/>
    <w:rsid w:val="492B11E5"/>
    <w:rsid w:val="493D086E"/>
    <w:rsid w:val="49494D2E"/>
    <w:rsid w:val="494A1209"/>
    <w:rsid w:val="494D19B8"/>
    <w:rsid w:val="49797360"/>
    <w:rsid w:val="498A2233"/>
    <w:rsid w:val="499457FC"/>
    <w:rsid w:val="49AC17AD"/>
    <w:rsid w:val="49ED34D4"/>
    <w:rsid w:val="4A4A3278"/>
    <w:rsid w:val="4A4F0FFA"/>
    <w:rsid w:val="4A543F75"/>
    <w:rsid w:val="4A6722B1"/>
    <w:rsid w:val="4AA511AF"/>
    <w:rsid w:val="4ADA5F15"/>
    <w:rsid w:val="4BA020B3"/>
    <w:rsid w:val="4BA61E7F"/>
    <w:rsid w:val="4BCE24F7"/>
    <w:rsid w:val="4BE232B9"/>
    <w:rsid w:val="4C00595D"/>
    <w:rsid w:val="4C10175E"/>
    <w:rsid w:val="4C6273A0"/>
    <w:rsid w:val="4C911788"/>
    <w:rsid w:val="4D1651CD"/>
    <w:rsid w:val="4D170A75"/>
    <w:rsid w:val="4D177967"/>
    <w:rsid w:val="4D25473D"/>
    <w:rsid w:val="4D5B6B42"/>
    <w:rsid w:val="4D824B4B"/>
    <w:rsid w:val="4D983AD1"/>
    <w:rsid w:val="4DC86F7C"/>
    <w:rsid w:val="4DEC2821"/>
    <w:rsid w:val="4E0174B1"/>
    <w:rsid w:val="4E06349B"/>
    <w:rsid w:val="4E64413B"/>
    <w:rsid w:val="4E797E5D"/>
    <w:rsid w:val="4E946694"/>
    <w:rsid w:val="4EAF3D18"/>
    <w:rsid w:val="4EDD75EE"/>
    <w:rsid w:val="4EDF51E1"/>
    <w:rsid w:val="4EE549FA"/>
    <w:rsid w:val="4EEB043F"/>
    <w:rsid w:val="4EED78F3"/>
    <w:rsid w:val="4F3671B7"/>
    <w:rsid w:val="4F3E75DC"/>
    <w:rsid w:val="4F410BC5"/>
    <w:rsid w:val="4F59726A"/>
    <w:rsid w:val="4F83286D"/>
    <w:rsid w:val="4F925FD0"/>
    <w:rsid w:val="4F986FAB"/>
    <w:rsid w:val="4F9D51D7"/>
    <w:rsid w:val="4FB2382C"/>
    <w:rsid w:val="4FE90264"/>
    <w:rsid w:val="4FFF7D72"/>
    <w:rsid w:val="50010226"/>
    <w:rsid w:val="503C2086"/>
    <w:rsid w:val="504A0606"/>
    <w:rsid w:val="505E312C"/>
    <w:rsid w:val="50786C27"/>
    <w:rsid w:val="50835EBA"/>
    <w:rsid w:val="50C65B03"/>
    <w:rsid w:val="510660FC"/>
    <w:rsid w:val="51090C1E"/>
    <w:rsid w:val="51183045"/>
    <w:rsid w:val="51191322"/>
    <w:rsid w:val="51202422"/>
    <w:rsid w:val="51BC34CC"/>
    <w:rsid w:val="51ED6580"/>
    <w:rsid w:val="527D09E2"/>
    <w:rsid w:val="527F67BC"/>
    <w:rsid w:val="528335EC"/>
    <w:rsid w:val="52892B8F"/>
    <w:rsid w:val="52AC44A4"/>
    <w:rsid w:val="52E61DE4"/>
    <w:rsid w:val="531F4D84"/>
    <w:rsid w:val="53260487"/>
    <w:rsid w:val="534A2561"/>
    <w:rsid w:val="53633C4D"/>
    <w:rsid w:val="53902916"/>
    <w:rsid w:val="53A57627"/>
    <w:rsid w:val="53C7070B"/>
    <w:rsid w:val="53C91DA3"/>
    <w:rsid w:val="53FA6BA2"/>
    <w:rsid w:val="54014115"/>
    <w:rsid w:val="54262366"/>
    <w:rsid w:val="545E030F"/>
    <w:rsid w:val="546C70F5"/>
    <w:rsid w:val="54996D3A"/>
    <w:rsid w:val="54B25885"/>
    <w:rsid w:val="54BC5B7C"/>
    <w:rsid w:val="54E81438"/>
    <w:rsid w:val="550E78D2"/>
    <w:rsid w:val="55291396"/>
    <w:rsid w:val="55B21616"/>
    <w:rsid w:val="56107F58"/>
    <w:rsid w:val="56235359"/>
    <w:rsid w:val="56237E5D"/>
    <w:rsid w:val="56403899"/>
    <w:rsid w:val="56616F2F"/>
    <w:rsid w:val="567547BB"/>
    <w:rsid w:val="569113BA"/>
    <w:rsid w:val="569E6CC3"/>
    <w:rsid w:val="56A94B8A"/>
    <w:rsid w:val="56C04770"/>
    <w:rsid w:val="56D060EC"/>
    <w:rsid w:val="56DD2B24"/>
    <w:rsid w:val="57173D03"/>
    <w:rsid w:val="57425149"/>
    <w:rsid w:val="57462D0D"/>
    <w:rsid w:val="575C216F"/>
    <w:rsid w:val="57992556"/>
    <w:rsid w:val="57AD66E9"/>
    <w:rsid w:val="57C24977"/>
    <w:rsid w:val="57FB28B2"/>
    <w:rsid w:val="580A4749"/>
    <w:rsid w:val="585F5BDD"/>
    <w:rsid w:val="5868461F"/>
    <w:rsid w:val="58B23344"/>
    <w:rsid w:val="58DB6983"/>
    <w:rsid w:val="593102D5"/>
    <w:rsid w:val="5946340B"/>
    <w:rsid w:val="59640221"/>
    <w:rsid w:val="59942B2F"/>
    <w:rsid w:val="59942BBA"/>
    <w:rsid w:val="599F02CD"/>
    <w:rsid w:val="59B979F5"/>
    <w:rsid w:val="59BE759C"/>
    <w:rsid w:val="59D21394"/>
    <w:rsid w:val="59E24D04"/>
    <w:rsid w:val="59F62B98"/>
    <w:rsid w:val="5A20109D"/>
    <w:rsid w:val="5A44626A"/>
    <w:rsid w:val="5A537FA3"/>
    <w:rsid w:val="5ABF0D21"/>
    <w:rsid w:val="5B117631"/>
    <w:rsid w:val="5BD218C2"/>
    <w:rsid w:val="5BE1633B"/>
    <w:rsid w:val="5C080E5D"/>
    <w:rsid w:val="5C082A99"/>
    <w:rsid w:val="5C155648"/>
    <w:rsid w:val="5C1753A0"/>
    <w:rsid w:val="5C442DB4"/>
    <w:rsid w:val="5C93097D"/>
    <w:rsid w:val="5CE257BB"/>
    <w:rsid w:val="5D3E74F6"/>
    <w:rsid w:val="5D83428D"/>
    <w:rsid w:val="5D857D19"/>
    <w:rsid w:val="5DA93CB6"/>
    <w:rsid w:val="5DAB2894"/>
    <w:rsid w:val="5DBB5197"/>
    <w:rsid w:val="5DD0455E"/>
    <w:rsid w:val="5DD265AF"/>
    <w:rsid w:val="5DDC32FC"/>
    <w:rsid w:val="5DE12CE8"/>
    <w:rsid w:val="5E07394D"/>
    <w:rsid w:val="5E523320"/>
    <w:rsid w:val="5E6C63ED"/>
    <w:rsid w:val="5E6D27A0"/>
    <w:rsid w:val="5E7A1041"/>
    <w:rsid w:val="5E972275"/>
    <w:rsid w:val="5EA22D98"/>
    <w:rsid w:val="5EA437AD"/>
    <w:rsid w:val="5EB11A12"/>
    <w:rsid w:val="5ECD2C1C"/>
    <w:rsid w:val="5EE824E8"/>
    <w:rsid w:val="5EF32DB8"/>
    <w:rsid w:val="5EFE0AC3"/>
    <w:rsid w:val="5F6A2443"/>
    <w:rsid w:val="5F820427"/>
    <w:rsid w:val="5FD360B3"/>
    <w:rsid w:val="5FD817EA"/>
    <w:rsid w:val="601817D5"/>
    <w:rsid w:val="60206A4E"/>
    <w:rsid w:val="60A34B4C"/>
    <w:rsid w:val="60AD36E2"/>
    <w:rsid w:val="60BC33C0"/>
    <w:rsid w:val="60DB6D38"/>
    <w:rsid w:val="611A1778"/>
    <w:rsid w:val="612C7E53"/>
    <w:rsid w:val="61354031"/>
    <w:rsid w:val="613978AA"/>
    <w:rsid w:val="616C5250"/>
    <w:rsid w:val="618E2BC3"/>
    <w:rsid w:val="61C84A9C"/>
    <w:rsid w:val="61D0351B"/>
    <w:rsid w:val="61FA2DE6"/>
    <w:rsid w:val="6216443D"/>
    <w:rsid w:val="6219134C"/>
    <w:rsid w:val="62A16E21"/>
    <w:rsid w:val="62C5349B"/>
    <w:rsid w:val="62CA2BD0"/>
    <w:rsid w:val="63B92812"/>
    <w:rsid w:val="63DC1699"/>
    <w:rsid w:val="63E06AFB"/>
    <w:rsid w:val="63ED5C9F"/>
    <w:rsid w:val="64131729"/>
    <w:rsid w:val="643F0FAF"/>
    <w:rsid w:val="644312A5"/>
    <w:rsid w:val="64441B94"/>
    <w:rsid w:val="651A232F"/>
    <w:rsid w:val="65846D49"/>
    <w:rsid w:val="659F6D46"/>
    <w:rsid w:val="661D7B4F"/>
    <w:rsid w:val="66426291"/>
    <w:rsid w:val="669A16FA"/>
    <w:rsid w:val="66A72320"/>
    <w:rsid w:val="66B37E6C"/>
    <w:rsid w:val="66D34323"/>
    <w:rsid w:val="66E0612E"/>
    <w:rsid w:val="66F24BAC"/>
    <w:rsid w:val="66F60FCF"/>
    <w:rsid w:val="670B4BDC"/>
    <w:rsid w:val="672E48AA"/>
    <w:rsid w:val="67C91D56"/>
    <w:rsid w:val="67DA7557"/>
    <w:rsid w:val="67DC4F96"/>
    <w:rsid w:val="67E54507"/>
    <w:rsid w:val="67FA66D0"/>
    <w:rsid w:val="687C0E0B"/>
    <w:rsid w:val="687D4884"/>
    <w:rsid w:val="68A02D06"/>
    <w:rsid w:val="68F40A40"/>
    <w:rsid w:val="68FB050C"/>
    <w:rsid w:val="69275B27"/>
    <w:rsid w:val="6955270D"/>
    <w:rsid w:val="69912E7D"/>
    <w:rsid w:val="69B510B3"/>
    <w:rsid w:val="69BA35D2"/>
    <w:rsid w:val="69BC1D60"/>
    <w:rsid w:val="69C250B1"/>
    <w:rsid w:val="69C94CE4"/>
    <w:rsid w:val="69D623FA"/>
    <w:rsid w:val="69D70074"/>
    <w:rsid w:val="69E305F6"/>
    <w:rsid w:val="6A116D24"/>
    <w:rsid w:val="6A18771C"/>
    <w:rsid w:val="6A9056B0"/>
    <w:rsid w:val="6AAC5B1D"/>
    <w:rsid w:val="6B02218C"/>
    <w:rsid w:val="6B3E0CA7"/>
    <w:rsid w:val="6B5E49FC"/>
    <w:rsid w:val="6B7C77F5"/>
    <w:rsid w:val="6B944CA7"/>
    <w:rsid w:val="6B95585A"/>
    <w:rsid w:val="6BE2343B"/>
    <w:rsid w:val="6BF65802"/>
    <w:rsid w:val="6C0F50DC"/>
    <w:rsid w:val="6C403D65"/>
    <w:rsid w:val="6C437236"/>
    <w:rsid w:val="6C4D6A4A"/>
    <w:rsid w:val="6C7C12E7"/>
    <w:rsid w:val="6C7E701B"/>
    <w:rsid w:val="6CBD4DD6"/>
    <w:rsid w:val="6CCD27C0"/>
    <w:rsid w:val="6CCF150B"/>
    <w:rsid w:val="6CDE2C94"/>
    <w:rsid w:val="6D4E0DD3"/>
    <w:rsid w:val="6D525702"/>
    <w:rsid w:val="6DC050CE"/>
    <w:rsid w:val="6DC42B12"/>
    <w:rsid w:val="6DEA671E"/>
    <w:rsid w:val="6E122570"/>
    <w:rsid w:val="6E41639F"/>
    <w:rsid w:val="6E470831"/>
    <w:rsid w:val="6E511BE7"/>
    <w:rsid w:val="6E621869"/>
    <w:rsid w:val="6EB44808"/>
    <w:rsid w:val="6EC473DF"/>
    <w:rsid w:val="6F2147BF"/>
    <w:rsid w:val="6F221BDB"/>
    <w:rsid w:val="6F290EBC"/>
    <w:rsid w:val="6F494B10"/>
    <w:rsid w:val="6F992A46"/>
    <w:rsid w:val="6FCA2E38"/>
    <w:rsid w:val="6FF73BA2"/>
    <w:rsid w:val="70295666"/>
    <w:rsid w:val="702E4B5E"/>
    <w:rsid w:val="704E4C3A"/>
    <w:rsid w:val="70714480"/>
    <w:rsid w:val="70D60F6A"/>
    <w:rsid w:val="70DC4D0C"/>
    <w:rsid w:val="716B5724"/>
    <w:rsid w:val="716E59D1"/>
    <w:rsid w:val="718926B2"/>
    <w:rsid w:val="71AB61F8"/>
    <w:rsid w:val="71BC0447"/>
    <w:rsid w:val="71C83433"/>
    <w:rsid w:val="71C87535"/>
    <w:rsid w:val="71CD5FA2"/>
    <w:rsid w:val="71F10CA7"/>
    <w:rsid w:val="71F73059"/>
    <w:rsid w:val="72021DA6"/>
    <w:rsid w:val="723C1866"/>
    <w:rsid w:val="72527D68"/>
    <w:rsid w:val="726F1481"/>
    <w:rsid w:val="73197557"/>
    <w:rsid w:val="733A37F8"/>
    <w:rsid w:val="73425CC6"/>
    <w:rsid w:val="739C7347"/>
    <w:rsid w:val="73F339B0"/>
    <w:rsid w:val="74051764"/>
    <w:rsid w:val="740F596F"/>
    <w:rsid w:val="741A2E8B"/>
    <w:rsid w:val="741B4E03"/>
    <w:rsid w:val="74543FF6"/>
    <w:rsid w:val="7459640C"/>
    <w:rsid w:val="749A068A"/>
    <w:rsid w:val="74BD0402"/>
    <w:rsid w:val="74C928F1"/>
    <w:rsid w:val="74DA1EAB"/>
    <w:rsid w:val="752456CB"/>
    <w:rsid w:val="75253B5A"/>
    <w:rsid w:val="75476EBE"/>
    <w:rsid w:val="75514ABA"/>
    <w:rsid w:val="7577223D"/>
    <w:rsid w:val="75802D76"/>
    <w:rsid w:val="75824A6D"/>
    <w:rsid w:val="75A032B0"/>
    <w:rsid w:val="75A724FD"/>
    <w:rsid w:val="75DD2DAA"/>
    <w:rsid w:val="75FC2EB6"/>
    <w:rsid w:val="7645388F"/>
    <w:rsid w:val="767F1280"/>
    <w:rsid w:val="76867DA5"/>
    <w:rsid w:val="76F37716"/>
    <w:rsid w:val="76FA7CA6"/>
    <w:rsid w:val="77045EA3"/>
    <w:rsid w:val="770C0679"/>
    <w:rsid w:val="77421B84"/>
    <w:rsid w:val="7761519A"/>
    <w:rsid w:val="77677CB3"/>
    <w:rsid w:val="777B6B6F"/>
    <w:rsid w:val="77830996"/>
    <w:rsid w:val="778F50A5"/>
    <w:rsid w:val="77D3260D"/>
    <w:rsid w:val="77F922D3"/>
    <w:rsid w:val="77F940B3"/>
    <w:rsid w:val="78166D6B"/>
    <w:rsid w:val="784768F5"/>
    <w:rsid w:val="78491F60"/>
    <w:rsid w:val="78A447D4"/>
    <w:rsid w:val="78AB7C8B"/>
    <w:rsid w:val="78D20CA6"/>
    <w:rsid w:val="793E0AFE"/>
    <w:rsid w:val="794B0BCE"/>
    <w:rsid w:val="79575C51"/>
    <w:rsid w:val="796E4764"/>
    <w:rsid w:val="79D917F1"/>
    <w:rsid w:val="79DC10E9"/>
    <w:rsid w:val="7A121257"/>
    <w:rsid w:val="7A1721FD"/>
    <w:rsid w:val="7A5D31D3"/>
    <w:rsid w:val="7A63782A"/>
    <w:rsid w:val="7A843AF5"/>
    <w:rsid w:val="7A8C22B6"/>
    <w:rsid w:val="7A983386"/>
    <w:rsid w:val="7AC145DE"/>
    <w:rsid w:val="7ADC3A1C"/>
    <w:rsid w:val="7AEE3E04"/>
    <w:rsid w:val="7B89095D"/>
    <w:rsid w:val="7B9C3979"/>
    <w:rsid w:val="7BB861EC"/>
    <w:rsid w:val="7BCE2176"/>
    <w:rsid w:val="7C0A761C"/>
    <w:rsid w:val="7C293ECE"/>
    <w:rsid w:val="7C2F7190"/>
    <w:rsid w:val="7C334557"/>
    <w:rsid w:val="7C372180"/>
    <w:rsid w:val="7C504629"/>
    <w:rsid w:val="7CA97126"/>
    <w:rsid w:val="7CD20F44"/>
    <w:rsid w:val="7CDD5A6B"/>
    <w:rsid w:val="7D025670"/>
    <w:rsid w:val="7D07779D"/>
    <w:rsid w:val="7D30527C"/>
    <w:rsid w:val="7D410793"/>
    <w:rsid w:val="7D471CC5"/>
    <w:rsid w:val="7D5D6647"/>
    <w:rsid w:val="7D8C3FEC"/>
    <w:rsid w:val="7DB82EAF"/>
    <w:rsid w:val="7DC53320"/>
    <w:rsid w:val="7DE07B8E"/>
    <w:rsid w:val="7DEF1BEB"/>
    <w:rsid w:val="7E4131BE"/>
    <w:rsid w:val="7E6A31A6"/>
    <w:rsid w:val="7EDF388F"/>
    <w:rsid w:val="7EF602F8"/>
    <w:rsid w:val="7EFB3828"/>
    <w:rsid w:val="7EFE71B0"/>
    <w:rsid w:val="7F0E3033"/>
    <w:rsid w:val="7F107927"/>
    <w:rsid w:val="7F2B28D5"/>
    <w:rsid w:val="7F3A168A"/>
    <w:rsid w:val="7F4D3A1C"/>
    <w:rsid w:val="7F557BE9"/>
    <w:rsid w:val="7F6013F8"/>
    <w:rsid w:val="7F6D416F"/>
    <w:rsid w:val="7F925667"/>
    <w:rsid w:val="7FA56263"/>
    <w:rsid w:val="7FBB7681"/>
    <w:rsid w:val="7FEF00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szCs w:val="28"/>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qFormat/>
    <w:uiPriority w:val="0"/>
    <w:pPr>
      <w:shd w:val="clear" w:color="auto" w:fill="000080"/>
    </w:pPr>
  </w:style>
  <w:style w:type="paragraph" w:styleId="3">
    <w:name w:val="Plain Text"/>
    <w:basedOn w:val="1"/>
    <w:qFormat/>
    <w:uiPriority w:val="0"/>
    <w:rPr>
      <w:rFonts w:ascii="宋体" w:hAnsi="Courier New" w:cs="Courier New"/>
      <w:szCs w:val="21"/>
    </w:rPr>
  </w:style>
  <w:style w:type="paragraph" w:styleId="4">
    <w:name w:val="Balloon Text"/>
    <w:basedOn w:val="1"/>
    <w:qFormat/>
    <w:uiPriority w:val="0"/>
    <w:rPr>
      <w:sz w:val="18"/>
      <w:szCs w:val="18"/>
    </w:rPr>
  </w:style>
  <w:style w:type="paragraph" w:styleId="5">
    <w:name w:val="footer"/>
    <w:basedOn w:val="1"/>
    <w:link w:val="18"/>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jc w:val="left"/>
    </w:pPr>
    <w:rPr>
      <w:rFonts w:ascii="Calibri" w:hAnsi="Calibri" w:cs="宋体"/>
      <w:kern w:val="0"/>
      <w:sz w:val="24"/>
      <w:szCs w:val="24"/>
    </w:rPr>
  </w:style>
  <w:style w:type="table" w:styleId="9">
    <w:name w:val="Table Grid"/>
    <w:basedOn w:val="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styleId="12">
    <w:name w:val="Hyperlink"/>
    <w:basedOn w:val="10"/>
    <w:qFormat/>
    <w:uiPriority w:val="0"/>
    <w:rPr>
      <w:color w:val="0000FF"/>
      <w:u w:val="single"/>
    </w:rPr>
  </w:style>
  <w:style w:type="character" w:customStyle="1" w:styleId="13">
    <w:name w:val="ca-2"/>
    <w:basedOn w:val="10"/>
    <w:qFormat/>
    <w:uiPriority w:val="0"/>
  </w:style>
  <w:style w:type="character" w:customStyle="1" w:styleId="14">
    <w:name w:val="ca-3"/>
    <w:basedOn w:val="10"/>
    <w:qFormat/>
    <w:uiPriority w:val="0"/>
  </w:style>
  <w:style w:type="character" w:customStyle="1" w:styleId="15">
    <w:name w:val="ca-42"/>
    <w:basedOn w:val="10"/>
    <w:qFormat/>
    <w:uiPriority w:val="0"/>
  </w:style>
  <w:style w:type="paragraph" w:customStyle="1" w:styleId="16">
    <w:name w:val="pa-3"/>
    <w:basedOn w:val="1"/>
    <w:qFormat/>
    <w:uiPriority w:val="0"/>
    <w:pPr>
      <w:widowControl/>
      <w:spacing w:before="150" w:after="150"/>
      <w:jc w:val="left"/>
    </w:pPr>
    <w:rPr>
      <w:rFonts w:ascii="宋体" w:hAnsi="宋体" w:cs="宋体"/>
      <w:kern w:val="0"/>
      <w:sz w:val="24"/>
      <w:szCs w:val="24"/>
    </w:rPr>
  </w:style>
  <w:style w:type="paragraph" w:customStyle="1" w:styleId="17">
    <w:name w:val="pa-2"/>
    <w:basedOn w:val="1"/>
    <w:qFormat/>
    <w:uiPriority w:val="0"/>
    <w:pPr>
      <w:widowControl/>
      <w:spacing w:before="150" w:after="150"/>
      <w:jc w:val="left"/>
    </w:pPr>
    <w:rPr>
      <w:rFonts w:ascii="宋体" w:hAnsi="宋体" w:cs="宋体"/>
      <w:kern w:val="0"/>
      <w:sz w:val="24"/>
      <w:szCs w:val="24"/>
    </w:rPr>
  </w:style>
  <w:style w:type="character" w:customStyle="1" w:styleId="18">
    <w:name w:val="页脚 Char"/>
    <w:basedOn w:val="10"/>
    <w:link w:val="5"/>
    <w:qFormat/>
    <w:uiPriority w:val="99"/>
    <w:rPr>
      <w:kern w:val="2"/>
      <w:sz w:val="18"/>
      <w:szCs w:val="18"/>
    </w:rPr>
  </w:style>
  <w:style w:type="paragraph" w:customStyle="1" w:styleId="19">
    <w:name w:val="列出段落1"/>
    <w:basedOn w:val="1"/>
    <w:qFormat/>
    <w:uiPriority w:val="34"/>
    <w:pPr>
      <w:ind w:firstLine="420" w:firstLineChars="200"/>
    </w:pPr>
  </w:style>
  <w:style w:type="paragraph" w:styleId="20">
    <w:name w:val="List Paragraph"/>
    <w:basedOn w:val="1"/>
    <w:unhideWhenUsed/>
    <w:qFormat/>
    <w:uiPriority w:val="99"/>
    <w:pPr>
      <w:ind w:firstLine="420" w:firstLineChars="200"/>
    </w:pPr>
  </w:style>
  <w:style w:type="paragraph" w:customStyle="1" w:styleId="21">
    <w:name w:val="正文1"/>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FA0124-FA43-4A6A-BABF-038D327383BE}">
  <ds:schemaRefs/>
</ds:datastoreItem>
</file>

<file path=docProps/app.xml><?xml version="1.0" encoding="utf-8"?>
<Properties xmlns="http://schemas.openxmlformats.org/officeDocument/2006/extended-properties" xmlns:vt="http://schemas.openxmlformats.org/officeDocument/2006/docPropsVTypes">
  <Template>Normal</Template>
  <Company>xxstjj</Company>
  <Pages>17</Pages>
  <Words>1054</Words>
  <Characters>6008</Characters>
  <Lines>50</Lines>
  <Paragraphs>14</Paragraphs>
  <TotalTime>199</TotalTime>
  <ScaleCrop>false</ScaleCrop>
  <LinksUpToDate>false</LinksUpToDate>
  <CharactersWithSpaces>7048</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2016-01-25T02:33:00Z</dcterms:created>
  <dc:creator>xx</dc:creator>
  <cp:lastModifiedBy>Administrator</cp:lastModifiedBy>
  <cp:lastPrinted>2020-07-30T03:37:00Z</cp:lastPrinted>
  <dcterms:modified xsi:type="dcterms:W3CDTF">2020-08-04T09:14:29Z</dcterms:modified>
  <dc:title>工    业</dc:title>
  <cp:revision>735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