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2019年度</w:t>
      </w:r>
    </w:p>
    <w:p>
      <w:pPr>
        <w:pStyle w:val="11"/>
        <w:jc w:val="center"/>
        <w:rPr>
          <w:sz w:val="84"/>
          <w:szCs w:val="84"/>
        </w:rPr>
      </w:pPr>
      <w:r>
        <w:rPr>
          <w:rFonts w:hint="eastAsia"/>
          <w:sz w:val="84"/>
          <w:szCs w:val="84"/>
        </w:rPr>
        <w:t>湘乡市公安局交通警察大队部门决算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spacing w:line="540" w:lineRule="exact"/>
        <w:jc w:val="center"/>
        <w:rPr>
          <w:sz w:val="56"/>
          <w:szCs w:val="56"/>
        </w:rPr>
      </w:pPr>
    </w:p>
    <w:p>
      <w:pPr>
        <w:pStyle w:val="11"/>
        <w:spacing w:line="520" w:lineRule="exact"/>
        <w:jc w:val="center"/>
        <w:rPr>
          <w:sz w:val="56"/>
          <w:szCs w:val="56"/>
        </w:rPr>
      </w:pPr>
      <w:r>
        <w:rPr>
          <w:rFonts w:hint="eastAsia"/>
          <w:sz w:val="56"/>
          <w:szCs w:val="56"/>
        </w:rPr>
        <w:t>目录</w:t>
      </w:r>
    </w:p>
    <w:p>
      <w:pPr>
        <w:pStyle w:val="11"/>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湘乡市公安局交通警察大队</w:t>
      </w:r>
      <w:bookmarkStart w:id="1" w:name="_GoBack"/>
      <w:bookmarkEnd w:id="1"/>
      <w:r>
        <w:rPr>
          <w:rFonts w:hint="eastAsia"/>
          <w:b/>
          <w:sz w:val="28"/>
          <w:szCs w:val="28"/>
        </w:rPr>
        <w:t>概况</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sz w:val="84"/>
          <w:szCs w:val="84"/>
        </w:rPr>
      </w:pPr>
      <w:r>
        <w:rPr>
          <w:rFonts w:hint="eastAsia"/>
          <w:sz w:val="84"/>
          <w:szCs w:val="84"/>
        </w:rPr>
        <w:t>第一部分</w:t>
      </w:r>
    </w:p>
    <w:p>
      <w:pPr>
        <w:pStyle w:val="11"/>
        <w:jc w:val="center"/>
        <w:rPr>
          <w:sz w:val="84"/>
          <w:szCs w:val="84"/>
        </w:rPr>
      </w:pPr>
    </w:p>
    <w:p>
      <w:pPr>
        <w:pStyle w:val="11"/>
        <w:jc w:val="center"/>
        <w:rPr>
          <w:sz w:val="84"/>
          <w:szCs w:val="84"/>
        </w:rPr>
      </w:pPr>
      <w:r>
        <w:rPr>
          <w:rFonts w:hint="eastAsia"/>
          <w:sz w:val="84"/>
          <w:szCs w:val="84"/>
        </w:rPr>
        <w:t>湘乡市公安局交通警察大队概况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2"/>
        <w:ind w:left="720" w:firstLine="0" w:firstLineChars="0"/>
        <w:jc w:val="left"/>
        <w:rPr>
          <w:rFonts w:ascii="黑体" w:hAnsi="黑体" w:eastAsia="黑体"/>
          <w:sz w:val="32"/>
          <w:szCs w:val="3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12"/>
        <w:ind w:firstLine="0" w:firstLineChars="0"/>
        <w:jc w:val="left"/>
        <w:rPr>
          <w:rFonts w:asciiTheme="minorEastAsia" w:hAnsiTheme="minorEastAsia"/>
          <w:bCs/>
          <w:kern w:val="0"/>
          <w:sz w:val="32"/>
          <w:szCs w:val="32"/>
        </w:rPr>
      </w:pPr>
      <w:r>
        <w:rPr>
          <w:rFonts w:hint="eastAsia" w:ascii="仿宋_GB2312" w:eastAsia="仿宋_GB2312"/>
          <w:sz w:val="24"/>
        </w:rPr>
        <w:t xml:space="preserve">   </w:t>
      </w:r>
      <w:r>
        <w:rPr>
          <w:rFonts w:hint="eastAsia" w:asciiTheme="minorEastAsia" w:hAnsiTheme="minorEastAsia"/>
          <w:bCs/>
          <w:kern w:val="0"/>
          <w:sz w:val="32"/>
          <w:szCs w:val="32"/>
        </w:rPr>
        <w:t xml:space="preserve"> 贯彻落实《中华人民共和国道路交通安全法》，负责本行政区域内的道路交通管理工作，积极预防和减少交通事故；维护道路交通秩序，指挥疏导交通，努力提高通行效率，依法纠正和处罚交通违法行为；依法处理交通事故；负责对各类车辆的检测、检验，核发牌证和机动车驾驶员的教育管理、培训、考试、审验等工作职责。</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w:t>
      </w:r>
    </w:p>
    <w:p>
      <w:pPr>
        <w:spacing w:line="360" w:lineRule="auto"/>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1、机构情况</w:t>
      </w:r>
    </w:p>
    <w:p>
      <w:pPr>
        <w:spacing w:line="360" w:lineRule="auto"/>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湘乡</w:t>
      </w:r>
      <w:r>
        <w:rPr>
          <w:rFonts w:asciiTheme="minorEastAsia" w:hAnsiTheme="minorEastAsia"/>
          <w:bCs/>
          <w:kern w:val="0"/>
          <w:sz w:val="32"/>
          <w:szCs w:val="32"/>
        </w:rPr>
        <w:t>市公安局交</w:t>
      </w:r>
      <w:r>
        <w:rPr>
          <w:rFonts w:hint="eastAsia" w:asciiTheme="minorEastAsia" w:hAnsiTheme="minorEastAsia"/>
          <w:bCs/>
          <w:kern w:val="0"/>
          <w:sz w:val="32"/>
          <w:szCs w:val="32"/>
        </w:rPr>
        <w:t>通警察大</w:t>
      </w:r>
      <w:r>
        <w:rPr>
          <w:rFonts w:asciiTheme="minorEastAsia" w:hAnsiTheme="minorEastAsia"/>
          <w:bCs/>
          <w:kern w:val="0"/>
          <w:sz w:val="32"/>
          <w:szCs w:val="32"/>
        </w:rPr>
        <w:t>队为</w:t>
      </w:r>
      <w:r>
        <w:rPr>
          <w:rFonts w:hint="eastAsia" w:asciiTheme="minorEastAsia" w:hAnsiTheme="minorEastAsia"/>
          <w:bCs/>
          <w:kern w:val="0"/>
          <w:sz w:val="32"/>
          <w:szCs w:val="32"/>
        </w:rPr>
        <w:t>湘乡</w:t>
      </w:r>
      <w:r>
        <w:rPr>
          <w:rFonts w:asciiTheme="minorEastAsia" w:hAnsiTheme="minorEastAsia"/>
          <w:bCs/>
          <w:kern w:val="0"/>
          <w:sz w:val="32"/>
          <w:szCs w:val="32"/>
        </w:rPr>
        <w:t>市公安局下属单位，</w:t>
      </w:r>
      <w:r>
        <w:rPr>
          <w:rFonts w:hint="eastAsia" w:asciiTheme="minorEastAsia" w:hAnsiTheme="minorEastAsia"/>
          <w:bCs/>
          <w:kern w:val="0"/>
          <w:sz w:val="32"/>
          <w:szCs w:val="32"/>
        </w:rPr>
        <w:t>内设事故中队、秩序中队、车管所、法制室、内勤室、城区中队（一中队）、壶天中队（二中队）、棋梓桥中队（三中队）、栗山中队（四中队）、白田中队（五中队）10个室、所、中队。</w:t>
      </w:r>
    </w:p>
    <w:p>
      <w:pPr>
        <w:spacing w:line="360" w:lineRule="auto"/>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2、人员情况，人员结构</w:t>
      </w:r>
    </w:p>
    <w:p>
      <w:pPr>
        <w:spacing w:line="360" w:lineRule="auto"/>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年末在职人员86人（民警72人，工人10人，事业干部4人），退休人员24人。（含原农机监理并入，编制在湘乡市公安局，工资关系在湘潭市公安局交警支队的在职民警6人，退休人员9人。）辅警136人。</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 xml:space="preserve">    湘乡市公安局交通警察大队</w:t>
      </w: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年部门决算汇总公开单位构成包括：湘乡市公安局交通警察大队本级。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tbl>
      <w:tblPr>
        <w:tblStyle w:val="7"/>
        <w:tblW w:w="14121" w:type="dxa"/>
        <w:tblInd w:w="89" w:type="dxa"/>
        <w:tblLayout w:type="autofit"/>
        <w:tblCellMar>
          <w:top w:w="0" w:type="dxa"/>
          <w:left w:w="108" w:type="dxa"/>
          <w:bottom w:w="0" w:type="dxa"/>
          <w:right w:w="108" w:type="dxa"/>
        </w:tblCellMar>
      </w:tblPr>
      <w:tblGrid>
        <w:gridCol w:w="4719"/>
        <w:gridCol w:w="676"/>
        <w:gridCol w:w="1298"/>
        <w:gridCol w:w="4719"/>
        <w:gridCol w:w="676"/>
        <w:gridCol w:w="2033"/>
      </w:tblGrid>
      <w:tr>
        <w:tblPrEx>
          <w:tblCellMar>
            <w:top w:w="0" w:type="dxa"/>
            <w:left w:w="108" w:type="dxa"/>
            <w:bottom w:w="0" w:type="dxa"/>
            <w:right w:w="108" w:type="dxa"/>
          </w:tblCellMar>
        </w:tblPrEx>
        <w:trPr>
          <w:trHeight w:val="300" w:hRule="atLeast"/>
        </w:trPr>
        <w:tc>
          <w:tcPr>
            <w:tcW w:w="14121" w:type="dxa"/>
            <w:gridSpan w:val="6"/>
            <w:tcBorders>
              <w:top w:val="nil"/>
              <w:left w:val="nil"/>
              <w:bottom w:val="nil"/>
              <w:right w:val="nil"/>
            </w:tcBorders>
            <w:shd w:val="clear" w:color="auto" w:fill="auto"/>
            <w:noWrap/>
            <w:vAlign w:val="bottom"/>
          </w:tcPr>
          <w:p>
            <w:pPr>
              <w:jc w:val="center"/>
              <w:rPr>
                <w:rFonts w:ascii="宋体" w:hAnsi="宋体" w:eastAsia="宋体" w:cs="Arial"/>
                <w:b/>
                <w:color w:val="000000"/>
                <w:sz w:val="30"/>
                <w:szCs w:val="30"/>
              </w:rPr>
            </w:pPr>
            <w:r>
              <w:rPr>
                <w:rFonts w:hint="eastAsia" w:cs="Arial"/>
                <w:b/>
                <w:color w:val="000000"/>
                <w:sz w:val="30"/>
                <w:szCs w:val="30"/>
              </w:rPr>
              <w:t>收入支出决算总表</w:t>
            </w:r>
          </w:p>
        </w:tc>
      </w:tr>
      <w:tr>
        <w:tblPrEx>
          <w:tblCellMar>
            <w:top w:w="0" w:type="dxa"/>
            <w:left w:w="108" w:type="dxa"/>
            <w:bottom w:w="0" w:type="dxa"/>
            <w:right w:w="108" w:type="dxa"/>
          </w:tblCellMar>
        </w:tblPrEx>
        <w:trPr>
          <w:trHeight w:val="255" w:hRule="atLeast"/>
        </w:trPr>
        <w:tc>
          <w:tcPr>
            <w:tcW w:w="4719"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676"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1298"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4719"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676"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2033" w:type="dxa"/>
            <w:tcBorders>
              <w:top w:val="nil"/>
              <w:left w:val="nil"/>
              <w:bottom w:val="nil"/>
              <w:right w:val="nil"/>
            </w:tcBorders>
            <w:shd w:val="clear" w:color="auto" w:fill="auto"/>
            <w:noWrap/>
            <w:vAlign w:val="bottom"/>
          </w:tcPr>
          <w:p>
            <w:pPr>
              <w:jc w:val="right"/>
              <w:rPr>
                <w:rFonts w:ascii="宋体" w:hAnsi="宋体" w:eastAsia="宋体" w:cs="Arial"/>
                <w:color w:val="000000"/>
                <w:sz w:val="20"/>
                <w:szCs w:val="20"/>
              </w:rPr>
            </w:pPr>
            <w:r>
              <w:rPr>
                <w:rFonts w:hint="eastAsia" w:cs="Arial"/>
                <w:color w:val="000000"/>
                <w:sz w:val="20"/>
                <w:szCs w:val="20"/>
              </w:rPr>
              <w:t>公开01表</w:t>
            </w:r>
          </w:p>
        </w:tc>
      </w:tr>
      <w:tr>
        <w:tblPrEx>
          <w:tblCellMar>
            <w:top w:w="0" w:type="dxa"/>
            <w:left w:w="108" w:type="dxa"/>
            <w:bottom w:w="0" w:type="dxa"/>
            <w:right w:w="108" w:type="dxa"/>
          </w:tblCellMar>
        </w:tblPrEx>
        <w:trPr>
          <w:trHeight w:val="255" w:hRule="atLeast"/>
        </w:trPr>
        <w:tc>
          <w:tcPr>
            <w:tcW w:w="4719" w:type="dxa"/>
            <w:tcBorders>
              <w:top w:val="nil"/>
              <w:left w:val="nil"/>
              <w:bottom w:val="nil"/>
              <w:right w:val="nil"/>
            </w:tcBorders>
            <w:shd w:val="clear" w:color="auto" w:fill="auto"/>
            <w:noWrap/>
            <w:vAlign w:val="bottom"/>
          </w:tcPr>
          <w:p>
            <w:pPr>
              <w:rPr>
                <w:rFonts w:ascii="宋体" w:hAnsi="宋体" w:eastAsia="宋体" w:cs="Arial"/>
                <w:color w:val="000000"/>
                <w:sz w:val="20"/>
                <w:szCs w:val="20"/>
              </w:rPr>
            </w:pPr>
            <w:r>
              <w:rPr>
                <w:rFonts w:hint="eastAsia" w:cs="Arial"/>
                <w:color w:val="000000"/>
                <w:sz w:val="20"/>
                <w:szCs w:val="20"/>
              </w:rPr>
              <w:t>部门：湘乡市公安局交通警察大队</w:t>
            </w:r>
          </w:p>
        </w:tc>
        <w:tc>
          <w:tcPr>
            <w:tcW w:w="676"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1298"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4719"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676" w:type="dxa"/>
            <w:tcBorders>
              <w:top w:val="nil"/>
              <w:left w:val="nil"/>
              <w:bottom w:val="nil"/>
              <w:right w:val="nil"/>
            </w:tcBorders>
            <w:shd w:val="clear" w:color="auto" w:fill="auto"/>
            <w:noWrap/>
            <w:vAlign w:val="bottom"/>
          </w:tcPr>
          <w:p>
            <w:pPr>
              <w:rPr>
                <w:rFonts w:ascii="Arial" w:hAnsi="Arial" w:eastAsia="宋体" w:cs="Arial"/>
                <w:color w:val="000000"/>
                <w:sz w:val="20"/>
                <w:szCs w:val="20"/>
              </w:rPr>
            </w:pPr>
          </w:p>
        </w:tc>
        <w:tc>
          <w:tcPr>
            <w:tcW w:w="2033" w:type="dxa"/>
            <w:tcBorders>
              <w:top w:val="nil"/>
              <w:left w:val="nil"/>
              <w:bottom w:val="nil"/>
              <w:right w:val="nil"/>
            </w:tcBorders>
            <w:shd w:val="clear" w:color="auto" w:fill="auto"/>
            <w:noWrap/>
            <w:vAlign w:val="bottom"/>
          </w:tcPr>
          <w:p>
            <w:pPr>
              <w:jc w:val="right"/>
              <w:rPr>
                <w:rFonts w:ascii="宋体" w:hAnsi="宋体" w:eastAsia="宋体" w:cs="Arial"/>
                <w:color w:val="000000"/>
                <w:sz w:val="20"/>
                <w:szCs w:val="20"/>
              </w:rPr>
            </w:pPr>
            <w:r>
              <w:rPr>
                <w:rFonts w:hint="eastAsia" w:cs="Arial"/>
                <w:color w:val="000000"/>
                <w:sz w:val="20"/>
                <w:szCs w:val="20"/>
              </w:rPr>
              <w:t>金额单位：万元</w:t>
            </w:r>
          </w:p>
        </w:tc>
      </w:tr>
      <w:tr>
        <w:tblPrEx>
          <w:tblCellMar>
            <w:top w:w="0" w:type="dxa"/>
            <w:left w:w="108" w:type="dxa"/>
            <w:bottom w:w="0" w:type="dxa"/>
            <w:right w:w="108" w:type="dxa"/>
          </w:tblCellMar>
        </w:tblPrEx>
        <w:trPr>
          <w:trHeight w:val="308" w:hRule="atLeast"/>
        </w:trPr>
        <w:tc>
          <w:tcPr>
            <w:tcW w:w="6693"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收入</w:t>
            </w:r>
          </w:p>
        </w:tc>
        <w:tc>
          <w:tcPr>
            <w:tcW w:w="7428" w:type="dxa"/>
            <w:gridSpan w:val="3"/>
            <w:tcBorders>
              <w:top w:val="single" w:color="000000" w:sz="4" w:space="0"/>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支出</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项目</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行次</w:t>
            </w:r>
          </w:p>
        </w:tc>
        <w:tc>
          <w:tcPr>
            <w:tcW w:w="12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金额</w:t>
            </w:r>
          </w:p>
        </w:tc>
        <w:tc>
          <w:tcPr>
            <w:tcW w:w="4719"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项目</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行次</w:t>
            </w:r>
          </w:p>
        </w:tc>
        <w:tc>
          <w:tcPr>
            <w:tcW w:w="2033"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金额</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栏次</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　</w:t>
            </w:r>
          </w:p>
        </w:tc>
        <w:tc>
          <w:tcPr>
            <w:tcW w:w="12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w:t>
            </w:r>
          </w:p>
        </w:tc>
        <w:tc>
          <w:tcPr>
            <w:tcW w:w="4719"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栏次</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　</w:t>
            </w:r>
          </w:p>
        </w:tc>
        <w:tc>
          <w:tcPr>
            <w:tcW w:w="2033"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一、一般公共预算财政拨款收入</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3,524.72</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一、一般公共服务支出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29</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二、政府性基金预算财政拨款收入</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二、外交支出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30</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三、上级补助收入</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三、国防支出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31</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四、事业收入</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四、公共安全支出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32</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2,562.06</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五、经营收入</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五、教育支出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33</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六、附属单位上缴收入</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6</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六、科学技术支出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34</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七、其他收入</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7</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20.89</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七、文化旅游体育与传媒支出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35</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8</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八、社会保障和就业支出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36</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90.98</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9</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九、卫生健康支出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37</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44.37</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10</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十、节能环保支出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38</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11</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十一、城乡社区支出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39</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293.70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12</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十二、农林水支出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40</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13</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十三、交通运输支出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41</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14</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十四、资源勘探信息等支出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42</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15</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十五、商业服务业等支出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43</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16</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十六、金融支出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44</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17</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十七、援助其他地区支出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45</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18</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十八、自然资源海洋气象等支出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46</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19</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十九、住房保障支出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47</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61.04</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20</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二十、粮油物资储备支出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48</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21</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二十一、灾害防治及应急管理支出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49</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22</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二十二、其他支出</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50</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23</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51</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b/>
                <w:bCs/>
                <w:color w:val="000000"/>
                <w:sz w:val="22"/>
              </w:rPr>
            </w:pPr>
            <w:r>
              <w:rPr>
                <w:rFonts w:hint="eastAsia" w:cs="Arial"/>
                <w:b/>
                <w:bCs/>
                <w:color w:val="000000"/>
                <w:sz w:val="22"/>
              </w:rPr>
              <w:t>本年收入合计</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24</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3,545.61</w:t>
            </w:r>
          </w:p>
        </w:tc>
        <w:tc>
          <w:tcPr>
            <w:tcW w:w="4719"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b/>
                <w:bCs/>
                <w:color w:val="000000"/>
                <w:sz w:val="22"/>
              </w:rPr>
            </w:pPr>
            <w:r>
              <w:rPr>
                <w:rFonts w:hint="eastAsia" w:cs="Arial"/>
                <w:b/>
                <w:bCs/>
                <w:color w:val="000000"/>
                <w:sz w:val="22"/>
              </w:rPr>
              <w:t>本年支出合计</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52</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3,052.15</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用事业基金弥补收支差额</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25</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结余分配</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53</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0.00</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年初结转和结余</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26</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111.96</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年末结转和结余</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54</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605.41</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27</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　</w:t>
            </w:r>
          </w:p>
        </w:tc>
        <w:tc>
          <w:tcPr>
            <w:tcW w:w="4719" w:type="dxa"/>
            <w:tcBorders>
              <w:top w:val="nil"/>
              <w:left w:val="nil"/>
              <w:bottom w:val="single" w:color="000000" w:sz="4" w:space="0"/>
              <w:right w:val="single" w:color="000000" w:sz="4" w:space="0"/>
            </w:tcBorders>
            <w:shd w:val="clear" w:color="FFFFFF" w:fill="C0C0C0"/>
            <w:noWrap/>
            <w:vAlign w:val="center"/>
          </w:tcPr>
          <w:p>
            <w:pPr>
              <w:rPr>
                <w:rFonts w:ascii="宋体" w:hAnsi="宋体" w:eastAsia="宋体" w:cs="Arial"/>
                <w:color w:val="000000"/>
                <w:sz w:val="22"/>
              </w:rPr>
            </w:pPr>
            <w:r>
              <w:rPr>
                <w:rFonts w:hint="eastAsia" w:cs="Arial"/>
                <w:color w:val="000000"/>
                <w:sz w:val="22"/>
              </w:rPr>
              <w:t>　</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55</w:t>
            </w:r>
          </w:p>
        </w:tc>
        <w:tc>
          <w:tcPr>
            <w:tcW w:w="2033" w:type="dxa"/>
            <w:tcBorders>
              <w:top w:val="nil"/>
              <w:left w:val="nil"/>
              <w:bottom w:val="single" w:color="000000" w:sz="4" w:space="0"/>
              <w:right w:val="single" w:color="000000" w:sz="4" w:space="0"/>
            </w:tcBorders>
            <w:shd w:val="clear" w:color="auto" w:fill="auto"/>
            <w:noWrap/>
            <w:vAlign w:val="center"/>
          </w:tcPr>
          <w:p>
            <w:pPr>
              <w:rPr>
                <w:rFonts w:ascii="宋体" w:hAnsi="宋体" w:eastAsia="宋体" w:cs="Arial"/>
                <w:color w:val="000000"/>
                <w:sz w:val="22"/>
              </w:rPr>
            </w:pPr>
            <w:r>
              <w:rPr>
                <w:rFonts w:hint="eastAsia" w:cs="Arial"/>
                <w:color w:val="000000"/>
                <w:sz w:val="22"/>
              </w:rPr>
              <w:t>　</w:t>
            </w:r>
          </w:p>
        </w:tc>
      </w:tr>
      <w:tr>
        <w:tblPrEx>
          <w:tblCellMar>
            <w:top w:w="0" w:type="dxa"/>
            <w:left w:w="108" w:type="dxa"/>
            <w:bottom w:w="0" w:type="dxa"/>
            <w:right w:w="108" w:type="dxa"/>
          </w:tblCellMar>
        </w:tblPrEx>
        <w:trPr>
          <w:trHeight w:val="308" w:hRule="atLeast"/>
        </w:trPr>
        <w:tc>
          <w:tcPr>
            <w:tcW w:w="4719"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Arial"/>
                <w:b/>
                <w:bCs/>
                <w:color w:val="000000"/>
                <w:sz w:val="22"/>
              </w:rPr>
            </w:pPr>
            <w:r>
              <w:rPr>
                <w:rFonts w:hint="eastAsia" w:cs="Arial"/>
                <w:b/>
                <w:bCs/>
                <w:color w:val="000000"/>
                <w:sz w:val="22"/>
              </w:rPr>
              <w:t>总计</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28</w:t>
            </w:r>
          </w:p>
        </w:tc>
        <w:tc>
          <w:tcPr>
            <w:tcW w:w="1298"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3,657.56</w:t>
            </w:r>
          </w:p>
        </w:tc>
        <w:tc>
          <w:tcPr>
            <w:tcW w:w="4719"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b/>
                <w:bCs/>
                <w:color w:val="000000"/>
                <w:sz w:val="22"/>
              </w:rPr>
            </w:pPr>
            <w:r>
              <w:rPr>
                <w:rFonts w:hint="eastAsia" w:cs="Arial"/>
                <w:b/>
                <w:bCs/>
                <w:color w:val="000000"/>
                <w:sz w:val="22"/>
              </w:rPr>
              <w:t>总计</w:t>
            </w:r>
          </w:p>
        </w:tc>
        <w:tc>
          <w:tcPr>
            <w:tcW w:w="676"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Arial"/>
                <w:color w:val="000000"/>
                <w:sz w:val="22"/>
              </w:rPr>
            </w:pPr>
            <w:r>
              <w:rPr>
                <w:rFonts w:hint="eastAsia" w:cs="Arial"/>
                <w:color w:val="000000"/>
                <w:sz w:val="22"/>
              </w:rPr>
              <w:t>56</w:t>
            </w:r>
          </w:p>
        </w:tc>
        <w:tc>
          <w:tcPr>
            <w:tcW w:w="2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3,657.56</w:t>
            </w:r>
          </w:p>
        </w:tc>
      </w:tr>
      <w:tr>
        <w:tblPrEx>
          <w:tblCellMar>
            <w:top w:w="0" w:type="dxa"/>
            <w:left w:w="108" w:type="dxa"/>
            <w:bottom w:w="0" w:type="dxa"/>
            <w:right w:w="108" w:type="dxa"/>
          </w:tblCellMar>
        </w:tblPrEx>
        <w:trPr>
          <w:trHeight w:val="308" w:hRule="atLeast"/>
        </w:trPr>
        <w:tc>
          <w:tcPr>
            <w:tcW w:w="14121" w:type="dxa"/>
            <w:gridSpan w:val="6"/>
            <w:tcBorders>
              <w:top w:val="nil"/>
              <w:left w:val="nil"/>
              <w:bottom w:val="nil"/>
              <w:right w:val="nil"/>
            </w:tcBorders>
            <w:shd w:val="clear" w:color="auto" w:fill="auto"/>
            <w:noWrap/>
            <w:vAlign w:val="center"/>
          </w:tcPr>
          <w:p>
            <w:pPr>
              <w:rPr>
                <w:rFonts w:ascii="宋体" w:hAnsi="宋体" w:eastAsia="宋体" w:cs="Arial"/>
                <w:color w:val="000000"/>
                <w:sz w:val="22"/>
              </w:rPr>
            </w:pPr>
            <w:r>
              <w:rPr>
                <w:rFonts w:hint="eastAsia" w:cs="Arial"/>
                <w:color w:val="000000"/>
                <w:sz w:val="22"/>
              </w:rPr>
              <w:t>注：本表反映部门本年度的总收支和年末结转结余情况。</w:t>
            </w:r>
          </w:p>
        </w:tc>
      </w:tr>
    </w:tbl>
    <w:p>
      <w:pPr>
        <w:widowControl/>
        <w:rPr>
          <w:rFonts w:hint="eastAsia" w:ascii="Times New Roman" w:hAnsi="Times New Roman" w:eastAsia="方正小标宋_GBK" w:cs="Times New Roman"/>
          <w:color w:val="000000"/>
          <w:kern w:val="0"/>
          <w:sz w:val="36"/>
          <w:szCs w:val="36"/>
        </w:rPr>
      </w:pPr>
    </w:p>
    <w:p>
      <w:pPr>
        <w:widowControl/>
        <w:rPr>
          <w:rFonts w:hint="eastAsia" w:ascii="Times New Roman" w:hAnsi="Times New Roman" w:eastAsia="方正小标宋_GBK" w:cs="Times New Roman"/>
          <w:color w:val="000000"/>
          <w:kern w:val="0"/>
          <w:sz w:val="36"/>
          <w:szCs w:val="36"/>
        </w:rPr>
      </w:pPr>
    </w:p>
    <w:tbl>
      <w:tblPr>
        <w:tblStyle w:val="7"/>
        <w:tblW w:w="14326" w:type="dxa"/>
        <w:tblInd w:w="89" w:type="dxa"/>
        <w:tblLayout w:type="autofit"/>
        <w:tblCellMar>
          <w:top w:w="0" w:type="dxa"/>
          <w:left w:w="108" w:type="dxa"/>
          <w:bottom w:w="0" w:type="dxa"/>
          <w:right w:w="108" w:type="dxa"/>
        </w:tblCellMar>
      </w:tblPr>
      <w:tblGrid>
        <w:gridCol w:w="400"/>
        <w:gridCol w:w="316"/>
        <w:gridCol w:w="270"/>
        <w:gridCol w:w="4620"/>
        <w:gridCol w:w="1434"/>
        <w:gridCol w:w="1495"/>
        <w:gridCol w:w="1053"/>
        <w:gridCol w:w="1053"/>
        <w:gridCol w:w="1077"/>
        <w:gridCol w:w="1028"/>
        <w:gridCol w:w="1758"/>
      </w:tblGrid>
      <w:tr>
        <w:tblPrEx>
          <w:tblCellMar>
            <w:top w:w="0" w:type="dxa"/>
            <w:left w:w="108" w:type="dxa"/>
            <w:bottom w:w="0" w:type="dxa"/>
            <w:right w:w="108" w:type="dxa"/>
          </w:tblCellMar>
        </w:tblPrEx>
        <w:trPr>
          <w:trHeight w:val="390" w:hRule="atLeast"/>
        </w:trPr>
        <w:tc>
          <w:tcPr>
            <w:tcW w:w="14326" w:type="dxa"/>
            <w:gridSpan w:val="11"/>
            <w:tcBorders>
              <w:top w:val="nil"/>
              <w:left w:val="nil"/>
              <w:bottom w:val="nil"/>
              <w:right w:val="nil"/>
            </w:tcBorders>
            <w:shd w:val="clear" w:color="auto" w:fill="auto"/>
            <w:noWrap/>
            <w:vAlign w:val="bottom"/>
          </w:tcPr>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收入决算表</w:t>
            </w:r>
          </w:p>
        </w:tc>
      </w:tr>
      <w:tr>
        <w:tblPrEx>
          <w:tblCellMar>
            <w:top w:w="0" w:type="dxa"/>
            <w:left w:w="108" w:type="dxa"/>
            <w:bottom w:w="0" w:type="dxa"/>
            <w:right w:w="108" w:type="dxa"/>
          </w:tblCellMar>
        </w:tblPrEx>
        <w:trPr>
          <w:trHeight w:val="255" w:hRule="atLeast"/>
        </w:trPr>
        <w:tc>
          <w:tcPr>
            <w:tcW w:w="32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1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9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5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5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7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5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公开02表</w:t>
            </w:r>
          </w:p>
        </w:tc>
      </w:tr>
      <w:tr>
        <w:tblPrEx>
          <w:tblCellMar>
            <w:top w:w="0" w:type="dxa"/>
            <w:left w:w="108" w:type="dxa"/>
            <w:bottom w:w="0" w:type="dxa"/>
            <w:right w:w="108" w:type="dxa"/>
          </w:tblCellMar>
        </w:tblPrEx>
        <w:trPr>
          <w:trHeight w:val="255" w:hRule="atLeast"/>
        </w:trPr>
        <w:tc>
          <w:tcPr>
            <w:tcW w:w="5428"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部门：湘乡市公安局交通警察大队</w:t>
            </w:r>
          </w:p>
        </w:tc>
        <w:tc>
          <w:tcPr>
            <w:tcW w:w="143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9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5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5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7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5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42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43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本年收入合计</w:t>
            </w:r>
          </w:p>
        </w:tc>
        <w:tc>
          <w:tcPr>
            <w:tcW w:w="149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财政拨款收入</w:t>
            </w:r>
          </w:p>
        </w:tc>
        <w:tc>
          <w:tcPr>
            <w:tcW w:w="105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上级补助收入</w:t>
            </w:r>
          </w:p>
        </w:tc>
        <w:tc>
          <w:tcPr>
            <w:tcW w:w="105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事业收入</w:t>
            </w:r>
          </w:p>
        </w:tc>
        <w:tc>
          <w:tcPr>
            <w:tcW w:w="107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经营收入</w:t>
            </w:r>
          </w:p>
        </w:tc>
        <w:tc>
          <w:tcPr>
            <w:tcW w:w="1028"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附属单位上缴收入</w:t>
            </w:r>
          </w:p>
        </w:tc>
        <w:tc>
          <w:tcPr>
            <w:tcW w:w="1758"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其他收入</w:t>
            </w:r>
          </w:p>
        </w:tc>
      </w:tr>
      <w:tr>
        <w:tblPrEx>
          <w:tblCellMar>
            <w:top w:w="0" w:type="dxa"/>
            <w:left w:w="108" w:type="dxa"/>
            <w:bottom w:w="0" w:type="dxa"/>
            <w:right w:w="108" w:type="dxa"/>
          </w:tblCellMar>
        </w:tblPrEx>
        <w:trPr>
          <w:trHeight w:val="312" w:hRule="atLeast"/>
        </w:trPr>
        <w:tc>
          <w:tcPr>
            <w:tcW w:w="80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4620"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4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9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7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2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5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8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6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9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7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2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5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8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6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9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5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7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2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5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5428"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434"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49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05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05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077"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028"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758"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r>
      <w:tr>
        <w:tblPrEx>
          <w:tblCellMar>
            <w:top w:w="0" w:type="dxa"/>
            <w:left w:w="108" w:type="dxa"/>
            <w:bottom w:w="0" w:type="dxa"/>
            <w:right w:w="108" w:type="dxa"/>
          </w:tblCellMar>
        </w:tblPrEx>
        <w:trPr>
          <w:trHeight w:val="308" w:hRule="atLeast"/>
        </w:trPr>
        <w:tc>
          <w:tcPr>
            <w:tcW w:w="5428"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3,545.61</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3,524.72</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20.89</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公共安全支出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3,055.52</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3,034.63</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20.89</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公安</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3,055.52</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3,034.63</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20.89</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2040201</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行政运行</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832.29</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832.29</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2040202</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一般行政管理事务</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2,105.13</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2,084.25</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20.89</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2040299</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其他公安支出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118.09</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118.09</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社会保障和就业支出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20805</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行政事业单位离退休</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2080505</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20808</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抚恤</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2080801</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死亡抚恤</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卫生健康支出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21011</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行政事业单位医疗</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2101101</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行政单位医疗</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城乡社区支出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城乡社区公共设施</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2120303</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小城镇基础设施建设</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63.16</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63.16</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2120399</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其他城乡社区公共设施支出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230.54</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230.54</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住房保障支出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22102</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住房改革支出</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8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2210201</w:t>
            </w:r>
          </w:p>
        </w:tc>
        <w:tc>
          <w:tcPr>
            <w:tcW w:w="46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14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4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5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2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75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326" w:type="dxa"/>
            <w:gridSpan w:val="11"/>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注：本表反映部门本年度取得的各项收入情况。</w:t>
            </w:r>
          </w:p>
        </w:tc>
      </w:tr>
    </w:tbl>
    <w:p>
      <w:pPr>
        <w:widowControl/>
        <w:rPr>
          <w:rFonts w:ascii="Times New Roman" w:hAnsi="Times New Roman" w:eastAsia="方正小标宋_GBK" w:cs="Times New Roman"/>
          <w:color w:val="000000"/>
          <w:kern w:val="0"/>
          <w:sz w:val="36"/>
          <w:szCs w:val="36"/>
        </w:rPr>
      </w:pPr>
    </w:p>
    <w:tbl>
      <w:tblPr>
        <w:tblStyle w:val="7"/>
        <w:tblW w:w="15328" w:type="dxa"/>
        <w:tblInd w:w="89" w:type="dxa"/>
        <w:tblLayout w:type="autofit"/>
        <w:tblCellMar>
          <w:top w:w="0" w:type="dxa"/>
          <w:left w:w="108" w:type="dxa"/>
          <w:bottom w:w="0" w:type="dxa"/>
          <w:right w:w="108" w:type="dxa"/>
        </w:tblCellMar>
      </w:tblPr>
      <w:tblGrid>
        <w:gridCol w:w="400"/>
        <w:gridCol w:w="314"/>
        <w:gridCol w:w="270"/>
        <w:gridCol w:w="311"/>
        <w:gridCol w:w="4555"/>
        <w:gridCol w:w="1691"/>
        <w:gridCol w:w="1665"/>
        <w:gridCol w:w="1665"/>
        <w:gridCol w:w="1471"/>
        <w:gridCol w:w="1303"/>
        <w:gridCol w:w="1683"/>
      </w:tblGrid>
      <w:tr>
        <w:tblPrEx>
          <w:tblCellMar>
            <w:top w:w="0" w:type="dxa"/>
            <w:left w:w="108" w:type="dxa"/>
            <w:bottom w:w="0" w:type="dxa"/>
            <w:right w:w="108" w:type="dxa"/>
          </w:tblCellMar>
        </w:tblPrEx>
        <w:trPr>
          <w:trHeight w:val="390" w:hRule="atLeast"/>
        </w:trPr>
        <w:tc>
          <w:tcPr>
            <w:tcW w:w="15328" w:type="dxa"/>
            <w:gridSpan w:val="11"/>
            <w:tcBorders>
              <w:top w:val="nil"/>
              <w:left w:val="nil"/>
              <w:bottom w:val="nil"/>
              <w:right w:val="nil"/>
            </w:tcBorders>
            <w:shd w:val="clear" w:color="auto" w:fill="auto"/>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支出决算表</w:t>
            </w:r>
          </w:p>
        </w:tc>
      </w:tr>
      <w:tr>
        <w:tblPrEx>
          <w:tblCellMar>
            <w:top w:w="0" w:type="dxa"/>
            <w:left w:w="108" w:type="dxa"/>
            <w:bottom w:w="0" w:type="dxa"/>
            <w:right w:w="108" w:type="dxa"/>
          </w:tblCellMar>
        </w:tblPrEx>
        <w:trPr>
          <w:trHeight w:val="255" w:hRule="atLeast"/>
        </w:trPr>
        <w:tc>
          <w:tcPr>
            <w:tcW w:w="4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1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7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6"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9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6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6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7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0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83"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公开03表</w:t>
            </w:r>
          </w:p>
        </w:tc>
      </w:tr>
      <w:tr>
        <w:tblPrEx>
          <w:tblCellMar>
            <w:top w:w="0" w:type="dxa"/>
            <w:left w:w="108" w:type="dxa"/>
            <w:bottom w:w="0" w:type="dxa"/>
            <w:right w:w="108" w:type="dxa"/>
          </w:tblCellMar>
        </w:tblPrEx>
        <w:trPr>
          <w:trHeight w:val="255" w:hRule="atLeast"/>
        </w:trPr>
        <w:tc>
          <w:tcPr>
            <w:tcW w:w="5850" w:type="dxa"/>
            <w:gridSpan w:val="5"/>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部门：湘乡市公安局交通警察大队</w:t>
            </w:r>
          </w:p>
        </w:tc>
        <w:tc>
          <w:tcPr>
            <w:tcW w:w="169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6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6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7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0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83"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850"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69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本年支出合计</w:t>
            </w:r>
          </w:p>
        </w:tc>
        <w:tc>
          <w:tcPr>
            <w:tcW w:w="166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166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c>
          <w:tcPr>
            <w:tcW w:w="147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上缴上级支出</w:t>
            </w:r>
          </w:p>
        </w:tc>
        <w:tc>
          <w:tcPr>
            <w:tcW w:w="130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经营支出</w:t>
            </w:r>
          </w:p>
        </w:tc>
        <w:tc>
          <w:tcPr>
            <w:tcW w:w="168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对附属单位补助支出</w:t>
            </w:r>
          </w:p>
        </w:tc>
      </w:tr>
      <w:tr>
        <w:tblPrEx>
          <w:tblCellMar>
            <w:top w:w="0" w:type="dxa"/>
            <w:left w:w="108" w:type="dxa"/>
            <w:bottom w:w="0" w:type="dxa"/>
            <w:right w:w="108" w:type="dxa"/>
          </w:tblCellMar>
        </w:tblPrEx>
        <w:trPr>
          <w:trHeight w:val="312" w:hRule="atLeast"/>
        </w:trPr>
        <w:tc>
          <w:tcPr>
            <w:tcW w:w="984"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4866" w:type="dxa"/>
            <w:gridSpan w:val="2"/>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69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6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6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7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0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8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984"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866"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9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6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6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7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0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8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984"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866"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9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6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6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47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0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8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5850" w:type="dxa"/>
            <w:gridSpan w:val="5"/>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691"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66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66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471"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30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68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r>
      <w:tr>
        <w:tblPrEx>
          <w:tblCellMar>
            <w:top w:w="0" w:type="dxa"/>
            <w:left w:w="108" w:type="dxa"/>
            <w:bottom w:w="0" w:type="dxa"/>
            <w:right w:w="108" w:type="dxa"/>
          </w:tblCellMar>
        </w:tblPrEx>
        <w:trPr>
          <w:trHeight w:val="308" w:hRule="atLeast"/>
        </w:trPr>
        <w:tc>
          <w:tcPr>
            <w:tcW w:w="5850" w:type="dxa"/>
            <w:gridSpan w:val="5"/>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3,052.15</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1,316.49</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1,735.66</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公共安全支出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2,562.06</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1,120.10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1,441.96</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公安</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2,562.06</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1,120.10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1,441.96</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2040201</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行政运行</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879.85</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879.85</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2040202</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一般行政管理事务</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1,564.13</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240.25</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1,323.87</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2040299</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其他公安支出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118.09</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118.09</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社会保障和就业支出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20805</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行政事业单位离退休</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2080505</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20808</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抚恤</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2080801</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死亡抚恤</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卫生健康支出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21011</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行政事业单位医疗</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2101101</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行政单位医疗</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城乡社区支出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城乡社区公共设施</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2120303</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小城镇基础设施建设</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63.16</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63.16</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2120399</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其他城乡社区公共设施支出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230.54</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230.54</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住房保障支出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22102</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住房改革支出</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29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2210201</w:t>
            </w:r>
          </w:p>
        </w:tc>
        <w:tc>
          <w:tcPr>
            <w:tcW w:w="455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16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66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47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8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5328" w:type="dxa"/>
            <w:gridSpan w:val="11"/>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注：本表反映部门本年度各项支出情况。</w:t>
            </w:r>
          </w:p>
        </w:tc>
      </w:tr>
    </w:tbl>
    <w:p>
      <w:pPr>
        <w:widowControl/>
        <w:ind w:left="93"/>
        <w:jc w:val="center"/>
        <w:rPr>
          <w:rFonts w:hint="eastAsia" w:ascii="Times New Roman" w:hAnsi="Times New Roman" w:eastAsia="方正小标宋_GBK" w:cs="Times New Roman"/>
          <w:color w:val="000000"/>
          <w:kern w:val="0"/>
          <w:sz w:val="36"/>
          <w:szCs w:val="21"/>
        </w:rPr>
      </w:pPr>
    </w:p>
    <w:tbl>
      <w:tblPr>
        <w:tblStyle w:val="7"/>
        <w:tblW w:w="14820" w:type="dxa"/>
        <w:tblInd w:w="89" w:type="dxa"/>
        <w:tblLayout w:type="autofit"/>
        <w:tblCellMar>
          <w:top w:w="0" w:type="dxa"/>
          <w:left w:w="108" w:type="dxa"/>
          <w:bottom w:w="0" w:type="dxa"/>
          <w:right w:w="108" w:type="dxa"/>
        </w:tblCellMar>
      </w:tblPr>
      <w:tblGrid>
        <w:gridCol w:w="3725"/>
        <w:gridCol w:w="494"/>
        <w:gridCol w:w="1531"/>
        <w:gridCol w:w="4125"/>
        <w:gridCol w:w="494"/>
        <w:gridCol w:w="1096"/>
        <w:gridCol w:w="1531"/>
        <w:gridCol w:w="1838"/>
      </w:tblGrid>
      <w:tr>
        <w:tblPrEx>
          <w:tblCellMar>
            <w:top w:w="0" w:type="dxa"/>
            <w:left w:w="108" w:type="dxa"/>
            <w:bottom w:w="0" w:type="dxa"/>
            <w:right w:w="108" w:type="dxa"/>
          </w:tblCellMar>
        </w:tblPrEx>
        <w:trPr>
          <w:trHeight w:val="390" w:hRule="atLeast"/>
        </w:trPr>
        <w:tc>
          <w:tcPr>
            <w:tcW w:w="14820" w:type="dxa"/>
            <w:gridSpan w:val="8"/>
            <w:tcBorders>
              <w:top w:val="nil"/>
              <w:left w:val="nil"/>
              <w:bottom w:val="nil"/>
              <w:right w:val="nil"/>
            </w:tcBorders>
            <w:shd w:val="clear" w:color="auto" w:fill="auto"/>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财政拨款收入支出决算总表</w:t>
            </w:r>
          </w:p>
        </w:tc>
      </w:tr>
      <w:tr>
        <w:tblPrEx>
          <w:tblCellMar>
            <w:top w:w="0" w:type="dxa"/>
            <w:left w:w="108" w:type="dxa"/>
            <w:bottom w:w="0" w:type="dxa"/>
            <w:right w:w="108" w:type="dxa"/>
          </w:tblCellMar>
        </w:tblPrEx>
        <w:trPr>
          <w:trHeight w:val="255" w:hRule="atLeast"/>
        </w:trPr>
        <w:tc>
          <w:tcPr>
            <w:tcW w:w="372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9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3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12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9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8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3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3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公开04表</w:t>
            </w:r>
          </w:p>
        </w:tc>
      </w:tr>
      <w:tr>
        <w:tblPrEx>
          <w:tblCellMar>
            <w:top w:w="0" w:type="dxa"/>
            <w:left w:w="108" w:type="dxa"/>
            <w:bottom w:w="0" w:type="dxa"/>
            <w:right w:w="108" w:type="dxa"/>
          </w:tblCellMar>
        </w:tblPrEx>
        <w:trPr>
          <w:trHeight w:val="255" w:hRule="atLeast"/>
        </w:trPr>
        <w:tc>
          <w:tcPr>
            <w:tcW w:w="3725" w:type="dxa"/>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部门：湘乡市公安局交通警察大队</w:t>
            </w:r>
          </w:p>
        </w:tc>
        <w:tc>
          <w:tcPr>
            <w:tcW w:w="49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3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12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9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8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3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3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750"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收     入</w:t>
            </w:r>
          </w:p>
        </w:tc>
        <w:tc>
          <w:tcPr>
            <w:tcW w:w="9070" w:type="dxa"/>
            <w:gridSpan w:val="5"/>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支     出</w:t>
            </w:r>
          </w:p>
        </w:tc>
      </w:tr>
      <w:tr>
        <w:tblPrEx>
          <w:tblCellMar>
            <w:top w:w="0" w:type="dxa"/>
            <w:left w:w="108" w:type="dxa"/>
            <w:bottom w:w="0" w:type="dxa"/>
            <w:right w:w="108" w:type="dxa"/>
          </w:tblCellMar>
        </w:tblPrEx>
        <w:trPr>
          <w:trHeight w:val="312" w:hRule="atLeast"/>
        </w:trPr>
        <w:tc>
          <w:tcPr>
            <w:tcW w:w="3725"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494"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531"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c>
          <w:tcPr>
            <w:tcW w:w="4125"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494"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082"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531"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一般公共预算财政拨款</w:t>
            </w:r>
          </w:p>
        </w:tc>
        <w:tc>
          <w:tcPr>
            <w:tcW w:w="183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政府性基金预算财政拨款</w:t>
            </w:r>
          </w:p>
        </w:tc>
      </w:tr>
      <w:tr>
        <w:tblPrEx>
          <w:tblCellMar>
            <w:top w:w="0" w:type="dxa"/>
            <w:left w:w="108" w:type="dxa"/>
            <w:bottom w:w="0" w:type="dxa"/>
            <w:right w:w="108" w:type="dxa"/>
          </w:tblCellMar>
        </w:tblPrEx>
        <w:trPr>
          <w:trHeight w:val="615" w:hRule="atLeast"/>
        </w:trPr>
        <w:tc>
          <w:tcPr>
            <w:tcW w:w="37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9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3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125"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9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08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3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3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53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08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53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83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3,524.72</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一、一般公共服务支出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30</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二、外交支出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31</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三、国防支出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32</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四、公共安全支出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33</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2,543.52</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2,543.52</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五、教育支出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34</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六、科学技术支出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35</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七、文化旅游体育与传媒支出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36</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八、社会保障和就业支出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37</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九、卫生健康支出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38</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十、节能环保支出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39</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十一、城乡社区支出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40</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十二、农林水支出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41</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13</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十三、交通运输支出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42</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14</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十四、资源勘探信息等支出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43</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15</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十五、商业服务业等支出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44</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16</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十六、金融支出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45</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17</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十七、援助其他地区支出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46</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18</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十八、自然资源海洋气象等支出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47</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19</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十九、住房保障支出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48</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二十、粮油物资储备支出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49</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21</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二十一、灾害防治及应急管理支出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50</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22</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二十二、其他支出</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51</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23</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52</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本年收入合计</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24</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3,524.72</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本年支出合计</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53</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3,033.61</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3,033.61</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年初财政拨款结转和结余</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25</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111.96</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年末财政拨款结转和结余</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54</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603.06</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603.06</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26</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111.96</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55</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27</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56</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28</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57</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7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29</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3,636.68</w:t>
            </w:r>
          </w:p>
        </w:tc>
        <w:tc>
          <w:tcPr>
            <w:tcW w:w="4125"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494"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58</w:t>
            </w:r>
          </w:p>
        </w:tc>
        <w:tc>
          <w:tcPr>
            <w:tcW w:w="10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3,636.68</w:t>
            </w:r>
          </w:p>
        </w:tc>
        <w:tc>
          <w:tcPr>
            <w:tcW w:w="15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3,636.68</w:t>
            </w:r>
          </w:p>
        </w:tc>
        <w:tc>
          <w:tcPr>
            <w:tcW w:w="18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820" w:type="dxa"/>
            <w:gridSpan w:val="8"/>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注：本表反映部门本年度一般公共预算财政拨款和政府性基金预算财政拨款的总收支和年末结转结余情况。</w:t>
            </w:r>
          </w:p>
        </w:tc>
      </w:tr>
    </w:tbl>
    <w:p>
      <w:pPr>
        <w:widowControl/>
        <w:ind w:left="93"/>
        <w:jc w:val="center"/>
        <w:rPr>
          <w:rFonts w:hint="eastAsia" w:ascii="Times New Roman" w:hAnsi="Times New Roman" w:eastAsia="方正小标宋_GBK" w:cs="Times New Roman"/>
          <w:color w:val="000000"/>
          <w:kern w:val="0"/>
          <w:sz w:val="36"/>
          <w:szCs w:val="21"/>
        </w:rPr>
      </w:pPr>
    </w:p>
    <w:p>
      <w:pPr>
        <w:widowControl/>
        <w:ind w:left="93"/>
        <w:jc w:val="center"/>
        <w:rPr>
          <w:rFonts w:hint="eastAsia" w:ascii="Times New Roman" w:hAnsi="Times New Roman" w:eastAsia="方正小标宋_GBK" w:cs="Times New Roman"/>
          <w:color w:val="000000"/>
          <w:kern w:val="0"/>
          <w:sz w:val="36"/>
          <w:szCs w:val="21"/>
        </w:rPr>
      </w:pPr>
    </w:p>
    <w:tbl>
      <w:tblPr>
        <w:tblStyle w:val="7"/>
        <w:tblW w:w="14761" w:type="dxa"/>
        <w:tblInd w:w="89" w:type="dxa"/>
        <w:tblLayout w:type="autofit"/>
        <w:tblCellMar>
          <w:top w:w="0" w:type="dxa"/>
          <w:left w:w="108" w:type="dxa"/>
          <w:bottom w:w="0" w:type="dxa"/>
          <w:right w:w="108" w:type="dxa"/>
        </w:tblCellMar>
      </w:tblPr>
      <w:tblGrid>
        <w:gridCol w:w="400"/>
        <w:gridCol w:w="316"/>
        <w:gridCol w:w="270"/>
        <w:gridCol w:w="5837"/>
        <w:gridCol w:w="1212"/>
        <w:gridCol w:w="915"/>
        <w:gridCol w:w="1175"/>
        <w:gridCol w:w="1660"/>
        <w:gridCol w:w="2976"/>
      </w:tblGrid>
      <w:tr>
        <w:tblPrEx>
          <w:tblCellMar>
            <w:top w:w="0" w:type="dxa"/>
            <w:left w:w="108" w:type="dxa"/>
            <w:bottom w:w="0" w:type="dxa"/>
            <w:right w:w="108" w:type="dxa"/>
          </w:tblCellMar>
        </w:tblPrEx>
        <w:trPr>
          <w:trHeight w:val="390" w:hRule="atLeast"/>
        </w:trPr>
        <w:tc>
          <w:tcPr>
            <w:tcW w:w="14761" w:type="dxa"/>
            <w:gridSpan w:val="9"/>
            <w:tcBorders>
              <w:top w:val="nil"/>
              <w:left w:val="nil"/>
              <w:bottom w:val="nil"/>
              <w:right w:val="nil"/>
            </w:tcBorders>
            <w:shd w:val="clear" w:color="auto" w:fill="auto"/>
            <w:noWrap/>
            <w:vAlign w:val="bottom"/>
          </w:tcPr>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hint="eastAsia" w:ascii="宋体" w:hAnsi="宋体" w:eastAsia="宋体" w:cs="Arial"/>
                <w:b/>
                <w:color w:val="000000"/>
                <w:kern w:val="0"/>
                <w:sz w:val="30"/>
                <w:szCs w:val="30"/>
              </w:rPr>
            </w:pPr>
          </w:p>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一般公共预算财政拨款支出决算表</w:t>
            </w:r>
          </w:p>
        </w:tc>
      </w:tr>
      <w:tr>
        <w:tblPrEx>
          <w:tblCellMar>
            <w:top w:w="0" w:type="dxa"/>
            <w:left w:w="108" w:type="dxa"/>
            <w:bottom w:w="0" w:type="dxa"/>
            <w:right w:w="108" w:type="dxa"/>
          </w:tblCellMar>
        </w:tblPrEx>
        <w:trPr>
          <w:trHeight w:val="255" w:hRule="atLeast"/>
        </w:trPr>
        <w:tc>
          <w:tcPr>
            <w:tcW w:w="4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1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7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837"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1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09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36" w:type="dxa"/>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公开05表</w:t>
            </w:r>
          </w:p>
        </w:tc>
      </w:tr>
      <w:tr>
        <w:tblPrEx>
          <w:tblCellMar>
            <w:top w:w="0" w:type="dxa"/>
            <w:left w:w="108" w:type="dxa"/>
            <w:bottom w:w="0" w:type="dxa"/>
            <w:right w:w="108" w:type="dxa"/>
          </w:tblCellMar>
        </w:tblPrEx>
        <w:trPr>
          <w:trHeight w:val="255" w:hRule="atLeast"/>
        </w:trPr>
        <w:tc>
          <w:tcPr>
            <w:tcW w:w="6823"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部门：湘乡市公安局交通警察大队</w:t>
            </w:r>
          </w:p>
        </w:tc>
        <w:tc>
          <w:tcPr>
            <w:tcW w:w="121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090"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36" w:type="dxa"/>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6823"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7938" w:type="dxa"/>
            <w:gridSpan w:val="5"/>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w:t>
            </w:r>
          </w:p>
        </w:tc>
      </w:tr>
      <w:tr>
        <w:tblPrEx>
          <w:tblCellMar>
            <w:top w:w="0" w:type="dxa"/>
            <w:left w:w="108" w:type="dxa"/>
            <w:bottom w:w="0" w:type="dxa"/>
            <w:right w:w="108" w:type="dxa"/>
          </w:tblCellMar>
        </w:tblPrEx>
        <w:trPr>
          <w:trHeight w:val="312" w:hRule="atLeast"/>
        </w:trPr>
        <w:tc>
          <w:tcPr>
            <w:tcW w:w="98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5837"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2127"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2835"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297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r>
      <w:tr>
        <w:tblPrEx>
          <w:tblCellMar>
            <w:top w:w="0" w:type="dxa"/>
            <w:left w:w="108" w:type="dxa"/>
            <w:bottom w:w="0" w:type="dxa"/>
            <w:right w:w="108" w:type="dxa"/>
          </w:tblCellMar>
        </w:tblPrEx>
        <w:trPr>
          <w:trHeight w:val="312"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837"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127"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835"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97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837"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127"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835"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97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6823"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2127"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2835"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297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r>
      <w:tr>
        <w:tblPrEx>
          <w:tblCellMar>
            <w:top w:w="0" w:type="dxa"/>
            <w:left w:w="108" w:type="dxa"/>
            <w:bottom w:w="0" w:type="dxa"/>
            <w:right w:w="108" w:type="dxa"/>
          </w:tblCellMar>
        </w:tblPrEx>
        <w:trPr>
          <w:trHeight w:val="308" w:hRule="atLeast"/>
        </w:trPr>
        <w:tc>
          <w:tcPr>
            <w:tcW w:w="6823"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3,033.61</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1,316.49</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1,717.13</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公共安全支出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2,543.52</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1,120.10</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1,423.42</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公安</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2,543.52</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1,120.10</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1,423.42</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2040201</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行政运行</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879.85</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879.85</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2040202</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一般行政管理事务</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1,545.59</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240.25</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1,305.33</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2040299</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其他公安支出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118.09</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118.09</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社会保障和就业支出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90.98</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20805</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行政事业单位离退休</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2080505</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20808</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抚恤</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2080801</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死亡抚恤</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卫生健康支出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21011</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行政事业单位医疗</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2101101</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行政单位医疗</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城乡社区支出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城乡社区公共设施</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293.70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2120303</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小城镇基础设施建设</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63.16</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63.16</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2120399</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其他城乡社区公共设施支出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230.54</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230.54</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住房保障支出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22102</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住房改革支出</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2210201</w:t>
            </w:r>
          </w:p>
        </w:tc>
        <w:tc>
          <w:tcPr>
            <w:tcW w:w="583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283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61.04</w:t>
            </w:r>
          </w:p>
        </w:tc>
        <w:tc>
          <w:tcPr>
            <w:tcW w:w="29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761" w:type="dxa"/>
            <w:gridSpan w:val="9"/>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注：本表反映部门本年度一般公共预算财政拨款支出情况。</w:t>
            </w:r>
          </w:p>
        </w:tc>
      </w:tr>
    </w:tbl>
    <w:p>
      <w:pPr>
        <w:widowControl/>
        <w:ind w:left="93"/>
        <w:jc w:val="center"/>
        <w:rPr>
          <w:rFonts w:hint="eastAsia" w:ascii="Times New Roman" w:hAnsi="Times New Roman" w:eastAsia="方正小标宋_GBK" w:cs="Times New Roman"/>
          <w:color w:val="000000"/>
          <w:kern w:val="0"/>
          <w:sz w:val="36"/>
          <w:szCs w:val="21"/>
        </w:rPr>
      </w:pPr>
    </w:p>
    <w:p>
      <w:pPr>
        <w:widowControl/>
        <w:ind w:left="93"/>
        <w:jc w:val="center"/>
        <w:rPr>
          <w:rFonts w:hint="eastAsia" w:ascii="Times New Roman" w:hAnsi="Times New Roman" w:eastAsia="方正小标宋_GBK" w:cs="Times New Roman"/>
          <w:color w:val="000000"/>
          <w:kern w:val="0"/>
          <w:sz w:val="36"/>
          <w:szCs w:val="21"/>
        </w:rPr>
      </w:pPr>
    </w:p>
    <w:tbl>
      <w:tblPr>
        <w:tblStyle w:val="7"/>
        <w:tblW w:w="14585" w:type="dxa"/>
        <w:tblInd w:w="89" w:type="dxa"/>
        <w:tblLayout w:type="autofit"/>
        <w:tblCellMar>
          <w:top w:w="0" w:type="dxa"/>
          <w:left w:w="108" w:type="dxa"/>
          <w:bottom w:w="0" w:type="dxa"/>
          <w:right w:w="108" w:type="dxa"/>
        </w:tblCellMar>
      </w:tblPr>
      <w:tblGrid>
        <w:gridCol w:w="766"/>
        <w:gridCol w:w="3338"/>
        <w:gridCol w:w="1096"/>
        <w:gridCol w:w="766"/>
        <w:gridCol w:w="2270"/>
        <w:gridCol w:w="876"/>
        <w:gridCol w:w="766"/>
        <w:gridCol w:w="4218"/>
        <w:gridCol w:w="1298"/>
      </w:tblGrid>
      <w:tr>
        <w:tblPrEx>
          <w:tblCellMar>
            <w:top w:w="0" w:type="dxa"/>
            <w:left w:w="108" w:type="dxa"/>
            <w:bottom w:w="0" w:type="dxa"/>
            <w:right w:w="108" w:type="dxa"/>
          </w:tblCellMar>
        </w:tblPrEx>
        <w:trPr>
          <w:trHeight w:val="390" w:hRule="atLeast"/>
        </w:trPr>
        <w:tc>
          <w:tcPr>
            <w:tcW w:w="14585" w:type="dxa"/>
            <w:gridSpan w:val="9"/>
            <w:tcBorders>
              <w:top w:val="nil"/>
              <w:left w:val="nil"/>
              <w:bottom w:val="nil"/>
              <w:right w:val="nil"/>
            </w:tcBorders>
            <w:shd w:val="clear" w:color="auto" w:fill="auto"/>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一般公共预算财政拨款基本支出决算表</w:t>
            </w:r>
          </w:p>
        </w:tc>
      </w:tr>
      <w:tr>
        <w:tblPrEx>
          <w:tblCellMar>
            <w:top w:w="0" w:type="dxa"/>
            <w:left w:w="108" w:type="dxa"/>
            <w:bottom w:w="0" w:type="dxa"/>
            <w:right w:w="108" w:type="dxa"/>
          </w:tblCellMar>
        </w:tblPrEx>
        <w:trPr>
          <w:trHeight w:val="255" w:hRule="atLeast"/>
        </w:trPr>
        <w:tc>
          <w:tcPr>
            <w:tcW w:w="60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33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4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0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27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1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9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21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9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公开06表</w:t>
            </w:r>
          </w:p>
        </w:tc>
      </w:tr>
      <w:tr>
        <w:tblPrEx>
          <w:tblCellMar>
            <w:top w:w="0" w:type="dxa"/>
            <w:left w:w="108" w:type="dxa"/>
            <w:bottom w:w="0" w:type="dxa"/>
            <w:right w:w="108" w:type="dxa"/>
          </w:tblCellMar>
        </w:tblPrEx>
        <w:trPr>
          <w:trHeight w:val="255" w:hRule="atLeast"/>
        </w:trPr>
        <w:tc>
          <w:tcPr>
            <w:tcW w:w="3944" w:type="dxa"/>
            <w:gridSpan w:val="2"/>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部门：湘乡市公安局交通警察大队</w:t>
            </w:r>
          </w:p>
        </w:tc>
        <w:tc>
          <w:tcPr>
            <w:tcW w:w="94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03"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27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1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9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21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9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4885"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人员经费</w:t>
            </w:r>
          </w:p>
        </w:tc>
        <w:tc>
          <w:tcPr>
            <w:tcW w:w="9700" w:type="dxa"/>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公用经费</w:t>
            </w:r>
          </w:p>
        </w:tc>
      </w:tr>
      <w:tr>
        <w:tblPrEx>
          <w:tblCellMar>
            <w:top w:w="0" w:type="dxa"/>
            <w:left w:w="108" w:type="dxa"/>
            <w:bottom w:w="0" w:type="dxa"/>
            <w:right w:w="108" w:type="dxa"/>
          </w:tblCellMar>
        </w:tblPrEx>
        <w:trPr>
          <w:trHeight w:val="312" w:hRule="atLeast"/>
        </w:trPr>
        <w:tc>
          <w:tcPr>
            <w:tcW w:w="606"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333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941"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603"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227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71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599"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421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29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CellMar>
            <w:top w:w="0" w:type="dxa"/>
            <w:left w:w="108" w:type="dxa"/>
            <w:bottom w:w="0" w:type="dxa"/>
            <w:right w:w="108" w:type="dxa"/>
          </w:tblCellMar>
        </w:tblPrEx>
        <w:trPr>
          <w:trHeight w:val="312" w:hRule="atLeast"/>
        </w:trPr>
        <w:tc>
          <w:tcPr>
            <w:tcW w:w="60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33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4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603"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27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71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99"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21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9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工资福利支出</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1,133.76</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商品和服务支出</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174.84</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债务利息及费用支出</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基本工资</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167.02</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30201</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7.42</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30701</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国内债务付息</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30102</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津贴补贴</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433.10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30202</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印刷费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0.22</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30702</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国外债务付息</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奖金</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111.32</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30203</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咨询费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资本性支出</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30106</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伙食补助费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30204</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手续费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31001</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房屋建筑物购建</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30107</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绩效工资</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3.58</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30205</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水费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1.99</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31002</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办公设备购置</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30108</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90.47</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30206</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电费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6.42</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31003</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专用设备购置</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职业年金缴费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30207</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邮电费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0.53</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31005</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基础设施建设</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30110</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职工基本医疗保险缴费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44.37</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30208</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取暖费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31006</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大型修缮</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公务员医疗补助缴费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30209</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物业管理费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31007</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信息网络及软件购置更新</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30112</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其他社会保障缴费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30211</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差旅费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4.21</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31008</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物资储备</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224.27</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30212</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因公出国（境）费用</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31009</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土地补偿</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30114</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30213</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维修（护）费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1.17</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31010</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安置补助</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30199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其他工资福利支出</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59.63</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30214</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租赁费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7.49</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31011</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地上附着物和青苗补偿</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对个人和家庭的补助</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7.89</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30215</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会议费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31012</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拆迁补偿</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30301</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离休费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30216</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培训费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31013</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公务用车购置</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30302</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退休费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30217</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公务接待费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31019</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其他交通工具购置</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30303</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退职（役）费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30218</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专用材料费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31021</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文物和陈列品购置</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30304</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抚恤金</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0.51</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30224</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被装购置费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31022</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无形资产购置</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30305</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生活补助</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30225</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专用燃料费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31099</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其他资本性支出</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30306</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救济费</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30226</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劳务费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0.30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其他支出</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30307</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医疗费补助</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30227</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委托业务费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0.26</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39906</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赠与</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30308</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助学金</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30228</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工会经费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33.23</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39907</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国家赔偿费用支出</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奖励金</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30229</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福利费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16.70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39908</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对民间非营利组织和群众性自治组织补贴</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30310</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个人农业生产补贴</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30231</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公务用车运行维护费</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23.20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39999</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其他支出</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30399</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其他对个人和家庭的补助</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7.38</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30239</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其他交通费用</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58.60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30240</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税金及附加费用</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0.21</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60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33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6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30299</w:t>
            </w:r>
          </w:p>
        </w:tc>
        <w:tc>
          <w:tcPr>
            <w:tcW w:w="2270"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其他商品和服务支出</w:t>
            </w: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12.90</w:t>
            </w:r>
          </w:p>
        </w:tc>
        <w:tc>
          <w:tcPr>
            <w:tcW w:w="599"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21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944"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人员经费合计</w:t>
            </w:r>
          </w:p>
        </w:tc>
        <w:tc>
          <w:tcPr>
            <w:tcW w:w="94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1,141.65</w:t>
            </w:r>
          </w:p>
        </w:tc>
        <w:tc>
          <w:tcPr>
            <w:tcW w:w="8402" w:type="dxa"/>
            <w:gridSpan w:val="5"/>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公用经费合计</w:t>
            </w:r>
          </w:p>
        </w:tc>
        <w:tc>
          <w:tcPr>
            <w:tcW w:w="129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174.84</w:t>
            </w:r>
          </w:p>
        </w:tc>
      </w:tr>
      <w:tr>
        <w:tblPrEx>
          <w:tblCellMar>
            <w:top w:w="0" w:type="dxa"/>
            <w:left w:w="108" w:type="dxa"/>
            <w:bottom w:w="0" w:type="dxa"/>
            <w:right w:w="108" w:type="dxa"/>
          </w:tblCellMar>
        </w:tblPrEx>
        <w:trPr>
          <w:trHeight w:val="308" w:hRule="atLeast"/>
        </w:trPr>
        <w:tc>
          <w:tcPr>
            <w:tcW w:w="14585" w:type="dxa"/>
            <w:gridSpan w:val="9"/>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注：本表反映部门本年度一般公共预算财政拨款基本支出明细情况。</w:t>
            </w:r>
          </w:p>
        </w:tc>
      </w:tr>
    </w:tbl>
    <w:p>
      <w:pPr>
        <w:widowControl/>
        <w:ind w:left="93"/>
        <w:jc w:val="center"/>
        <w:rPr>
          <w:rFonts w:hint="eastAsia" w:ascii="Times New Roman" w:hAnsi="Times New Roman" w:eastAsia="方正小标宋_GBK" w:cs="Times New Roman"/>
          <w:color w:val="000000"/>
          <w:kern w:val="0"/>
          <w:sz w:val="36"/>
          <w:szCs w:val="21"/>
        </w:rPr>
      </w:pPr>
    </w:p>
    <w:p>
      <w:pPr>
        <w:widowControl/>
        <w:jc w:val="center"/>
        <w:rPr>
          <w:rFonts w:hint="eastAsia" w:ascii="Times New Roman" w:hAnsi="Times New Roman" w:eastAsia="方正小标宋_GBK" w:cs="Times New Roman"/>
          <w:color w:val="000000"/>
          <w:kern w:val="0"/>
          <w:sz w:val="28"/>
          <w:szCs w:val="36"/>
        </w:rPr>
      </w:pPr>
      <w:bookmarkStart w:id="0" w:name="RANGE!A1:I39"/>
    </w:p>
    <w:tbl>
      <w:tblPr>
        <w:tblStyle w:val="7"/>
        <w:tblW w:w="14042" w:type="dxa"/>
        <w:tblInd w:w="89" w:type="dxa"/>
        <w:tblLayout w:type="autofit"/>
        <w:tblCellMar>
          <w:top w:w="0" w:type="dxa"/>
          <w:left w:w="108" w:type="dxa"/>
          <w:bottom w:w="0" w:type="dxa"/>
          <w:right w:w="108" w:type="dxa"/>
        </w:tblCellMar>
      </w:tblPr>
      <w:tblGrid>
        <w:gridCol w:w="1160"/>
        <w:gridCol w:w="1200"/>
        <w:gridCol w:w="1240"/>
        <w:gridCol w:w="1180"/>
        <w:gridCol w:w="1140"/>
        <w:gridCol w:w="1100"/>
        <w:gridCol w:w="1100"/>
        <w:gridCol w:w="1220"/>
        <w:gridCol w:w="1160"/>
        <w:gridCol w:w="1009"/>
        <w:gridCol w:w="1095"/>
        <w:gridCol w:w="1438"/>
      </w:tblGrid>
      <w:tr>
        <w:tblPrEx>
          <w:tblCellMar>
            <w:top w:w="0" w:type="dxa"/>
            <w:left w:w="108" w:type="dxa"/>
            <w:bottom w:w="0" w:type="dxa"/>
            <w:right w:w="108" w:type="dxa"/>
          </w:tblCellMar>
        </w:tblPrEx>
        <w:trPr>
          <w:trHeight w:val="540" w:hRule="atLeast"/>
        </w:trPr>
        <w:tc>
          <w:tcPr>
            <w:tcW w:w="14042" w:type="dxa"/>
            <w:gridSpan w:val="12"/>
            <w:tcBorders>
              <w:top w:val="nil"/>
              <w:left w:val="nil"/>
              <w:bottom w:val="nil"/>
              <w:right w:val="nil"/>
            </w:tcBorders>
            <w:shd w:val="clear" w:color="auto" w:fill="auto"/>
            <w:noWrap/>
            <w:vAlign w:val="bottom"/>
          </w:tcPr>
          <w:p>
            <w:pPr>
              <w:widowControl/>
              <w:jc w:val="center"/>
              <w:rPr>
                <w:rFonts w:hint="eastAsia" w:ascii="宋体" w:hAnsi="宋体" w:eastAsia="宋体" w:cs="Arial"/>
                <w:color w:val="000000"/>
                <w:kern w:val="0"/>
                <w:sz w:val="44"/>
                <w:szCs w:val="44"/>
              </w:rPr>
            </w:pPr>
          </w:p>
          <w:p>
            <w:pPr>
              <w:widowControl/>
              <w:jc w:val="center"/>
              <w:rPr>
                <w:rFonts w:hint="eastAsia" w:ascii="宋体" w:hAnsi="宋体" w:eastAsia="宋体" w:cs="Arial"/>
                <w:color w:val="000000"/>
                <w:kern w:val="0"/>
                <w:sz w:val="44"/>
                <w:szCs w:val="44"/>
              </w:rPr>
            </w:pPr>
          </w:p>
          <w:p>
            <w:pPr>
              <w:widowControl/>
              <w:jc w:val="center"/>
              <w:rPr>
                <w:rFonts w:hint="eastAsia" w:ascii="宋体" w:hAnsi="宋体" w:eastAsia="宋体" w:cs="Arial"/>
                <w:color w:val="000000"/>
                <w:kern w:val="0"/>
                <w:sz w:val="44"/>
                <w:szCs w:val="44"/>
              </w:rPr>
            </w:pPr>
          </w:p>
          <w:p>
            <w:pPr>
              <w:widowControl/>
              <w:jc w:val="center"/>
              <w:rPr>
                <w:rFonts w:hint="eastAsia" w:ascii="宋体" w:hAnsi="宋体" w:eastAsia="宋体" w:cs="Arial"/>
                <w:color w:val="000000"/>
                <w:kern w:val="0"/>
                <w:sz w:val="44"/>
                <w:szCs w:val="44"/>
              </w:rPr>
            </w:pPr>
          </w:p>
          <w:p>
            <w:pPr>
              <w:widowControl/>
              <w:jc w:val="center"/>
              <w:rPr>
                <w:rFonts w:hint="eastAsia" w:ascii="宋体" w:hAnsi="宋体" w:eastAsia="宋体" w:cs="Arial"/>
                <w:color w:val="000000"/>
                <w:kern w:val="0"/>
                <w:sz w:val="44"/>
                <w:szCs w:val="44"/>
              </w:rPr>
            </w:pPr>
          </w:p>
          <w:p>
            <w:pPr>
              <w:widowControl/>
              <w:jc w:val="center"/>
              <w:rPr>
                <w:rFonts w:hint="eastAsia" w:ascii="宋体" w:hAnsi="宋体" w:eastAsia="宋体" w:cs="Arial"/>
                <w:color w:val="000000"/>
                <w:kern w:val="0"/>
                <w:sz w:val="44"/>
                <w:szCs w:val="44"/>
              </w:rPr>
            </w:pPr>
          </w:p>
          <w:p>
            <w:pPr>
              <w:widowControl/>
              <w:jc w:val="center"/>
              <w:rPr>
                <w:rFonts w:hint="eastAsia" w:ascii="宋体" w:hAnsi="宋体" w:eastAsia="宋体" w:cs="Arial"/>
                <w:color w:val="000000"/>
                <w:kern w:val="0"/>
                <w:sz w:val="44"/>
                <w:szCs w:val="44"/>
              </w:rPr>
            </w:pPr>
          </w:p>
          <w:p>
            <w:pPr>
              <w:widowControl/>
              <w:jc w:val="center"/>
              <w:rPr>
                <w:rFonts w:hint="eastAsia" w:ascii="宋体" w:hAnsi="宋体" w:eastAsia="宋体" w:cs="Arial"/>
                <w:color w:val="000000"/>
                <w:kern w:val="0"/>
                <w:sz w:val="44"/>
                <w:szCs w:val="44"/>
              </w:rPr>
            </w:pPr>
          </w:p>
          <w:p>
            <w:pPr>
              <w:widowControl/>
              <w:jc w:val="center"/>
              <w:rPr>
                <w:rFonts w:ascii="宋体" w:hAnsi="宋体" w:eastAsia="宋体" w:cs="Arial"/>
                <w:color w:val="000000"/>
                <w:kern w:val="0"/>
                <w:sz w:val="44"/>
                <w:szCs w:val="44"/>
              </w:rPr>
            </w:pPr>
            <w:r>
              <w:rPr>
                <w:rFonts w:hint="eastAsia" w:ascii="宋体" w:hAnsi="宋体" w:eastAsia="宋体" w:cs="Arial"/>
                <w:color w:val="000000"/>
                <w:kern w:val="0"/>
                <w:sz w:val="44"/>
                <w:szCs w:val="44"/>
              </w:rPr>
              <w:t>一般公共预算财政拨款“三公”经费支出决算表</w:t>
            </w:r>
          </w:p>
        </w:tc>
      </w:tr>
      <w:tr>
        <w:tblPrEx>
          <w:tblCellMar>
            <w:top w:w="0" w:type="dxa"/>
            <w:left w:w="108" w:type="dxa"/>
            <w:bottom w:w="0" w:type="dxa"/>
            <w:right w:w="108" w:type="dxa"/>
          </w:tblCellMar>
        </w:tblPrEx>
        <w:trPr>
          <w:trHeight w:val="255" w:hRule="atLeast"/>
        </w:trPr>
        <w:tc>
          <w:tcPr>
            <w:tcW w:w="11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0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9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公开07表</w:t>
            </w:r>
          </w:p>
        </w:tc>
      </w:tr>
      <w:tr>
        <w:tblPrEx>
          <w:tblCellMar>
            <w:top w:w="0" w:type="dxa"/>
            <w:left w:w="108" w:type="dxa"/>
            <w:bottom w:w="0" w:type="dxa"/>
            <w:right w:w="108" w:type="dxa"/>
          </w:tblCellMar>
        </w:tblPrEx>
        <w:trPr>
          <w:trHeight w:val="255" w:hRule="atLeast"/>
        </w:trPr>
        <w:tc>
          <w:tcPr>
            <w:tcW w:w="3600" w:type="dxa"/>
            <w:gridSpan w:val="3"/>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部门：湘乡市公安局交通警察大队</w:t>
            </w:r>
          </w:p>
        </w:tc>
        <w:tc>
          <w:tcPr>
            <w:tcW w:w="11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09"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95"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8"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7020"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预算数</w:t>
            </w:r>
          </w:p>
        </w:tc>
        <w:tc>
          <w:tcPr>
            <w:tcW w:w="7022" w:type="dxa"/>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CellMar>
            <w:top w:w="0" w:type="dxa"/>
            <w:left w:w="108" w:type="dxa"/>
            <w:bottom w:w="0" w:type="dxa"/>
            <w:right w:w="108" w:type="dxa"/>
          </w:tblCellMar>
        </w:tblPrEx>
        <w:trPr>
          <w:trHeight w:val="308" w:hRule="atLeast"/>
        </w:trPr>
        <w:tc>
          <w:tcPr>
            <w:tcW w:w="1160"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20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3560" w:type="dxa"/>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110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c>
          <w:tcPr>
            <w:tcW w:w="110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22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3264" w:type="dxa"/>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143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r>
      <w:tr>
        <w:tblPrEx>
          <w:tblCellMar>
            <w:top w:w="0" w:type="dxa"/>
            <w:left w:w="108" w:type="dxa"/>
            <w:bottom w:w="0" w:type="dxa"/>
            <w:right w:w="108" w:type="dxa"/>
          </w:tblCellMar>
        </w:tblPrEx>
        <w:trPr>
          <w:trHeight w:val="615" w:hRule="atLeast"/>
        </w:trPr>
        <w:tc>
          <w:tcPr>
            <w:tcW w:w="116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18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11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11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1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16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00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109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143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1160" w:type="dxa"/>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2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2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18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1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1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1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2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16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00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09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438"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r>
      <w:tr>
        <w:tblPrEx>
          <w:tblCellMar>
            <w:top w:w="0" w:type="dxa"/>
            <w:left w:w="108" w:type="dxa"/>
            <w:bottom w:w="0" w:type="dxa"/>
            <w:right w:w="108" w:type="dxa"/>
          </w:tblCellMar>
        </w:tblPrEx>
        <w:trPr>
          <w:trHeight w:val="308" w:hRule="atLeast"/>
        </w:trPr>
        <w:tc>
          <w:tcPr>
            <w:tcW w:w="1160" w:type="dxa"/>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58.00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2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1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1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58.00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46.32</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1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46.32</w:t>
            </w:r>
          </w:p>
        </w:tc>
        <w:tc>
          <w:tcPr>
            <w:tcW w:w="100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09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46.32</w:t>
            </w:r>
          </w:p>
        </w:tc>
        <w:tc>
          <w:tcPr>
            <w:tcW w:w="143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615" w:hRule="atLeast"/>
        </w:trPr>
        <w:tc>
          <w:tcPr>
            <w:tcW w:w="14042" w:type="dxa"/>
            <w:gridSpan w:val="12"/>
            <w:tcBorders>
              <w:top w:val="nil"/>
              <w:left w:val="nil"/>
              <w:bottom w:val="nil"/>
              <w:right w:val="nil"/>
            </w:tcBorders>
            <w:shd w:val="clear" w:color="auto" w:fill="auto"/>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center"/>
        <w:rPr>
          <w:rFonts w:hint="eastAsia" w:ascii="Times New Roman" w:hAnsi="Times New Roman" w:eastAsia="方正小标宋_GBK" w:cs="Times New Roman"/>
          <w:color w:val="000000"/>
          <w:kern w:val="0"/>
          <w:sz w:val="28"/>
          <w:szCs w:val="36"/>
        </w:rPr>
      </w:pPr>
    </w:p>
    <w:bookmarkEnd w:id="0"/>
    <w:p>
      <w:pPr>
        <w:widowControl/>
        <w:jc w:val="left"/>
        <w:rPr>
          <w:rFonts w:ascii="宋体" w:eastAsia="宋体" w:cs="宋体"/>
          <w:kern w:val="0"/>
          <w:sz w:val="24"/>
          <w:szCs w:val="24"/>
        </w:rPr>
      </w:pPr>
      <w:r>
        <w:rPr>
          <w:rFonts w:ascii="宋体" w:eastAsia="宋体" w:cs="宋体"/>
          <w:kern w:val="0"/>
          <w:sz w:val="24"/>
          <w:szCs w:val="24"/>
        </w:rPr>
        <w:br w:type="page"/>
      </w:r>
      <w:r>
        <w:rPr>
          <w:rFonts w:hint="eastAsia" w:ascii="宋体" w:eastAsia="宋体" w:cs="宋体"/>
          <w:kern w:val="0"/>
          <w:sz w:val="24"/>
          <w:szCs w:val="24"/>
        </w:rPr>
        <w:t xml:space="preserve">    </w:t>
      </w:r>
    </w:p>
    <w:p>
      <w:pPr>
        <w:autoSpaceDE w:val="0"/>
        <w:autoSpaceDN w:val="0"/>
        <w:adjustRightInd w:val="0"/>
        <w:ind w:left="315" w:leftChars="150"/>
        <w:jc w:val="left"/>
        <w:rPr>
          <w:rFonts w:ascii="宋体" w:eastAsia="宋体" w:cs="宋体"/>
          <w:kern w:val="0"/>
          <w:sz w:val="24"/>
          <w:szCs w:val="24"/>
        </w:rPr>
      </w:pPr>
    </w:p>
    <w:tbl>
      <w:tblPr>
        <w:tblStyle w:val="7"/>
        <w:tblW w:w="14620" w:type="dxa"/>
        <w:tblInd w:w="89" w:type="dxa"/>
        <w:tblLayout w:type="autofit"/>
        <w:tblCellMar>
          <w:top w:w="0" w:type="dxa"/>
          <w:left w:w="108" w:type="dxa"/>
          <w:bottom w:w="0" w:type="dxa"/>
          <w:right w:w="108" w:type="dxa"/>
        </w:tblCellMar>
      </w:tblPr>
      <w:tblGrid>
        <w:gridCol w:w="222"/>
        <w:gridCol w:w="222"/>
        <w:gridCol w:w="222"/>
        <w:gridCol w:w="204"/>
        <w:gridCol w:w="2551"/>
        <w:gridCol w:w="1701"/>
        <w:gridCol w:w="1560"/>
        <w:gridCol w:w="1386"/>
        <w:gridCol w:w="456"/>
        <w:gridCol w:w="1158"/>
        <w:gridCol w:w="969"/>
        <w:gridCol w:w="1842"/>
        <w:gridCol w:w="2127"/>
      </w:tblGrid>
      <w:tr>
        <w:tblPrEx>
          <w:tblCellMar>
            <w:top w:w="0" w:type="dxa"/>
            <w:left w:w="108" w:type="dxa"/>
            <w:bottom w:w="0" w:type="dxa"/>
            <w:right w:w="108" w:type="dxa"/>
          </w:tblCellMar>
        </w:tblPrEx>
        <w:trPr>
          <w:trHeight w:val="390" w:hRule="atLeast"/>
        </w:trPr>
        <w:tc>
          <w:tcPr>
            <w:tcW w:w="14620" w:type="dxa"/>
            <w:gridSpan w:val="13"/>
            <w:tcBorders>
              <w:top w:val="nil"/>
              <w:left w:val="nil"/>
              <w:bottom w:val="nil"/>
              <w:right w:val="nil"/>
            </w:tcBorders>
            <w:shd w:val="clear" w:color="auto" w:fill="auto"/>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政府性基金预算财政拨款收入支出决算表</w:t>
            </w:r>
          </w:p>
        </w:tc>
      </w:tr>
      <w:tr>
        <w:tblPrEx>
          <w:tblCellMar>
            <w:top w:w="0" w:type="dxa"/>
            <w:left w:w="108" w:type="dxa"/>
            <w:bottom w:w="0" w:type="dxa"/>
            <w:right w:w="108" w:type="dxa"/>
          </w:tblCellMar>
        </w:tblPrEx>
        <w:trPr>
          <w:trHeight w:val="255" w:hRule="atLeast"/>
        </w:trPr>
        <w:tc>
          <w:tcPr>
            <w:tcW w:w="22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2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22"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755"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8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14"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811"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127"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公开08表</w:t>
            </w:r>
          </w:p>
        </w:tc>
      </w:tr>
      <w:tr>
        <w:tblPrEx>
          <w:tblCellMar>
            <w:top w:w="0" w:type="dxa"/>
            <w:left w:w="108" w:type="dxa"/>
            <w:bottom w:w="0" w:type="dxa"/>
            <w:right w:w="108" w:type="dxa"/>
          </w:tblCellMar>
        </w:tblPrEx>
        <w:trPr>
          <w:trHeight w:val="255" w:hRule="atLeast"/>
        </w:trPr>
        <w:tc>
          <w:tcPr>
            <w:tcW w:w="3421" w:type="dxa"/>
            <w:gridSpan w:val="5"/>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部门：湘乡市公安局交通警察大队</w:t>
            </w:r>
          </w:p>
        </w:tc>
        <w:tc>
          <w:tcPr>
            <w:tcW w:w="1701"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8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14"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811" w:type="dxa"/>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127"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421"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70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年初结转和结余</w:t>
            </w:r>
          </w:p>
        </w:tc>
        <w:tc>
          <w:tcPr>
            <w:tcW w:w="156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本年收入</w:t>
            </w:r>
          </w:p>
        </w:tc>
        <w:tc>
          <w:tcPr>
            <w:tcW w:w="5811" w:type="dxa"/>
            <w:gridSpan w:val="5"/>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w:t>
            </w:r>
          </w:p>
        </w:tc>
        <w:tc>
          <w:tcPr>
            <w:tcW w:w="212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年末结转和结余</w:t>
            </w:r>
          </w:p>
        </w:tc>
      </w:tr>
      <w:tr>
        <w:tblPrEx>
          <w:tblCellMar>
            <w:top w:w="0" w:type="dxa"/>
            <w:left w:w="108" w:type="dxa"/>
            <w:bottom w:w="0" w:type="dxa"/>
            <w:right w:w="108" w:type="dxa"/>
          </w:tblCellMar>
        </w:tblPrEx>
        <w:trPr>
          <w:trHeight w:val="312" w:hRule="atLeast"/>
        </w:trPr>
        <w:tc>
          <w:tcPr>
            <w:tcW w:w="870" w:type="dxa"/>
            <w:gridSpan w:val="4"/>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2551"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42"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2127"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184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c>
          <w:tcPr>
            <w:tcW w:w="212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870" w:type="dxa"/>
            <w:gridSpan w:val="4"/>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55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42"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127"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4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12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870" w:type="dxa"/>
            <w:gridSpan w:val="4"/>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55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42"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127"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4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12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3421" w:type="dxa"/>
            <w:gridSpan w:val="5"/>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70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56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842"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2127" w:type="dxa"/>
            <w:gridSpan w:val="2"/>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84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212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r>
      <w:tr>
        <w:tblPrEx>
          <w:tblCellMar>
            <w:top w:w="0" w:type="dxa"/>
            <w:left w:w="108" w:type="dxa"/>
            <w:bottom w:w="0" w:type="dxa"/>
            <w:right w:w="108" w:type="dxa"/>
          </w:tblCellMar>
        </w:tblPrEx>
        <w:trPr>
          <w:trHeight w:val="308" w:hRule="atLeast"/>
        </w:trPr>
        <w:tc>
          <w:tcPr>
            <w:tcW w:w="3421" w:type="dxa"/>
            <w:gridSpan w:val="5"/>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Cs/>
                <w:color w:val="000000"/>
                <w:kern w:val="0"/>
                <w:sz w:val="22"/>
              </w:rPr>
            </w:pPr>
            <w:r>
              <w:rPr>
                <w:rFonts w:hint="eastAsia" w:ascii="宋体" w:hAnsi="宋体" w:eastAsia="宋体" w:cs="Arial"/>
                <w:bCs/>
                <w:color w:val="000000"/>
                <w:kern w:val="0"/>
                <w:sz w:val="22"/>
              </w:rPr>
              <w:t>此表无数据　</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8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212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r>
      <w:tr>
        <w:tblPrEx>
          <w:tblCellMar>
            <w:top w:w="0" w:type="dxa"/>
            <w:left w:w="108" w:type="dxa"/>
            <w:bottom w:w="0" w:type="dxa"/>
            <w:right w:w="108" w:type="dxa"/>
          </w:tblCellMar>
        </w:tblPrEx>
        <w:trPr>
          <w:trHeight w:val="308" w:hRule="atLeast"/>
        </w:trPr>
        <w:tc>
          <w:tcPr>
            <w:tcW w:w="870"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870"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870"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870"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870"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870"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8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212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4620" w:type="dxa"/>
            <w:gridSpan w:val="13"/>
            <w:tcBorders>
              <w:top w:val="nil"/>
              <w:left w:val="nil"/>
              <w:bottom w:val="nil"/>
              <w:right w:val="nil"/>
            </w:tcBorders>
            <w:shd w:val="clear" w:color="auto" w:fill="auto"/>
            <w:noWrap/>
            <w:vAlign w:val="center"/>
          </w:tcPr>
          <w:p>
            <w:pPr>
              <w:widowControl/>
              <w:jc w:val="left"/>
              <w:rPr>
                <w:rFonts w:hint="eastAsia" w:ascii="宋体" w:hAnsi="宋体" w:eastAsia="宋体" w:cs="Arial"/>
                <w:color w:val="000000"/>
                <w:kern w:val="0"/>
                <w:sz w:val="22"/>
              </w:rPr>
            </w:pPr>
            <w:r>
              <w:rPr>
                <w:rFonts w:hint="eastAsia" w:ascii="宋体" w:hAnsi="宋体" w:eastAsia="宋体" w:cs="Arial"/>
                <w:color w:val="000000"/>
                <w:kern w:val="0"/>
                <w:sz w:val="22"/>
              </w:rPr>
              <w:t>注：本表反映部门本年度政府性基金预算财政拨款收入、支出及结转和结余情况。</w:t>
            </w:r>
          </w:p>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（若本单位无政府性基金收支，请说明：湘乡市公安局没有政府基金收入，也没有使用政府性基金安排的支出，故本表无数据）。</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年度收、支总计3524.72万元。与2018年相比，增加723.82万元，增长25.8%，主要是因为基本支出中工资福利上调，项目支出中车管好所购置固定资产及增加城乡社区公基础设施建设。</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本年收入合计3545.61万元，其中：财政拨款收入3524.72万元，占99.4%；其他收入20.89万元，占0.6%。</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本年支出合计3052.15万元，其中：基本支出1316.49万元，占43.1%；项目支出1735.66万元，占56.9%。</w:t>
      </w:r>
    </w:p>
    <w:p>
      <w:pPr>
        <w:pStyle w:val="11"/>
        <w:rPr>
          <w:rFonts w:hAnsi="黑体"/>
          <w:b/>
          <w:sz w:val="32"/>
          <w:szCs w:val="32"/>
        </w:rPr>
      </w:pPr>
      <w:r>
        <w:rPr>
          <w:rFonts w:hint="eastAsia" w:hAnsi="黑体"/>
          <w:b/>
          <w:sz w:val="32"/>
          <w:szCs w:val="32"/>
        </w:rPr>
        <w:t>四、财政拨款收入支出决算总体情况说明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2019年度财政拨款收入总计3524.72万元，与2018年相比，增加723.82万元，增长25.8%，主要是因为基本支出中工资福利上调，项目支出中车管好所购置固定资产及增加城乡社区公基础设施建设。2019年财政拨款支出3033.61万元，与2018年相比，减少291.45万元，减少8.7%，主要原因是本年度项止未全部建设到位，部份资金暂未支付。</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2019年度财政拨款支出3033.61万元，占本年支出合计的99.4%，与2018年相比，减少291.45万元，减少8.7%，主要原因是本年度项止未全部建设到位，部份资金暂未支付。</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3033.61万元，主要用于以下方面：公共安全支出2543.52万元，占83.8%；社会保障和就业支出90.98万元，占3%；卫生健康支出44.37万元，占1.5%；城乡社区支出293.7万元，占9.7%；住房保障支出61.04万元，占2%。</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2019年度财政拨款支出年初预算数为2180.79万元，支出决算数为3052.16万元，完成年初预算的139.96%，其中：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1、公共安全支出。</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年初预算为1967.49万元，支出决算为2562.06万元，完成年初预算的130.22%，决算数大于年初预算数的主要原因是：基本支出中工资福利上调，项目支出中大队因工作需要购置固定资产。</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2、社会保障和就业支出。</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年初预算为107.9万元，支出决算为90.98万元，完成年初预算的84%，决算数小）年初预算数的主要原因是：养老保险基数下调，财政调减指标。</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3、卫生健康支出。</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年初预算为44.37万元，支出决算为44.37万元，完成年初预算的100%。</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4、城乡社区支出。</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年初预算为0万元，支出决算为293.7万元，城乡社区专项预算指标由经建股开具。</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5、住房保障支出。</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年初预算为610.4万元，支出决算为61.04万元，完成年初预算的100%。</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1316.49万元，其中：人员经费1133.76万元，占基本支出的86.1%,主要包括基本工资、津贴补贴、奖金、社保；公用经费174.84万元，占基本支出的13.9%，主要包括办公费、印刷费、水电费、邮电费、差旅费、维修费、租赁费、工会经费、福利费、公务用车运行维护费、车补费、其他商品和服务支出。</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“三公”经费财政拨款支出预算为58万元，支出决算为46.32万元，完成预算的79.86%，其中：</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58万元，支出决算为46.32万元，完成预算的79.86%，决算数小于年初预算数的主要原因是去年新购执勤用车，维护费减少，与上年相比减少98.86万元，减少68%,减少的主要原因是去年新购执勤用车，维护费减少。</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2019年度“三公”经费财政拨款支出决算中，公务接待费支出决算0万元，占0%,因公出国（境）费支出决算0万元，占0%,公务用车购置费及运行维护费支出决算46.32万元，占79.86%。其中：</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公务用车购置费及运行维护费支出决算为46.32万元，其中：公务用车运行维护费46.32万元，主要是油料费和车辆保险及维修费支出，截止2019年12月31日，我单位开支财政拨款的公务用车保有量为10辆。</w:t>
      </w:r>
      <w:r>
        <w:rPr>
          <w:rFonts w:hint="eastAsia" w:cs="黑体" w:asciiTheme="minorEastAsia" w:hAnsiTheme="minorEastAsia"/>
          <w:i/>
          <w:color w:val="FF0000"/>
          <w:kern w:val="0"/>
          <w:sz w:val="32"/>
          <w:szCs w:val="32"/>
        </w:rPr>
        <w:t>（</w:t>
      </w:r>
    </w:p>
    <w:p>
      <w:pPr>
        <w:pStyle w:val="11"/>
        <w:rPr>
          <w:rFonts w:hAnsi="黑体"/>
          <w:b/>
          <w:sz w:val="32"/>
          <w:szCs w:val="32"/>
        </w:rPr>
      </w:pPr>
      <w:r>
        <w:rPr>
          <w:rFonts w:hint="eastAsia" w:hAnsi="黑体"/>
          <w:b/>
          <w:sz w:val="32"/>
          <w:szCs w:val="32"/>
        </w:rPr>
        <w:t>八、政府性基金预算收入支出决算情况</w:t>
      </w:r>
    </w:p>
    <w:p>
      <w:pPr>
        <w:pStyle w:val="11"/>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本单位无政府性基金收支。</w:t>
      </w:r>
    </w:p>
    <w:p>
      <w:pPr>
        <w:pStyle w:val="11"/>
        <w:rPr>
          <w:rFonts w:hAnsi="黑体"/>
          <w:b/>
          <w:sz w:val="32"/>
          <w:szCs w:val="32"/>
        </w:rPr>
      </w:pPr>
      <w:r>
        <w:rPr>
          <w:rFonts w:hint="eastAsia" w:hAnsi="黑体"/>
          <w:b/>
          <w:sz w:val="32"/>
          <w:szCs w:val="32"/>
        </w:rPr>
        <w:t>九、关于2019年度预算绩效情况说明</w:t>
      </w:r>
    </w:p>
    <w:p>
      <w:pPr>
        <w:pStyle w:val="6"/>
        <w:spacing w:line="670" w:lineRule="exact"/>
        <w:ind w:firstLine="640"/>
        <w:rPr>
          <w:rFonts w:asciiTheme="minorEastAsia" w:hAnsiTheme="minorEastAsia"/>
          <w:sz w:val="32"/>
          <w:szCs w:val="32"/>
        </w:rPr>
      </w:pPr>
      <w:r>
        <w:rPr>
          <w:rFonts w:hint="eastAsia" w:asciiTheme="minorEastAsia" w:hAnsiTheme="minorEastAsia" w:eastAsiaTheme="minorEastAsia" w:cstheme="minorBidi"/>
          <w:kern w:val="2"/>
          <w:sz w:val="32"/>
          <w:szCs w:val="32"/>
        </w:rPr>
        <w:t>2019年度本大队整体支出纳入了财政绩效评价，财政绩效评价结果为中。2019年辅警专项经费、办案（业务）经费、涉案车辆保管费、检验鉴定费、车管所运行经费这五个项目支出纳入了财政绩效评价，办案（业务）经费和车管所运行经费绩效评价为良，其余结果为中。</w:t>
      </w:r>
    </w:p>
    <w:p>
      <w:pPr>
        <w:pStyle w:val="11"/>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年度机关运行经费支出174.84万元，比年初预算数增加2.7万元，增长1.6%。主要原因是增加走访扶贫支出。</w:t>
      </w:r>
      <w:r>
        <w:rPr>
          <w:rFonts w:cs="黑体" w:asciiTheme="minorEastAsia" w:hAnsiTheme="minorEastAsia"/>
          <w:color w:val="000000"/>
          <w:kern w:val="0"/>
          <w:sz w:val="32"/>
          <w:szCs w:val="32"/>
        </w:rPr>
        <w:t xml:space="preserve"> </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2019年本部门开支会议费0万元。</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政府采购支出总额436.57万元，其中：政府采购货物支出229.19万元、政府采购工程207.38万元。授予中小企业合同金额96.1万元，占政府采购支出总额的22%，其中：授予小、微企业全同金额80.2万元，占政府采购支出总额的18%。</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截至2019年12月31日，本单位共有车辆10辆，其中，执法执勤用车10辆；单位价值50万元以上通用设备3台（套）；单位价值100万元以上专用设备0台（套）。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二、“三公”经费：纳入省财政预算管理的“三公”经费，是指一般公共预算拨款安排的公务接待费、公务用车购置及运行维护费和因公出国（境）费。其中，公务接待费反映单位按规定开支的各类公务接待支出；公务用车购置及运行费反映单位公务用车车辆购置支出（含车辆购置税），以及燃烧费、维修费、保险费等支出；因公出国（境）费反映单位公务出国（境）的国际旅费、国外城市间交通费、住宿费等支出。</w:t>
      </w:r>
    </w:p>
    <w:p>
      <w:pPr>
        <w:ind w:firstLine="640" w:firstLineChars="200"/>
        <w:jc w:val="left"/>
        <w:rPr>
          <w:rFonts w:cs="黑体" w:asciiTheme="minorEastAsia" w:hAnsiTheme="minorEastAsia"/>
          <w:color w:val="000000"/>
          <w:kern w:val="0"/>
          <w:sz w:val="32"/>
          <w:szCs w:val="32"/>
        </w:rPr>
      </w:pP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720" w:firstLineChars="200"/>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湘乡市公安局交通警察大队</w:t>
      </w:r>
    </w:p>
    <w:p>
      <w:pPr>
        <w:ind w:firstLine="720" w:firstLineChars="200"/>
        <w:jc w:val="center"/>
        <w:rPr>
          <w:rFonts w:cs="黑体" w:asciiTheme="minorEastAsia" w:hAnsiTheme="minorEastAsia"/>
          <w:b/>
          <w:color w:val="000000"/>
          <w:kern w:val="0"/>
          <w:sz w:val="32"/>
          <w:szCs w:val="32"/>
        </w:rPr>
      </w:pPr>
      <w:r>
        <w:rPr>
          <w:rFonts w:hint="eastAsia" w:ascii="方正小标宋简体" w:hAnsi="仿宋" w:eastAsia="方正小标宋简体"/>
          <w:b/>
          <w:bCs/>
          <w:sz w:val="36"/>
          <w:szCs w:val="36"/>
        </w:rPr>
        <w:t>2019年部门整体支出绩效自评报告</w:t>
      </w:r>
    </w:p>
    <w:p>
      <w:pPr>
        <w:pStyle w:val="6"/>
        <w:ind w:firstLine="400"/>
      </w:pPr>
    </w:p>
    <w:p>
      <w:pPr>
        <w:spacing w:line="600" w:lineRule="exact"/>
        <w:ind w:right="641" w:firstLine="600" w:firstLineChars="200"/>
        <w:rPr>
          <w:rFonts w:ascii="仿宋" w:hAnsi="仿宋" w:eastAsia="黑体"/>
          <w:sz w:val="30"/>
          <w:szCs w:val="30"/>
        </w:rPr>
      </w:pPr>
      <w:r>
        <w:rPr>
          <w:rFonts w:ascii="仿宋" w:hAnsi="仿宋" w:eastAsia="黑体"/>
          <w:sz w:val="30"/>
          <w:szCs w:val="30"/>
        </w:rPr>
        <w:t>一、部门概况</w:t>
      </w:r>
    </w:p>
    <w:p>
      <w:pPr>
        <w:snapToGrid w:val="0"/>
        <w:spacing w:line="670" w:lineRule="exact"/>
        <w:ind w:firstLine="640" w:firstLineChars="200"/>
        <w:rPr>
          <w:rFonts w:asciiTheme="minorEastAsia" w:hAnsiTheme="minorEastAsia"/>
          <w:sz w:val="32"/>
          <w:szCs w:val="32"/>
        </w:rPr>
      </w:pPr>
      <w:r>
        <w:rPr>
          <w:rFonts w:hint="eastAsia" w:asciiTheme="minorEastAsia" w:hAnsiTheme="minorEastAsia"/>
          <w:sz w:val="32"/>
          <w:szCs w:val="32"/>
        </w:rPr>
        <w:t>湘乡市公安局交通警察大队为湘乡市公安局下属二级机构，内设事故中队、秩序中队、车管所、法制室、内勤室、城区中队（一中队）、壶天中队（二中队）、棋梓桥中队（三中队）、栗山中队（四中队）、白田中队（五中队）10个室、所、中队。现有在职人员87人，协辅警133人。</w:t>
      </w:r>
    </w:p>
    <w:p>
      <w:pPr>
        <w:pStyle w:val="6"/>
        <w:spacing w:line="67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部门主要职责是贯彻落实《中华人民共和国道路交通安全法》，负责本行政区域内的道路交通管理工作，积极预防和减少交通事故；维护道路交通秩序，指挥疏导交通，努力提高通行效率，依法纠正和处罚交通违法行为；依法处理交通事故；负责对各类车辆的检测、检验，核发牌证和机动车驾驶员的教育管理、培训、考试、审验等工作职责。</w:t>
      </w:r>
    </w:p>
    <w:p>
      <w:pPr>
        <w:pStyle w:val="6"/>
        <w:spacing w:line="67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2019年度重点主要工作目标是：1、维护辖区道路交通安全和道路交通秩序；2、依法查处道路交通违法行为，罚款零减免，应收尽收，确保完成非税收入指标；3、及时、依法勘查处理道路交通事故，积极组织警力侦破逃逸案件；4、依法办理机动车辆注册登记和机动车驾驶证考试等工作；5、深入学校、社区、农村、车队等基层单位，组织开展道路交通安全宣传教育工作；6、参与城市建设、道路交通和安全设施的规划等工作；7、认真完成省交警总队、湘潭交警支队和市人民政府安排部署的各项警保卫工作和专项行动。</w:t>
      </w:r>
    </w:p>
    <w:p>
      <w:pPr>
        <w:snapToGrid w:val="0"/>
        <w:spacing w:line="600" w:lineRule="exact"/>
        <w:ind w:firstLine="600" w:firstLineChars="200"/>
        <w:rPr>
          <w:rFonts w:ascii="仿宋" w:hAnsi="仿宋" w:eastAsia="黑体"/>
          <w:sz w:val="30"/>
          <w:szCs w:val="30"/>
        </w:rPr>
      </w:pPr>
      <w:r>
        <w:rPr>
          <w:rFonts w:ascii="仿宋" w:hAnsi="仿宋" w:eastAsia="黑体"/>
          <w:sz w:val="30"/>
          <w:szCs w:val="30"/>
        </w:rPr>
        <w:t>二、部门整体支出管理及使用情况</w:t>
      </w:r>
    </w:p>
    <w:p>
      <w:pPr>
        <w:snapToGrid w:val="0"/>
        <w:spacing w:line="660" w:lineRule="exact"/>
        <w:ind w:firstLine="600" w:firstLineChars="200"/>
        <w:rPr>
          <w:rFonts w:ascii="仿宋" w:hAnsi="仿宋" w:eastAsia="楷体_GB2312"/>
          <w:b/>
          <w:sz w:val="30"/>
          <w:szCs w:val="30"/>
        </w:rPr>
      </w:pPr>
      <w:r>
        <w:rPr>
          <w:rFonts w:ascii="仿宋" w:hAnsi="仿宋" w:eastAsia="楷体_GB2312"/>
          <w:b/>
          <w:sz w:val="30"/>
          <w:szCs w:val="30"/>
        </w:rPr>
        <w:t>（一）预算情况</w:t>
      </w:r>
    </w:p>
    <w:p>
      <w:pPr>
        <w:snapToGrid w:val="0"/>
        <w:spacing w:line="660" w:lineRule="exact"/>
        <w:ind w:firstLine="640" w:firstLineChars="200"/>
        <w:rPr>
          <w:rFonts w:asciiTheme="minorEastAsia" w:hAnsiTheme="minorEastAsia"/>
          <w:sz w:val="32"/>
          <w:szCs w:val="32"/>
        </w:rPr>
      </w:pPr>
      <w:r>
        <w:rPr>
          <w:rFonts w:asciiTheme="minorEastAsia" w:hAnsiTheme="minorEastAsia"/>
          <w:sz w:val="32"/>
          <w:szCs w:val="32"/>
        </w:rPr>
        <w:t>1、年初预算情况</w:t>
      </w:r>
    </w:p>
    <w:p>
      <w:pPr>
        <w:pStyle w:val="6"/>
        <w:spacing w:line="66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2019年湘乡市公安局交通警察大队财政拨款年初预算2180.79万元，其中基本支出992.79万元，项目支出1188万元。上年结转111.96万元。</w:t>
      </w:r>
    </w:p>
    <w:p>
      <w:pPr>
        <w:numPr>
          <w:ilvl w:val="0"/>
          <w:numId w:val="2"/>
        </w:numPr>
        <w:snapToGrid w:val="0"/>
        <w:spacing w:line="660" w:lineRule="exact"/>
        <w:ind w:firstLine="640" w:firstLineChars="200"/>
        <w:rPr>
          <w:rFonts w:asciiTheme="minorEastAsia" w:hAnsiTheme="minorEastAsia"/>
          <w:sz w:val="32"/>
          <w:szCs w:val="32"/>
        </w:rPr>
      </w:pPr>
      <w:r>
        <w:rPr>
          <w:rFonts w:asciiTheme="minorEastAsia" w:hAnsiTheme="minorEastAsia"/>
          <w:sz w:val="32"/>
          <w:szCs w:val="32"/>
        </w:rPr>
        <w:t>年中追加和调减预算情况</w:t>
      </w:r>
    </w:p>
    <w:p>
      <w:pPr>
        <w:pStyle w:val="6"/>
        <w:spacing w:line="66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年中追加1343.93万元，其中本级追加1147.93万，省级补助196万。</w:t>
      </w:r>
    </w:p>
    <w:p>
      <w:pPr>
        <w:numPr>
          <w:ilvl w:val="0"/>
          <w:numId w:val="2"/>
        </w:numPr>
        <w:snapToGrid w:val="0"/>
        <w:spacing w:line="660" w:lineRule="exact"/>
        <w:ind w:firstLine="640" w:firstLineChars="200"/>
        <w:rPr>
          <w:rFonts w:asciiTheme="minorEastAsia" w:hAnsiTheme="minorEastAsia"/>
          <w:sz w:val="32"/>
          <w:szCs w:val="32"/>
        </w:rPr>
      </w:pPr>
      <w:r>
        <w:rPr>
          <w:rFonts w:asciiTheme="minorEastAsia" w:hAnsiTheme="minorEastAsia"/>
          <w:sz w:val="32"/>
          <w:szCs w:val="32"/>
        </w:rPr>
        <w:t>全年总预算情况</w:t>
      </w:r>
    </w:p>
    <w:p>
      <w:pPr>
        <w:pStyle w:val="6"/>
        <w:spacing w:line="66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2019年湘乡市公安局交通警察大队财政拨款</w:t>
      </w:r>
      <w:r>
        <w:rPr>
          <w:rFonts w:asciiTheme="minorEastAsia" w:hAnsiTheme="minorEastAsia" w:eastAsiaTheme="minorEastAsia" w:cstheme="minorBidi"/>
          <w:kern w:val="2"/>
          <w:sz w:val="32"/>
          <w:szCs w:val="32"/>
        </w:rPr>
        <w:t>全年总预算</w:t>
      </w:r>
      <w:r>
        <w:rPr>
          <w:rFonts w:hint="eastAsia" w:asciiTheme="minorEastAsia" w:hAnsiTheme="minorEastAsia" w:eastAsiaTheme="minorEastAsia" w:cstheme="minorBidi"/>
          <w:kern w:val="2"/>
          <w:sz w:val="32"/>
          <w:szCs w:val="32"/>
        </w:rPr>
        <w:t>3524.72万元，其中基本支出1268.93万元，项目支出2255.79万元。</w:t>
      </w:r>
    </w:p>
    <w:p>
      <w:pPr>
        <w:numPr>
          <w:ilvl w:val="0"/>
          <w:numId w:val="3"/>
        </w:numPr>
        <w:snapToGrid w:val="0"/>
        <w:spacing w:line="660" w:lineRule="exact"/>
        <w:ind w:firstLine="600" w:firstLineChars="200"/>
        <w:rPr>
          <w:rFonts w:ascii="仿宋" w:hAnsi="仿宋" w:eastAsia="楷体_GB2312"/>
          <w:b/>
          <w:sz w:val="30"/>
          <w:szCs w:val="30"/>
        </w:rPr>
      </w:pPr>
      <w:r>
        <w:rPr>
          <w:rFonts w:ascii="仿宋" w:hAnsi="仿宋" w:eastAsia="楷体_GB2312"/>
          <w:b/>
          <w:sz w:val="30"/>
          <w:szCs w:val="30"/>
        </w:rPr>
        <w:t>预算执行情况</w:t>
      </w:r>
    </w:p>
    <w:p>
      <w:pPr>
        <w:pStyle w:val="6"/>
        <w:spacing w:line="66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2019年湘乡市公安局交通警察大队财政拨款全年预算支出3033.61万元，其中基本支出1316.49万元，项目支出1717.13万元，具体情况如下：</w:t>
      </w:r>
    </w:p>
    <w:p>
      <w:pPr>
        <w:numPr>
          <w:ilvl w:val="0"/>
          <w:numId w:val="4"/>
        </w:numPr>
        <w:snapToGrid w:val="0"/>
        <w:spacing w:line="660" w:lineRule="exact"/>
        <w:ind w:firstLine="640" w:firstLineChars="200"/>
        <w:rPr>
          <w:rFonts w:asciiTheme="minorEastAsia" w:hAnsiTheme="minorEastAsia"/>
          <w:sz w:val="32"/>
          <w:szCs w:val="32"/>
        </w:rPr>
      </w:pPr>
      <w:r>
        <w:rPr>
          <w:rFonts w:asciiTheme="minorEastAsia" w:hAnsiTheme="minorEastAsia"/>
          <w:sz w:val="32"/>
          <w:szCs w:val="32"/>
        </w:rPr>
        <w:t>基本支出执行情况</w:t>
      </w:r>
    </w:p>
    <w:p>
      <w:pPr>
        <w:pStyle w:val="6"/>
        <w:spacing w:line="66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2019年湘乡市公安局交通警察大队基本支出财政拨款收入1268.93万元，上年结转47.56万元，资金到位率100%，全年支出1316.49万元，资金使用率100%。</w:t>
      </w:r>
    </w:p>
    <w:p>
      <w:pPr>
        <w:snapToGrid w:val="0"/>
        <w:spacing w:line="660" w:lineRule="exact"/>
        <w:ind w:firstLine="640" w:firstLineChars="200"/>
        <w:rPr>
          <w:rFonts w:asciiTheme="minorEastAsia" w:hAnsiTheme="minorEastAsia"/>
          <w:sz w:val="32"/>
          <w:szCs w:val="32"/>
        </w:rPr>
      </w:pPr>
      <w:r>
        <w:rPr>
          <w:rFonts w:hint="eastAsia" w:asciiTheme="minorEastAsia" w:hAnsiTheme="minorEastAsia"/>
          <w:sz w:val="32"/>
          <w:szCs w:val="32"/>
        </w:rPr>
        <w:t>2、</w:t>
      </w:r>
      <w:r>
        <w:rPr>
          <w:rFonts w:asciiTheme="minorEastAsia" w:hAnsiTheme="minorEastAsia"/>
          <w:sz w:val="32"/>
          <w:szCs w:val="32"/>
        </w:rPr>
        <w:t>业务性专项执行情况</w:t>
      </w:r>
    </w:p>
    <w:p>
      <w:pPr>
        <w:pStyle w:val="6"/>
        <w:spacing w:line="66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2019年湘乡市公安局交通警察大队项目支出财政拨款收入2255.79万元，上年结转64.40万元，资金到位率100%，全年支出1717.13万元，资金使用率76.12%。部分30万以上的业务性专项执行情况具体如下：</w:t>
      </w:r>
    </w:p>
    <w:p>
      <w:pPr>
        <w:pStyle w:val="6"/>
        <w:ind w:firstLine="0" w:firstLineChars="0"/>
      </w:pPr>
      <w:r>
        <w:rPr>
          <w:rFonts w:hint="eastAsia"/>
        </w:rPr>
        <w:drawing>
          <wp:inline distT="0" distB="0" distL="0" distR="0">
            <wp:extent cx="6127750" cy="3313430"/>
            <wp:effectExtent l="19050" t="0" r="6350" b="0"/>
            <wp:docPr id="1"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图片1"/>
                    <pic:cNvPicPr>
                      <a:picLocks noChangeAspect="1" noChangeArrowheads="1"/>
                    </pic:cNvPicPr>
                  </pic:nvPicPr>
                  <pic:blipFill>
                    <a:blip r:embed="rId4"/>
                    <a:srcRect/>
                    <a:stretch>
                      <a:fillRect/>
                    </a:stretch>
                  </pic:blipFill>
                  <pic:spPr>
                    <a:xfrm>
                      <a:off x="0" y="0"/>
                      <a:ext cx="6127750" cy="3313430"/>
                    </a:xfrm>
                    <a:prstGeom prst="rect">
                      <a:avLst/>
                    </a:prstGeom>
                    <a:noFill/>
                    <a:ln w="9525" cmpd="sng">
                      <a:noFill/>
                      <a:miter lim="800000"/>
                      <a:headEnd/>
                      <a:tailEnd/>
                    </a:ln>
                  </pic:spPr>
                </pic:pic>
              </a:graphicData>
            </a:graphic>
          </wp:inline>
        </w:drawing>
      </w:r>
    </w:p>
    <w:p>
      <w:pPr>
        <w:spacing w:line="660" w:lineRule="exact"/>
        <w:ind w:firstLine="640" w:firstLineChars="200"/>
        <w:rPr>
          <w:rFonts w:asciiTheme="minorEastAsia" w:hAnsiTheme="minorEastAsia"/>
          <w:sz w:val="32"/>
          <w:szCs w:val="32"/>
        </w:rPr>
      </w:pPr>
      <w:r>
        <w:rPr>
          <w:rFonts w:hint="eastAsia" w:asciiTheme="minorEastAsia" w:hAnsiTheme="minorEastAsia"/>
          <w:sz w:val="32"/>
          <w:szCs w:val="32"/>
        </w:rPr>
        <w:t>湘乡市公安局交通警察大队车管所租赁与运行预算收入190万元，指标到位率100%，资金到位率0%，全年支出0万元，委托人与受托人与2018年1月5日签订了《办公房屋、办公设备设施、场地租赁合同》，由受托人（承租人）租赁委托人（出租人）的租赁物作为受托人办理车管、驾管等工作场所，租赁期限至2022年8月30日止，租赁期内尚有三年（2019年8月31日至2022年8月30日）租金即人民币伍佰捌拾伍万元（¥：5850000.00元）在2020年一次性支付。</w:t>
      </w:r>
    </w:p>
    <w:p>
      <w:pPr>
        <w:snapToGrid w:val="0"/>
        <w:spacing w:line="660" w:lineRule="exact"/>
        <w:ind w:firstLine="600" w:firstLineChars="200"/>
        <w:rPr>
          <w:rFonts w:ascii="仿宋" w:hAnsi="仿宋" w:eastAsia="黑体"/>
          <w:sz w:val="30"/>
          <w:szCs w:val="30"/>
        </w:rPr>
      </w:pPr>
      <w:r>
        <w:rPr>
          <w:rFonts w:ascii="仿宋" w:hAnsi="仿宋" w:eastAsia="黑体"/>
          <w:sz w:val="30"/>
          <w:szCs w:val="30"/>
        </w:rPr>
        <w:t>三、部门整体支出绩效情况</w:t>
      </w:r>
    </w:p>
    <w:p>
      <w:pPr>
        <w:spacing w:line="660" w:lineRule="exact"/>
        <w:ind w:firstLine="640" w:firstLineChars="200"/>
        <w:rPr>
          <w:rFonts w:asciiTheme="minorEastAsia" w:hAnsiTheme="minorEastAsia"/>
          <w:sz w:val="32"/>
          <w:szCs w:val="32"/>
        </w:rPr>
      </w:pPr>
      <w:r>
        <w:rPr>
          <w:rFonts w:hint="eastAsia" w:asciiTheme="minorEastAsia" w:hAnsiTheme="minorEastAsia"/>
          <w:sz w:val="32"/>
          <w:szCs w:val="32"/>
        </w:rPr>
        <w:t>1、维护辖区道路交通安全和道路交通秩序。我大队科学安排勤务，领导靠前指挥，全警上路，提高路面的见警率和管事率，切实加大管控力度，狠抓元旦、春运、全国两会、清明、“五一”、国庆、122等节假日和重要时段期间道路交通安全畅通。为广大人民群众的节日出行创造安全畅通的道路交通环境。期间，大队共圆满完成各类交通警保卫任务80余次，并多次受到上级领导的肯定和表扬。</w:t>
      </w:r>
    </w:p>
    <w:p>
      <w:pPr>
        <w:snapToGrid w:val="0"/>
        <w:spacing w:line="660" w:lineRule="exact"/>
        <w:ind w:firstLine="640" w:firstLineChars="200"/>
        <w:rPr>
          <w:rFonts w:asciiTheme="minorEastAsia" w:hAnsiTheme="minorEastAsia"/>
          <w:sz w:val="32"/>
          <w:szCs w:val="32"/>
        </w:rPr>
      </w:pPr>
      <w:r>
        <w:rPr>
          <w:rFonts w:hint="eastAsia" w:asciiTheme="minorEastAsia" w:hAnsiTheme="minorEastAsia"/>
          <w:sz w:val="32"/>
          <w:szCs w:val="32"/>
        </w:rPr>
        <w:t>2、依法查处道路交通违法行为，罚款零减免，应收尽收，确保完成非税收入指标。湘乡市公安局交警大队共查处各类交通违法26.43万余起（含电子警察），其中现场执法10164起，饮酒驾驶224起，二次酒驾5起，醉驾97起，客车超员22起，无证驾驶1809起，假牌套牌54起，改型331起，货车超载899起，未依法注册登记1065起，违停22827起，闯红灯6436起，摩托车加装伞具、不戴安全头盔875起，未进行安全技术检验1152起，未投第三者强制保险1423起，查扣报废机动车144台,行政拘留52人，全年完成非税收入2706万元，超出年初目标17.65%。</w:t>
      </w:r>
    </w:p>
    <w:p>
      <w:pPr>
        <w:pStyle w:val="6"/>
        <w:spacing w:line="660" w:lineRule="exact"/>
        <w:ind w:firstLine="640"/>
        <w:rPr>
          <w:rFonts w:asciiTheme="minorEastAsia" w:hAnsiTheme="minorEastAsia" w:eastAsiaTheme="minorEastAsia" w:cstheme="minorBidi"/>
          <w:kern w:val="2"/>
          <w:sz w:val="32"/>
          <w:szCs w:val="32"/>
        </w:rPr>
      </w:pPr>
      <w:r>
        <w:rPr>
          <w:rFonts w:asciiTheme="minorEastAsia" w:hAnsiTheme="minorEastAsia" w:eastAsiaTheme="minorEastAsia" w:cstheme="minorBidi"/>
          <w:kern w:val="2"/>
          <w:sz w:val="32"/>
          <w:szCs w:val="32"/>
        </w:rPr>
        <w:t>3、及时、依法勘查处理道路交通事故，积极组织警力侦破逃逸案件</w:t>
      </w:r>
      <w:r>
        <w:rPr>
          <w:rFonts w:hint="eastAsia" w:asciiTheme="minorEastAsia" w:hAnsiTheme="minorEastAsia" w:eastAsiaTheme="minorEastAsia" w:cstheme="minorBidi"/>
          <w:kern w:val="2"/>
          <w:sz w:val="32"/>
          <w:szCs w:val="32"/>
        </w:rPr>
        <w:t>。全年及时调查道路交通事故4600起，依法勘查处理交通事故6212起，侦破交通肇事逃逸案件发一破一。大队把追逃工作作为一项维护社会公平正义、慰藉受害人及其家属的民心工程，布下天罗地网，力保疏而不失，先后攻克多起要案，追逃战果丰硕，捷报频传，加大了对交通肇事逃逸人的打击力度。</w:t>
      </w:r>
    </w:p>
    <w:p>
      <w:pPr>
        <w:pStyle w:val="6"/>
        <w:spacing w:line="660" w:lineRule="exact"/>
        <w:ind w:firstLine="640"/>
        <w:rPr>
          <w:rFonts w:asciiTheme="minorEastAsia" w:hAnsiTheme="minorEastAsia" w:eastAsiaTheme="minorEastAsia" w:cstheme="minorBidi"/>
          <w:kern w:val="2"/>
          <w:sz w:val="32"/>
          <w:szCs w:val="32"/>
        </w:rPr>
      </w:pPr>
      <w:r>
        <w:rPr>
          <w:rFonts w:asciiTheme="minorEastAsia" w:hAnsiTheme="minorEastAsia" w:eastAsiaTheme="minorEastAsia" w:cstheme="minorBidi"/>
          <w:kern w:val="2"/>
          <w:sz w:val="32"/>
          <w:szCs w:val="32"/>
        </w:rPr>
        <w:t>4、依法办理机动车辆注册登记和机动车驾驶证考试等工作</w:t>
      </w:r>
      <w:r>
        <w:rPr>
          <w:rFonts w:hint="eastAsia" w:asciiTheme="minorEastAsia" w:hAnsiTheme="minorEastAsia" w:eastAsiaTheme="minorEastAsia" w:cstheme="minorBidi"/>
          <w:kern w:val="2"/>
          <w:sz w:val="32"/>
          <w:szCs w:val="32"/>
        </w:rPr>
        <w:t>。全年办理机动车注册 9144辆，完成机动车驾驶证换发12033本，大队积极推进“两车”物联网防盗备案登记工作，城区五个安装点及各农村中队全面启动登记安装，完成安装防盗车牌及芯片4480多辆。</w:t>
      </w:r>
    </w:p>
    <w:p>
      <w:pPr>
        <w:pStyle w:val="6"/>
        <w:spacing w:line="660" w:lineRule="exact"/>
        <w:ind w:firstLine="640"/>
        <w:rPr>
          <w:rFonts w:asciiTheme="minorEastAsia" w:hAnsiTheme="minorEastAsia" w:eastAsiaTheme="minorEastAsia" w:cstheme="minorBidi"/>
          <w:kern w:val="2"/>
          <w:sz w:val="32"/>
          <w:szCs w:val="32"/>
        </w:rPr>
      </w:pPr>
      <w:r>
        <w:rPr>
          <w:rFonts w:asciiTheme="minorEastAsia" w:hAnsiTheme="minorEastAsia" w:eastAsiaTheme="minorEastAsia" w:cstheme="minorBidi"/>
          <w:kern w:val="2"/>
          <w:sz w:val="32"/>
          <w:szCs w:val="32"/>
        </w:rPr>
        <w:t>5、深入学校、社区、农村、车队等基层单位，组织开展道路交通安全宣传教育工作</w:t>
      </w:r>
      <w:r>
        <w:rPr>
          <w:rFonts w:hint="eastAsia" w:asciiTheme="minorEastAsia" w:hAnsiTheme="minorEastAsia" w:eastAsiaTheme="minorEastAsia" w:cstheme="minorBidi"/>
          <w:kern w:val="2"/>
          <w:sz w:val="32"/>
          <w:szCs w:val="32"/>
        </w:rPr>
        <w:t>。今年以来，大队联合教育、交通等部门在各乡镇开展校车专项整治行动，联合安监、教育等部门，深入辖区中小学校、幼儿园，对校车开展一次“拉网式”排查、清理、整顿，严格掌握辖区校车的数量、状况及车辆驾驶人、行驶路线、接送学生时间等情况，对校车及驾驶人建立专门的管理档案，对存在安全隐患的车辆，立即下发整改通知单，立即停运整改。以中国湘乡网“文明交通”栏目为阵地，与广大网民点对点、面对面交流，及时解答群众关心的热点和难点问题，截止目前共发表通讯70篇；以交安宣传“七进”为手段，深入学校、社区、农村、机关和家庭开展交安宣传，共开展交安宣传讲座20场次，受教育人数达3万余人；以手机报为平台，每天向全市群众发送一条短信进行一对一交安宣传；组建了以交警、教师、学生、志愿者组成的道路交通安全及文明礼仪宣讲团，推进“讲道路礼仪，树道路新风”文明体系建设；开展春运、“3.28”、“122”等特殊时段的交安宣传行动。</w:t>
      </w:r>
    </w:p>
    <w:p>
      <w:pPr>
        <w:pStyle w:val="6"/>
        <w:spacing w:line="660" w:lineRule="exact"/>
        <w:ind w:firstLine="640"/>
        <w:rPr>
          <w:rFonts w:asciiTheme="minorEastAsia" w:hAnsiTheme="minorEastAsia" w:eastAsiaTheme="minorEastAsia" w:cstheme="minorBidi"/>
          <w:kern w:val="2"/>
          <w:sz w:val="32"/>
          <w:szCs w:val="32"/>
        </w:rPr>
      </w:pPr>
      <w:r>
        <w:rPr>
          <w:rFonts w:asciiTheme="minorEastAsia" w:hAnsiTheme="minorEastAsia" w:eastAsiaTheme="minorEastAsia" w:cstheme="minorBidi"/>
          <w:kern w:val="2"/>
          <w:sz w:val="32"/>
          <w:szCs w:val="32"/>
        </w:rPr>
        <w:t>6、参与城市建设、道路交通和安全设施的规划等工作</w:t>
      </w:r>
      <w:r>
        <w:rPr>
          <w:rFonts w:hint="eastAsia" w:asciiTheme="minorEastAsia" w:hAnsiTheme="minorEastAsia" w:eastAsiaTheme="minorEastAsia" w:cstheme="minorBidi"/>
          <w:kern w:val="2"/>
          <w:sz w:val="32"/>
          <w:szCs w:val="32"/>
        </w:rPr>
        <w:t>。全年新建交通信号路口3处，改造交通信号路口13处，施划交通标线1万余平方米，新增、维护标牌300余块，护栏7000米（城区6条主干道增设中央隔离护栏），提高了主干道的通行能力。</w:t>
      </w:r>
    </w:p>
    <w:p>
      <w:pPr>
        <w:pStyle w:val="6"/>
        <w:spacing w:line="660" w:lineRule="exact"/>
        <w:ind w:firstLine="640"/>
        <w:rPr>
          <w:rFonts w:asciiTheme="minorEastAsia" w:hAnsiTheme="minorEastAsia" w:eastAsiaTheme="minorEastAsia" w:cstheme="minorBidi"/>
          <w:kern w:val="2"/>
          <w:sz w:val="32"/>
          <w:szCs w:val="32"/>
        </w:rPr>
      </w:pPr>
      <w:r>
        <w:rPr>
          <w:rFonts w:asciiTheme="minorEastAsia" w:hAnsiTheme="minorEastAsia" w:eastAsiaTheme="minorEastAsia" w:cstheme="minorBidi"/>
          <w:kern w:val="2"/>
          <w:sz w:val="32"/>
          <w:szCs w:val="32"/>
        </w:rPr>
        <w:t>7、认真完成省交警总队、湘潭交警支队和市人民政府安排部署的各项警保卫工作和专项行动。践行新使命，忠诚保大庆。提前制定了“大庆交通安保”工作方案，成立交通安保工作领导组，实行包保责任制，确保工作责任落实和措施落到实处；采取固定检查与流动巡逻相结合的勤务方式，加强对重点路段、重点时段的巡逻查控力度，加大对“两客一危一货一校”车辆的重点管控，严查酒驾醉驾、涉牌涉证、超员超载等各类交通违法行为，切实提高路面见警率和管事率；联合相关部门深入辖区客货运输企业进行安全检查，对企业负责人进行约谈，督促企业加强对车辆和驾驶人的安全管理；严格落实24小时值班备勤制度，确保节日期间接警、处警及时有效，圆满完成新中国成立70周年大庆交通保卫工作。</w:t>
      </w:r>
    </w:p>
    <w:p>
      <w:pPr>
        <w:snapToGrid w:val="0"/>
        <w:spacing w:line="660" w:lineRule="exact"/>
        <w:ind w:firstLine="640" w:firstLineChars="200"/>
        <w:rPr>
          <w:rFonts w:asciiTheme="minorEastAsia" w:hAnsiTheme="minorEastAsia"/>
          <w:sz w:val="32"/>
          <w:szCs w:val="32"/>
        </w:rPr>
      </w:pPr>
      <w:r>
        <w:rPr>
          <w:rFonts w:hint="eastAsia" w:asciiTheme="minorEastAsia" w:hAnsiTheme="minorEastAsia"/>
          <w:sz w:val="32"/>
          <w:szCs w:val="32"/>
        </w:rPr>
        <w:t>2019年度湘乡市公安局交通警察大队已经完成了年初的预定目标。2020年我大队将更好的使用预算资金，将以习近平新时代中国特色社会主义思想为指导，全面贯彻党的十九大精神和十九届四中全会精神，为公安交管事业科学发展提供坚强有力的思想组织保证和人才、智力支持。</w:t>
      </w:r>
    </w:p>
    <w:p>
      <w:pPr>
        <w:snapToGrid w:val="0"/>
        <w:spacing w:line="660" w:lineRule="exact"/>
        <w:ind w:firstLine="600" w:firstLineChars="200"/>
        <w:rPr>
          <w:rFonts w:ascii="仿宋" w:hAnsi="仿宋" w:eastAsia="黑体"/>
          <w:sz w:val="30"/>
          <w:szCs w:val="30"/>
        </w:rPr>
      </w:pPr>
      <w:r>
        <w:rPr>
          <w:rFonts w:ascii="仿宋" w:hAnsi="仿宋" w:eastAsia="黑体"/>
          <w:sz w:val="30"/>
          <w:szCs w:val="30"/>
        </w:rPr>
        <w:t>四、存在的主要问题</w:t>
      </w:r>
    </w:p>
    <w:p>
      <w:pPr>
        <w:snapToGrid w:val="0"/>
        <w:spacing w:line="660" w:lineRule="exact"/>
        <w:ind w:firstLine="640" w:firstLineChars="200"/>
        <w:rPr>
          <w:rFonts w:asciiTheme="minorEastAsia" w:hAnsiTheme="minorEastAsia"/>
          <w:sz w:val="32"/>
          <w:szCs w:val="32"/>
        </w:rPr>
      </w:pPr>
      <w:r>
        <w:rPr>
          <w:rFonts w:hint="eastAsia" w:asciiTheme="minorEastAsia" w:hAnsiTheme="minorEastAsia"/>
          <w:sz w:val="32"/>
          <w:szCs w:val="32"/>
        </w:rPr>
        <w:t>1、2019年度我大队在年初预算数量指标设定中存在偏差，例如非税收入完成率达到117%，超出年初预定指标17%，造成偏差的原因主要是年初绩效目标设定的细化和量化方面还不科学、不精准，不能完全体现工作的要求。我单位目前缺少既懂业务又懂绩效管理方面的专业人员，绩效管理目标的设立、监控和评价工作都存在困难，导致年初指标设定存在偏差。</w:t>
      </w:r>
    </w:p>
    <w:p>
      <w:pPr>
        <w:spacing w:line="660" w:lineRule="exact"/>
        <w:ind w:firstLine="640" w:firstLineChars="200"/>
        <w:jc w:val="left"/>
        <w:rPr>
          <w:rFonts w:asciiTheme="minorEastAsia" w:hAnsiTheme="minorEastAsia"/>
          <w:sz w:val="32"/>
          <w:szCs w:val="32"/>
        </w:rPr>
      </w:pPr>
      <w:r>
        <w:rPr>
          <w:rFonts w:hint="eastAsia" w:asciiTheme="minorEastAsia" w:hAnsiTheme="minorEastAsia"/>
          <w:sz w:val="32"/>
          <w:szCs w:val="32"/>
        </w:rPr>
        <w:t>2、年中预算调整是由于因落实国家政策，发生不可抗力、上级部门或本级党委政府临时交办而产生的调整，未记入预算调整数。</w:t>
      </w:r>
    </w:p>
    <w:p>
      <w:pPr>
        <w:snapToGrid w:val="0"/>
        <w:spacing w:line="660" w:lineRule="exact"/>
        <w:ind w:firstLine="600" w:firstLineChars="200"/>
        <w:rPr>
          <w:rFonts w:ascii="仿宋" w:hAnsi="仿宋" w:eastAsia="黑体"/>
          <w:sz w:val="30"/>
          <w:szCs w:val="30"/>
        </w:rPr>
      </w:pPr>
      <w:r>
        <w:rPr>
          <w:rFonts w:ascii="仿宋" w:hAnsi="仿宋" w:eastAsia="黑体"/>
          <w:sz w:val="30"/>
          <w:szCs w:val="30"/>
        </w:rPr>
        <w:t>五、改进措施和有关建议</w:t>
      </w:r>
    </w:p>
    <w:p>
      <w:pPr>
        <w:snapToGrid w:val="0"/>
        <w:spacing w:line="660" w:lineRule="exact"/>
        <w:ind w:firstLine="640" w:firstLineChars="200"/>
        <w:rPr>
          <w:rFonts w:asciiTheme="minorEastAsia" w:hAnsiTheme="minorEastAsia"/>
          <w:sz w:val="32"/>
          <w:szCs w:val="32"/>
        </w:rPr>
      </w:pPr>
      <w:r>
        <w:rPr>
          <w:rFonts w:hint="eastAsia" w:asciiTheme="minorEastAsia" w:hAnsiTheme="minorEastAsia"/>
          <w:sz w:val="32"/>
          <w:szCs w:val="32"/>
        </w:rPr>
        <w:t>1、加强队伍建设，提升业务素质。希望财政局能组织多种形式开展多层次的业务培训，并对资金绩效目标编制进行专门的培训与辅导，促进对绩效管理专业知识的学习，从而提高绩效管理业务工作能力。</w:t>
      </w:r>
    </w:p>
    <w:p>
      <w:pPr>
        <w:pStyle w:val="6"/>
        <w:spacing w:line="660" w:lineRule="exact"/>
        <w:ind w:firstLine="640"/>
        <w:rPr>
          <w:rFonts w:asciiTheme="minorEastAsia" w:hAnsiTheme="minorEastAsia" w:eastAsiaTheme="minorEastAsia" w:cstheme="minorBidi"/>
          <w:kern w:val="2"/>
          <w:sz w:val="32"/>
          <w:szCs w:val="32"/>
        </w:rPr>
      </w:pPr>
      <w:r>
        <w:rPr>
          <w:rFonts w:hint="eastAsia" w:asciiTheme="minorEastAsia" w:hAnsiTheme="minorEastAsia" w:eastAsiaTheme="minorEastAsia" w:cstheme="minorBidi"/>
          <w:kern w:val="2"/>
          <w:sz w:val="32"/>
          <w:szCs w:val="32"/>
        </w:rPr>
        <w:t>2、科学合理编制预算，严格执行预算，提高资金使用效率。</w:t>
      </w:r>
    </w:p>
    <w:p>
      <w:pPr>
        <w:ind w:firstLine="640" w:firstLineChars="200"/>
        <w:jc w:val="left"/>
        <w:rPr>
          <w:rFonts w:asciiTheme="minorEastAsia" w:hAnsiTheme="minorEastAsia"/>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Arial Unicode MS"/>
    <w:panose1 w:val="00000000000000000000"/>
    <w:charset w:val="86"/>
    <w:family w:val="script"/>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F7BD8"/>
    <w:multiLevelType w:val="singleLevel"/>
    <w:tmpl w:val="03AF7BD8"/>
    <w:lvl w:ilvl="0" w:tentative="0">
      <w:start w:val="2"/>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8AB39E4"/>
    <w:multiLevelType w:val="singleLevel"/>
    <w:tmpl w:val="48AB39E4"/>
    <w:lvl w:ilvl="0" w:tentative="0">
      <w:start w:val="1"/>
      <w:numFmt w:val="decimal"/>
      <w:suff w:val="nothing"/>
      <w:lvlText w:val="%1、"/>
      <w:lvlJc w:val="left"/>
    </w:lvl>
  </w:abstractNum>
  <w:abstractNum w:abstractNumId="3">
    <w:nsid w:val="49FF1C5A"/>
    <w:multiLevelType w:val="singleLevel"/>
    <w:tmpl w:val="49FF1C5A"/>
    <w:lvl w:ilvl="0" w:tentative="0">
      <w:start w:val="2"/>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01590"/>
    <w:rsid w:val="00014127"/>
    <w:rsid w:val="0002229B"/>
    <w:rsid w:val="0002578F"/>
    <w:rsid w:val="000273BD"/>
    <w:rsid w:val="000415B7"/>
    <w:rsid w:val="0004706F"/>
    <w:rsid w:val="00050870"/>
    <w:rsid w:val="0005180D"/>
    <w:rsid w:val="00054057"/>
    <w:rsid w:val="000658A3"/>
    <w:rsid w:val="000674C6"/>
    <w:rsid w:val="0007280D"/>
    <w:rsid w:val="00074155"/>
    <w:rsid w:val="000A2623"/>
    <w:rsid w:val="000A3F69"/>
    <w:rsid w:val="000A5374"/>
    <w:rsid w:val="000B3D94"/>
    <w:rsid w:val="000B4057"/>
    <w:rsid w:val="000B566D"/>
    <w:rsid w:val="000D3703"/>
    <w:rsid w:val="000F7F1D"/>
    <w:rsid w:val="00107D15"/>
    <w:rsid w:val="00115DCB"/>
    <w:rsid w:val="00116306"/>
    <w:rsid w:val="001210E1"/>
    <w:rsid w:val="00142678"/>
    <w:rsid w:val="001445FA"/>
    <w:rsid w:val="00152C6D"/>
    <w:rsid w:val="00153BA4"/>
    <w:rsid w:val="001620CE"/>
    <w:rsid w:val="00162D39"/>
    <w:rsid w:val="00165436"/>
    <w:rsid w:val="00167F7A"/>
    <w:rsid w:val="001733D6"/>
    <w:rsid w:val="001748C1"/>
    <w:rsid w:val="00193541"/>
    <w:rsid w:val="00196958"/>
    <w:rsid w:val="001977B2"/>
    <w:rsid w:val="001A67DB"/>
    <w:rsid w:val="001B7F3B"/>
    <w:rsid w:val="001D51E5"/>
    <w:rsid w:val="001F0C3B"/>
    <w:rsid w:val="00214427"/>
    <w:rsid w:val="0022693A"/>
    <w:rsid w:val="002309BC"/>
    <w:rsid w:val="00233004"/>
    <w:rsid w:val="00246784"/>
    <w:rsid w:val="00253730"/>
    <w:rsid w:val="00256EC7"/>
    <w:rsid w:val="00265724"/>
    <w:rsid w:val="00266990"/>
    <w:rsid w:val="00272CFD"/>
    <w:rsid w:val="0027426B"/>
    <w:rsid w:val="002843E7"/>
    <w:rsid w:val="002864CA"/>
    <w:rsid w:val="00286CF4"/>
    <w:rsid w:val="002A1745"/>
    <w:rsid w:val="00300FA0"/>
    <w:rsid w:val="00311839"/>
    <w:rsid w:val="00326E13"/>
    <w:rsid w:val="00327662"/>
    <w:rsid w:val="00332B24"/>
    <w:rsid w:val="003479BD"/>
    <w:rsid w:val="00350933"/>
    <w:rsid w:val="003530B0"/>
    <w:rsid w:val="00353509"/>
    <w:rsid w:val="00353C9C"/>
    <w:rsid w:val="003768D5"/>
    <w:rsid w:val="0038231A"/>
    <w:rsid w:val="00396A86"/>
    <w:rsid w:val="003A07A8"/>
    <w:rsid w:val="003B101E"/>
    <w:rsid w:val="003D5661"/>
    <w:rsid w:val="00401E67"/>
    <w:rsid w:val="0041311C"/>
    <w:rsid w:val="00433B49"/>
    <w:rsid w:val="00441114"/>
    <w:rsid w:val="004506F9"/>
    <w:rsid w:val="004660FA"/>
    <w:rsid w:val="004717A2"/>
    <w:rsid w:val="004761E0"/>
    <w:rsid w:val="00487907"/>
    <w:rsid w:val="00491741"/>
    <w:rsid w:val="004A5985"/>
    <w:rsid w:val="004C3367"/>
    <w:rsid w:val="004C4517"/>
    <w:rsid w:val="004E1F7C"/>
    <w:rsid w:val="004E421F"/>
    <w:rsid w:val="00500E5F"/>
    <w:rsid w:val="005122EF"/>
    <w:rsid w:val="00517C33"/>
    <w:rsid w:val="00523644"/>
    <w:rsid w:val="0054069E"/>
    <w:rsid w:val="00562CC9"/>
    <w:rsid w:val="00565930"/>
    <w:rsid w:val="005767CC"/>
    <w:rsid w:val="0058561E"/>
    <w:rsid w:val="005858E8"/>
    <w:rsid w:val="00590D9F"/>
    <w:rsid w:val="00595D26"/>
    <w:rsid w:val="005A74E6"/>
    <w:rsid w:val="005B3764"/>
    <w:rsid w:val="005C767B"/>
    <w:rsid w:val="005D4D55"/>
    <w:rsid w:val="005E2CFB"/>
    <w:rsid w:val="006143F7"/>
    <w:rsid w:val="0062378F"/>
    <w:rsid w:val="006324DE"/>
    <w:rsid w:val="00635256"/>
    <w:rsid w:val="00637F31"/>
    <w:rsid w:val="00651EEC"/>
    <w:rsid w:val="00674295"/>
    <w:rsid w:val="00683C8E"/>
    <w:rsid w:val="00692296"/>
    <w:rsid w:val="006972C1"/>
    <w:rsid w:val="006A15E4"/>
    <w:rsid w:val="006A351B"/>
    <w:rsid w:val="006A5F58"/>
    <w:rsid w:val="006B0422"/>
    <w:rsid w:val="006C1B53"/>
    <w:rsid w:val="006C6CC0"/>
    <w:rsid w:val="006D7730"/>
    <w:rsid w:val="006E5284"/>
    <w:rsid w:val="006F3EB5"/>
    <w:rsid w:val="00701771"/>
    <w:rsid w:val="00702E34"/>
    <w:rsid w:val="00704395"/>
    <w:rsid w:val="00713B32"/>
    <w:rsid w:val="00713EA0"/>
    <w:rsid w:val="00720FF1"/>
    <w:rsid w:val="0076140A"/>
    <w:rsid w:val="00764547"/>
    <w:rsid w:val="007A5D44"/>
    <w:rsid w:val="007B6D2E"/>
    <w:rsid w:val="007D67A9"/>
    <w:rsid w:val="007E032C"/>
    <w:rsid w:val="0080532C"/>
    <w:rsid w:val="00812ED5"/>
    <w:rsid w:val="008223BC"/>
    <w:rsid w:val="008277D9"/>
    <w:rsid w:val="00846406"/>
    <w:rsid w:val="00852469"/>
    <w:rsid w:val="0087770F"/>
    <w:rsid w:val="008833A3"/>
    <w:rsid w:val="0089378C"/>
    <w:rsid w:val="00896609"/>
    <w:rsid w:val="008A05F4"/>
    <w:rsid w:val="008A3E8D"/>
    <w:rsid w:val="008B008C"/>
    <w:rsid w:val="00911275"/>
    <w:rsid w:val="00912DDC"/>
    <w:rsid w:val="00912FC6"/>
    <w:rsid w:val="00915118"/>
    <w:rsid w:val="009237C4"/>
    <w:rsid w:val="0092494F"/>
    <w:rsid w:val="009371E7"/>
    <w:rsid w:val="00945B1D"/>
    <w:rsid w:val="00950252"/>
    <w:rsid w:val="00961D22"/>
    <w:rsid w:val="00967F5D"/>
    <w:rsid w:val="00973858"/>
    <w:rsid w:val="0099187E"/>
    <w:rsid w:val="009927D7"/>
    <w:rsid w:val="009A0F95"/>
    <w:rsid w:val="009A7D54"/>
    <w:rsid w:val="009B3ADF"/>
    <w:rsid w:val="009C3B52"/>
    <w:rsid w:val="009C4F4D"/>
    <w:rsid w:val="009C7A80"/>
    <w:rsid w:val="009D0A80"/>
    <w:rsid w:val="009D79C8"/>
    <w:rsid w:val="009E5C8E"/>
    <w:rsid w:val="00A407DC"/>
    <w:rsid w:val="00A42218"/>
    <w:rsid w:val="00A51785"/>
    <w:rsid w:val="00A576CD"/>
    <w:rsid w:val="00A64393"/>
    <w:rsid w:val="00A667B5"/>
    <w:rsid w:val="00A70249"/>
    <w:rsid w:val="00A710E8"/>
    <w:rsid w:val="00A77068"/>
    <w:rsid w:val="00AA39D6"/>
    <w:rsid w:val="00AB006F"/>
    <w:rsid w:val="00AB0CA3"/>
    <w:rsid w:val="00AC0B9A"/>
    <w:rsid w:val="00AD2EA9"/>
    <w:rsid w:val="00AE51E4"/>
    <w:rsid w:val="00B013B6"/>
    <w:rsid w:val="00B33BEA"/>
    <w:rsid w:val="00B47AFF"/>
    <w:rsid w:val="00B52029"/>
    <w:rsid w:val="00B57C9F"/>
    <w:rsid w:val="00B653AD"/>
    <w:rsid w:val="00B717EB"/>
    <w:rsid w:val="00B72ACA"/>
    <w:rsid w:val="00B845B3"/>
    <w:rsid w:val="00B85D8B"/>
    <w:rsid w:val="00B91082"/>
    <w:rsid w:val="00B927A8"/>
    <w:rsid w:val="00BA3B04"/>
    <w:rsid w:val="00BA4376"/>
    <w:rsid w:val="00BC23CC"/>
    <w:rsid w:val="00BE3674"/>
    <w:rsid w:val="00BE669E"/>
    <w:rsid w:val="00BF5E46"/>
    <w:rsid w:val="00C050A0"/>
    <w:rsid w:val="00C07B2A"/>
    <w:rsid w:val="00C1462B"/>
    <w:rsid w:val="00C3049A"/>
    <w:rsid w:val="00C31B1E"/>
    <w:rsid w:val="00C44514"/>
    <w:rsid w:val="00C465D6"/>
    <w:rsid w:val="00C6729A"/>
    <w:rsid w:val="00C72B0C"/>
    <w:rsid w:val="00C77645"/>
    <w:rsid w:val="00C97CC6"/>
    <w:rsid w:val="00CA426F"/>
    <w:rsid w:val="00CA68CF"/>
    <w:rsid w:val="00CB2F48"/>
    <w:rsid w:val="00CB306C"/>
    <w:rsid w:val="00CB6560"/>
    <w:rsid w:val="00CD190E"/>
    <w:rsid w:val="00CD5169"/>
    <w:rsid w:val="00CD7F36"/>
    <w:rsid w:val="00CE04C3"/>
    <w:rsid w:val="00CE76A0"/>
    <w:rsid w:val="00D05E8B"/>
    <w:rsid w:val="00D067A0"/>
    <w:rsid w:val="00D12D6E"/>
    <w:rsid w:val="00D148C6"/>
    <w:rsid w:val="00D22268"/>
    <w:rsid w:val="00D2475C"/>
    <w:rsid w:val="00D35B3A"/>
    <w:rsid w:val="00D368C3"/>
    <w:rsid w:val="00D36A03"/>
    <w:rsid w:val="00D46BC3"/>
    <w:rsid w:val="00D659D4"/>
    <w:rsid w:val="00D664B4"/>
    <w:rsid w:val="00D93F2F"/>
    <w:rsid w:val="00D94254"/>
    <w:rsid w:val="00DA063A"/>
    <w:rsid w:val="00DA3D93"/>
    <w:rsid w:val="00DD06FF"/>
    <w:rsid w:val="00DD44DF"/>
    <w:rsid w:val="00DD5FE9"/>
    <w:rsid w:val="00DE1499"/>
    <w:rsid w:val="00DE774B"/>
    <w:rsid w:val="00E00C7A"/>
    <w:rsid w:val="00E257BD"/>
    <w:rsid w:val="00E55B68"/>
    <w:rsid w:val="00E80CA6"/>
    <w:rsid w:val="00E856A9"/>
    <w:rsid w:val="00EA2010"/>
    <w:rsid w:val="00EA3F1B"/>
    <w:rsid w:val="00EB2A77"/>
    <w:rsid w:val="00EC2D2E"/>
    <w:rsid w:val="00EE5D1F"/>
    <w:rsid w:val="00EE7CAA"/>
    <w:rsid w:val="00F207E3"/>
    <w:rsid w:val="00F36F7D"/>
    <w:rsid w:val="00F40C72"/>
    <w:rsid w:val="00F41B48"/>
    <w:rsid w:val="00F609AF"/>
    <w:rsid w:val="00F66325"/>
    <w:rsid w:val="00F725B3"/>
    <w:rsid w:val="00F74360"/>
    <w:rsid w:val="00F76FD4"/>
    <w:rsid w:val="00F86E27"/>
    <w:rsid w:val="00F938B8"/>
    <w:rsid w:val="00FB462F"/>
    <w:rsid w:val="00FC7F49"/>
    <w:rsid w:val="00FE16FA"/>
    <w:rsid w:val="00FE328A"/>
    <w:rsid w:val="00FE658A"/>
    <w:rsid w:val="00FF1C8D"/>
    <w:rsid w:val="578449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semiHidden/>
    <w:unhideWhenUsed/>
    <w:uiPriority w:val="99"/>
    <w:pPr>
      <w:spacing w:after="120"/>
      <w:ind w:left="420" w:leftChars="200"/>
    </w:pPr>
  </w:style>
  <w:style w:type="paragraph" w:styleId="3">
    <w:name w:val="Balloon Text"/>
    <w:basedOn w:val="1"/>
    <w:link w:val="13"/>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2"/>
    <w:link w:val="15"/>
    <w:qFormat/>
    <w:uiPriority w:val="0"/>
    <w:pPr>
      <w:spacing w:after="0"/>
      <w:ind w:left="0" w:leftChars="0" w:firstLine="420" w:firstLineChars="200"/>
    </w:pPr>
    <w:rPr>
      <w:rFonts w:ascii="Times New Roman" w:hAnsi="Times New Roman" w:eastAsia="仿宋_GB2312" w:cs="Times New Roman"/>
      <w:kern w:val="0"/>
      <w:sz w:val="20"/>
      <w:szCs w:val="24"/>
    </w:rPr>
  </w:style>
  <w:style w:type="character" w:customStyle="1" w:styleId="9">
    <w:name w:val="页眉 Char"/>
    <w:basedOn w:val="8"/>
    <w:link w:val="5"/>
    <w:uiPriority w:val="99"/>
    <w:rPr>
      <w:sz w:val="18"/>
      <w:szCs w:val="18"/>
    </w:rPr>
  </w:style>
  <w:style w:type="character" w:customStyle="1" w:styleId="10">
    <w:name w:val="页脚 Char"/>
    <w:basedOn w:val="8"/>
    <w:link w:val="4"/>
    <w:qFormat/>
    <w:uiPriority w:val="99"/>
    <w:rPr>
      <w:sz w:val="18"/>
      <w:szCs w:val="18"/>
    </w:rPr>
  </w:style>
  <w:style w:type="paragraph" w:customStyle="1" w:styleId="11">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3"/>
    <w:semiHidden/>
    <w:uiPriority w:val="99"/>
    <w:rPr>
      <w:sz w:val="18"/>
      <w:szCs w:val="18"/>
    </w:rPr>
  </w:style>
  <w:style w:type="character" w:customStyle="1" w:styleId="14">
    <w:name w:val="正文文本缩进 Char"/>
    <w:basedOn w:val="8"/>
    <w:link w:val="2"/>
    <w:semiHidden/>
    <w:uiPriority w:val="99"/>
  </w:style>
  <w:style w:type="character" w:customStyle="1" w:styleId="15">
    <w:name w:val="正文首行缩进 2 Char"/>
    <w:basedOn w:val="14"/>
    <w:link w:val="6"/>
    <w:uiPriority w:val="0"/>
    <w:rPr>
      <w:rFonts w:ascii="Times New Roman" w:hAnsi="Times New Roman" w:eastAsia="仿宋_GB2312" w:cs="Times New Roman"/>
      <w:kern w:val="0"/>
      <w:sz w:val="20"/>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2287</Words>
  <Characters>13039</Characters>
  <Lines>108</Lines>
  <Paragraphs>30</Paragraphs>
  <TotalTime>985</TotalTime>
  <ScaleCrop>false</ScaleCrop>
  <LinksUpToDate>false</LinksUpToDate>
  <CharactersWithSpaces>15296</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2020-07-15T07:25:00Z</cp:lastPrinted>
  <dcterms:modified xsi:type="dcterms:W3CDTF">2020-10-20T08:42:57Z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