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2019年度</w:t>
      </w:r>
    </w:p>
    <w:p>
      <w:pPr>
        <w:pStyle w:val="10"/>
        <w:jc w:val="center"/>
        <w:rPr>
          <w:sz w:val="84"/>
          <w:szCs w:val="84"/>
        </w:rPr>
      </w:pPr>
      <w:r>
        <w:rPr>
          <w:rFonts w:hint="eastAsia"/>
          <w:sz w:val="84"/>
          <w:szCs w:val="84"/>
          <w:lang w:eastAsia="zh-CN"/>
        </w:rPr>
        <w:t>湘乡市住房和城乡建设局（本级）</w:t>
      </w: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40" w:lineRule="exact"/>
        <w:jc w:val="both"/>
        <w:rPr>
          <w:sz w:val="56"/>
          <w:szCs w:val="56"/>
        </w:rPr>
      </w:pPr>
    </w:p>
    <w:p>
      <w:pPr>
        <w:pStyle w:val="10"/>
        <w:spacing w:line="520" w:lineRule="exact"/>
        <w:jc w:val="center"/>
        <w:rPr>
          <w:rFonts w:hint="eastAsia"/>
          <w:sz w:val="56"/>
          <w:szCs w:val="56"/>
        </w:rPr>
      </w:pPr>
    </w:p>
    <w:p>
      <w:pPr>
        <w:pStyle w:val="10"/>
        <w:spacing w:line="520" w:lineRule="exact"/>
        <w:jc w:val="center"/>
        <w:rPr>
          <w:sz w:val="56"/>
          <w:szCs w:val="56"/>
        </w:rPr>
      </w:pPr>
      <w:r>
        <w:rPr>
          <w:rFonts w:hint="eastAsia"/>
          <w:sz w:val="56"/>
          <w:szCs w:val="56"/>
        </w:rPr>
        <w:t>目</w:t>
      </w:r>
      <w:r>
        <w:rPr>
          <w:rFonts w:hint="eastAsia"/>
          <w:sz w:val="56"/>
          <w:szCs w:val="56"/>
          <w:lang w:val="en-US" w:eastAsia="zh-CN"/>
        </w:rPr>
        <w:t xml:space="preserve">  </w:t>
      </w:r>
      <w:r>
        <w:rPr>
          <w:rFonts w:hint="eastAsia"/>
          <w:sz w:val="56"/>
          <w:szCs w:val="56"/>
        </w:rPr>
        <w:t>录</w:t>
      </w:r>
    </w:p>
    <w:p>
      <w:pPr>
        <w:pStyle w:val="10"/>
        <w:spacing w:line="52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湘乡市住房和城乡建设局</w:t>
      </w:r>
      <w:r>
        <w:rPr>
          <w:rFonts w:hint="eastAsia"/>
          <w:b/>
          <w:sz w:val="28"/>
          <w:szCs w:val="28"/>
        </w:rPr>
        <w:t>单位概况</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sz w:val="72"/>
          <w:szCs w:val="72"/>
        </w:rPr>
      </w:pPr>
      <w:r>
        <w:rPr>
          <w:rFonts w:ascii="黑体" w:hAnsi="黑体" w:eastAsia="黑体" w:cs="黑体"/>
          <w:b/>
          <w:color w:val="000000"/>
          <w:kern w:val="0"/>
          <w:sz w:val="28"/>
          <w:szCs w:val="28"/>
        </w:rPr>
        <w:t>第五部分附件</w:t>
      </w:r>
    </w:p>
    <w:p>
      <w:pPr>
        <w:pStyle w:val="10"/>
        <w:numPr>
          <w:ilvl w:val="0"/>
          <w:numId w:val="1"/>
        </w:numPr>
        <w:jc w:val="both"/>
        <w:rPr>
          <w:rFonts w:hint="eastAsia" w:ascii="黑体" w:hAnsi="黑体" w:eastAsia="黑体" w:cs="黑体"/>
          <w:sz w:val="32"/>
          <w:szCs w:val="32"/>
        </w:rPr>
      </w:pPr>
      <w:r>
        <w:rPr>
          <w:rFonts w:hint="eastAsia" w:ascii="黑体" w:hAnsi="黑体" w:eastAsia="黑体" w:cs="黑体"/>
          <w:sz w:val="32"/>
          <w:szCs w:val="32"/>
          <w:lang w:eastAsia="zh-CN"/>
        </w:rPr>
        <w:t>湘乡市住房和城乡建设局</w:t>
      </w:r>
      <w:r>
        <w:rPr>
          <w:rFonts w:hint="eastAsia" w:ascii="黑体" w:hAnsi="黑体" w:eastAsia="黑体" w:cs="黑体"/>
          <w:sz w:val="32"/>
          <w:szCs w:val="32"/>
        </w:rPr>
        <w:t>单位概况</w:t>
      </w:r>
    </w:p>
    <w:p>
      <w:pPr>
        <w:pStyle w:val="10"/>
        <w:numPr>
          <w:ilvl w:val="0"/>
          <w:numId w:val="0"/>
        </w:numPr>
        <w:ind w:firstLine="640" w:firstLineChars="200"/>
        <w:jc w:val="both"/>
        <w:rPr>
          <w:rFonts w:asciiTheme="minorEastAsia" w:hAnsiTheme="minorEastAsia"/>
          <w:sz w:val="32"/>
          <w:szCs w:val="32"/>
        </w:rPr>
      </w:pPr>
      <w:r>
        <w:rPr>
          <w:rFonts w:hint="eastAsia" w:ascii="黑体" w:hAnsi="黑体" w:eastAsia="黑体"/>
          <w:sz w:val="32"/>
          <w:szCs w:val="32"/>
          <w:lang w:eastAsia="zh-CN"/>
        </w:rPr>
        <w:t>一、</w:t>
      </w:r>
      <w:r>
        <w:rPr>
          <w:rFonts w:ascii="黑体" w:hAnsi="黑体" w:eastAsia="黑体"/>
          <w:sz w:val="32"/>
          <w:szCs w:val="32"/>
        </w:rPr>
        <w:t>部门职责</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一）承担牵头推进新型城镇化战略工作。贯彻执行国家、省、湘潭、市关于推进新型城镇化、住房保障、城市建设（含城市雕塑）、村镇建设、工程建设、建筑业、勘察设计的方针政策和法律法规，研究制定实施办法、相关发展战略和相应监督管理办法，并组织实施。</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（二）加快建立全市多主体供给、多渠道保障、租购并举的住房制度，拟订全市住房建设规划并指导实施，培育和完善房产市场。</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三）拟订全市房产管理的具体实施办法并监督执行；贯彻执行国家、省有关房产管理工作的方针政策和法律法规，负责整顿、规范房产市场，查处全市房产违法违规行为，规范房产市场管理；承担全市房产信息管理工作；负责指导全市公有住房的管理工作；负责全市商品房预（销）售许可、预（销）售合同备案和预售资金的监管；负责房地产经纪、评估、咨询等中介机构管理和从业人员资格管理；指导、监督、规范全市房产行业协会工作；负责处理全市房屋落实政策遗留问题。</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四）拟订全市住房保障政策措施，编制全市城镇保障性住房的建设规划及相关的管理办法并监督实施；负责全市保障性安居工程整体规划，并组织、指导、监督实施；负责市城镇住房保障对象审核登记，实施公共住房租赁补贴。负责市城区保障性住房的建设、储备、分配、交易管理工作；负责全市旧城改造管理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五）负责全市物业管理活动的指导和监督管理；负责全市住宅物业单位前期物业管理活动中不采用招投标方式选聘物业管理企业许可；负责指导、监督全市物业管理招投标活动。负责全市住宅物业专项维修资金的归集管理和监督使用工作；承担全市城镇房屋安全鉴定管理工作；负责全市房产开发项目备案管理工作；负责全市城镇住宅室内装饰装修活动的管理工作；负责全市房屋白蚁防治管理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六）承担建立科学规范的工程建设标准体系的工作。组织实施工程建设实施阶段的国家标准、全国统一定额和行业标准定额；研究制定具体实施办法、管理规程和地方标准；组织制定和发布全市造价信息；监督指导各类工程建设计价规范的实施。</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七）指导和管理全市建筑活动，规范建筑市场。贯彻执行建设施工、监理和相关社会中介组织管理的法规和规章；研究拟订建筑业中长期发展规划及年度计划并组织实施；负责全市建筑市场管理、建筑业发展、建筑市场准入、建设工程招投标、建筑勘察设计、工程监理以及工程质量和安全、劳务培训基地建设、技能培训及劳务培训等工作；负责全市房地产开发企业、建筑施工企业等各类专业企业及从业人员的资质资格管理工作，指导监督住宅建设、城市综合开发；协调全市工程建设领域工程款及农民工工资清欠工作；协助搞好全市建设领域专项治理工作；指导、协调全市施工队伍开拓对外建筑市场，开发对外工程承包和劳务合作业务；负责施工企业劳动保障的统筹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（八）承担全市建设工程勘察设计、建筑设计市场管理的工作。负责全市建设工程勘察、设计及建筑装饰设计等行业资质管理工作；负责各类建设项目初步设计审批；指导、检查全市勘察设计行业的工作。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九）承担村镇建设的指导和管理工作。指导全市各乡镇的建设；拟订小城镇建设的政策建议并组织实施；指导农村住房建设及农村危房改造；指导小城镇和农村人居生态环境的改善工作；组织特色景观旅游名镇（村）的申报和管理工作；负责小城镇建设统计工作；负责城市建设项目管理；制定村镇建设年度计划，对各镇基础设施建设进行监督管理；负责村镇建设适用技术的推广应用及组织村镇管理人员的技术培训工作；组织指导各乡镇农村垃圾治理、黑臭水体治理、污水处理、厕所革命等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承担全市房屋建筑、市政工程、人防及装饰装修质量安全监督的工作。负责依法对全市受监工程的质量和施工安全进行监督管理；制定工程质量、安全生产和竣工验收备案的制度并监督执行；组织或参与工程重大质量、安全事故的调查处理；负责建设工程抗震设防管理；指导城市地下空间勘察设计、工程质量安全及其开发利用；负责全市房屋建筑工程和市政基础设施及人防工程的竣工验收备案；负责预制构件和商品砼监督管理工作；负责全市建筑企业安全生产许可证的预审及申报工作。根据国家批准的防护类别、防护标准，会同有关部门编制全市人民防空建设和城市地下空间开发利用规划。负责城市地下空间开发利用兼顾人民防空要求的管理和监督检查，依法对城市和重要经济目标的人民防空建设进行监督检查。组织管理人民防空工程建设。根据国家制定的防护标准和质量标准，对人民防空工程（含结合民用建筑修建的防空地下室）建设实施计划、技术和质量管理；组织指导和监督检查人民防空工程维护管理及平时开发利用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（十一）承担推进全市建筑节能与建设科技进步的工作。拟订全市建筑节能政策建议及组织实施；制定建设行业科技发展规划；组织重大科技项目攻关和新技术开发利用；管理行业科技成果。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（十二）负责指导全市城建档案的管理指导监督、管理全市建设工程竣工档案工作；审查、认证、验收工程竣工档案，负责城市建设档案的收集、整理及城建档案信息的开发、利用。</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三）会同有关部门编制和执行城乡社区事务建设维护专项支出预算、村镇基础设施建设资金补助的分配方案；负责小城镇建设资金的预决算使用计划安排；负责项目资本金的收取和管理；负责物业保修金收取、使用和管理。</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四）负责城市排水管理工作。负责城市排水及其附属设施的规划建设工作；负责城市排水设施建设审批验收、排水管网日常维护管理、排水许可证核发、污水处理厂运营行政管理及资产设施监管、污水处理费征收监管和协调拨付。</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五）负责全市墙体材料、散装水泥的推广应用工作，编制我市推广应用新墙材、散装水泥的中长期规划和年度计划并监督实施；负责墙体改革和散装水泥推广应用方面的信息交流、职工培训、宣传教育和统计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（十六）贯彻执行国家、省、湘潭市关于人民防空工作的方针政策和法律法规，组织拟订全市人民防空工作的基本战备方案，组织编制全市人民防空建设中长期发展规划和年度工作计划，经批准后组织实施。</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（十七）制定和组织实施城市防空袭方案和各项保障方案、群众防空组织（人民防空专业队）建设和训练、防空防灾演习演练、疏散体系建设，协助军事部门组织指导城市防卫建设。</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（十八）战时组织开展城市人民防空袭斗争，组织指挥人民防空疏散和隐蔽，依法组织实施灯火管制和发放防空袭警报，配合要地防空和城市防卫作战，组织有关部门恢复生产和生活秩序，消除空袭后果。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（十九）组织管理人民防空通信警报和信息化建设。对人民防空通信警报网和信息化建设实施计划、技术和质量管理，负责保障全市人民防空通信警报畅通。负责对全市人民防空无线电进行管理。</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（二十）会同有关部门组织开展人民防空宣传教育工作，普及人民防空知识和技能。</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（二十一）管理人民防空经费和资产，负责编制市本级人民防空经费预决算，并对使用情况实施监督检查。</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（二十二）承担市人民政府赋予的应急救援任务，利用人防设施和人民防空专业队伍为应急救援服务。</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（二十三）指导相关行业协会的工作。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（二十四）负责国有土地上房屋征收管理行政职能。</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（二十五）负责全市建设工程消防设计审查验收工作。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（二十六）负责全市在建工程项目起重机械设备监管工作。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（二十七）承办上级交办的其他事项。</w:t>
      </w:r>
    </w:p>
    <w:p>
      <w:pPr>
        <w:numPr>
          <w:ilvl w:val="0"/>
          <w:numId w:val="2"/>
        </w:numPr>
        <w:ind w:firstLine="640" w:firstLineChars="200"/>
        <w:jc w:val="left"/>
        <w:rPr>
          <w:rFonts w:hint="eastAsia" w:ascii="黑体" w:hAnsi="黑体" w:eastAsia="黑体"/>
          <w:bCs/>
          <w:kern w:val="0"/>
          <w:sz w:val="32"/>
          <w:szCs w:val="32"/>
        </w:rPr>
      </w:pPr>
      <w:r>
        <w:rPr>
          <w:rFonts w:hint="eastAsia" w:ascii="黑体" w:hAnsi="黑体" w:eastAsia="黑体"/>
          <w:bCs/>
          <w:kern w:val="0"/>
          <w:sz w:val="32"/>
          <w:szCs w:val="32"/>
        </w:rPr>
        <w:t>机构设置及决算单位构成</w:t>
      </w:r>
    </w:p>
    <w:p>
      <w:pPr>
        <w:numPr>
          <w:ilvl w:val="0"/>
          <w:numId w:val="0"/>
        </w:numPr>
        <w:ind w:firstLine="643" w:firstLineChars="200"/>
        <w:jc w:val="left"/>
        <w:rPr>
          <w:rFonts w:ascii="仿宋_GB2312" w:eastAsia="仿宋_GB2312" w:hAnsiTheme="minorEastAsia"/>
          <w:sz w:val="28"/>
          <w:szCs w:val="32"/>
        </w:rPr>
      </w:pPr>
      <w:r>
        <w:rPr>
          <w:rFonts w:hint="eastAsia" w:ascii="楷体" w:hAnsi="楷体" w:eastAsia="楷体" w:cs="楷体"/>
          <w:b/>
          <w:bCs/>
          <w:sz w:val="32"/>
          <w:szCs w:val="32"/>
          <w:lang w:eastAsia="zh-CN"/>
        </w:rPr>
        <w:t>（一）内设机构设置。</w:t>
      </w:r>
      <w:r>
        <w:rPr>
          <w:rFonts w:hint="eastAsia" w:ascii="仿宋" w:hAnsi="仿宋" w:eastAsia="仿宋" w:cs="仿宋"/>
          <w:sz w:val="32"/>
          <w:szCs w:val="32"/>
        </w:rPr>
        <w:t>因机构改革，原房产管理局、原人防办、原住建局三个机构合并为湘乡市住房和城乡建设局（人防办），合并后内现设机构有办公室、法规股、审批服务股、住房保障股城市排水管理股、建筑工程管理股房产综合开发管理股、质量安全管理股城市村镇建设管理股、人防工程建设管理股、指挥通信股物业管理股、建设工程招标投标管理股、科技设计管理股（造价管理站）财务股、党建办公室、人事股；局下辖工程质量安全监督站、墙体材料改革办公室、住房办、建筑勘察设计院、白蚁防治所、城建综合开发公司、湘房公司（棚户公司）、信源物业公司、物业维修资金中心、房管所10个，除白蚁防治所未实行单独核算,由局机关进行统一核算外，其余9个均实行独立核算。其中市建筑勘察设计院、城建综合开发公司、湘房公司（棚户公司）、信源物业公司、物业维修资金中心、房管所为自收自支企业化管理单位，未纳入财政预算。因机构改革，市政维护管理处、园林管理处于今年3月划归城管综合执法局管理。</w:t>
      </w:r>
    </w:p>
    <w:p>
      <w:pPr>
        <w:widowControl/>
        <w:spacing w:line="600" w:lineRule="exact"/>
        <w:ind w:firstLine="643" w:firstLineChars="200"/>
        <w:rPr>
          <w:rFonts w:hint="eastAsia" w:ascii="仿宋" w:hAnsi="仿宋" w:eastAsia="仿宋" w:cs="仿宋"/>
          <w:bCs/>
          <w:kern w:val="0"/>
          <w:sz w:val="32"/>
          <w:szCs w:val="32"/>
        </w:rPr>
      </w:pPr>
      <w:r>
        <w:rPr>
          <w:rFonts w:hint="eastAsia" w:ascii="楷体" w:hAnsi="楷体" w:eastAsia="楷体" w:cs="楷体"/>
          <w:b/>
          <w:bCs w:val="0"/>
          <w:kern w:val="0"/>
          <w:sz w:val="32"/>
          <w:szCs w:val="32"/>
        </w:rPr>
        <w:t>（二）决算单位构成。</w:t>
      </w:r>
      <w:r>
        <w:rPr>
          <w:rFonts w:hint="eastAsia" w:ascii="仿宋" w:hAnsi="仿宋" w:eastAsia="仿宋" w:cs="仿宋"/>
          <w:bCs/>
          <w:kern w:val="0"/>
          <w:sz w:val="32"/>
          <w:szCs w:val="32"/>
          <w:lang w:eastAsia="zh-CN"/>
        </w:rPr>
        <w:t>湘乡市住房和城乡建设局（本级）</w:t>
      </w:r>
      <w:r>
        <w:rPr>
          <w:rFonts w:hint="eastAsia" w:ascii="仿宋" w:hAnsi="仿宋" w:eastAsia="仿宋" w:cs="仿宋"/>
          <w:bCs/>
          <w:kern w:val="0"/>
          <w:sz w:val="32"/>
          <w:szCs w:val="32"/>
        </w:rPr>
        <w:t>为湘乡市住房和城乡建设局所属2级预算单位，单位性质为行政单位，决算编报类型为单户表，按照政府会计制度填报决算数据。</w:t>
      </w:r>
    </w:p>
    <w:p>
      <w:pPr>
        <w:widowControl/>
        <w:spacing w:line="600" w:lineRule="exact"/>
        <w:ind w:firstLine="640" w:firstLineChars="200"/>
        <w:rPr>
          <w:rFonts w:hint="eastAsia" w:ascii="黑体" w:hAnsi="黑体" w:eastAsia="黑体" w:cs="黑体"/>
          <w:sz w:val="32"/>
          <w:szCs w:val="32"/>
        </w:rPr>
      </w:pPr>
      <w:r>
        <w:rPr>
          <w:rFonts w:hint="eastAsia" w:ascii="仿宋" w:hAnsi="仿宋" w:eastAsia="仿宋" w:cs="仿宋"/>
          <w:bCs/>
          <w:kern w:val="0"/>
          <w:sz w:val="32"/>
          <w:szCs w:val="32"/>
        </w:rPr>
        <w:t>纳入本套决算编制范围的独立核算单位共1个，比上年增减0个。</w:t>
      </w:r>
    </w:p>
    <w:p>
      <w:pPr>
        <w:numPr>
          <w:ilvl w:val="0"/>
          <w:numId w:val="1"/>
        </w:numPr>
        <w:ind w:left="0" w:leftChars="0" w:firstLine="0" w:firstLineChars="0"/>
        <w:jc w:val="both"/>
        <w:rPr>
          <w:rFonts w:hint="eastAsia" w:ascii="黑体" w:hAnsi="黑体" w:eastAsia="黑体" w:cs="黑体"/>
          <w:sz w:val="32"/>
          <w:szCs w:val="32"/>
        </w:rPr>
        <w:sectPr>
          <w:pgSz w:w="11906" w:h="16838"/>
          <w:pgMar w:top="1440" w:right="1800" w:bottom="1440" w:left="1800" w:header="851" w:footer="992" w:gutter="0"/>
          <w:cols w:space="425" w:num="1"/>
          <w:docGrid w:type="lines" w:linePitch="312" w:charSpace="0"/>
        </w:sectPr>
      </w:pPr>
    </w:p>
    <w:p>
      <w:pPr>
        <w:jc w:val="both"/>
        <w:rPr>
          <w:rFonts w:hint="default" w:ascii="黑体" w:hAnsi="黑体" w:eastAsia="黑体"/>
          <w:sz w:val="36"/>
          <w:szCs w:val="32"/>
          <w:lang w:val="en-US" w:eastAsia="zh-CN"/>
        </w:rPr>
      </w:pPr>
      <w:r>
        <w:rPr>
          <w:rFonts w:hint="eastAsia" w:ascii="黑体" w:hAnsi="黑体" w:eastAsia="黑体"/>
          <w:sz w:val="36"/>
          <w:szCs w:val="32"/>
          <w:lang w:eastAsia="zh-CN"/>
        </w:rPr>
        <w:t>第二部分</w:t>
      </w:r>
      <w:r>
        <w:rPr>
          <w:rFonts w:hint="eastAsia" w:ascii="黑体" w:hAnsi="黑体" w:eastAsia="黑体"/>
          <w:sz w:val="36"/>
          <w:szCs w:val="32"/>
          <w:lang w:val="en-US" w:eastAsia="zh-CN"/>
        </w:rPr>
        <w:t xml:space="preserve">  部门决算表</w:t>
      </w:r>
    </w:p>
    <w:p>
      <w:pPr>
        <w:jc w:val="center"/>
        <w:rPr>
          <w:rFonts w:ascii="黑体" w:hAnsi="黑体" w:eastAsia="黑体"/>
          <w:sz w:val="36"/>
          <w:szCs w:val="32"/>
        </w:rPr>
      </w:pPr>
      <w:r>
        <w:rPr>
          <w:rFonts w:hint="eastAsia" w:ascii="黑体" w:hAnsi="黑体" w:eastAsia="黑体"/>
          <w:sz w:val="36"/>
          <w:szCs w:val="32"/>
        </w:rPr>
        <w:t>收入支出决算总表</w:t>
      </w:r>
    </w:p>
    <w:p>
      <w:pPr>
        <w:widowControl/>
        <w:spacing w:line="320" w:lineRule="exact"/>
        <w:ind w:right="198"/>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湘乡市住房和城乡建设局（本级）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eastAsia="zh-CN"/>
        </w:rPr>
        <w:t>公</w:t>
      </w:r>
      <w:r>
        <w:rPr>
          <w:rFonts w:hint="eastAsia" w:ascii="Times New Roman" w:hAnsi="Times New Roman" w:eastAsia="仿宋_GB2312" w:cs="Times New Roman"/>
          <w:color w:val="000000"/>
          <w:kern w:val="0"/>
          <w:szCs w:val="21"/>
        </w:rPr>
        <w:t>开</w:t>
      </w:r>
      <w:r>
        <w:rPr>
          <w:rFonts w:ascii="Times New Roman" w:hAnsi="Times New Roman" w:eastAsia="仿宋_GB2312" w:cs="Times New Roman"/>
          <w:color w:val="000000"/>
          <w:kern w:val="0"/>
          <w:szCs w:val="21"/>
        </w:rPr>
        <w:t>01</w:t>
      </w:r>
      <w:r>
        <w:rPr>
          <w:rFonts w:hint="eastAsia" w:ascii="Times New Roman" w:hAnsi="Times New Roman" w:eastAsia="仿宋_GB2312" w:cs="Times New Roman"/>
          <w:color w:val="000000"/>
          <w:kern w:val="0"/>
          <w:szCs w:val="21"/>
        </w:rPr>
        <w:t>表</w:t>
      </w:r>
    </w:p>
    <w:p>
      <w:pPr>
        <w:widowControl/>
        <w:spacing w:line="320" w:lineRule="exact"/>
        <w:ind w:right="198"/>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单位：万元</w:t>
      </w:r>
    </w:p>
    <w:tbl>
      <w:tblPr>
        <w:tblStyle w:val="6"/>
        <w:tblW w:w="14039" w:type="dxa"/>
        <w:jc w:val="center"/>
        <w:tblLayout w:type="autofit"/>
        <w:tblCellMar>
          <w:top w:w="0" w:type="dxa"/>
          <w:left w:w="108" w:type="dxa"/>
          <w:bottom w:w="0" w:type="dxa"/>
          <w:right w:w="108" w:type="dxa"/>
        </w:tblCellMar>
      </w:tblPr>
      <w:tblGrid>
        <w:gridCol w:w="4924"/>
        <w:gridCol w:w="700"/>
        <w:gridCol w:w="1223"/>
        <w:gridCol w:w="4812"/>
        <w:gridCol w:w="700"/>
        <w:gridCol w:w="1680"/>
      </w:tblGrid>
      <w:tr>
        <w:tblPrEx>
          <w:tblCellMar>
            <w:top w:w="0" w:type="dxa"/>
            <w:left w:w="108" w:type="dxa"/>
            <w:bottom w:w="0" w:type="dxa"/>
            <w:right w:w="108" w:type="dxa"/>
          </w:tblCellMar>
        </w:tblPrEx>
        <w:trPr>
          <w:trHeight w:val="323" w:hRule="atLeast"/>
          <w:jc w:val="center"/>
        </w:trPr>
        <w:tc>
          <w:tcPr>
            <w:tcW w:w="6847"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收入</w:t>
            </w:r>
          </w:p>
        </w:tc>
        <w:tc>
          <w:tcPr>
            <w:tcW w:w="7192" w:type="dxa"/>
            <w:gridSpan w:val="3"/>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支出</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项</w:t>
            </w: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目</w:t>
            </w:r>
          </w:p>
        </w:tc>
        <w:tc>
          <w:tcPr>
            <w:tcW w:w="70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行次</w:t>
            </w:r>
          </w:p>
        </w:tc>
        <w:tc>
          <w:tcPr>
            <w:tcW w:w="1223"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决算数</w:t>
            </w:r>
          </w:p>
        </w:tc>
        <w:tc>
          <w:tcPr>
            <w:tcW w:w="481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项</w:t>
            </w: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目</w:t>
            </w:r>
          </w:p>
        </w:tc>
        <w:tc>
          <w:tcPr>
            <w:tcW w:w="70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行次</w:t>
            </w:r>
          </w:p>
        </w:tc>
        <w:tc>
          <w:tcPr>
            <w:tcW w:w="168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栏</w:t>
            </w: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次</w:t>
            </w:r>
          </w:p>
        </w:tc>
        <w:tc>
          <w:tcPr>
            <w:tcW w:w="700" w:type="dxa"/>
            <w:tcBorders>
              <w:top w:val="nil"/>
              <w:left w:val="nil"/>
              <w:bottom w:val="single" w:color="auto" w:sz="4" w:space="0"/>
              <w:right w:val="single" w:color="auto" w:sz="4" w:space="0"/>
            </w:tcBorders>
            <w:noWrap/>
            <w:vAlign w:val="center"/>
          </w:tcPr>
          <w:p>
            <w:pP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223"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481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栏</w:t>
            </w: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次</w:t>
            </w:r>
          </w:p>
        </w:tc>
        <w:tc>
          <w:tcPr>
            <w:tcW w:w="70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168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一、一般公共预算财政拨款收入</w:t>
            </w:r>
          </w:p>
        </w:tc>
        <w:tc>
          <w:tcPr>
            <w:tcW w:w="70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3"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3444.58</w:t>
            </w:r>
            <w:r>
              <w:rPr>
                <w:rFonts w:hint="eastAsia" w:ascii="Times New Roman" w:hAnsi="Times New Roman" w:eastAsia="仿宋_GB2312" w:cs="Times New Roman"/>
                <w:kern w:val="0"/>
                <w:szCs w:val="21"/>
              </w:rPr>
              <w:t>　</w:t>
            </w:r>
          </w:p>
        </w:tc>
        <w:tc>
          <w:tcPr>
            <w:tcW w:w="4812"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一、一般公共服务支出</w:t>
            </w:r>
          </w:p>
        </w:tc>
        <w:tc>
          <w:tcPr>
            <w:tcW w:w="700"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w:t>
            </w:r>
          </w:p>
        </w:tc>
        <w:tc>
          <w:tcPr>
            <w:tcW w:w="1680"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二、政府性基金预算财政拨款收入</w:t>
            </w:r>
          </w:p>
        </w:tc>
        <w:tc>
          <w:tcPr>
            <w:tcW w:w="70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3"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r>
              <w:rPr>
                <w:rFonts w:hint="eastAsia" w:ascii="Times New Roman" w:hAnsi="Times New Roman" w:eastAsia="仿宋_GB2312" w:cs="Times New Roman"/>
                <w:kern w:val="0"/>
                <w:szCs w:val="21"/>
              </w:rPr>
              <w:t>　</w:t>
            </w:r>
          </w:p>
        </w:tc>
        <w:tc>
          <w:tcPr>
            <w:tcW w:w="4812"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二、外交支出</w:t>
            </w:r>
          </w:p>
        </w:tc>
        <w:tc>
          <w:tcPr>
            <w:tcW w:w="700"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7</w:t>
            </w:r>
          </w:p>
        </w:tc>
        <w:tc>
          <w:tcPr>
            <w:tcW w:w="1680"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三、上级补助收入</w:t>
            </w:r>
          </w:p>
        </w:tc>
        <w:tc>
          <w:tcPr>
            <w:tcW w:w="70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3"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hint="eastAsia" w:ascii="Times New Roman" w:hAnsi="Times New Roman" w:eastAsia="仿宋_GB2312" w:cs="Times New Roman"/>
                <w:kern w:val="0"/>
                <w:szCs w:val="21"/>
              </w:rPr>
              <w:t>　</w:t>
            </w:r>
          </w:p>
        </w:tc>
        <w:tc>
          <w:tcPr>
            <w:tcW w:w="4812"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三、国防支出</w:t>
            </w:r>
          </w:p>
        </w:tc>
        <w:tc>
          <w:tcPr>
            <w:tcW w:w="700"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8</w:t>
            </w:r>
          </w:p>
        </w:tc>
        <w:tc>
          <w:tcPr>
            <w:tcW w:w="1680"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四、事业收入</w:t>
            </w:r>
          </w:p>
        </w:tc>
        <w:tc>
          <w:tcPr>
            <w:tcW w:w="70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3"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hint="eastAsia" w:ascii="Times New Roman" w:hAnsi="Times New Roman" w:eastAsia="仿宋_GB2312" w:cs="Times New Roman"/>
                <w:kern w:val="0"/>
                <w:szCs w:val="21"/>
              </w:rPr>
              <w:t>　</w:t>
            </w:r>
          </w:p>
        </w:tc>
        <w:tc>
          <w:tcPr>
            <w:tcW w:w="4812"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w:t>
            </w:r>
          </w:p>
        </w:tc>
        <w:tc>
          <w:tcPr>
            <w:tcW w:w="700"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9</w:t>
            </w:r>
          </w:p>
        </w:tc>
        <w:tc>
          <w:tcPr>
            <w:tcW w:w="1680"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五、经营收入</w:t>
            </w:r>
          </w:p>
        </w:tc>
        <w:tc>
          <w:tcPr>
            <w:tcW w:w="70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3"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hint="eastAsia" w:ascii="Times New Roman" w:hAnsi="Times New Roman" w:eastAsia="仿宋_GB2312" w:cs="Times New Roman"/>
                <w:kern w:val="0"/>
                <w:szCs w:val="21"/>
              </w:rPr>
              <w:t>　</w:t>
            </w:r>
          </w:p>
        </w:tc>
        <w:tc>
          <w:tcPr>
            <w:tcW w:w="4812"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八、社会保障和就业支出</w:t>
            </w:r>
            <w:r>
              <w:rPr>
                <w:rFonts w:hint="eastAsia" w:ascii="Times New Roman" w:hAnsi="Times New Roman" w:eastAsia="仿宋_GB2312" w:cs="Times New Roman"/>
                <w:kern w:val="0"/>
                <w:szCs w:val="21"/>
              </w:rPr>
              <w:t>　</w:t>
            </w:r>
          </w:p>
        </w:tc>
        <w:tc>
          <w:tcPr>
            <w:tcW w:w="700"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w:t>
            </w:r>
          </w:p>
        </w:tc>
        <w:tc>
          <w:tcPr>
            <w:tcW w:w="1680"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185.92</w:t>
            </w: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六、附属单位上缴收入</w:t>
            </w:r>
          </w:p>
        </w:tc>
        <w:tc>
          <w:tcPr>
            <w:tcW w:w="70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3"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hint="eastAsia" w:ascii="Times New Roman" w:hAnsi="Times New Roman" w:eastAsia="仿宋_GB2312" w:cs="Times New Roman"/>
                <w:kern w:val="0"/>
                <w:szCs w:val="21"/>
              </w:rPr>
              <w:t>　</w:t>
            </w:r>
          </w:p>
        </w:tc>
        <w:tc>
          <w:tcPr>
            <w:tcW w:w="4812"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eastAsia="zh-CN"/>
              </w:rPr>
              <w:t>九、卫生健康支出</w:t>
            </w:r>
          </w:p>
        </w:tc>
        <w:tc>
          <w:tcPr>
            <w:tcW w:w="700"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w:t>
            </w:r>
          </w:p>
        </w:tc>
        <w:tc>
          <w:tcPr>
            <w:tcW w:w="1680"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79.31</w:t>
            </w: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七、其他收入</w:t>
            </w:r>
          </w:p>
        </w:tc>
        <w:tc>
          <w:tcPr>
            <w:tcW w:w="70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3"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512.69</w:t>
            </w:r>
            <w:r>
              <w:rPr>
                <w:rFonts w:hint="eastAsia" w:ascii="Times New Roman" w:hAnsi="Times New Roman" w:eastAsia="仿宋_GB2312" w:cs="Times New Roman"/>
                <w:kern w:val="0"/>
                <w:szCs w:val="21"/>
              </w:rPr>
              <w:t>　</w:t>
            </w:r>
          </w:p>
        </w:tc>
        <w:tc>
          <w:tcPr>
            <w:tcW w:w="4812" w:type="dxa"/>
            <w:tcBorders>
              <w:top w:val="nil"/>
              <w:left w:val="nil"/>
              <w:bottom w:val="single" w:color="auto" w:sz="4" w:space="0"/>
              <w:right w:val="single" w:color="auto" w:sz="4" w:space="0"/>
            </w:tcBorders>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十</w:t>
            </w:r>
            <w:r>
              <w:rPr>
                <w:rFonts w:hint="eastAsia" w:ascii="Times New Roman" w:hAnsi="Times New Roman" w:eastAsia="仿宋_GB2312" w:cs="Times New Roman"/>
                <w:kern w:val="0"/>
                <w:szCs w:val="21"/>
              </w:rPr>
              <w:t>、</w:t>
            </w:r>
            <w:r>
              <w:rPr>
                <w:rFonts w:hint="eastAsia" w:ascii="Times New Roman" w:hAnsi="Times New Roman" w:eastAsia="仿宋_GB2312" w:cs="Times New Roman"/>
                <w:kern w:val="0"/>
                <w:szCs w:val="21"/>
                <w:lang w:eastAsia="zh-CN"/>
              </w:rPr>
              <w:t>节能环保支出</w:t>
            </w:r>
          </w:p>
        </w:tc>
        <w:tc>
          <w:tcPr>
            <w:tcW w:w="700"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2</w:t>
            </w:r>
            <w:r>
              <w:rPr>
                <w:rFonts w:hint="eastAsia" w:ascii="Times New Roman" w:hAnsi="Times New Roman" w:eastAsia="仿宋_GB2312" w:cs="Times New Roman"/>
                <w:kern w:val="0"/>
                <w:szCs w:val="21"/>
                <w:lang w:val="en-US" w:eastAsia="zh-CN"/>
              </w:rPr>
              <w:t>2</w:t>
            </w:r>
          </w:p>
        </w:tc>
        <w:tc>
          <w:tcPr>
            <w:tcW w:w="1680"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181.91</w:t>
            </w: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700"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3"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4812" w:type="dxa"/>
            <w:tcBorders>
              <w:top w:val="nil"/>
              <w:left w:val="nil"/>
              <w:bottom w:val="single" w:color="auto" w:sz="4" w:space="0"/>
              <w:right w:val="single" w:color="auto" w:sz="4" w:space="0"/>
            </w:tcBorders>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十一、城乡社区支出</w:t>
            </w:r>
          </w:p>
        </w:tc>
        <w:tc>
          <w:tcPr>
            <w:tcW w:w="700"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2</w:t>
            </w:r>
            <w:r>
              <w:rPr>
                <w:rFonts w:hint="eastAsia" w:ascii="Times New Roman" w:hAnsi="Times New Roman" w:eastAsia="仿宋_GB2312" w:cs="Times New Roman"/>
                <w:kern w:val="0"/>
                <w:szCs w:val="21"/>
                <w:lang w:val="en-US" w:eastAsia="zh-CN"/>
              </w:rPr>
              <w:t>3</w:t>
            </w:r>
          </w:p>
        </w:tc>
        <w:tc>
          <w:tcPr>
            <w:tcW w:w="1680"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 xml:space="preserve">     3396.27  </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left"/>
              <w:rPr>
                <w:rFonts w:hint="eastAsia" w:ascii="Times New Roman" w:hAnsi="Times New Roman" w:eastAsia="仿宋_GB2312" w:cs="Times New Roman"/>
                <w:kern w:val="0"/>
                <w:szCs w:val="21"/>
              </w:rPr>
            </w:pPr>
          </w:p>
        </w:tc>
        <w:tc>
          <w:tcPr>
            <w:tcW w:w="700"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w:t>
            </w:r>
          </w:p>
        </w:tc>
        <w:tc>
          <w:tcPr>
            <w:tcW w:w="1223" w:type="dxa"/>
            <w:tcBorders>
              <w:top w:val="nil"/>
              <w:left w:val="nil"/>
              <w:bottom w:val="single" w:color="auto" w:sz="4" w:space="0"/>
              <w:right w:val="single" w:color="auto" w:sz="4" w:space="0"/>
            </w:tcBorders>
            <w:noWrap/>
            <w:vAlign w:val="center"/>
          </w:tcPr>
          <w:p>
            <w:pPr>
              <w:widowControl/>
              <w:jc w:val="left"/>
              <w:rPr>
                <w:rFonts w:hint="eastAsia" w:ascii="Times New Roman" w:hAnsi="Times New Roman" w:eastAsia="仿宋_GB2312" w:cs="Times New Roman"/>
                <w:kern w:val="0"/>
                <w:szCs w:val="21"/>
              </w:rPr>
            </w:pPr>
          </w:p>
        </w:tc>
        <w:tc>
          <w:tcPr>
            <w:tcW w:w="4812"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w:t>
            </w:r>
          </w:p>
        </w:tc>
        <w:tc>
          <w:tcPr>
            <w:tcW w:w="700"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24</w:t>
            </w:r>
          </w:p>
        </w:tc>
        <w:tc>
          <w:tcPr>
            <w:tcW w:w="1680"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left"/>
              <w:rPr>
                <w:rFonts w:hint="eastAsia" w:ascii="Times New Roman" w:hAnsi="Times New Roman" w:eastAsia="仿宋_GB2312" w:cs="Times New Roman"/>
                <w:kern w:val="0"/>
                <w:szCs w:val="21"/>
              </w:rPr>
            </w:pPr>
          </w:p>
        </w:tc>
        <w:tc>
          <w:tcPr>
            <w:tcW w:w="700"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w:t>
            </w:r>
          </w:p>
        </w:tc>
        <w:tc>
          <w:tcPr>
            <w:tcW w:w="1223" w:type="dxa"/>
            <w:tcBorders>
              <w:top w:val="nil"/>
              <w:left w:val="nil"/>
              <w:bottom w:val="single" w:color="auto" w:sz="4" w:space="0"/>
              <w:right w:val="single" w:color="auto" w:sz="4" w:space="0"/>
            </w:tcBorders>
            <w:noWrap/>
            <w:vAlign w:val="center"/>
          </w:tcPr>
          <w:p>
            <w:pPr>
              <w:widowControl/>
              <w:jc w:val="left"/>
              <w:rPr>
                <w:rFonts w:hint="eastAsia" w:ascii="Times New Roman" w:hAnsi="Times New Roman" w:eastAsia="仿宋_GB2312" w:cs="Times New Roman"/>
                <w:kern w:val="0"/>
                <w:szCs w:val="21"/>
              </w:rPr>
            </w:pPr>
          </w:p>
        </w:tc>
        <w:tc>
          <w:tcPr>
            <w:tcW w:w="4812" w:type="dxa"/>
            <w:tcBorders>
              <w:top w:val="nil"/>
              <w:left w:val="nil"/>
              <w:bottom w:val="single" w:color="auto" w:sz="4" w:space="0"/>
              <w:right w:val="single" w:color="auto" w:sz="4" w:space="0"/>
            </w:tcBorders>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十九、住房保障支出</w:t>
            </w:r>
          </w:p>
        </w:tc>
        <w:tc>
          <w:tcPr>
            <w:tcW w:w="700"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25</w:t>
            </w:r>
          </w:p>
        </w:tc>
        <w:tc>
          <w:tcPr>
            <w:tcW w:w="1680"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95.76</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本年收入合计</w:t>
            </w:r>
          </w:p>
        </w:tc>
        <w:tc>
          <w:tcPr>
            <w:tcW w:w="700"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w:t>
            </w:r>
          </w:p>
        </w:tc>
        <w:tc>
          <w:tcPr>
            <w:tcW w:w="1223"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3987.27</w:t>
            </w:r>
            <w:r>
              <w:rPr>
                <w:rFonts w:hint="eastAsia" w:ascii="Times New Roman" w:hAnsi="Times New Roman" w:eastAsia="仿宋_GB2312" w:cs="Times New Roman"/>
                <w:kern w:val="0"/>
                <w:szCs w:val="21"/>
              </w:rPr>
              <w:t>　</w:t>
            </w:r>
          </w:p>
        </w:tc>
        <w:tc>
          <w:tcPr>
            <w:tcW w:w="481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本年支出合计</w:t>
            </w:r>
          </w:p>
        </w:tc>
        <w:tc>
          <w:tcPr>
            <w:tcW w:w="700"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2</w:t>
            </w:r>
            <w:r>
              <w:rPr>
                <w:rFonts w:hint="eastAsia" w:ascii="Times New Roman" w:hAnsi="Times New Roman" w:eastAsia="仿宋_GB2312" w:cs="Times New Roman"/>
                <w:kern w:val="0"/>
                <w:szCs w:val="21"/>
                <w:lang w:val="en-US" w:eastAsia="zh-CN"/>
              </w:rPr>
              <w:t>6</w:t>
            </w:r>
          </w:p>
        </w:tc>
        <w:tc>
          <w:tcPr>
            <w:tcW w:w="168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仿宋_GB2312" w:cs="Times New Roman"/>
                <w:b/>
                <w:bCs/>
                <w:kern w:val="0"/>
                <w:szCs w:val="21"/>
                <w:lang w:val="en-US" w:eastAsia="zh-CN"/>
              </w:rPr>
            </w:pPr>
            <w:r>
              <w:rPr>
                <w:rFonts w:hint="eastAsia" w:ascii="Times New Roman" w:hAnsi="Times New Roman" w:eastAsia="仿宋_GB2312" w:cs="Times New Roman"/>
                <w:b/>
                <w:bCs/>
                <w:kern w:val="0"/>
                <w:szCs w:val="21"/>
              </w:rPr>
              <w:t>　</w:t>
            </w:r>
            <w:r>
              <w:rPr>
                <w:rFonts w:hint="eastAsia" w:ascii="Times New Roman" w:hAnsi="Times New Roman" w:eastAsia="仿宋_GB2312" w:cs="Times New Roman"/>
                <w:b/>
                <w:bCs/>
                <w:kern w:val="0"/>
                <w:szCs w:val="21"/>
                <w:lang w:val="en-US" w:eastAsia="zh-CN"/>
              </w:rPr>
              <w:t xml:space="preserve">    </w:t>
            </w:r>
            <w:r>
              <w:rPr>
                <w:rFonts w:hint="eastAsia" w:ascii="Times New Roman" w:hAnsi="Times New Roman" w:eastAsia="仿宋_GB2312" w:cs="Times New Roman"/>
                <w:b w:val="0"/>
                <w:bCs w:val="0"/>
                <w:kern w:val="0"/>
                <w:szCs w:val="21"/>
                <w:lang w:val="en-US" w:eastAsia="zh-CN"/>
              </w:rPr>
              <w:t xml:space="preserve"> 3939.17</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用事业基金弥补收支差额</w:t>
            </w:r>
          </w:p>
        </w:tc>
        <w:tc>
          <w:tcPr>
            <w:tcW w:w="700"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2</w:t>
            </w:r>
          </w:p>
        </w:tc>
        <w:tc>
          <w:tcPr>
            <w:tcW w:w="1223"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hint="eastAsia" w:ascii="Times New Roman" w:hAnsi="Times New Roman" w:eastAsia="仿宋_GB2312" w:cs="Times New Roman"/>
                <w:kern w:val="0"/>
                <w:szCs w:val="21"/>
              </w:rPr>
              <w:t>　</w:t>
            </w:r>
          </w:p>
        </w:tc>
        <w:tc>
          <w:tcPr>
            <w:tcW w:w="4812"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结余分配</w:t>
            </w:r>
          </w:p>
        </w:tc>
        <w:tc>
          <w:tcPr>
            <w:tcW w:w="700"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27</w:t>
            </w:r>
          </w:p>
        </w:tc>
        <w:tc>
          <w:tcPr>
            <w:tcW w:w="168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 xml:space="preserve">        0.00</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年初结转和结余</w:t>
            </w:r>
          </w:p>
        </w:tc>
        <w:tc>
          <w:tcPr>
            <w:tcW w:w="700"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3</w:t>
            </w:r>
          </w:p>
        </w:tc>
        <w:tc>
          <w:tcPr>
            <w:tcW w:w="1223"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1922.02</w:t>
            </w:r>
            <w:r>
              <w:rPr>
                <w:rFonts w:hint="eastAsia" w:ascii="Times New Roman" w:hAnsi="Times New Roman" w:eastAsia="仿宋_GB2312" w:cs="Times New Roman"/>
                <w:kern w:val="0"/>
                <w:szCs w:val="21"/>
              </w:rPr>
              <w:t>　</w:t>
            </w:r>
          </w:p>
        </w:tc>
        <w:tc>
          <w:tcPr>
            <w:tcW w:w="4812"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xml:space="preserve">                </w:t>
            </w:r>
            <w:r>
              <w:rPr>
                <w:rFonts w:hint="eastAsia" w:ascii="Times New Roman" w:hAnsi="Times New Roman" w:eastAsia="仿宋_GB2312" w:cs="Times New Roman"/>
                <w:kern w:val="0"/>
                <w:szCs w:val="21"/>
              </w:rPr>
              <w:t>年末结转和结余</w:t>
            </w:r>
          </w:p>
        </w:tc>
        <w:tc>
          <w:tcPr>
            <w:tcW w:w="700"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2</w:t>
            </w:r>
            <w:r>
              <w:rPr>
                <w:rFonts w:hint="eastAsia" w:ascii="Times New Roman" w:hAnsi="Times New Roman" w:eastAsia="仿宋_GB2312" w:cs="Times New Roman"/>
                <w:kern w:val="0"/>
                <w:szCs w:val="21"/>
                <w:lang w:val="en-US" w:eastAsia="zh-CN"/>
              </w:rPr>
              <w:t>8</w:t>
            </w:r>
          </w:p>
        </w:tc>
        <w:tc>
          <w:tcPr>
            <w:tcW w:w="168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 xml:space="preserve">     1970.11</w:t>
            </w:r>
          </w:p>
        </w:tc>
      </w:tr>
      <w:tr>
        <w:tblPrEx>
          <w:tblCellMar>
            <w:top w:w="0" w:type="dxa"/>
            <w:left w:w="108" w:type="dxa"/>
            <w:bottom w:w="0" w:type="dxa"/>
            <w:right w:w="108" w:type="dxa"/>
          </w:tblCellMar>
        </w:tblPrEx>
        <w:trPr>
          <w:trHeight w:val="323"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700"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4</w:t>
            </w:r>
          </w:p>
        </w:tc>
        <w:tc>
          <w:tcPr>
            <w:tcW w:w="1223"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4812"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700"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2</w:t>
            </w:r>
            <w:r>
              <w:rPr>
                <w:rFonts w:hint="eastAsia" w:ascii="Times New Roman" w:hAnsi="Times New Roman" w:eastAsia="仿宋_GB2312" w:cs="Times New Roman"/>
                <w:kern w:val="0"/>
                <w:szCs w:val="21"/>
                <w:lang w:val="en-US" w:eastAsia="zh-CN"/>
              </w:rPr>
              <w:t>9</w:t>
            </w:r>
          </w:p>
        </w:tc>
        <w:tc>
          <w:tcPr>
            <w:tcW w:w="1680" w:type="dxa"/>
            <w:tcBorders>
              <w:top w:val="nil"/>
              <w:left w:val="nil"/>
              <w:bottom w:val="single" w:color="auto" w:sz="4" w:space="0"/>
              <w:right w:val="single" w:color="auto" w:sz="4" w:space="0"/>
            </w:tcBorders>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341" w:hRule="atLeast"/>
          <w:jc w:val="center"/>
        </w:trPr>
        <w:tc>
          <w:tcPr>
            <w:tcW w:w="4924"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总计</w:t>
            </w:r>
          </w:p>
        </w:tc>
        <w:tc>
          <w:tcPr>
            <w:tcW w:w="700" w:type="dxa"/>
            <w:tcBorders>
              <w:top w:val="nil"/>
              <w:left w:val="nil"/>
              <w:bottom w:val="single" w:color="auto" w:sz="4" w:space="0"/>
              <w:right w:val="single" w:color="auto" w:sz="4" w:space="0"/>
            </w:tcBorders>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5</w:t>
            </w:r>
          </w:p>
        </w:tc>
        <w:tc>
          <w:tcPr>
            <w:tcW w:w="1223" w:type="dxa"/>
            <w:tcBorders>
              <w:top w:val="nil"/>
              <w:left w:val="nil"/>
              <w:bottom w:val="single" w:color="auto" w:sz="4" w:space="0"/>
              <w:right w:val="single" w:color="auto" w:sz="4" w:space="0"/>
            </w:tcBorders>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5909.29</w:t>
            </w:r>
            <w:r>
              <w:rPr>
                <w:rFonts w:hint="eastAsia" w:ascii="Times New Roman" w:hAnsi="Times New Roman" w:eastAsia="仿宋_GB2312" w:cs="Times New Roman"/>
                <w:kern w:val="0"/>
                <w:szCs w:val="21"/>
              </w:rPr>
              <w:t>　</w:t>
            </w:r>
          </w:p>
        </w:tc>
        <w:tc>
          <w:tcPr>
            <w:tcW w:w="4812"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仿宋_GB2312" w:cs="Times New Roman"/>
                <w:b/>
                <w:bCs/>
                <w:kern w:val="0"/>
                <w:szCs w:val="21"/>
              </w:rPr>
            </w:pPr>
            <w:r>
              <w:rPr>
                <w:rFonts w:hint="eastAsia" w:ascii="Times New Roman" w:hAnsi="Times New Roman" w:eastAsia="仿宋_GB2312" w:cs="Times New Roman"/>
                <w:b/>
                <w:bCs/>
                <w:kern w:val="0"/>
                <w:szCs w:val="21"/>
              </w:rPr>
              <w:t>总计</w:t>
            </w:r>
          </w:p>
        </w:tc>
        <w:tc>
          <w:tcPr>
            <w:tcW w:w="700" w:type="dxa"/>
            <w:tcBorders>
              <w:top w:val="nil"/>
              <w:left w:val="nil"/>
              <w:bottom w:val="single" w:color="auto" w:sz="4" w:space="0"/>
              <w:right w:val="single" w:color="auto" w:sz="4" w:space="0"/>
            </w:tcBorders>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w:t>
            </w:r>
          </w:p>
        </w:tc>
        <w:tc>
          <w:tcPr>
            <w:tcW w:w="1680" w:type="dxa"/>
            <w:tcBorders>
              <w:top w:val="nil"/>
              <w:left w:val="nil"/>
              <w:bottom w:val="single" w:color="auto" w:sz="4" w:space="0"/>
              <w:right w:val="single" w:color="auto" w:sz="4" w:space="0"/>
            </w:tcBorders>
            <w:noWrap/>
            <w:vAlign w:val="center"/>
          </w:tcPr>
          <w:p>
            <w:pPr>
              <w:widowControl/>
              <w:jc w:val="left"/>
              <w:rPr>
                <w:rFonts w:hint="default" w:ascii="Times New Roman" w:hAnsi="Times New Roman" w:eastAsia="仿宋_GB2312" w:cs="Times New Roman"/>
                <w:b/>
                <w:bCs/>
                <w:kern w:val="0"/>
                <w:szCs w:val="21"/>
                <w:lang w:val="en-US" w:eastAsia="zh-CN"/>
              </w:rPr>
            </w:pPr>
            <w:r>
              <w:rPr>
                <w:rFonts w:hint="eastAsia" w:ascii="Times New Roman" w:hAnsi="Times New Roman" w:eastAsia="仿宋_GB2312" w:cs="Times New Roman"/>
                <w:b/>
                <w:bCs/>
                <w:kern w:val="0"/>
                <w:szCs w:val="21"/>
              </w:rPr>
              <w:t>　</w:t>
            </w:r>
            <w:r>
              <w:rPr>
                <w:rFonts w:hint="eastAsia" w:ascii="Times New Roman" w:hAnsi="Times New Roman" w:eastAsia="仿宋_GB2312" w:cs="Times New Roman"/>
                <w:b/>
                <w:bCs/>
                <w:kern w:val="0"/>
                <w:szCs w:val="21"/>
                <w:lang w:val="en-US" w:eastAsia="zh-CN"/>
              </w:rPr>
              <w:t xml:space="preserve">    </w:t>
            </w:r>
            <w:r>
              <w:rPr>
                <w:rFonts w:hint="eastAsia" w:ascii="Times New Roman" w:hAnsi="Times New Roman" w:eastAsia="仿宋_GB2312" w:cs="Times New Roman"/>
                <w:b w:val="0"/>
                <w:bCs w:val="0"/>
                <w:kern w:val="0"/>
                <w:szCs w:val="21"/>
                <w:lang w:val="en-US" w:eastAsia="zh-CN"/>
              </w:rPr>
              <w:t xml:space="preserve"> 5909.29</w:t>
            </w:r>
          </w:p>
        </w:tc>
      </w:tr>
    </w:tbl>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注：本表反映部门本年度的总收支和年末结转结余情况。</w:t>
      </w:r>
    </w:p>
    <w:p>
      <w:pPr>
        <w:widowControl/>
        <w:jc w:val="left"/>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p>
      <w:pPr>
        <w:widowControl/>
        <w:jc w:val="both"/>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t>收入决算表</w:t>
      </w:r>
    </w:p>
    <w:p>
      <w:pPr>
        <w:widowControl/>
        <w:spacing w:line="320" w:lineRule="exact"/>
        <w:ind w:right="198" w:firstLine="840" w:firstLineChars="400"/>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湘乡市住房和城乡建设局（本级）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eastAsia="zh-CN"/>
        </w:rPr>
        <w:t>公</w:t>
      </w:r>
      <w:r>
        <w:rPr>
          <w:rFonts w:hint="eastAsia" w:ascii="Times New Roman" w:hAnsi="Times New Roman" w:eastAsia="仿宋_GB2312" w:cs="Times New Roman"/>
          <w:color w:val="000000"/>
          <w:kern w:val="0"/>
          <w:szCs w:val="21"/>
        </w:rPr>
        <w:t>开</w:t>
      </w:r>
      <w:r>
        <w:rPr>
          <w:rFonts w:ascii="Times New Roman" w:hAnsi="Times New Roman" w:eastAsia="仿宋_GB2312" w:cs="Times New Roman"/>
          <w:color w:val="000000"/>
          <w:kern w:val="0"/>
          <w:szCs w:val="21"/>
        </w:rPr>
        <w:t>0</w:t>
      </w:r>
      <w:r>
        <w:rPr>
          <w:rFonts w:hint="eastAsia" w:ascii="Times New Roman" w:hAnsi="Times New Roman" w:eastAsia="仿宋_GB2312" w:cs="Times New Roman"/>
          <w:color w:val="000000"/>
          <w:kern w:val="0"/>
          <w:szCs w:val="21"/>
          <w:lang w:val="en-US" w:eastAsia="zh-CN"/>
        </w:rPr>
        <w:t>2</w:t>
      </w:r>
      <w:r>
        <w:rPr>
          <w:rFonts w:hint="eastAsia" w:ascii="Times New Roman" w:hAnsi="Times New Roman" w:eastAsia="仿宋_GB2312" w:cs="Times New Roman"/>
          <w:color w:val="000000"/>
          <w:kern w:val="0"/>
          <w:szCs w:val="21"/>
        </w:rPr>
        <w:t>表</w:t>
      </w:r>
    </w:p>
    <w:p>
      <w:pPr>
        <w:widowControl/>
        <w:ind w:right="63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3129" w:type="dxa"/>
        <w:jc w:val="center"/>
        <w:tblLayout w:type="fixed"/>
        <w:tblCellMar>
          <w:top w:w="0" w:type="dxa"/>
          <w:left w:w="108" w:type="dxa"/>
          <w:bottom w:w="0" w:type="dxa"/>
          <w:right w:w="108" w:type="dxa"/>
        </w:tblCellMar>
      </w:tblPr>
      <w:tblGrid>
        <w:gridCol w:w="1333"/>
        <w:gridCol w:w="4075"/>
        <w:gridCol w:w="1236"/>
        <w:gridCol w:w="1212"/>
        <w:gridCol w:w="1092"/>
        <w:gridCol w:w="1008"/>
        <w:gridCol w:w="924"/>
        <w:gridCol w:w="1224"/>
        <w:gridCol w:w="1025"/>
      </w:tblGrid>
      <w:tr>
        <w:tblPrEx>
          <w:tblCellMar>
            <w:top w:w="0" w:type="dxa"/>
            <w:left w:w="108" w:type="dxa"/>
            <w:bottom w:w="0" w:type="dxa"/>
            <w:right w:w="108" w:type="dxa"/>
          </w:tblCellMar>
        </w:tblPrEx>
        <w:trPr>
          <w:trHeight w:val="450" w:hRule="atLeast"/>
          <w:jc w:val="center"/>
        </w:trPr>
        <w:tc>
          <w:tcPr>
            <w:tcW w:w="5408" w:type="dxa"/>
            <w:gridSpan w:val="2"/>
            <w:tcBorders>
              <w:top w:val="single" w:color="auto" w:sz="8" w:space="0"/>
              <w:left w:val="single" w:color="auto" w:sz="8" w:space="0"/>
              <w:bottom w:val="single" w:color="auto" w:sz="4" w:space="0"/>
              <w:right w:val="nil"/>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项    目</w:t>
            </w:r>
          </w:p>
        </w:tc>
        <w:tc>
          <w:tcPr>
            <w:tcW w:w="1236"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本年收入合计</w:t>
            </w:r>
          </w:p>
        </w:tc>
        <w:tc>
          <w:tcPr>
            <w:tcW w:w="1212"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财政拨款收入</w:t>
            </w:r>
          </w:p>
        </w:tc>
        <w:tc>
          <w:tcPr>
            <w:tcW w:w="1092"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上级补助收入</w:t>
            </w:r>
          </w:p>
        </w:tc>
        <w:tc>
          <w:tcPr>
            <w:tcW w:w="1008"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事业收入</w:t>
            </w:r>
          </w:p>
        </w:tc>
        <w:tc>
          <w:tcPr>
            <w:tcW w:w="924"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经营收入</w:t>
            </w:r>
          </w:p>
        </w:tc>
        <w:tc>
          <w:tcPr>
            <w:tcW w:w="1224"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附属单位上缴收入</w:t>
            </w:r>
          </w:p>
        </w:tc>
        <w:tc>
          <w:tcPr>
            <w:tcW w:w="1025" w:type="dxa"/>
            <w:vMerge w:val="restart"/>
            <w:tcBorders>
              <w:top w:val="single" w:color="auto" w:sz="8" w:space="0"/>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其他收入</w:t>
            </w:r>
          </w:p>
        </w:tc>
      </w:tr>
      <w:tr>
        <w:tblPrEx>
          <w:tblCellMar>
            <w:top w:w="0" w:type="dxa"/>
            <w:left w:w="108" w:type="dxa"/>
            <w:bottom w:w="0" w:type="dxa"/>
            <w:right w:w="108" w:type="dxa"/>
          </w:tblCellMar>
        </w:tblPrEx>
        <w:trPr>
          <w:trHeight w:val="450" w:hRule="atLeast"/>
          <w:jc w:val="center"/>
        </w:trPr>
        <w:tc>
          <w:tcPr>
            <w:tcW w:w="1333" w:type="dxa"/>
            <w:vMerge w:val="restart"/>
            <w:tcBorders>
              <w:top w:val="single" w:color="auto" w:sz="4" w:space="0"/>
              <w:left w:val="single" w:color="auto" w:sz="8" w:space="0"/>
              <w:bottom w:val="single" w:color="000000" w:sz="4" w:space="0"/>
              <w:right w:val="nil"/>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功能分类科目编码</w:t>
            </w:r>
          </w:p>
        </w:tc>
        <w:tc>
          <w:tcPr>
            <w:tcW w:w="4075"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科目名称</w:t>
            </w:r>
          </w:p>
        </w:tc>
        <w:tc>
          <w:tcPr>
            <w:tcW w:w="123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1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09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008"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924"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4"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025" w:type="dxa"/>
            <w:vMerge w:val="continue"/>
            <w:tcBorders>
              <w:top w:val="single" w:color="auto" w:sz="8" w:space="0"/>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333" w:type="dxa"/>
            <w:vMerge w:val="continue"/>
            <w:tcBorders>
              <w:top w:val="single" w:color="auto" w:sz="4" w:space="0"/>
              <w:left w:val="single" w:color="auto" w:sz="8" w:space="0"/>
              <w:bottom w:val="single" w:color="000000" w:sz="4" w:space="0"/>
              <w:right w:val="nil"/>
            </w:tcBorders>
            <w:vAlign w:val="center"/>
          </w:tcPr>
          <w:p>
            <w:pPr>
              <w:widowControl/>
              <w:jc w:val="left"/>
              <w:rPr>
                <w:rFonts w:ascii="Times New Roman" w:hAnsi="Times New Roman" w:eastAsia="仿宋_GB2312" w:cs="Times New Roman"/>
                <w:kern w:val="0"/>
                <w:szCs w:val="21"/>
              </w:rPr>
            </w:pPr>
          </w:p>
        </w:tc>
        <w:tc>
          <w:tcPr>
            <w:tcW w:w="4075"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36"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1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09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008"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924"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4"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025" w:type="dxa"/>
            <w:vMerge w:val="continue"/>
            <w:tcBorders>
              <w:top w:val="single" w:color="auto" w:sz="8" w:space="0"/>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5408" w:type="dxa"/>
            <w:gridSpan w:val="2"/>
            <w:tcBorders>
              <w:top w:val="single" w:color="auto" w:sz="4" w:space="0"/>
              <w:left w:val="single" w:color="auto" w:sz="8" w:space="0"/>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23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1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0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92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025" w:type="dxa"/>
            <w:tcBorders>
              <w:top w:val="nil"/>
              <w:left w:val="nil"/>
              <w:bottom w:val="single" w:color="auto" w:sz="4" w:space="0"/>
              <w:right w:val="single" w:color="auto" w:sz="8"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r>
      <w:tr>
        <w:tblPrEx>
          <w:tblCellMar>
            <w:top w:w="0" w:type="dxa"/>
            <w:left w:w="108" w:type="dxa"/>
            <w:bottom w:w="0" w:type="dxa"/>
            <w:right w:w="108" w:type="dxa"/>
          </w:tblCellMar>
        </w:tblPrEx>
        <w:trPr>
          <w:trHeight w:val="450" w:hRule="atLeast"/>
          <w:jc w:val="center"/>
        </w:trPr>
        <w:tc>
          <w:tcPr>
            <w:tcW w:w="5408" w:type="dxa"/>
            <w:gridSpan w:val="2"/>
            <w:tcBorders>
              <w:top w:val="nil"/>
              <w:left w:val="single" w:color="auto" w:sz="8" w:space="0"/>
              <w:bottom w:val="single" w:color="auto" w:sz="4" w:space="0"/>
              <w:right w:val="single" w:color="000000" w:sz="4" w:space="0"/>
            </w:tcBorders>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3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3987.27</w:t>
            </w:r>
            <w:r>
              <w:rPr>
                <w:rFonts w:ascii="Times New Roman" w:hAnsi="Times New Roman" w:eastAsia="仿宋_GB2312" w:cs="Times New Roman"/>
                <w:kern w:val="0"/>
                <w:szCs w:val="21"/>
              </w:rPr>
              <w:t>　</w:t>
            </w:r>
          </w:p>
        </w:tc>
        <w:tc>
          <w:tcPr>
            <w:tcW w:w="121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3474.58</w:t>
            </w:r>
            <w:r>
              <w:rPr>
                <w:rFonts w:ascii="Times New Roman" w:hAnsi="Times New Roman" w:eastAsia="仿宋_GB2312" w:cs="Times New Roman"/>
                <w:kern w:val="0"/>
                <w:szCs w:val="21"/>
              </w:rPr>
              <w:t>　</w:t>
            </w:r>
          </w:p>
        </w:tc>
        <w:tc>
          <w:tcPr>
            <w:tcW w:w="109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512.69</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w:t>
            </w:r>
          </w:p>
        </w:tc>
        <w:tc>
          <w:tcPr>
            <w:tcW w:w="40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社会保障和就业支出</w:t>
            </w:r>
          </w:p>
        </w:tc>
        <w:tc>
          <w:tcPr>
            <w:tcW w:w="123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185.92</w:t>
            </w:r>
            <w:r>
              <w:rPr>
                <w:rFonts w:ascii="Times New Roman" w:hAnsi="Times New Roman" w:eastAsia="仿宋_GB2312" w:cs="Times New Roman"/>
                <w:kern w:val="0"/>
                <w:szCs w:val="21"/>
              </w:rPr>
              <w:t>　</w:t>
            </w:r>
          </w:p>
        </w:tc>
        <w:tc>
          <w:tcPr>
            <w:tcW w:w="12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185.92</w:t>
            </w:r>
            <w:r>
              <w:rPr>
                <w:rFonts w:ascii="Times New Roman" w:hAnsi="Times New Roman" w:eastAsia="仿宋_GB2312" w:cs="Times New Roman"/>
                <w:kern w:val="0"/>
                <w:szCs w:val="21"/>
              </w:rPr>
              <w:t>　</w:t>
            </w:r>
          </w:p>
        </w:tc>
        <w:tc>
          <w:tcPr>
            <w:tcW w:w="109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20805</w:t>
            </w:r>
          </w:p>
        </w:tc>
        <w:tc>
          <w:tcPr>
            <w:tcW w:w="407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eastAsia="zh-CN"/>
              </w:rPr>
              <w:t>行政事业单位离退休</w:t>
            </w:r>
            <w:r>
              <w:rPr>
                <w:rFonts w:ascii="Times New Roman" w:hAnsi="Times New Roman" w:eastAsia="仿宋_GB2312" w:cs="Times New Roman"/>
                <w:kern w:val="0"/>
                <w:szCs w:val="21"/>
              </w:rPr>
              <w:t>　</w:t>
            </w:r>
          </w:p>
        </w:tc>
        <w:tc>
          <w:tcPr>
            <w:tcW w:w="1236"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173.18</w:t>
            </w:r>
          </w:p>
        </w:tc>
        <w:tc>
          <w:tcPr>
            <w:tcW w:w="12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173.18</w:t>
            </w:r>
            <w:r>
              <w:rPr>
                <w:rFonts w:ascii="Times New Roman" w:hAnsi="Times New Roman" w:eastAsia="仿宋_GB2312" w:cs="Times New Roman"/>
                <w:kern w:val="0"/>
                <w:szCs w:val="21"/>
              </w:rPr>
              <w:t>　</w:t>
            </w:r>
          </w:p>
        </w:tc>
        <w:tc>
          <w:tcPr>
            <w:tcW w:w="109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2080501</w:t>
            </w:r>
          </w:p>
        </w:tc>
        <w:tc>
          <w:tcPr>
            <w:tcW w:w="40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归口管理的行政事业单位离退休</w:t>
            </w:r>
          </w:p>
        </w:tc>
        <w:tc>
          <w:tcPr>
            <w:tcW w:w="1236"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11.44</w:t>
            </w:r>
          </w:p>
        </w:tc>
        <w:tc>
          <w:tcPr>
            <w:tcW w:w="12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11.44</w:t>
            </w:r>
            <w:r>
              <w:rPr>
                <w:rFonts w:ascii="Times New Roman" w:hAnsi="Times New Roman" w:eastAsia="仿宋_GB2312" w:cs="Times New Roman"/>
                <w:kern w:val="0"/>
                <w:szCs w:val="21"/>
              </w:rPr>
              <w:t>　</w:t>
            </w:r>
          </w:p>
        </w:tc>
        <w:tc>
          <w:tcPr>
            <w:tcW w:w="109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2080505</w:t>
            </w:r>
          </w:p>
        </w:tc>
        <w:tc>
          <w:tcPr>
            <w:tcW w:w="40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机关事业单位基本养老保险缴费支出</w:t>
            </w:r>
          </w:p>
        </w:tc>
        <w:tc>
          <w:tcPr>
            <w:tcW w:w="123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161.74</w:t>
            </w:r>
            <w:r>
              <w:rPr>
                <w:rFonts w:ascii="Times New Roman" w:hAnsi="Times New Roman" w:eastAsia="仿宋_GB2312" w:cs="Times New Roman"/>
                <w:kern w:val="0"/>
                <w:szCs w:val="21"/>
              </w:rPr>
              <w:t>　</w:t>
            </w:r>
          </w:p>
        </w:tc>
        <w:tc>
          <w:tcPr>
            <w:tcW w:w="12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161.74</w:t>
            </w:r>
            <w:r>
              <w:rPr>
                <w:rFonts w:ascii="Times New Roman" w:hAnsi="Times New Roman" w:eastAsia="仿宋_GB2312" w:cs="Times New Roman"/>
                <w:kern w:val="0"/>
                <w:szCs w:val="21"/>
              </w:rPr>
              <w:t>　</w:t>
            </w:r>
          </w:p>
        </w:tc>
        <w:tc>
          <w:tcPr>
            <w:tcW w:w="109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20808</w:t>
            </w:r>
          </w:p>
        </w:tc>
        <w:tc>
          <w:tcPr>
            <w:tcW w:w="407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eastAsia="zh-CN"/>
              </w:rPr>
              <w:t>抚恤</w:t>
            </w:r>
            <w:r>
              <w:rPr>
                <w:rFonts w:ascii="Times New Roman" w:hAnsi="Times New Roman" w:eastAsia="仿宋_GB2312" w:cs="Times New Roman"/>
                <w:kern w:val="0"/>
                <w:szCs w:val="21"/>
              </w:rPr>
              <w:t>　</w:t>
            </w:r>
          </w:p>
        </w:tc>
        <w:tc>
          <w:tcPr>
            <w:tcW w:w="1236"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2.69</w:t>
            </w:r>
            <w:r>
              <w:rPr>
                <w:rFonts w:ascii="Times New Roman" w:hAnsi="Times New Roman" w:eastAsia="仿宋_GB2312" w:cs="Times New Roman"/>
                <w:kern w:val="0"/>
                <w:szCs w:val="21"/>
              </w:rPr>
              <w:t>　</w:t>
            </w:r>
          </w:p>
        </w:tc>
        <w:tc>
          <w:tcPr>
            <w:tcW w:w="121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2.69</w:t>
            </w:r>
            <w:r>
              <w:rPr>
                <w:rFonts w:ascii="Times New Roman" w:hAnsi="Times New Roman" w:eastAsia="仿宋_GB2312" w:cs="Times New Roman"/>
                <w:kern w:val="0"/>
                <w:szCs w:val="21"/>
              </w:rPr>
              <w:t>　</w:t>
            </w:r>
          </w:p>
        </w:tc>
        <w:tc>
          <w:tcPr>
            <w:tcW w:w="1092"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4"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2080801</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死亡抚恤</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2.69</w:t>
            </w:r>
            <w:r>
              <w:rPr>
                <w:rFonts w:ascii="Times New Roman" w:hAnsi="Times New Roman" w:eastAsia="仿宋_GB2312" w:cs="Times New Roman"/>
                <w:kern w:val="0"/>
                <w:szCs w:val="21"/>
              </w:rPr>
              <w:t>　</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2.69</w:t>
            </w:r>
            <w:r>
              <w:rPr>
                <w:rFonts w:ascii="Times New Roman" w:hAnsi="Times New Roman" w:eastAsia="仿宋_GB2312" w:cs="Times New Roman"/>
                <w:kern w:val="0"/>
                <w:szCs w:val="21"/>
              </w:rPr>
              <w:t>　</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20827</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财政对其他社会保险基金的补助</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10.05</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10.05</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2082701</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财政对失业保险基金的补助</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5.97</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5.97</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2082702</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财政对工伤保险基金的补助</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4.08</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4.08</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210</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卫生健康支出</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80.91</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80.91</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21011</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行政事业单位医疗</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79.31</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79.31</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2101101</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行政事业单位医疗</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79.31</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79.31</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21012</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财政对基本医疗保险基金的补助</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2101299</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财政对其他基本医疗保险基金的补助</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1.60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1.60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211</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节能环保支出</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181.91</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181.91</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21103</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污染防治</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9.80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9.80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2110302</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水体</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9.80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9.80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21111</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污染减排</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172.11</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172.11</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2111103</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减排专项支出</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172.11</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172.11</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城乡社区支出</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3442.76</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2930.07</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512.69</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21201</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城乡社区管理事务</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2197.76</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1685.07</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512.69</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2120101</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行政运行</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882.52</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882.52</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2120102</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一般行政管理事务</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170.56</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170.56</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2120103</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机关服务</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70.00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70.00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2120106</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工程建设管理</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155.66</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155.66</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2120107</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市政公用行业市场监管</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72.00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72.00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2120109</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住宅建设与房地产市场监管</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150.00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150.00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2120199</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其他城乡社区管理事务支出</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697.01</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184.33</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512.69</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21202</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城乡社区规划与管理</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80.00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80.00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2120201</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w:t>
            </w:r>
            <w:r>
              <w:rPr>
                <w:rFonts w:hint="eastAsia" w:ascii="Times New Roman" w:hAnsi="Times New Roman" w:eastAsia="仿宋_GB2312" w:cs="Times New Roman"/>
                <w:kern w:val="0"/>
                <w:szCs w:val="21"/>
                <w:lang w:eastAsia="zh-CN"/>
              </w:rPr>
              <w:t>城乡社区规划与管理</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80.00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80.00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21203</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eastAsia="zh-CN"/>
              </w:rPr>
              <w:t>城乡社区公共设施</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959.00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959.00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2120303</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小城镇基础设施</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693.00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693.00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2120399</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其他城乡社区公共设施支出</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266.00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266.00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21206</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建设市场管理与监督</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88.00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88.00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2120601</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w:t>
            </w:r>
            <w:r>
              <w:rPr>
                <w:rFonts w:hint="eastAsia" w:ascii="Times New Roman" w:hAnsi="Times New Roman" w:eastAsia="仿宋_GB2312" w:cs="Times New Roman"/>
                <w:kern w:val="0"/>
                <w:szCs w:val="21"/>
                <w:lang w:eastAsia="zh-CN"/>
              </w:rPr>
              <w:t>建设市场管理与监督</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21213</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城市基础设施配套费安排的支出</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30.00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30.00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2121302</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城市环境卫生</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30.00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30.00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21299</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其他城乡社区支出</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88.00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88.00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2129901</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其他城乡社区支出</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221</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住房保障支出</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95.76</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95.76</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22102</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住房改革支出</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95.76</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95.76</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33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2210201</w:t>
            </w:r>
          </w:p>
        </w:tc>
        <w:tc>
          <w:tcPr>
            <w:tcW w:w="4075" w:type="dxa"/>
            <w:tcBorders>
              <w:top w:val="nil"/>
              <w:left w:val="nil"/>
              <w:bottom w:val="single" w:color="auto" w:sz="8" w:space="0"/>
              <w:right w:val="single" w:color="auto" w:sz="4" w:space="0"/>
            </w:tcBorders>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xml:space="preserve">  住房公积金</w:t>
            </w:r>
          </w:p>
        </w:tc>
        <w:tc>
          <w:tcPr>
            <w:tcW w:w="1236"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95.76</w:t>
            </w:r>
          </w:p>
        </w:tc>
        <w:tc>
          <w:tcPr>
            <w:tcW w:w="121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95.76</w:t>
            </w:r>
          </w:p>
        </w:tc>
        <w:tc>
          <w:tcPr>
            <w:tcW w:w="1092"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08"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9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4" w:type="dxa"/>
            <w:tcBorders>
              <w:top w:val="nil"/>
              <w:left w:val="nil"/>
              <w:bottom w:val="single" w:color="auto" w:sz="8"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025" w:type="dxa"/>
            <w:tcBorders>
              <w:top w:val="nil"/>
              <w:left w:val="nil"/>
              <w:bottom w:val="single" w:color="auto" w:sz="8" w:space="0"/>
              <w:right w:val="single" w:color="auto" w:sz="8" w:space="0"/>
            </w:tcBorders>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615" w:hRule="atLeast"/>
          <w:jc w:val="center"/>
        </w:trPr>
        <w:tc>
          <w:tcPr>
            <w:tcW w:w="13129" w:type="dxa"/>
            <w:gridSpan w:val="9"/>
            <w:tcBorders>
              <w:top w:val="single" w:color="auto" w:sz="8" w:space="0"/>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注：本表反映部门本年度取得的各项收入情况。</w:t>
            </w:r>
          </w:p>
        </w:tc>
      </w:tr>
    </w:tbl>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t>支出决算表</w:t>
      </w:r>
    </w:p>
    <w:p>
      <w:pPr>
        <w:widowControl/>
        <w:spacing w:line="320" w:lineRule="exact"/>
        <w:ind w:right="198" w:firstLine="840" w:firstLineChars="400"/>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湘乡市住房和城乡建设局（本级）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eastAsia="zh-CN"/>
        </w:rPr>
        <w:t>公</w:t>
      </w:r>
      <w:r>
        <w:rPr>
          <w:rFonts w:hint="eastAsia" w:ascii="Times New Roman" w:hAnsi="Times New Roman" w:eastAsia="仿宋_GB2312" w:cs="Times New Roman"/>
          <w:color w:val="000000"/>
          <w:kern w:val="0"/>
          <w:szCs w:val="21"/>
        </w:rPr>
        <w:t>开</w:t>
      </w:r>
      <w:r>
        <w:rPr>
          <w:rFonts w:ascii="Times New Roman" w:hAnsi="Times New Roman" w:eastAsia="仿宋_GB2312" w:cs="Times New Roman"/>
          <w:color w:val="000000"/>
          <w:kern w:val="0"/>
          <w:szCs w:val="21"/>
        </w:rPr>
        <w:t>0</w:t>
      </w:r>
      <w:r>
        <w:rPr>
          <w:rFonts w:hint="eastAsia" w:ascii="Times New Roman" w:hAnsi="Times New Roman" w:eastAsia="仿宋_GB2312" w:cs="Times New Roman"/>
          <w:color w:val="000000"/>
          <w:kern w:val="0"/>
          <w:szCs w:val="21"/>
          <w:lang w:val="en-US" w:eastAsia="zh-CN"/>
        </w:rPr>
        <w:t>3</w:t>
      </w:r>
      <w:r>
        <w:rPr>
          <w:rFonts w:hint="eastAsia" w:ascii="Times New Roman" w:hAnsi="Times New Roman" w:eastAsia="仿宋_GB2312" w:cs="Times New Roman"/>
          <w:color w:val="000000"/>
          <w:kern w:val="0"/>
          <w:szCs w:val="21"/>
        </w:rPr>
        <w:t>表</w:t>
      </w:r>
    </w:p>
    <w:p>
      <w:pPr>
        <w:widowControl/>
        <w:spacing w:line="400" w:lineRule="exact"/>
        <w:ind w:right="700"/>
        <w:jc w:val="right"/>
        <w:rPr>
          <w:rFonts w:ascii="Times New Roman" w:hAnsi="Times New Roman" w:eastAsia="仿宋_GB2312" w:cs="Times New Roman"/>
          <w:color w:val="000000"/>
          <w:kern w:val="0"/>
          <w:sz w:val="20"/>
          <w:szCs w:val="20"/>
        </w:rPr>
      </w:pPr>
      <w:r>
        <w:rPr>
          <w:rFonts w:ascii="Times New Roman" w:hAnsi="Times New Roman" w:eastAsia="仿宋_GB2312" w:cs="Times New Roman"/>
          <w:color w:val="000000"/>
          <w:kern w:val="0"/>
          <w:sz w:val="20"/>
          <w:szCs w:val="20"/>
        </w:rPr>
        <w:t>单位：万元</w:t>
      </w:r>
    </w:p>
    <w:tbl>
      <w:tblPr>
        <w:tblStyle w:val="6"/>
        <w:tblW w:w="1408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2"/>
        <w:gridCol w:w="4450"/>
        <w:gridCol w:w="1548"/>
        <w:gridCol w:w="1356"/>
        <w:gridCol w:w="1380"/>
        <w:gridCol w:w="1608"/>
        <w:gridCol w:w="1284"/>
        <w:gridCol w:w="136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5552"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项    目</w:t>
            </w:r>
          </w:p>
        </w:tc>
        <w:tc>
          <w:tcPr>
            <w:tcW w:w="1548"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本年支出合计</w:t>
            </w:r>
          </w:p>
        </w:tc>
        <w:tc>
          <w:tcPr>
            <w:tcW w:w="1356"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基本支出</w:t>
            </w:r>
          </w:p>
        </w:tc>
        <w:tc>
          <w:tcPr>
            <w:tcW w:w="1380"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项目支出</w:t>
            </w:r>
          </w:p>
        </w:tc>
        <w:tc>
          <w:tcPr>
            <w:tcW w:w="1608"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上缴上级支出</w:t>
            </w:r>
          </w:p>
        </w:tc>
        <w:tc>
          <w:tcPr>
            <w:tcW w:w="1284"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经营支出</w:t>
            </w:r>
          </w:p>
        </w:tc>
        <w:tc>
          <w:tcPr>
            <w:tcW w:w="1361"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功能分类科目编码</w:t>
            </w:r>
          </w:p>
        </w:tc>
        <w:tc>
          <w:tcPr>
            <w:tcW w:w="4450" w:type="dxa"/>
            <w:vMerge w:val="restart"/>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科目名称</w:t>
            </w:r>
          </w:p>
        </w:tc>
        <w:tc>
          <w:tcPr>
            <w:tcW w:w="1548"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356"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380"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608"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284"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361" w:type="dxa"/>
            <w:vMerge w:val="continue"/>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4450"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548"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356"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380"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608"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284" w:type="dxa"/>
            <w:vMerge w:val="continue"/>
            <w:shd w:val="clear" w:color="auto" w:fill="auto"/>
            <w:vAlign w:val="center"/>
          </w:tcPr>
          <w:p>
            <w:pPr>
              <w:widowControl/>
              <w:jc w:val="left"/>
              <w:rPr>
                <w:rFonts w:ascii="Times New Roman" w:hAnsi="Times New Roman" w:eastAsia="仿宋_GB2312" w:cs="Times New Roman"/>
                <w:kern w:val="0"/>
                <w:szCs w:val="21"/>
              </w:rPr>
            </w:pPr>
          </w:p>
        </w:tc>
        <w:tc>
          <w:tcPr>
            <w:tcW w:w="1361" w:type="dxa"/>
            <w:vMerge w:val="continue"/>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5552" w:type="dxa"/>
            <w:gridSpan w:val="2"/>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548"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356"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3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608"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84"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361"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5552" w:type="dxa"/>
            <w:gridSpan w:val="2"/>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3939.17</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2032.81</w:t>
            </w:r>
          </w:p>
        </w:tc>
        <w:tc>
          <w:tcPr>
            <w:tcW w:w="13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1906.37</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社会保障和就业支出</w:t>
            </w:r>
          </w:p>
        </w:tc>
        <w:tc>
          <w:tcPr>
            <w:tcW w:w="1548"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185.92</w:t>
            </w:r>
            <w:r>
              <w:rPr>
                <w:rFonts w:ascii="Times New Roman" w:hAnsi="Times New Roman" w:eastAsia="仿宋_GB2312" w:cs="Times New Roman"/>
                <w:kern w:val="0"/>
                <w:szCs w:val="21"/>
              </w:rPr>
              <w:t>　</w:t>
            </w:r>
          </w:p>
        </w:tc>
        <w:tc>
          <w:tcPr>
            <w:tcW w:w="1356"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181.84</w:t>
            </w:r>
            <w:r>
              <w:rPr>
                <w:rFonts w:ascii="Times New Roman" w:hAnsi="Times New Roman" w:eastAsia="仿宋_GB2312" w:cs="Times New Roman"/>
                <w:kern w:val="0"/>
                <w:szCs w:val="21"/>
              </w:rPr>
              <w:t>　</w:t>
            </w:r>
          </w:p>
        </w:tc>
        <w:tc>
          <w:tcPr>
            <w:tcW w:w="13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4.08</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20805</w:t>
            </w:r>
          </w:p>
        </w:tc>
        <w:tc>
          <w:tcPr>
            <w:tcW w:w="4450" w:type="dxa"/>
            <w:shd w:val="clear" w:color="auto" w:fill="auto"/>
            <w:noWrap/>
            <w:vAlign w:val="center"/>
          </w:tcPr>
          <w:p>
            <w:pPr>
              <w:widowControl/>
              <w:jc w:val="lef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行政事业单位离退休</w:t>
            </w:r>
            <w:r>
              <w:rPr>
                <w:rFonts w:ascii="Times New Roman" w:hAnsi="Times New Roman" w:eastAsia="仿宋_GB2312" w:cs="Times New Roman"/>
                <w:kern w:val="0"/>
                <w:szCs w:val="21"/>
              </w:rPr>
              <w:t>　</w:t>
            </w:r>
          </w:p>
        </w:tc>
        <w:tc>
          <w:tcPr>
            <w:tcW w:w="1548"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173.18</w:t>
            </w:r>
            <w:r>
              <w:rPr>
                <w:rFonts w:ascii="Times New Roman" w:hAnsi="Times New Roman" w:eastAsia="仿宋_GB2312" w:cs="Times New Roman"/>
                <w:kern w:val="0"/>
                <w:szCs w:val="21"/>
              </w:rPr>
              <w:t>　</w:t>
            </w:r>
          </w:p>
        </w:tc>
        <w:tc>
          <w:tcPr>
            <w:tcW w:w="1356"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173.18</w:t>
            </w:r>
            <w:r>
              <w:rPr>
                <w:rFonts w:ascii="Times New Roman" w:hAnsi="Times New Roman" w:eastAsia="仿宋_GB2312" w:cs="Times New Roman"/>
                <w:kern w:val="0"/>
                <w:szCs w:val="21"/>
              </w:rPr>
              <w:t>　</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2080501</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归口管理的行政事业单位离退休</w:t>
            </w:r>
          </w:p>
        </w:tc>
        <w:tc>
          <w:tcPr>
            <w:tcW w:w="1548"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11.44</w:t>
            </w:r>
          </w:p>
        </w:tc>
        <w:tc>
          <w:tcPr>
            <w:tcW w:w="1356"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11.44</w:t>
            </w:r>
            <w:r>
              <w:rPr>
                <w:rFonts w:ascii="Times New Roman" w:hAnsi="Times New Roman" w:eastAsia="仿宋_GB2312" w:cs="Times New Roman"/>
                <w:kern w:val="0"/>
                <w:szCs w:val="21"/>
              </w:rPr>
              <w:t>　</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2080505</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机关事业单位基本养老保险缴费支出</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161.74</w:t>
            </w:r>
            <w:r>
              <w:rPr>
                <w:rFonts w:ascii="Times New Roman" w:hAnsi="Times New Roman" w:eastAsia="仿宋_GB2312" w:cs="Times New Roman"/>
                <w:kern w:val="0"/>
                <w:szCs w:val="21"/>
              </w:rPr>
              <w:t>　</w:t>
            </w:r>
          </w:p>
        </w:tc>
        <w:tc>
          <w:tcPr>
            <w:tcW w:w="1356"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161.74</w:t>
            </w:r>
            <w:r>
              <w:rPr>
                <w:rFonts w:ascii="Times New Roman" w:hAnsi="Times New Roman" w:eastAsia="仿宋_GB2312" w:cs="Times New Roman"/>
                <w:kern w:val="0"/>
                <w:szCs w:val="21"/>
              </w:rPr>
              <w:t>　</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20808</w:t>
            </w:r>
          </w:p>
        </w:tc>
        <w:tc>
          <w:tcPr>
            <w:tcW w:w="4450" w:type="dxa"/>
            <w:shd w:val="clear" w:color="auto" w:fill="auto"/>
            <w:noWrap/>
            <w:vAlign w:val="center"/>
          </w:tcPr>
          <w:p>
            <w:pPr>
              <w:widowControl/>
              <w:jc w:val="lef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抚恤</w:t>
            </w:r>
            <w:r>
              <w:rPr>
                <w:rFonts w:ascii="Times New Roman" w:hAnsi="Times New Roman" w:eastAsia="仿宋_GB2312" w:cs="Times New Roman"/>
                <w:kern w:val="0"/>
                <w:szCs w:val="21"/>
              </w:rPr>
              <w:t>　</w:t>
            </w:r>
          </w:p>
        </w:tc>
        <w:tc>
          <w:tcPr>
            <w:tcW w:w="1548" w:type="dxa"/>
            <w:shd w:val="clear" w:color="auto" w:fill="auto"/>
            <w:noWrap/>
            <w:vAlign w:val="center"/>
          </w:tcPr>
          <w:p>
            <w:pPr>
              <w:widowControl/>
              <w:jc w:val="righ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2.69</w:t>
            </w:r>
            <w:r>
              <w:rPr>
                <w:rFonts w:ascii="Times New Roman" w:hAnsi="Times New Roman" w:eastAsia="仿宋_GB2312" w:cs="Times New Roman"/>
                <w:kern w:val="0"/>
                <w:szCs w:val="21"/>
              </w:rPr>
              <w:t>　</w:t>
            </w:r>
          </w:p>
        </w:tc>
        <w:tc>
          <w:tcPr>
            <w:tcW w:w="1356"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2.69</w:t>
            </w:r>
            <w:r>
              <w:rPr>
                <w:rFonts w:ascii="Times New Roman" w:hAnsi="Times New Roman" w:eastAsia="仿宋_GB2312" w:cs="Times New Roman"/>
                <w:kern w:val="0"/>
                <w:szCs w:val="21"/>
              </w:rPr>
              <w:t>　</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2080801</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死亡抚恤</w:t>
            </w:r>
          </w:p>
        </w:tc>
        <w:tc>
          <w:tcPr>
            <w:tcW w:w="1548" w:type="dxa"/>
            <w:shd w:val="clear" w:color="auto" w:fill="auto"/>
            <w:noWrap/>
            <w:vAlign w:val="center"/>
          </w:tcPr>
          <w:p>
            <w:pPr>
              <w:widowControl/>
              <w:jc w:val="righ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2.69</w:t>
            </w:r>
            <w:r>
              <w:rPr>
                <w:rFonts w:ascii="Times New Roman" w:hAnsi="Times New Roman" w:eastAsia="仿宋_GB2312" w:cs="Times New Roman"/>
                <w:kern w:val="0"/>
                <w:szCs w:val="21"/>
              </w:rPr>
              <w:t>　</w:t>
            </w:r>
          </w:p>
        </w:tc>
        <w:tc>
          <w:tcPr>
            <w:tcW w:w="1356"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2.69</w:t>
            </w:r>
            <w:r>
              <w:rPr>
                <w:rFonts w:ascii="Times New Roman" w:hAnsi="Times New Roman" w:eastAsia="仿宋_GB2312" w:cs="Times New Roman"/>
                <w:kern w:val="0"/>
                <w:szCs w:val="21"/>
              </w:rPr>
              <w:t>　</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20827</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财政对其他社会保险基金的补助</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10.05</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5.97</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4.08</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2082701</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财政对失业保险基金的补助</w:t>
            </w:r>
          </w:p>
        </w:tc>
        <w:tc>
          <w:tcPr>
            <w:tcW w:w="154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5.97</w:t>
            </w:r>
          </w:p>
        </w:tc>
        <w:tc>
          <w:tcPr>
            <w:tcW w:w="1356"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5.97</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2082702</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财政对工伤保险基金的补助</w:t>
            </w:r>
          </w:p>
        </w:tc>
        <w:tc>
          <w:tcPr>
            <w:tcW w:w="154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4.08</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13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4.08</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210</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卫生健康支出</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79.31</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79.31</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21011</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行政事业单位医疗</w:t>
            </w:r>
          </w:p>
        </w:tc>
        <w:tc>
          <w:tcPr>
            <w:tcW w:w="1548"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79.31</w:t>
            </w:r>
          </w:p>
        </w:tc>
        <w:tc>
          <w:tcPr>
            <w:tcW w:w="1356"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79.31</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2101101</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行政事业单位医疗</w:t>
            </w:r>
          </w:p>
        </w:tc>
        <w:tc>
          <w:tcPr>
            <w:tcW w:w="1548"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79.31</w:t>
            </w:r>
          </w:p>
        </w:tc>
        <w:tc>
          <w:tcPr>
            <w:tcW w:w="1356"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79.31</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211</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节能环保支出</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181.91</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181.91</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21103</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污染防治</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9.80</w:t>
            </w:r>
          </w:p>
        </w:tc>
        <w:tc>
          <w:tcPr>
            <w:tcW w:w="1356"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9.80</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2110302</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水体</w:t>
            </w:r>
          </w:p>
        </w:tc>
        <w:tc>
          <w:tcPr>
            <w:tcW w:w="1548"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9.80</w:t>
            </w:r>
          </w:p>
        </w:tc>
        <w:tc>
          <w:tcPr>
            <w:tcW w:w="1356"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80"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9.80</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21111</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污染减排</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172.11</w:t>
            </w:r>
          </w:p>
        </w:tc>
        <w:tc>
          <w:tcPr>
            <w:tcW w:w="1356"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172.11</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2111103</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减排专项支出</w:t>
            </w:r>
          </w:p>
        </w:tc>
        <w:tc>
          <w:tcPr>
            <w:tcW w:w="1548"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172.11</w:t>
            </w:r>
          </w:p>
        </w:tc>
        <w:tc>
          <w:tcPr>
            <w:tcW w:w="1356"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80"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172.11</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城乡社区支出</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3396.27</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1675.88</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1720.38</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城乡社区管理事务</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2151.27</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1153.88</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997.38</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2120101</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行政运行</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882.52</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882.52</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2120102</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一般行政管理事务</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170.56</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170.56</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2120103</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机关服务</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70.00</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70.00</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2120106</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工程建设管理</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155.66</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17.04</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138.62</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2120107</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市政公用行业市场监管</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72.00</w:t>
            </w:r>
          </w:p>
        </w:tc>
        <w:tc>
          <w:tcPr>
            <w:tcW w:w="1356"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72.00</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2120109</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住宅建设与房地产市场监管</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150.00</w:t>
            </w:r>
          </w:p>
        </w:tc>
        <w:tc>
          <w:tcPr>
            <w:tcW w:w="1356"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150.00</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2120199</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其他城乡社区管理事务支出</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650.52</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184.33</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466.20</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21202</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城乡社区规划与管理</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80.00</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80.00</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2120201</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w:t>
            </w:r>
            <w:r>
              <w:rPr>
                <w:rFonts w:hint="eastAsia" w:ascii="Times New Roman" w:hAnsi="Times New Roman" w:eastAsia="仿宋_GB2312" w:cs="Times New Roman"/>
                <w:kern w:val="0"/>
                <w:szCs w:val="21"/>
                <w:lang w:eastAsia="zh-CN"/>
              </w:rPr>
              <w:t>城乡社区规划与管理</w:t>
            </w:r>
          </w:p>
        </w:tc>
        <w:tc>
          <w:tcPr>
            <w:tcW w:w="1548"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80.00</w:t>
            </w:r>
          </w:p>
        </w:tc>
        <w:tc>
          <w:tcPr>
            <w:tcW w:w="1356"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80.00</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21203</w:t>
            </w:r>
          </w:p>
        </w:tc>
        <w:tc>
          <w:tcPr>
            <w:tcW w:w="4450" w:type="dxa"/>
            <w:shd w:val="clear" w:color="auto" w:fill="auto"/>
            <w:noWrap/>
            <w:vAlign w:val="center"/>
          </w:tcPr>
          <w:p>
            <w:pPr>
              <w:widowControl/>
              <w:jc w:val="lef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城乡社区公共设施</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959.00</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266.00</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693.00</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2120303</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小城镇基础设施</w:t>
            </w:r>
          </w:p>
        </w:tc>
        <w:tc>
          <w:tcPr>
            <w:tcW w:w="154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693.00</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13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693.00</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2120399</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其他城乡社区公共设施支出</w:t>
            </w:r>
          </w:p>
        </w:tc>
        <w:tc>
          <w:tcPr>
            <w:tcW w:w="154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266.00</w:t>
            </w:r>
          </w:p>
        </w:tc>
        <w:tc>
          <w:tcPr>
            <w:tcW w:w="1356"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266.00</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21206</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建设市场管理与监督</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88.00</w:t>
            </w:r>
          </w:p>
        </w:tc>
        <w:tc>
          <w:tcPr>
            <w:tcW w:w="1356"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2120601</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w:t>
            </w:r>
            <w:r>
              <w:rPr>
                <w:rFonts w:hint="eastAsia" w:ascii="Times New Roman" w:hAnsi="Times New Roman" w:eastAsia="仿宋_GB2312" w:cs="Times New Roman"/>
                <w:kern w:val="0"/>
                <w:szCs w:val="21"/>
                <w:lang w:eastAsia="zh-CN"/>
              </w:rPr>
              <w:t>建设市场管理与监督</w:t>
            </w:r>
          </w:p>
        </w:tc>
        <w:tc>
          <w:tcPr>
            <w:tcW w:w="1548"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1356"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21213</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城市基础设施配套费安排的支出</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30.00</w:t>
            </w:r>
          </w:p>
        </w:tc>
        <w:tc>
          <w:tcPr>
            <w:tcW w:w="1356"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30.00</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2121302</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城市环境卫生</w:t>
            </w:r>
          </w:p>
        </w:tc>
        <w:tc>
          <w:tcPr>
            <w:tcW w:w="1548"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30.00</w:t>
            </w:r>
          </w:p>
        </w:tc>
        <w:tc>
          <w:tcPr>
            <w:tcW w:w="1356"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80"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30.00</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21299</w:t>
            </w:r>
          </w:p>
        </w:tc>
        <w:tc>
          <w:tcPr>
            <w:tcW w:w="4450" w:type="dxa"/>
            <w:shd w:val="clear" w:color="auto" w:fill="auto"/>
            <w:noWrap/>
            <w:vAlign w:val="center"/>
          </w:tcPr>
          <w:p>
            <w:pPr>
              <w:widowControl/>
              <w:jc w:val="lef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其他城乡社区支出</w:t>
            </w:r>
          </w:p>
        </w:tc>
        <w:tc>
          <w:tcPr>
            <w:tcW w:w="1548"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1356"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2129901</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其他城乡社区支出</w:t>
            </w:r>
          </w:p>
        </w:tc>
        <w:tc>
          <w:tcPr>
            <w:tcW w:w="1548"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1356"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221</w:t>
            </w:r>
          </w:p>
        </w:tc>
        <w:tc>
          <w:tcPr>
            <w:tcW w:w="4450" w:type="dxa"/>
            <w:shd w:val="clear" w:color="auto" w:fill="auto"/>
            <w:noWrap/>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住房保障支出</w:t>
            </w:r>
          </w:p>
        </w:tc>
        <w:tc>
          <w:tcPr>
            <w:tcW w:w="1548"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95.76</w:t>
            </w:r>
          </w:p>
        </w:tc>
        <w:tc>
          <w:tcPr>
            <w:tcW w:w="1356"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95.76</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1102"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22102</w:t>
            </w:r>
          </w:p>
        </w:tc>
        <w:tc>
          <w:tcPr>
            <w:tcW w:w="4450" w:type="dxa"/>
            <w:shd w:val="clear" w:color="auto" w:fill="auto"/>
            <w:noWrap/>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住房改革支出</w:t>
            </w:r>
          </w:p>
        </w:tc>
        <w:tc>
          <w:tcPr>
            <w:tcW w:w="1548"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95.76</w:t>
            </w:r>
          </w:p>
        </w:tc>
        <w:tc>
          <w:tcPr>
            <w:tcW w:w="1356" w:type="dxa"/>
            <w:shd w:val="clear" w:color="auto" w:fill="auto"/>
            <w:noWrap/>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95.76</w:t>
            </w:r>
          </w:p>
        </w:tc>
        <w:tc>
          <w:tcPr>
            <w:tcW w:w="13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0" w:hRule="atLeast"/>
          <w:jc w:val="center"/>
        </w:trPr>
        <w:tc>
          <w:tcPr>
            <w:tcW w:w="0" w:type="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2210201</w:t>
            </w:r>
          </w:p>
        </w:tc>
        <w:tc>
          <w:tcPr>
            <w:tcW w:w="4450" w:type="dxa"/>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住房公积金</w:t>
            </w:r>
          </w:p>
        </w:tc>
        <w:tc>
          <w:tcPr>
            <w:tcW w:w="1548" w:type="dxa"/>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95.76</w:t>
            </w:r>
          </w:p>
        </w:tc>
        <w:tc>
          <w:tcPr>
            <w:tcW w:w="1356" w:type="dxa"/>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95.76</w:t>
            </w:r>
          </w:p>
        </w:tc>
        <w:tc>
          <w:tcPr>
            <w:tcW w:w="1380" w:type="dxa"/>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08" w:type="dxa"/>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84" w:type="dxa"/>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361" w:type="dxa"/>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bl>
    <w:p>
      <w:pPr>
        <w:widowControl/>
        <w:ind w:firstLine="630" w:firstLineChars="30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注：本表反映部门本年度各项支出情况。</w:t>
      </w: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p>
      <w:pPr>
        <w:widowControl/>
        <w:ind w:left="93"/>
        <w:jc w:val="center"/>
        <w:rPr>
          <w:rFonts w:ascii="Times New Roman" w:hAnsi="Times New Roman" w:eastAsia="方正小标宋_GBK" w:cs="Times New Roman"/>
          <w:color w:val="000000"/>
          <w:kern w:val="0"/>
          <w:sz w:val="36"/>
          <w:szCs w:val="21"/>
        </w:rPr>
      </w:pPr>
      <w:r>
        <w:rPr>
          <w:rFonts w:ascii="Times New Roman" w:hAnsi="Times New Roman" w:eastAsia="方正小标宋_GBK" w:cs="Times New Roman"/>
          <w:color w:val="000000"/>
          <w:kern w:val="0"/>
          <w:sz w:val="36"/>
          <w:szCs w:val="21"/>
        </w:rPr>
        <w:t>财政拨款收入支出决算总表</w:t>
      </w:r>
    </w:p>
    <w:p>
      <w:pPr>
        <w:widowControl/>
        <w:tabs>
          <w:tab w:val="left" w:pos="4453"/>
          <w:tab w:val="left" w:pos="4933"/>
          <w:tab w:val="left" w:pos="6813"/>
          <w:tab w:val="left" w:pos="11113"/>
          <w:tab w:val="left" w:pos="11549"/>
          <w:tab w:val="left" w:pos="13429"/>
          <w:tab w:val="left" w:pos="15089"/>
        </w:tabs>
        <w:spacing w:line="240" w:lineRule="exact"/>
        <w:ind w:left="91" w:right="630"/>
        <w:jc w:val="right"/>
        <w:rPr>
          <w:rFonts w:ascii="Times New Roman" w:hAnsi="Times New Roman" w:eastAsia="宋体" w:cs="Times New Roman"/>
          <w:color w:val="000000"/>
          <w:kern w:val="0"/>
          <w:szCs w:val="21"/>
        </w:rPr>
      </w:pPr>
    </w:p>
    <w:p>
      <w:pPr>
        <w:widowControl/>
        <w:spacing w:line="320" w:lineRule="exact"/>
        <w:ind w:right="198" w:firstLine="420" w:firstLineChars="200"/>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湘乡市住房和城乡建设局（本级）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eastAsia="zh-CN"/>
        </w:rPr>
        <w:t>公</w:t>
      </w:r>
      <w:r>
        <w:rPr>
          <w:rFonts w:hint="eastAsia" w:ascii="Times New Roman" w:hAnsi="Times New Roman" w:eastAsia="仿宋_GB2312" w:cs="Times New Roman"/>
          <w:color w:val="000000"/>
          <w:kern w:val="0"/>
          <w:szCs w:val="21"/>
        </w:rPr>
        <w:t>开</w:t>
      </w:r>
      <w:r>
        <w:rPr>
          <w:rFonts w:ascii="Times New Roman" w:hAnsi="Times New Roman" w:eastAsia="仿宋_GB2312" w:cs="Times New Roman"/>
          <w:color w:val="000000"/>
          <w:kern w:val="0"/>
          <w:szCs w:val="21"/>
        </w:rPr>
        <w:t>0</w:t>
      </w:r>
      <w:r>
        <w:rPr>
          <w:rFonts w:hint="eastAsia" w:ascii="Times New Roman" w:hAnsi="Times New Roman" w:eastAsia="仿宋_GB2312" w:cs="Times New Roman"/>
          <w:color w:val="000000"/>
          <w:kern w:val="0"/>
          <w:szCs w:val="21"/>
          <w:lang w:val="en-US" w:eastAsia="zh-CN"/>
        </w:rPr>
        <w:t>4</w:t>
      </w:r>
      <w:r>
        <w:rPr>
          <w:rFonts w:hint="eastAsia" w:ascii="Times New Roman" w:hAnsi="Times New Roman" w:eastAsia="仿宋_GB2312" w:cs="Times New Roman"/>
          <w:color w:val="000000"/>
          <w:kern w:val="0"/>
          <w:szCs w:val="21"/>
        </w:rPr>
        <w:t>表</w:t>
      </w:r>
      <w:r>
        <w:rPr>
          <w:rFonts w:ascii="Times New Roman" w:hAnsi="Times New Roman" w:eastAsia="仿宋_GB2312" w:cs="Times New Roman"/>
          <w:color w:val="000000"/>
          <w:kern w:val="0"/>
          <w:szCs w:val="21"/>
        </w:rPr>
        <w:tab/>
      </w:r>
    </w:p>
    <w:p>
      <w:pPr>
        <w:widowControl/>
        <w:tabs>
          <w:tab w:val="left" w:pos="13725"/>
          <w:tab w:val="left" w:pos="13755"/>
          <w:tab w:val="left" w:pos="13800"/>
        </w:tabs>
        <w:spacing w:line="240" w:lineRule="exact"/>
        <w:ind w:firstLine="13230" w:firstLineChars="63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5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994"/>
        <w:gridCol w:w="480"/>
        <w:gridCol w:w="1880"/>
        <w:gridCol w:w="3761"/>
        <w:gridCol w:w="430"/>
        <w:gridCol w:w="1880"/>
        <w:gridCol w:w="1660"/>
        <w:gridCol w:w="15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2" w:hRule="atLeast"/>
          <w:jc w:val="center"/>
        </w:trPr>
        <w:tc>
          <w:tcPr>
            <w:tcW w:w="5354" w:type="dxa"/>
            <w:gridSpan w:val="3"/>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收入</w:t>
            </w:r>
          </w:p>
        </w:tc>
        <w:tc>
          <w:tcPr>
            <w:tcW w:w="9303" w:type="dxa"/>
            <w:gridSpan w:val="5"/>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3" w:hRule="atLeast"/>
          <w:jc w:val="center"/>
        </w:trPr>
        <w:tc>
          <w:tcPr>
            <w:tcW w:w="2994"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480"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行次</w:t>
            </w:r>
          </w:p>
        </w:tc>
        <w:tc>
          <w:tcPr>
            <w:tcW w:w="1880"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金额</w:t>
            </w:r>
          </w:p>
        </w:tc>
        <w:tc>
          <w:tcPr>
            <w:tcW w:w="3761"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430"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行次</w:t>
            </w:r>
          </w:p>
        </w:tc>
        <w:tc>
          <w:tcPr>
            <w:tcW w:w="1880" w:type="dxa"/>
            <w:shd w:val="clear" w:color="auto" w:fill="auto"/>
            <w:noWrap/>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合计</w:t>
            </w:r>
          </w:p>
        </w:tc>
        <w:tc>
          <w:tcPr>
            <w:tcW w:w="1660" w:type="dxa"/>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一般公共预算财政拨款</w:t>
            </w:r>
          </w:p>
        </w:tc>
        <w:tc>
          <w:tcPr>
            <w:tcW w:w="1572" w:type="dxa"/>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政府性基金预算财政拨款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    次</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761"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    次</w:t>
            </w:r>
          </w:p>
        </w:tc>
        <w:tc>
          <w:tcPr>
            <w:tcW w:w="43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66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572"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一、一般公共预算财政拨款</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3444.58</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一、一般公共服务支出</w:t>
            </w:r>
          </w:p>
        </w:tc>
        <w:tc>
          <w:tcPr>
            <w:tcW w:w="430" w:type="dxa"/>
            <w:shd w:val="clear" w:color="auto" w:fill="auto"/>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7</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二、政府性基金预算财政拨款</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二、外交支出</w:t>
            </w:r>
          </w:p>
        </w:tc>
        <w:tc>
          <w:tcPr>
            <w:tcW w:w="430" w:type="dxa"/>
            <w:shd w:val="clear" w:color="auto" w:fill="auto"/>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8</w:t>
            </w:r>
          </w:p>
        </w:tc>
        <w:tc>
          <w:tcPr>
            <w:tcW w:w="18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三、国防支出</w:t>
            </w:r>
          </w:p>
        </w:tc>
        <w:tc>
          <w:tcPr>
            <w:tcW w:w="430" w:type="dxa"/>
            <w:shd w:val="clear" w:color="auto" w:fill="auto"/>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9</w:t>
            </w:r>
          </w:p>
        </w:tc>
        <w:tc>
          <w:tcPr>
            <w:tcW w:w="18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w:t>
            </w:r>
          </w:p>
        </w:tc>
        <w:tc>
          <w:tcPr>
            <w:tcW w:w="430" w:type="dxa"/>
            <w:shd w:val="clear" w:color="auto" w:fill="auto"/>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w:t>
            </w:r>
          </w:p>
        </w:tc>
        <w:tc>
          <w:tcPr>
            <w:tcW w:w="188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eastAsia="zh-CN"/>
              </w:rPr>
              <w:t>八、社会保障和就业支出</w:t>
            </w:r>
            <w:r>
              <w:rPr>
                <w:rFonts w:hint="eastAsia" w:ascii="Times New Roman" w:hAnsi="Times New Roman" w:eastAsia="仿宋_GB2312" w:cs="Times New Roman"/>
                <w:kern w:val="0"/>
                <w:szCs w:val="21"/>
              </w:rPr>
              <w:t>　</w:t>
            </w:r>
          </w:p>
        </w:tc>
        <w:tc>
          <w:tcPr>
            <w:tcW w:w="430" w:type="dxa"/>
            <w:shd w:val="clear" w:color="auto" w:fill="auto"/>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w:t>
            </w:r>
          </w:p>
        </w:tc>
        <w:tc>
          <w:tcPr>
            <w:tcW w:w="1880" w:type="dxa"/>
            <w:shd w:val="clear" w:color="auto" w:fill="auto"/>
            <w:noWrap/>
            <w:vAlign w:val="center"/>
          </w:tcPr>
          <w:p>
            <w:pPr>
              <w:widowControl/>
              <w:jc w:val="righ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185.92</w:t>
            </w: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185.92</w:t>
            </w: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eastAsia="zh-CN"/>
              </w:rPr>
              <w:t>九、卫生健康支出</w:t>
            </w:r>
          </w:p>
        </w:tc>
        <w:tc>
          <w:tcPr>
            <w:tcW w:w="430" w:type="dxa"/>
            <w:shd w:val="clear" w:color="auto" w:fill="auto"/>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2</w:t>
            </w:r>
            <w:r>
              <w:rPr>
                <w:rFonts w:hint="eastAsia" w:ascii="Times New Roman" w:hAnsi="Times New Roman" w:eastAsia="仿宋_GB2312" w:cs="Times New Roman"/>
                <w:kern w:val="0"/>
                <w:szCs w:val="21"/>
                <w:lang w:val="en-US" w:eastAsia="zh-CN"/>
              </w:rPr>
              <w:t>2</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79.31</w:t>
            </w: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79.31</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eastAsia="zh-CN"/>
              </w:rPr>
              <w:t>十</w:t>
            </w:r>
            <w:r>
              <w:rPr>
                <w:rFonts w:hint="eastAsia" w:ascii="Times New Roman" w:hAnsi="Times New Roman" w:eastAsia="仿宋_GB2312" w:cs="Times New Roman"/>
                <w:kern w:val="0"/>
                <w:szCs w:val="21"/>
              </w:rPr>
              <w:t>、</w:t>
            </w:r>
            <w:r>
              <w:rPr>
                <w:rFonts w:hint="eastAsia" w:ascii="Times New Roman" w:hAnsi="Times New Roman" w:eastAsia="仿宋_GB2312" w:cs="Times New Roman"/>
                <w:kern w:val="0"/>
                <w:szCs w:val="21"/>
                <w:lang w:eastAsia="zh-CN"/>
              </w:rPr>
              <w:t>节能环保支出</w:t>
            </w:r>
          </w:p>
        </w:tc>
        <w:tc>
          <w:tcPr>
            <w:tcW w:w="430" w:type="dxa"/>
            <w:shd w:val="clear" w:color="auto" w:fill="auto"/>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2</w:t>
            </w:r>
            <w:r>
              <w:rPr>
                <w:rFonts w:hint="eastAsia" w:ascii="Times New Roman" w:hAnsi="Times New Roman" w:eastAsia="仿宋_GB2312" w:cs="Times New Roman"/>
                <w:kern w:val="0"/>
                <w:szCs w:val="21"/>
                <w:lang w:val="en-US" w:eastAsia="zh-CN"/>
              </w:rPr>
              <w:t>3</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181.91</w:t>
            </w: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181.91</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880"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eastAsia="zh-CN"/>
              </w:rPr>
              <w:t>十一、城乡社区支出</w:t>
            </w:r>
          </w:p>
        </w:tc>
        <w:tc>
          <w:tcPr>
            <w:tcW w:w="430" w:type="dxa"/>
            <w:shd w:val="clear" w:color="auto" w:fill="auto"/>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2</w:t>
            </w:r>
            <w:r>
              <w:rPr>
                <w:rFonts w:hint="eastAsia" w:ascii="Times New Roman" w:hAnsi="Times New Roman" w:eastAsia="仿宋_GB2312" w:cs="Times New Roman"/>
                <w:kern w:val="0"/>
                <w:szCs w:val="21"/>
                <w:lang w:val="en-US" w:eastAsia="zh-CN"/>
              </w:rPr>
              <w:t>4</w:t>
            </w:r>
          </w:p>
        </w:tc>
        <w:tc>
          <w:tcPr>
            <w:tcW w:w="18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3396.27</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3396.27</w:t>
            </w: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w:t>
            </w:r>
          </w:p>
        </w:tc>
        <w:tc>
          <w:tcPr>
            <w:tcW w:w="1880" w:type="dxa"/>
            <w:shd w:val="clear" w:color="auto" w:fill="auto"/>
            <w:noWrap/>
            <w:vAlign w:val="center"/>
          </w:tcPr>
          <w:p>
            <w:pPr>
              <w:widowControl/>
              <w:jc w:val="lef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 ...</w:t>
            </w:r>
          </w:p>
        </w:tc>
        <w:tc>
          <w:tcPr>
            <w:tcW w:w="430" w:type="dxa"/>
            <w:shd w:val="clear" w:color="auto" w:fill="auto"/>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25</w:t>
            </w:r>
          </w:p>
        </w:tc>
        <w:tc>
          <w:tcPr>
            <w:tcW w:w="1880" w:type="dxa"/>
            <w:shd w:val="clear" w:color="auto" w:fill="auto"/>
            <w:noWrap/>
            <w:vAlign w:val="center"/>
          </w:tcPr>
          <w:p>
            <w:pPr>
              <w:widowControl/>
              <w:jc w:val="right"/>
              <w:rPr>
                <w:rFonts w:hint="eastAsia" w:ascii="Times New Roman" w:hAnsi="Times New Roman" w:eastAsia="仿宋_GB2312" w:cs="Times New Roman"/>
                <w:kern w:val="0"/>
                <w:szCs w:val="21"/>
                <w:lang w:val="en-US" w:eastAsia="zh-CN"/>
              </w:rPr>
            </w:pPr>
          </w:p>
        </w:tc>
        <w:tc>
          <w:tcPr>
            <w:tcW w:w="1660" w:type="dxa"/>
            <w:shd w:val="clear" w:color="auto" w:fill="auto"/>
            <w:noWrap/>
            <w:vAlign w:val="center"/>
          </w:tcPr>
          <w:p>
            <w:pPr>
              <w:widowControl/>
              <w:jc w:val="right"/>
              <w:rPr>
                <w:rFonts w:hint="eastAsia" w:ascii="Times New Roman" w:hAnsi="Times New Roman" w:eastAsia="仿宋_GB2312" w:cs="Times New Roman"/>
                <w:kern w:val="0"/>
                <w:szCs w:val="21"/>
                <w:lang w:val="en-US" w:eastAsia="zh-CN"/>
              </w:rPr>
            </w:pPr>
          </w:p>
        </w:tc>
        <w:tc>
          <w:tcPr>
            <w:tcW w:w="1572" w:type="dxa"/>
            <w:shd w:val="clear" w:color="auto" w:fill="auto"/>
            <w:noWrap/>
            <w:vAlign w:val="center"/>
          </w:tcPr>
          <w:p>
            <w:pPr>
              <w:widowControl/>
              <w:jc w:val="right"/>
              <w:rPr>
                <w:rFonts w:hint="eastAsia" w:ascii="Times New Roman" w:hAnsi="Times New Roman" w:eastAsia="仿宋_GB2312" w:cs="Times New Roman"/>
                <w:kern w:val="0"/>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left"/>
              <w:rPr>
                <w:rFonts w:ascii="Times New Roman" w:hAnsi="Times New Roman" w:eastAsia="仿宋_GB2312" w:cs="Times New Roman"/>
                <w:kern w:val="0"/>
                <w:szCs w:val="21"/>
              </w:rPr>
            </w:pPr>
          </w:p>
        </w:tc>
        <w:tc>
          <w:tcPr>
            <w:tcW w:w="480" w:type="dxa"/>
            <w:shd w:val="clear" w:color="auto" w:fill="auto"/>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w:t>
            </w:r>
          </w:p>
        </w:tc>
        <w:tc>
          <w:tcPr>
            <w:tcW w:w="1880" w:type="dxa"/>
            <w:shd w:val="clear" w:color="auto" w:fill="auto"/>
            <w:noWrap/>
            <w:vAlign w:val="center"/>
          </w:tcPr>
          <w:p>
            <w:pPr>
              <w:widowControl/>
              <w:jc w:val="left"/>
              <w:rPr>
                <w:rFonts w:ascii="Times New Roman" w:hAnsi="Times New Roman" w:eastAsia="仿宋_GB2312" w:cs="Times New Roman"/>
                <w:kern w:val="0"/>
                <w:szCs w:val="21"/>
              </w:rPr>
            </w:pPr>
          </w:p>
        </w:tc>
        <w:tc>
          <w:tcPr>
            <w:tcW w:w="3761" w:type="dxa"/>
            <w:shd w:val="clear" w:color="auto" w:fill="auto"/>
            <w:noWrap/>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十九、住房保障支出</w:t>
            </w:r>
          </w:p>
        </w:tc>
        <w:tc>
          <w:tcPr>
            <w:tcW w:w="430" w:type="dxa"/>
            <w:shd w:val="clear" w:color="auto" w:fill="auto"/>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26</w:t>
            </w:r>
          </w:p>
        </w:tc>
        <w:tc>
          <w:tcPr>
            <w:tcW w:w="18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95.76</w:t>
            </w:r>
          </w:p>
        </w:tc>
        <w:tc>
          <w:tcPr>
            <w:tcW w:w="166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95.76</w:t>
            </w:r>
          </w:p>
        </w:tc>
        <w:tc>
          <w:tcPr>
            <w:tcW w:w="1572" w:type="dxa"/>
            <w:shd w:val="clear" w:color="auto" w:fill="auto"/>
            <w:noWrap/>
            <w:vAlign w:val="center"/>
          </w:tcPr>
          <w:p>
            <w:pPr>
              <w:widowControl/>
              <w:jc w:val="right"/>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本年收入合计</w:t>
            </w:r>
          </w:p>
        </w:tc>
        <w:tc>
          <w:tcPr>
            <w:tcW w:w="480" w:type="dxa"/>
            <w:shd w:val="clear" w:color="auto" w:fill="auto"/>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3474.58</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本年支出合计</w:t>
            </w:r>
          </w:p>
        </w:tc>
        <w:tc>
          <w:tcPr>
            <w:tcW w:w="430" w:type="dxa"/>
            <w:shd w:val="clear" w:color="auto" w:fill="auto"/>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2</w:t>
            </w:r>
            <w:r>
              <w:rPr>
                <w:rFonts w:hint="eastAsia" w:ascii="Times New Roman" w:hAnsi="Times New Roman" w:eastAsia="仿宋_GB2312" w:cs="Times New Roman"/>
                <w:kern w:val="0"/>
                <w:szCs w:val="21"/>
                <w:lang w:val="en-US" w:eastAsia="zh-CN"/>
              </w:rPr>
              <w:t>7</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4354.16</w:t>
            </w: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3909.17</w:t>
            </w:r>
          </w:p>
        </w:tc>
        <w:tc>
          <w:tcPr>
            <w:tcW w:w="1572" w:type="dxa"/>
            <w:shd w:val="clear" w:color="auto" w:fill="auto"/>
            <w:noWrap/>
            <w:vAlign w:val="center"/>
          </w:tcPr>
          <w:p>
            <w:pPr>
              <w:widowControl/>
              <w:jc w:val="right"/>
              <w:rPr>
                <w:rFonts w:hint="default" w:ascii="Times New Roman" w:hAnsi="Times New Roman" w:eastAsia="仿宋_GB2312" w:cs="Times New Roman"/>
                <w:b/>
                <w:bCs/>
                <w:kern w:val="0"/>
                <w:szCs w:val="21"/>
                <w:lang w:val="en-US" w:eastAsia="zh-CN"/>
              </w:rPr>
            </w:pPr>
            <w:r>
              <w:rPr>
                <w:rFonts w:ascii="Times New Roman" w:hAnsi="Times New Roman" w:eastAsia="仿宋_GB2312" w:cs="Times New Roman"/>
                <w:b w:val="0"/>
                <w:bCs w:val="0"/>
                <w:kern w:val="0"/>
                <w:szCs w:val="21"/>
              </w:rPr>
              <w:t>　</w:t>
            </w:r>
            <w:r>
              <w:rPr>
                <w:rFonts w:hint="eastAsia" w:ascii="Times New Roman" w:hAnsi="Times New Roman" w:eastAsia="仿宋_GB2312" w:cs="Times New Roman"/>
                <w:b w:val="0"/>
                <w:bCs w:val="0"/>
                <w:kern w:val="0"/>
                <w:szCs w:val="21"/>
                <w:lang w:val="en-US" w:eastAsia="zh-CN"/>
              </w:rPr>
              <w:t>30.00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年初财政拨款结转和结余</w:t>
            </w:r>
          </w:p>
        </w:tc>
        <w:tc>
          <w:tcPr>
            <w:tcW w:w="480" w:type="dxa"/>
            <w:shd w:val="clear" w:color="auto" w:fill="auto"/>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2</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1922.02</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年末财政拨款结转和结余</w:t>
            </w:r>
          </w:p>
        </w:tc>
        <w:tc>
          <w:tcPr>
            <w:tcW w:w="430" w:type="dxa"/>
            <w:shd w:val="clear" w:color="auto" w:fill="auto"/>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2</w:t>
            </w:r>
            <w:r>
              <w:rPr>
                <w:rFonts w:hint="eastAsia" w:ascii="Times New Roman" w:hAnsi="Times New Roman" w:eastAsia="仿宋_GB2312" w:cs="Times New Roman"/>
                <w:kern w:val="0"/>
                <w:szCs w:val="21"/>
                <w:lang w:val="en-US" w:eastAsia="zh-CN"/>
              </w:rPr>
              <w:t>8</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1457.42</w:t>
            </w: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1457.42</w:t>
            </w: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一、</w:t>
            </w:r>
            <w:r>
              <w:rPr>
                <w:rFonts w:ascii="Times New Roman" w:hAnsi="Times New Roman" w:eastAsia="仿宋_GB2312" w:cs="Times New Roman"/>
                <w:kern w:val="0"/>
                <w:szCs w:val="21"/>
              </w:rPr>
              <w:t>一般公共预算财政拨款</w:t>
            </w:r>
          </w:p>
        </w:tc>
        <w:tc>
          <w:tcPr>
            <w:tcW w:w="480" w:type="dxa"/>
            <w:shd w:val="clear" w:color="auto" w:fill="auto"/>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3</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1922.02</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2</w:t>
            </w:r>
            <w:r>
              <w:rPr>
                <w:rFonts w:hint="eastAsia" w:ascii="Times New Roman" w:hAnsi="Times New Roman" w:eastAsia="仿宋_GB2312" w:cs="Times New Roman"/>
                <w:kern w:val="0"/>
                <w:szCs w:val="21"/>
                <w:lang w:val="en-US" w:eastAsia="zh-CN"/>
              </w:rPr>
              <w:t>9</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二、</w:t>
            </w:r>
            <w:r>
              <w:rPr>
                <w:rFonts w:ascii="Times New Roman" w:hAnsi="Times New Roman" w:eastAsia="仿宋_GB2312" w:cs="Times New Roman"/>
                <w:kern w:val="0"/>
                <w:szCs w:val="21"/>
              </w:rPr>
              <w:t>政府性基金预算财政拨款</w:t>
            </w:r>
          </w:p>
        </w:tc>
        <w:tc>
          <w:tcPr>
            <w:tcW w:w="480" w:type="dxa"/>
            <w:shd w:val="clear" w:color="auto" w:fill="auto"/>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4</w:t>
            </w:r>
          </w:p>
        </w:tc>
        <w:tc>
          <w:tcPr>
            <w:tcW w:w="18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80" w:type="dxa"/>
            <w:shd w:val="clear" w:color="auto" w:fill="auto"/>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5</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30" w:type="dxa"/>
            <w:shd w:val="clear" w:color="auto" w:fill="auto"/>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31</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2"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2994" w:type="dxa"/>
            <w:shd w:val="clear" w:color="auto" w:fill="auto"/>
            <w:noWrap/>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总计</w:t>
            </w:r>
          </w:p>
        </w:tc>
        <w:tc>
          <w:tcPr>
            <w:tcW w:w="480" w:type="dxa"/>
            <w:shd w:val="clear" w:color="auto" w:fill="auto"/>
            <w:noWrap/>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1</w:t>
            </w:r>
            <w:r>
              <w:rPr>
                <w:rFonts w:hint="eastAsia" w:ascii="Times New Roman" w:hAnsi="Times New Roman" w:eastAsia="仿宋_GB2312" w:cs="Times New Roman"/>
                <w:kern w:val="0"/>
                <w:szCs w:val="21"/>
                <w:lang w:val="en-US" w:eastAsia="zh-CN"/>
              </w:rPr>
              <w:t>6</w:t>
            </w:r>
          </w:p>
        </w:tc>
        <w:tc>
          <w:tcPr>
            <w:tcW w:w="1880" w:type="dxa"/>
            <w:shd w:val="clear" w:color="auto" w:fill="auto"/>
            <w:noWrap/>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5396.60</w:t>
            </w:r>
            <w:r>
              <w:rPr>
                <w:rFonts w:ascii="Times New Roman" w:hAnsi="Times New Roman" w:eastAsia="仿宋_GB2312" w:cs="Times New Roman"/>
                <w:kern w:val="0"/>
                <w:szCs w:val="21"/>
              </w:rPr>
              <w:t>　</w:t>
            </w:r>
          </w:p>
        </w:tc>
        <w:tc>
          <w:tcPr>
            <w:tcW w:w="3761" w:type="dxa"/>
            <w:shd w:val="clear" w:color="auto" w:fill="auto"/>
            <w:noWrap/>
            <w:vAlign w:val="center"/>
          </w:tcPr>
          <w:p>
            <w:pPr>
              <w:widowControl/>
              <w:jc w:val="center"/>
              <w:rPr>
                <w:rFonts w:ascii="Times New Roman" w:hAnsi="Times New Roman" w:eastAsia="仿宋_GB2312" w:cs="Times New Roman"/>
                <w:b/>
                <w:bCs/>
                <w:kern w:val="0"/>
                <w:szCs w:val="21"/>
              </w:rPr>
            </w:pPr>
            <w:r>
              <w:rPr>
                <w:rFonts w:ascii="Times New Roman" w:hAnsi="Times New Roman" w:eastAsia="仿宋_GB2312" w:cs="Times New Roman"/>
                <w:b/>
                <w:bCs/>
                <w:kern w:val="0"/>
                <w:szCs w:val="21"/>
              </w:rPr>
              <w:t>总计</w:t>
            </w:r>
          </w:p>
        </w:tc>
        <w:tc>
          <w:tcPr>
            <w:tcW w:w="430" w:type="dxa"/>
            <w:shd w:val="clear" w:color="auto" w:fill="auto"/>
            <w:noWrap/>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32</w:t>
            </w:r>
          </w:p>
        </w:tc>
        <w:tc>
          <w:tcPr>
            <w:tcW w:w="1880" w:type="dxa"/>
            <w:shd w:val="clear" w:color="auto" w:fill="auto"/>
            <w:noWrap/>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5396.60</w:t>
            </w:r>
          </w:p>
        </w:tc>
        <w:tc>
          <w:tcPr>
            <w:tcW w:w="1660" w:type="dxa"/>
            <w:shd w:val="clear" w:color="auto" w:fill="auto"/>
            <w:noWrap/>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5366.60</w:t>
            </w:r>
          </w:p>
        </w:tc>
        <w:tc>
          <w:tcPr>
            <w:tcW w:w="1572" w:type="dxa"/>
            <w:shd w:val="clear" w:color="auto" w:fill="auto"/>
            <w:noWrap/>
            <w:vAlign w:val="center"/>
          </w:tcPr>
          <w:p>
            <w:pPr>
              <w:widowControl/>
              <w:jc w:val="right"/>
              <w:rPr>
                <w:rFonts w:ascii="Times New Roman" w:hAnsi="Times New Roman" w:eastAsia="仿宋_GB2312" w:cs="Times New Roman"/>
                <w:b/>
                <w:bCs/>
                <w:kern w:val="0"/>
                <w:szCs w:val="21"/>
              </w:rPr>
            </w:pPr>
            <w:r>
              <w:rPr>
                <w:rFonts w:hint="eastAsia" w:ascii="Times New Roman" w:hAnsi="Times New Roman" w:eastAsia="仿宋_GB2312" w:cs="Times New Roman"/>
                <w:b w:val="0"/>
                <w:bCs w:val="0"/>
                <w:kern w:val="0"/>
                <w:szCs w:val="21"/>
                <w:lang w:val="en-US" w:eastAsia="zh-CN"/>
              </w:rPr>
              <w:t>30.00</w:t>
            </w:r>
            <w:r>
              <w:rPr>
                <w:rFonts w:ascii="Times New Roman" w:hAnsi="Times New Roman" w:eastAsia="仿宋_GB2312" w:cs="Times New Roman"/>
                <w:b/>
                <w:bCs/>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注：本表反映部门本年度一般公共预算财政拨款和政府性基金预算财政拨款的总收支和年末结转结余情况。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br w:type="page"/>
      </w:r>
    </w:p>
    <w:p>
      <w:pPr>
        <w:widowControl/>
        <w:jc w:val="center"/>
        <w:rPr>
          <w:rFonts w:ascii="Times New Roman" w:hAnsi="Times New Roman" w:eastAsia="方正小标宋_GBK" w:cs="Times New Roman"/>
          <w:kern w:val="0"/>
          <w:sz w:val="36"/>
          <w:szCs w:val="36"/>
        </w:rPr>
      </w:pPr>
      <w:bookmarkStart w:id="0" w:name="RANGE!A1:F16"/>
      <w:r>
        <w:rPr>
          <w:rFonts w:ascii="Times New Roman" w:hAnsi="Times New Roman" w:eastAsia="方正小标宋_GBK" w:cs="Times New Roman"/>
          <w:kern w:val="0"/>
          <w:sz w:val="36"/>
          <w:szCs w:val="36"/>
        </w:rPr>
        <w:t>一般公共预算财政拨款支出决算表</w:t>
      </w:r>
      <w:bookmarkEnd w:id="0"/>
    </w:p>
    <w:p>
      <w:pPr>
        <w:widowControl/>
        <w:spacing w:line="320" w:lineRule="exact"/>
        <w:ind w:right="198"/>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部门：</w:t>
      </w:r>
      <w:r>
        <w:rPr>
          <w:rFonts w:hint="eastAsia" w:ascii="Times New Roman" w:hAnsi="Times New Roman" w:eastAsia="仿宋_GB2312" w:cs="Times New Roman"/>
          <w:color w:val="000000"/>
          <w:kern w:val="0"/>
          <w:szCs w:val="21"/>
          <w:lang w:eastAsia="zh-CN"/>
        </w:rPr>
        <w:t>湘乡市住房和城乡建设局（本级）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eastAsia="zh-CN"/>
        </w:rPr>
        <w:t>公</w:t>
      </w:r>
      <w:r>
        <w:rPr>
          <w:rFonts w:hint="eastAsia" w:ascii="Times New Roman" w:hAnsi="Times New Roman" w:eastAsia="仿宋_GB2312" w:cs="Times New Roman"/>
          <w:color w:val="000000"/>
          <w:kern w:val="0"/>
          <w:szCs w:val="21"/>
        </w:rPr>
        <w:t>开</w:t>
      </w:r>
      <w:r>
        <w:rPr>
          <w:rFonts w:ascii="Times New Roman" w:hAnsi="Times New Roman" w:eastAsia="仿宋_GB2312" w:cs="Times New Roman"/>
          <w:color w:val="000000"/>
          <w:kern w:val="0"/>
          <w:szCs w:val="21"/>
        </w:rPr>
        <w:t>0</w:t>
      </w:r>
      <w:r>
        <w:rPr>
          <w:rFonts w:hint="eastAsia" w:ascii="Times New Roman" w:hAnsi="Times New Roman" w:eastAsia="仿宋_GB2312" w:cs="Times New Roman"/>
          <w:color w:val="000000"/>
          <w:kern w:val="0"/>
          <w:szCs w:val="21"/>
          <w:lang w:val="en-US" w:eastAsia="zh-CN"/>
        </w:rPr>
        <w:t>5</w:t>
      </w:r>
      <w:r>
        <w:rPr>
          <w:rFonts w:hint="eastAsia" w:ascii="Times New Roman" w:hAnsi="Times New Roman" w:eastAsia="仿宋_GB2312" w:cs="Times New Roman"/>
          <w:color w:val="000000"/>
          <w:kern w:val="0"/>
          <w:szCs w:val="21"/>
        </w:rPr>
        <w:t>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11"/>
        <w:gridCol w:w="5240"/>
        <w:gridCol w:w="2202"/>
        <w:gridCol w:w="2976"/>
        <w:gridCol w:w="2590"/>
      </w:tblGrid>
      <w:tr>
        <w:tblPrEx>
          <w:tblCellMar>
            <w:top w:w="0" w:type="dxa"/>
            <w:left w:w="108" w:type="dxa"/>
            <w:bottom w:w="0" w:type="dxa"/>
            <w:right w:w="108" w:type="dxa"/>
          </w:tblCellMar>
        </w:tblPrEx>
        <w:trPr>
          <w:trHeight w:val="405" w:hRule="atLeast"/>
          <w:jc w:val="center"/>
        </w:trPr>
        <w:tc>
          <w:tcPr>
            <w:tcW w:w="6451"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7768"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11"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52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20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97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259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11"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52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20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976"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59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12" w:hRule="atLeast"/>
          <w:jc w:val="center"/>
        </w:trPr>
        <w:tc>
          <w:tcPr>
            <w:tcW w:w="1211"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52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20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976"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59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6451"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20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97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59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6451"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20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3909.17</w:t>
            </w:r>
          </w:p>
        </w:tc>
        <w:tc>
          <w:tcPr>
            <w:tcW w:w="2976"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2032.81</w:t>
            </w:r>
            <w:r>
              <w:rPr>
                <w:rFonts w:ascii="Times New Roman" w:hAnsi="Times New Roman" w:eastAsia="仿宋_GB2312" w:cs="Times New Roman"/>
                <w:kern w:val="0"/>
                <w:szCs w:val="21"/>
              </w:rPr>
              <w:t>　</w:t>
            </w:r>
          </w:p>
        </w:tc>
        <w:tc>
          <w:tcPr>
            <w:tcW w:w="259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1876.37</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w:t>
            </w:r>
          </w:p>
        </w:tc>
        <w:tc>
          <w:tcPr>
            <w:tcW w:w="5240"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社会保障和就业支出</w:t>
            </w:r>
          </w:p>
        </w:tc>
        <w:tc>
          <w:tcPr>
            <w:tcW w:w="220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185.92</w:t>
            </w:r>
          </w:p>
        </w:tc>
        <w:tc>
          <w:tcPr>
            <w:tcW w:w="29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181.84</w:t>
            </w:r>
            <w:r>
              <w:rPr>
                <w:rFonts w:ascii="Times New Roman" w:hAnsi="Times New Roman" w:eastAsia="仿宋_GB2312" w:cs="Times New Roman"/>
                <w:kern w:val="0"/>
                <w:szCs w:val="21"/>
              </w:rPr>
              <w:t>　</w:t>
            </w:r>
          </w:p>
        </w:tc>
        <w:tc>
          <w:tcPr>
            <w:tcW w:w="2590" w:type="dxa"/>
            <w:tcBorders>
              <w:top w:val="nil"/>
              <w:left w:val="nil"/>
              <w:bottom w:val="single" w:color="auto" w:sz="4"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4.08</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20805</w:t>
            </w:r>
          </w:p>
        </w:tc>
        <w:tc>
          <w:tcPr>
            <w:tcW w:w="524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行政事业单位离退休</w:t>
            </w:r>
            <w:r>
              <w:rPr>
                <w:rFonts w:ascii="Times New Roman" w:hAnsi="Times New Roman" w:eastAsia="仿宋_GB2312" w:cs="Times New Roman"/>
                <w:kern w:val="0"/>
                <w:szCs w:val="21"/>
              </w:rPr>
              <w:t>　</w:t>
            </w:r>
          </w:p>
        </w:tc>
        <w:tc>
          <w:tcPr>
            <w:tcW w:w="220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173.18</w:t>
            </w:r>
          </w:p>
        </w:tc>
        <w:tc>
          <w:tcPr>
            <w:tcW w:w="2976"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173.18</w:t>
            </w:r>
          </w:p>
        </w:tc>
        <w:tc>
          <w:tcPr>
            <w:tcW w:w="2590" w:type="dxa"/>
            <w:tcBorders>
              <w:top w:val="nil"/>
              <w:left w:val="nil"/>
              <w:bottom w:val="single" w:color="auto" w:sz="4"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2080501</w:t>
            </w:r>
          </w:p>
        </w:tc>
        <w:tc>
          <w:tcPr>
            <w:tcW w:w="5240"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归口管理的行政事业单位离退休</w:t>
            </w:r>
          </w:p>
        </w:tc>
        <w:tc>
          <w:tcPr>
            <w:tcW w:w="220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11.44</w:t>
            </w:r>
          </w:p>
        </w:tc>
        <w:tc>
          <w:tcPr>
            <w:tcW w:w="29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11.44</w:t>
            </w:r>
            <w:r>
              <w:rPr>
                <w:rFonts w:ascii="Times New Roman" w:hAnsi="Times New Roman" w:eastAsia="仿宋_GB2312" w:cs="Times New Roman"/>
                <w:kern w:val="0"/>
                <w:szCs w:val="21"/>
              </w:rPr>
              <w:t>　</w:t>
            </w:r>
          </w:p>
        </w:tc>
        <w:tc>
          <w:tcPr>
            <w:tcW w:w="259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2080505</w:t>
            </w:r>
          </w:p>
        </w:tc>
        <w:tc>
          <w:tcPr>
            <w:tcW w:w="5240"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机关事业单位基本养老保险缴费支出</w:t>
            </w:r>
          </w:p>
        </w:tc>
        <w:tc>
          <w:tcPr>
            <w:tcW w:w="220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161.74</w:t>
            </w:r>
          </w:p>
        </w:tc>
        <w:tc>
          <w:tcPr>
            <w:tcW w:w="297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161.74</w:t>
            </w:r>
            <w:r>
              <w:rPr>
                <w:rFonts w:ascii="Times New Roman" w:hAnsi="Times New Roman" w:eastAsia="仿宋_GB2312" w:cs="Times New Roman"/>
                <w:kern w:val="0"/>
                <w:szCs w:val="21"/>
              </w:rPr>
              <w:t>　</w:t>
            </w:r>
          </w:p>
        </w:tc>
        <w:tc>
          <w:tcPr>
            <w:tcW w:w="259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20808</w:t>
            </w:r>
          </w:p>
        </w:tc>
        <w:tc>
          <w:tcPr>
            <w:tcW w:w="524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抚恤</w:t>
            </w:r>
            <w:r>
              <w:rPr>
                <w:rFonts w:ascii="Times New Roman" w:hAnsi="Times New Roman" w:eastAsia="仿宋_GB2312" w:cs="Times New Roman"/>
                <w:kern w:val="0"/>
                <w:szCs w:val="21"/>
              </w:rPr>
              <w:t>　</w:t>
            </w:r>
          </w:p>
        </w:tc>
        <w:tc>
          <w:tcPr>
            <w:tcW w:w="220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2.69</w:t>
            </w:r>
          </w:p>
        </w:tc>
        <w:tc>
          <w:tcPr>
            <w:tcW w:w="2976"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2.69</w:t>
            </w:r>
          </w:p>
        </w:tc>
        <w:tc>
          <w:tcPr>
            <w:tcW w:w="259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2080801</w:t>
            </w:r>
          </w:p>
        </w:tc>
        <w:tc>
          <w:tcPr>
            <w:tcW w:w="5240"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死亡抚恤</w:t>
            </w:r>
          </w:p>
        </w:tc>
        <w:tc>
          <w:tcPr>
            <w:tcW w:w="220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2.69</w:t>
            </w:r>
          </w:p>
        </w:tc>
        <w:tc>
          <w:tcPr>
            <w:tcW w:w="2976"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2.69</w:t>
            </w:r>
          </w:p>
        </w:tc>
        <w:tc>
          <w:tcPr>
            <w:tcW w:w="259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20827</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财政对其他社会保险基金的补助</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10.05</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5.97</w:t>
            </w:r>
            <w:r>
              <w:rPr>
                <w:rFonts w:ascii="Times New Roman" w:hAnsi="Times New Roman" w:eastAsia="仿宋_GB2312" w:cs="Times New Roman"/>
                <w:kern w:val="0"/>
                <w:szCs w:val="21"/>
              </w:rPr>
              <w:t>　</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4.08</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2082701</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财政对失业保险基金的补助</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5.97</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5.97</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2082702</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财政对工伤保险基金的补助</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4.08</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4.08</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210</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卫生健康支出</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79.31</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79.31</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21011</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行政事业单位医疗</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79.31</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79.31</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2101101</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行政事业单位医疗</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79.31</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79.31</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211</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节能环保支出</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181.91</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181.91</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21103</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污染防治</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9.80</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9.80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2110302</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水体</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9.80</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9.80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21111</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污染减排</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172.11</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172.11</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2111103</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减排专项支出</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172.11</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172.11</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城乡社区支出</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3366.27</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1675.88</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1690.38</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城乡社区管理事务</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2151.27</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1153.88</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997.38</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2120101</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行政运行</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882.52</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882.52</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2120102</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一般行政管理事务</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170.56</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170.56</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2120103</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机关服务</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70.00</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70.00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2120106</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工程建设管理</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155.66</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17.04</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138.62</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2120107</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市政公用行业市场监管</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72.00</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72.00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2120109</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住宅建设与房地产市场监管</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150.00</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2120199</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其他城乡社区管理事务支出</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650.52</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184.33</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466.20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21202</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城乡社区规划与管理</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80.00</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80.00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2120201</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w:t>
            </w:r>
            <w:r>
              <w:rPr>
                <w:rFonts w:hint="eastAsia" w:ascii="Times New Roman" w:hAnsi="Times New Roman" w:eastAsia="仿宋_GB2312" w:cs="Times New Roman"/>
                <w:kern w:val="0"/>
                <w:szCs w:val="21"/>
                <w:lang w:eastAsia="zh-CN"/>
              </w:rPr>
              <w:t>城乡社区规划与管理</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80.00</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80.00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21203</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城乡社区公共设施</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959.00</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266.00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693.00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2120303</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小城镇基础设施</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693.00</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693.00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2120399</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其他城乡社区公共设施支出</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266.00</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266.00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21206</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建设市场管理与监督</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88.00</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88.00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2120601</w:t>
            </w:r>
          </w:p>
        </w:tc>
        <w:tc>
          <w:tcPr>
            <w:tcW w:w="5240" w:type="dxa"/>
            <w:tcBorders>
              <w:top w:val="nil"/>
              <w:left w:val="nil"/>
              <w:bottom w:val="single" w:color="auto" w:sz="8" w:space="0"/>
              <w:right w:val="single" w:color="auto" w:sz="4" w:space="0"/>
            </w:tcBorders>
            <w:shd w:val="clear" w:color="auto" w:fill="auto"/>
            <w:vAlign w:val="center"/>
          </w:tcPr>
          <w:p>
            <w:pPr>
              <w:widowControl/>
              <w:ind w:firstLine="210" w:firstLineChars="100"/>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eastAsia="zh-CN"/>
              </w:rPr>
              <w:t>建设市场管理与监督</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21299</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其他城乡社区支出</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63"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2129901</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其他城乡社区支出</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88.00</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221</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eastAsia="zh-CN"/>
              </w:rPr>
              <w:t>住房保障支出</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95.76</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95.76</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22102</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住房改革支出</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95.76</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95.76</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11"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2210201</w:t>
            </w:r>
          </w:p>
        </w:tc>
        <w:tc>
          <w:tcPr>
            <w:tcW w:w="524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 xml:space="preserve">    住房公积金</w:t>
            </w:r>
          </w:p>
        </w:tc>
        <w:tc>
          <w:tcPr>
            <w:tcW w:w="2202"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95.76</w:t>
            </w:r>
          </w:p>
        </w:tc>
        <w:tc>
          <w:tcPr>
            <w:tcW w:w="2976"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95.76</w:t>
            </w:r>
          </w:p>
        </w:tc>
        <w:tc>
          <w:tcPr>
            <w:tcW w:w="259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p>
      <w:pPr>
        <w:widowControl/>
        <w:jc w:val="center"/>
        <w:rPr>
          <w:rFonts w:ascii="Times New Roman" w:hAnsi="Times New Roman" w:eastAsia="方正小标宋_GBK" w:cs="Times New Roman"/>
          <w:color w:val="000000"/>
          <w:kern w:val="0"/>
          <w:sz w:val="28"/>
          <w:szCs w:val="36"/>
        </w:rPr>
      </w:pPr>
      <w:bookmarkStart w:id="1" w:name="RANGE!A1:I39"/>
      <w:r>
        <w:rPr>
          <w:rFonts w:ascii="Times New Roman" w:hAnsi="Times New Roman" w:eastAsia="方正小标宋_GBK" w:cs="Times New Roman"/>
          <w:color w:val="000000"/>
          <w:kern w:val="0"/>
          <w:sz w:val="28"/>
          <w:szCs w:val="36"/>
        </w:rPr>
        <w:t>一般公共预算财政拨款基本支出决算表</w:t>
      </w:r>
      <w:bookmarkEnd w:id="1"/>
    </w:p>
    <w:p>
      <w:pPr>
        <w:widowControl/>
        <w:spacing w:line="320" w:lineRule="exact"/>
        <w:ind w:right="198"/>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湘乡市住房和城乡建设局（本级）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lang w:eastAsia="zh-CN"/>
        </w:rPr>
        <w:t>公</w:t>
      </w:r>
      <w:r>
        <w:rPr>
          <w:rFonts w:hint="eastAsia" w:ascii="Times New Roman" w:hAnsi="Times New Roman" w:eastAsia="仿宋_GB2312" w:cs="Times New Roman"/>
          <w:color w:val="000000"/>
          <w:kern w:val="0"/>
          <w:szCs w:val="21"/>
        </w:rPr>
        <w:t>开</w:t>
      </w:r>
      <w:r>
        <w:rPr>
          <w:rFonts w:ascii="Times New Roman" w:hAnsi="Times New Roman" w:eastAsia="仿宋_GB2312" w:cs="Times New Roman"/>
          <w:color w:val="000000"/>
          <w:kern w:val="0"/>
          <w:szCs w:val="21"/>
        </w:rPr>
        <w:t>0</w:t>
      </w:r>
      <w:r>
        <w:rPr>
          <w:rFonts w:hint="eastAsia" w:ascii="Times New Roman" w:hAnsi="Times New Roman" w:eastAsia="仿宋_GB2312" w:cs="Times New Roman"/>
          <w:color w:val="000000"/>
          <w:kern w:val="0"/>
          <w:szCs w:val="21"/>
          <w:lang w:val="en-US" w:eastAsia="zh-CN"/>
        </w:rPr>
        <w:t>6</w:t>
      </w:r>
      <w:r>
        <w:rPr>
          <w:rFonts w:hint="eastAsia" w:ascii="Times New Roman" w:hAnsi="Times New Roman" w:eastAsia="仿宋_GB2312" w:cs="Times New Roman"/>
          <w:color w:val="000000"/>
          <w:kern w:val="0"/>
          <w:szCs w:val="21"/>
        </w:rPr>
        <w:t>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5534" w:type="dxa"/>
        <w:tblInd w:w="93" w:type="dxa"/>
        <w:tblLayout w:type="fixed"/>
        <w:tblCellMar>
          <w:top w:w="0" w:type="dxa"/>
          <w:left w:w="108" w:type="dxa"/>
          <w:bottom w:w="0" w:type="dxa"/>
          <w:right w:w="108" w:type="dxa"/>
        </w:tblCellMar>
      </w:tblPr>
      <w:tblGrid>
        <w:gridCol w:w="1122"/>
        <w:gridCol w:w="2693"/>
        <w:gridCol w:w="1374"/>
        <w:gridCol w:w="1084"/>
        <w:gridCol w:w="2244"/>
        <w:gridCol w:w="1285"/>
        <w:gridCol w:w="947"/>
        <w:gridCol w:w="3440"/>
        <w:gridCol w:w="1345"/>
      </w:tblGrid>
      <w:tr>
        <w:tblPrEx>
          <w:tblCellMar>
            <w:top w:w="0" w:type="dxa"/>
            <w:left w:w="108" w:type="dxa"/>
            <w:bottom w:w="0" w:type="dxa"/>
            <w:right w:w="108" w:type="dxa"/>
          </w:tblCellMar>
        </w:tblPrEx>
        <w:trPr>
          <w:trHeight w:val="644" w:hRule="atLeast"/>
        </w:trPr>
        <w:tc>
          <w:tcPr>
            <w:tcW w:w="112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2693"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1374"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084"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2244"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1285"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947"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344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1345"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w:t>
            </w:r>
          </w:p>
        </w:tc>
        <w:tc>
          <w:tcPr>
            <w:tcW w:w="2693"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工资福利支出</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1530.28</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w:t>
            </w:r>
          </w:p>
        </w:tc>
        <w:tc>
          <w:tcPr>
            <w:tcW w:w="224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商品和服务支出</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360.37</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w:t>
            </w:r>
          </w:p>
        </w:tc>
        <w:tc>
          <w:tcPr>
            <w:tcW w:w="344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债务利息及费用支出</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hint="default" w:ascii="仿宋_GB2312" w:hAnsi="宋体" w:eastAsia="仿宋_GB2312" w:cs="宋体"/>
                <w:color w:val="000000"/>
                <w:kern w:val="0"/>
                <w:sz w:val="18"/>
                <w:szCs w:val="18"/>
                <w:lang w:val="en-US" w:eastAsia="zh-CN" w:bidi="ar-SA"/>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30101</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基本工资</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302.30</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30201</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办公费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89.89</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30701</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国内债务付息</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hint="default" w:ascii="Times New Roman" w:hAnsi="Times New Roman" w:eastAsia="宋体" w:cs="Times New Roman"/>
                <w:color w:val="000000"/>
                <w:kern w:val="0"/>
                <w:sz w:val="18"/>
                <w:szCs w:val="18"/>
                <w:lang w:val="en-US" w:eastAsia="zh-CN" w:bidi="ar-SA"/>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30102</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津贴补贴</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335.89</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30202</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印刷费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11.22</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30702</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国外债务付息</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hint="default" w:ascii="Times New Roman" w:hAnsi="Times New Roman" w:eastAsia="宋体" w:cs="Times New Roman"/>
                <w:color w:val="000000"/>
                <w:kern w:val="0"/>
                <w:sz w:val="18"/>
                <w:szCs w:val="18"/>
                <w:lang w:val="en-US" w:eastAsia="zh-CN" w:bidi="ar-SA"/>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30103</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奖金</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299.59</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30203</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咨询费</w:t>
            </w:r>
          </w:p>
        </w:tc>
        <w:tc>
          <w:tcPr>
            <w:tcW w:w="1285" w:type="dxa"/>
            <w:tcBorders>
              <w:top w:val="nil"/>
              <w:left w:val="nil"/>
              <w:bottom w:val="single" w:color="auto" w:sz="8" w:space="0"/>
              <w:right w:val="single" w:color="auto" w:sz="8" w:space="0"/>
            </w:tcBorders>
            <w:shd w:val="clear" w:color="auto" w:fill="auto"/>
            <w:noWrap/>
            <w:vAlign w:val="top"/>
          </w:tcPr>
          <w:p>
            <w:pPr>
              <w:widowControl/>
              <w:jc w:val="right"/>
              <w:rPr>
                <w:rFonts w:hint="default" w:ascii="仿宋_GB2312" w:hAnsi="宋体" w:eastAsia="仿宋_GB2312" w:cs="宋体"/>
                <w:color w:val="000000"/>
                <w:kern w:val="0"/>
                <w:sz w:val="18"/>
                <w:szCs w:val="18"/>
                <w:lang w:val="en-US" w:eastAsia="zh-CN" w:bidi="ar-SA"/>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w:t>
            </w:r>
          </w:p>
        </w:tc>
        <w:tc>
          <w:tcPr>
            <w:tcW w:w="344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资本性支出</w:t>
            </w:r>
          </w:p>
        </w:tc>
        <w:tc>
          <w:tcPr>
            <w:tcW w:w="1345"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5.25</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30106</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伙食补助费</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95.80</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30204</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手续费</w:t>
            </w:r>
          </w:p>
        </w:tc>
        <w:tc>
          <w:tcPr>
            <w:tcW w:w="1285" w:type="dxa"/>
            <w:tcBorders>
              <w:top w:val="nil"/>
              <w:left w:val="nil"/>
              <w:bottom w:val="single" w:color="auto" w:sz="8" w:space="0"/>
              <w:right w:val="single" w:color="auto" w:sz="8" w:space="0"/>
            </w:tcBorders>
            <w:shd w:val="clear" w:color="auto" w:fill="auto"/>
            <w:noWrap/>
            <w:vAlign w:val="top"/>
          </w:tcPr>
          <w:p>
            <w:pPr>
              <w:widowControl/>
              <w:jc w:val="right"/>
              <w:rPr>
                <w:rFonts w:hint="default" w:ascii="Times New Roman" w:hAnsi="Times New Roman" w:eastAsia="宋体" w:cs="Times New Roman"/>
                <w:color w:val="000000"/>
                <w:kern w:val="0"/>
                <w:sz w:val="18"/>
                <w:szCs w:val="18"/>
                <w:lang w:val="en-US" w:eastAsia="zh-CN" w:bidi="ar-SA"/>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31001</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房屋建筑物购建</w:t>
            </w:r>
          </w:p>
        </w:tc>
        <w:tc>
          <w:tcPr>
            <w:tcW w:w="1345"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30107</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绩效工资</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30205</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水费</w:t>
            </w:r>
          </w:p>
        </w:tc>
        <w:tc>
          <w:tcPr>
            <w:tcW w:w="1285" w:type="dxa"/>
            <w:tcBorders>
              <w:top w:val="nil"/>
              <w:left w:val="nil"/>
              <w:bottom w:val="single" w:color="auto" w:sz="8" w:space="0"/>
              <w:right w:val="single" w:color="auto" w:sz="8" w:space="0"/>
            </w:tcBorders>
            <w:shd w:val="clear" w:color="auto" w:fill="auto"/>
            <w:noWrap/>
            <w:vAlign w:val="top"/>
          </w:tcPr>
          <w:p>
            <w:pPr>
              <w:widowControl/>
              <w:jc w:val="right"/>
              <w:rPr>
                <w:rFonts w:hint="default" w:ascii="Times New Roman" w:hAnsi="Times New Roman" w:eastAsia="宋体" w:cs="Times New Roman"/>
                <w:color w:val="000000"/>
                <w:kern w:val="0"/>
                <w:sz w:val="18"/>
                <w:szCs w:val="18"/>
                <w:lang w:val="en-US" w:eastAsia="zh-CN" w:bidi="ar-SA"/>
              </w:rPr>
            </w:pPr>
            <w:r>
              <w:rPr>
                <w:rFonts w:hint="eastAsia" w:ascii="Times New Roman" w:hAnsi="Times New Roman" w:eastAsia="宋体" w:cs="Times New Roman"/>
                <w:color w:val="000000"/>
                <w:kern w:val="0"/>
                <w:sz w:val="18"/>
                <w:szCs w:val="18"/>
                <w:lang w:val="en-US" w:eastAsia="zh-CN"/>
              </w:rPr>
              <w:t>0.21</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31002</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办公设备购置</w:t>
            </w:r>
          </w:p>
        </w:tc>
        <w:tc>
          <w:tcPr>
            <w:tcW w:w="1345"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5.25</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30108</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机关事业单位基本养老保险费</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161.74</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30206</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电费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10.12</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31003</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专用设备购置</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30109</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职业年金缴费</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30207</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邮电费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3.97</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31005</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基础设施建设</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30110</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职工基本医疗保险缴费</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164.5</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30208</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取暖费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31006</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大型修缮</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30111</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公务员医疗补助缴费</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24.75</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30209</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物业管理费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31007</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信息网络及软件购置更新</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30112</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其他社会保障缴费</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9.20</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30211</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差旅费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16.81</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31008</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物资储备</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30113</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住房公积金</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113.98</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30212</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因公出国（境）费用</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31009</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土地补偿</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r>
      <w:tr>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30114</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医疗费</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6.64</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30213</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维修（护）费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11.54</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31010</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安置补助</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30199</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其他工资福利支出</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15.89</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30214</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租赁费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6.00</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31011</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地上附着物和青苗补偿</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w:t>
            </w:r>
          </w:p>
        </w:tc>
        <w:tc>
          <w:tcPr>
            <w:tcW w:w="2693"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对个人和家庭的补助</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136.91</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30215</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会议费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5.77</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31012</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拆迁补偿</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30301</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离休费</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1.03</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30216</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培训费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0.08</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31013</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公务用车购置</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30302</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退休费</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29.10</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30217</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公务接待费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5.67</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31019</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其他交通工具购置</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30303</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退职（役）费</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30218</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专用材料费</w:t>
            </w:r>
          </w:p>
        </w:tc>
        <w:tc>
          <w:tcPr>
            <w:tcW w:w="1285" w:type="dxa"/>
            <w:tcBorders>
              <w:top w:val="nil"/>
              <w:left w:val="nil"/>
              <w:bottom w:val="single" w:color="auto" w:sz="8" w:space="0"/>
              <w:right w:val="single" w:color="auto" w:sz="8" w:space="0"/>
            </w:tcBorders>
            <w:shd w:val="clear" w:color="auto" w:fill="auto"/>
            <w:noWrap/>
            <w:vAlign w:val="top"/>
          </w:tcPr>
          <w:p>
            <w:pPr>
              <w:widowControl/>
              <w:jc w:val="right"/>
              <w:rPr>
                <w:rFonts w:hint="default" w:ascii="仿宋_GB2312" w:hAnsi="宋体" w:eastAsia="仿宋_GB2312" w:cs="宋体"/>
                <w:color w:val="000000"/>
                <w:kern w:val="0"/>
                <w:sz w:val="18"/>
                <w:szCs w:val="18"/>
                <w:lang w:val="en-US" w:eastAsia="zh-CN" w:bidi="ar-SA"/>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31021</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文物和陈列品购置</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30304</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抚恤金</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6.28</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30224</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被装购置费</w:t>
            </w:r>
          </w:p>
        </w:tc>
        <w:tc>
          <w:tcPr>
            <w:tcW w:w="1285" w:type="dxa"/>
            <w:tcBorders>
              <w:top w:val="nil"/>
              <w:left w:val="nil"/>
              <w:bottom w:val="single" w:color="auto" w:sz="8" w:space="0"/>
              <w:right w:val="single" w:color="auto" w:sz="8" w:space="0"/>
            </w:tcBorders>
            <w:shd w:val="clear" w:color="auto" w:fill="auto"/>
            <w:noWrap/>
            <w:vAlign w:val="top"/>
          </w:tcPr>
          <w:p>
            <w:pPr>
              <w:widowControl/>
              <w:jc w:val="right"/>
              <w:rPr>
                <w:rFonts w:hint="default" w:ascii="Times New Roman" w:hAnsi="Times New Roman" w:eastAsia="宋体" w:cs="Times New Roman"/>
                <w:color w:val="000000"/>
                <w:kern w:val="0"/>
                <w:sz w:val="18"/>
                <w:szCs w:val="18"/>
                <w:lang w:val="en-US" w:eastAsia="zh-CN" w:bidi="ar-SA"/>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31022</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无形资产购置</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30305</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生活补助</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1.00</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30225</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专用燃料费</w:t>
            </w:r>
          </w:p>
        </w:tc>
        <w:tc>
          <w:tcPr>
            <w:tcW w:w="1285" w:type="dxa"/>
            <w:tcBorders>
              <w:top w:val="nil"/>
              <w:left w:val="nil"/>
              <w:bottom w:val="single" w:color="auto" w:sz="8" w:space="0"/>
              <w:right w:val="single" w:color="auto" w:sz="8" w:space="0"/>
            </w:tcBorders>
            <w:shd w:val="clear" w:color="auto" w:fill="auto"/>
            <w:noWrap/>
            <w:vAlign w:val="top"/>
          </w:tcPr>
          <w:p>
            <w:pPr>
              <w:widowControl/>
              <w:jc w:val="right"/>
              <w:rPr>
                <w:rFonts w:hint="default" w:ascii="Times New Roman" w:hAnsi="Times New Roman" w:eastAsia="宋体" w:cs="Times New Roman"/>
                <w:color w:val="000000"/>
                <w:kern w:val="0"/>
                <w:sz w:val="18"/>
                <w:szCs w:val="18"/>
                <w:lang w:val="en-US" w:eastAsia="zh-CN" w:bidi="ar-SA"/>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31099</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其他资本性支出</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30306</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救济费</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30226</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劳务费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6.15</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w:t>
            </w:r>
          </w:p>
        </w:tc>
        <w:tc>
          <w:tcPr>
            <w:tcW w:w="344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其他支出</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30307</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医疗费补助</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0.40</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30227</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委托业务费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1.03</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39906</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赠与</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30308</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助学金</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8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30228</w:t>
            </w:r>
          </w:p>
        </w:tc>
        <w:tc>
          <w:tcPr>
            <w:tcW w:w="224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工会经费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39.94</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39907</w:t>
            </w:r>
          </w:p>
        </w:tc>
        <w:tc>
          <w:tcPr>
            <w:tcW w:w="344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国家赔偿费用支出</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30309</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奖励金</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c>
          <w:tcPr>
            <w:tcW w:w="108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30229</w:t>
            </w:r>
          </w:p>
        </w:tc>
        <w:tc>
          <w:tcPr>
            <w:tcW w:w="224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福利费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50.59</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39908</w:t>
            </w:r>
          </w:p>
        </w:tc>
        <w:tc>
          <w:tcPr>
            <w:tcW w:w="344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对民间非营利组织和群众性自治组织补贴</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30310</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个人农业生产补贴</w:t>
            </w:r>
          </w:p>
        </w:tc>
        <w:tc>
          <w:tcPr>
            <w:tcW w:w="1374" w:type="dxa"/>
            <w:tcBorders>
              <w:top w:val="nil"/>
              <w:left w:val="nil"/>
              <w:bottom w:val="single" w:color="auto" w:sz="8" w:space="0"/>
              <w:right w:val="single" w:color="auto" w:sz="8" w:space="0"/>
            </w:tcBorders>
            <w:shd w:val="clear" w:color="auto" w:fill="auto"/>
            <w:noWrap/>
          </w:tcPr>
          <w:p>
            <w:pPr>
              <w:widowControl/>
              <w:jc w:val="right"/>
              <w:rPr>
                <w:rFonts w:hint="default"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c>
          <w:tcPr>
            <w:tcW w:w="108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30231</w:t>
            </w:r>
          </w:p>
        </w:tc>
        <w:tc>
          <w:tcPr>
            <w:tcW w:w="224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公务用车运行维护费</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2.22</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39999</w:t>
            </w:r>
          </w:p>
        </w:tc>
        <w:tc>
          <w:tcPr>
            <w:tcW w:w="344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其他支出</w:t>
            </w:r>
          </w:p>
        </w:tc>
        <w:tc>
          <w:tcPr>
            <w:tcW w:w="1345" w:type="dxa"/>
            <w:tcBorders>
              <w:top w:val="nil"/>
              <w:left w:val="nil"/>
              <w:bottom w:val="single" w:color="auto" w:sz="8" w:space="0"/>
              <w:right w:val="single" w:color="auto" w:sz="8" w:space="0"/>
            </w:tcBorders>
            <w:shd w:val="clear" w:color="auto" w:fill="auto"/>
            <w:noWrap/>
            <w:vAlign w:val="top"/>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CellMar>
            <w:top w:w="0" w:type="dxa"/>
            <w:left w:w="108" w:type="dxa"/>
            <w:bottom w:w="0" w:type="dxa"/>
            <w:right w:w="108" w:type="dxa"/>
          </w:tblCellMar>
        </w:tblPrEx>
        <w:trPr>
          <w:trHeight w:val="255" w:hRule="exact"/>
        </w:trPr>
        <w:tc>
          <w:tcPr>
            <w:tcW w:w="1122"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30399</w:t>
            </w:r>
          </w:p>
        </w:tc>
        <w:tc>
          <w:tcPr>
            <w:tcW w:w="2693" w:type="dxa"/>
            <w:tcBorders>
              <w:top w:val="single" w:color="auto" w:sz="8" w:space="0"/>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对其他个人和家庭的补助支出</w:t>
            </w:r>
          </w:p>
        </w:tc>
        <w:tc>
          <w:tcPr>
            <w:tcW w:w="1374" w:type="dxa"/>
            <w:tcBorders>
              <w:top w:val="single" w:color="auto" w:sz="8" w:space="0"/>
              <w:left w:val="nil"/>
              <w:bottom w:val="single" w:color="auto" w:sz="8" w:space="0"/>
              <w:right w:val="single" w:color="auto" w:sz="8" w:space="0"/>
            </w:tcBorders>
            <w:shd w:val="clear" w:color="auto" w:fill="auto"/>
            <w:noWrap/>
          </w:tcPr>
          <w:p>
            <w:pPr>
              <w:widowControl/>
              <w:jc w:val="right"/>
              <w:rPr>
                <w:rFonts w:hint="default"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99.10</w:t>
            </w:r>
          </w:p>
        </w:tc>
        <w:tc>
          <w:tcPr>
            <w:tcW w:w="1084"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30239</w:t>
            </w:r>
          </w:p>
        </w:tc>
        <w:tc>
          <w:tcPr>
            <w:tcW w:w="2244"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其他交通费用</w:t>
            </w:r>
          </w:p>
        </w:tc>
        <w:tc>
          <w:tcPr>
            <w:tcW w:w="1285" w:type="dxa"/>
            <w:tcBorders>
              <w:top w:val="single" w:color="auto" w:sz="8" w:space="0"/>
              <w:left w:val="nil"/>
              <w:bottom w:val="single" w:color="auto" w:sz="8" w:space="0"/>
              <w:right w:val="single" w:color="auto" w:sz="8" w:space="0"/>
            </w:tcBorders>
            <w:shd w:val="clear" w:color="auto" w:fill="auto"/>
            <w:noWrap/>
          </w:tcPr>
          <w:p>
            <w:pPr>
              <w:widowControl/>
              <w:jc w:val="right"/>
              <w:rPr>
                <w:rFonts w:hint="default"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27.67</w:t>
            </w:r>
          </w:p>
        </w:tc>
        <w:tc>
          <w:tcPr>
            <w:tcW w:w="947" w:type="dxa"/>
            <w:tcBorders>
              <w:top w:val="single" w:color="auto" w:sz="8" w:space="0"/>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3440"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345" w:type="dxa"/>
            <w:tcBorders>
              <w:top w:val="single" w:color="auto" w:sz="8" w:space="0"/>
              <w:left w:val="nil"/>
              <w:bottom w:val="single" w:color="auto" w:sz="8" w:space="0"/>
              <w:right w:val="single" w:color="auto" w:sz="8" w:space="0"/>
            </w:tcBorders>
            <w:shd w:val="clear" w:color="auto" w:fill="auto"/>
            <w:noWrap/>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1374" w:type="dxa"/>
            <w:tcBorders>
              <w:top w:val="nil"/>
              <w:left w:val="nil"/>
              <w:bottom w:val="single" w:color="auto" w:sz="8" w:space="0"/>
              <w:right w:val="single" w:color="auto" w:sz="8" w:space="0"/>
            </w:tcBorders>
            <w:shd w:val="clear" w:color="auto" w:fill="auto"/>
            <w:noWrap/>
          </w:tcPr>
          <w:p>
            <w:pPr>
              <w:widowControl/>
              <w:jc w:val="right"/>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108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30240</w:t>
            </w:r>
          </w:p>
        </w:tc>
        <w:tc>
          <w:tcPr>
            <w:tcW w:w="224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税金及附加费用</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0.79</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344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345" w:type="dxa"/>
            <w:tcBorders>
              <w:top w:val="nil"/>
              <w:left w:val="nil"/>
              <w:bottom w:val="single" w:color="auto" w:sz="8" w:space="0"/>
              <w:right w:val="single" w:color="auto" w:sz="8" w:space="0"/>
            </w:tcBorders>
            <w:shd w:val="clear" w:color="auto" w:fill="auto"/>
            <w:noWrap/>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55" w:hRule="exact"/>
        </w:trPr>
        <w:tc>
          <w:tcPr>
            <w:tcW w:w="1122"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2693"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1374" w:type="dxa"/>
            <w:tcBorders>
              <w:top w:val="nil"/>
              <w:left w:val="nil"/>
              <w:bottom w:val="single" w:color="auto" w:sz="8" w:space="0"/>
              <w:right w:val="single" w:color="auto" w:sz="8" w:space="0"/>
            </w:tcBorders>
            <w:shd w:val="clear" w:color="auto" w:fill="auto"/>
            <w:noWrap/>
          </w:tcPr>
          <w:p>
            <w:pPr>
              <w:widowControl/>
              <w:jc w:val="right"/>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108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30299</w:t>
            </w:r>
          </w:p>
        </w:tc>
        <w:tc>
          <w:tcPr>
            <w:tcW w:w="224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其他商品和服务支出</w:t>
            </w:r>
          </w:p>
        </w:tc>
        <w:tc>
          <w:tcPr>
            <w:tcW w:w="1285" w:type="dxa"/>
            <w:tcBorders>
              <w:top w:val="nil"/>
              <w:left w:val="nil"/>
              <w:bottom w:val="single" w:color="auto" w:sz="8" w:space="0"/>
              <w:right w:val="single" w:color="auto" w:sz="8" w:space="0"/>
            </w:tcBorders>
            <w:shd w:val="clear" w:color="auto" w:fill="auto"/>
            <w:noWrap/>
          </w:tcPr>
          <w:p>
            <w:pPr>
              <w:widowControl/>
              <w:jc w:val="right"/>
              <w:rPr>
                <w:rFonts w:hint="default"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70.70</w:t>
            </w:r>
          </w:p>
        </w:tc>
        <w:tc>
          <w:tcPr>
            <w:tcW w:w="94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344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1345" w:type="dxa"/>
            <w:tcBorders>
              <w:top w:val="nil"/>
              <w:left w:val="nil"/>
              <w:bottom w:val="single" w:color="auto" w:sz="8" w:space="0"/>
              <w:right w:val="single" w:color="auto" w:sz="8" w:space="0"/>
            </w:tcBorders>
            <w:shd w:val="clear" w:color="auto" w:fill="auto"/>
            <w:noWrap/>
            <w:vAlign w:val="center"/>
          </w:tcPr>
          <w:p>
            <w:pPr>
              <w:widowControl/>
              <w:jc w:val="righ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CellMar>
            <w:top w:w="0" w:type="dxa"/>
            <w:left w:w="108" w:type="dxa"/>
            <w:bottom w:w="0" w:type="dxa"/>
            <w:right w:w="108" w:type="dxa"/>
          </w:tblCellMar>
        </w:tblPrEx>
        <w:trPr>
          <w:trHeight w:val="275" w:hRule="exact"/>
        </w:trPr>
        <w:tc>
          <w:tcPr>
            <w:tcW w:w="3815" w:type="dxa"/>
            <w:gridSpan w:val="2"/>
            <w:tcBorders>
              <w:top w:val="nil"/>
              <w:left w:val="single" w:color="auto" w:sz="8" w:space="0"/>
              <w:bottom w:val="single" w:color="auto" w:sz="8" w:space="0"/>
              <w:right w:val="single" w:color="auto" w:sz="8" w:space="0"/>
            </w:tcBorders>
            <w:shd w:val="clear" w:color="auto" w:fill="auto"/>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人员经费合计</w:t>
            </w:r>
          </w:p>
        </w:tc>
        <w:tc>
          <w:tcPr>
            <w:tcW w:w="1374" w:type="dxa"/>
            <w:tcBorders>
              <w:top w:val="nil"/>
              <w:left w:val="nil"/>
              <w:bottom w:val="single" w:color="auto" w:sz="8" w:space="0"/>
              <w:right w:val="single" w:color="auto" w:sz="8" w:space="0"/>
            </w:tcBorders>
            <w:shd w:val="clear" w:color="auto" w:fill="auto"/>
            <w:noWrap/>
            <w:vAlign w:val="center"/>
          </w:tcPr>
          <w:p>
            <w:pPr>
              <w:widowControl/>
              <w:jc w:val="right"/>
              <w:rPr>
                <w:rFonts w:hint="default"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1667.19</w:t>
            </w:r>
          </w:p>
        </w:tc>
        <w:tc>
          <w:tcPr>
            <w:tcW w:w="9000" w:type="dxa"/>
            <w:gridSpan w:val="5"/>
            <w:tcBorders>
              <w:top w:val="nil"/>
              <w:left w:val="nil"/>
              <w:bottom w:val="single" w:color="auto" w:sz="8" w:space="0"/>
              <w:right w:val="single" w:color="auto" w:sz="8" w:space="0"/>
            </w:tcBorders>
            <w:shd w:val="clear" w:color="auto" w:fill="auto"/>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公用经费合计</w:t>
            </w:r>
          </w:p>
        </w:tc>
        <w:tc>
          <w:tcPr>
            <w:tcW w:w="1345" w:type="dxa"/>
            <w:tcBorders>
              <w:top w:val="nil"/>
              <w:left w:val="nil"/>
              <w:bottom w:val="single" w:color="auto" w:sz="8" w:space="0"/>
              <w:right w:val="single" w:color="auto" w:sz="8" w:space="0"/>
            </w:tcBorders>
            <w:shd w:val="clear" w:color="auto" w:fill="auto"/>
            <w:vAlign w:val="center"/>
          </w:tcPr>
          <w:p>
            <w:pPr>
              <w:widowControl/>
              <w:jc w:val="right"/>
              <w:rPr>
                <w:rFonts w:hint="default"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365.62</w:t>
            </w:r>
          </w:p>
        </w:tc>
      </w:tr>
    </w:tbl>
    <w:p>
      <w:pPr>
        <w:widowControl/>
        <w:jc w:val="left"/>
        <w:rPr>
          <w:rFonts w:ascii="黑体" w:hAnsi="黑体" w:eastAsia="黑体"/>
          <w:szCs w:val="21"/>
        </w:rPr>
      </w:pPr>
      <w:r>
        <w:rPr>
          <w:rFonts w:hint="eastAsia" w:ascii="黑体" w:hAnsi="黑体" w:eastAsia="黑体"/>
          <w:szCs w:val="21"/>
        </w:rPr>
        <w:t>注：本表反映部门年度一般公共预算财政拨款基本支出明细情况。</w:t>
      </w:r>
      <w:r>
        <w:rPr>
          <w:rFonts w:ascii="黑体" w:hAnsi="黑体" w:eastAsia="黑体"/>
          <w:szCs w:val="21"/>
        </w:rPr>
        <w:br w:type="page"/>
      </w: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spacing w:line="320" w:lineRule="exact"/>
        <w:ind w:right="198"/>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湘乡市住房和城乡建设局（本级）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lang w:eastAsia="zh-CN"/>
        </w:rPr>
        <w:t>公</w:t>
      </w:r>
      <w:r>
        <w:rPr>
          <w:rFonts w:hint="eastAsia" w:ascii="Times New Roman" w:hAnsi="Times New Roman" w:eastAsia="仿宋_GB2312" w:cs="Times New Roman"/>
          <w:color w:val="000000"/>
          <w:kern w:val="0"/>
          <w:szCs w:val="21"/>
        </w:rPr>
        <w:t>开</w:t>
      </w:r>
      <w:r>
        <w:rPr>
          <w:rFonts w:ascii="Times New Roman" w:hAnsi="Times New Roman" w:eastAsia="仿宋_GB2312" w:cs="Times New Roman"/>
          <w:color w:val="000000"/>
          <w:kern w:val="0"/>
          <w:szCs w:val="21"/>
        </w:rPr>
        <w:t>0</w:t>
      </w:r>
      <w:r>
        <w:rPr>
          <w:rFonts w:hint="eastAsia" w:ascii="Times New Roman" w:hAnsi="Times New Roman" w:eastAsia="仿宋_GB2312" w:cs="Times New Roman"/>
          <w:color w:val="000000"/>
          <w:kern w:val="0"/>
          <w:szCs w:val="21"/>
          <w:lang w:val="en-US" w:eastAsia="zh-CN"/>
        </w:rPr>
        <w:t>7</w:t>
      </w:r>
      <w:r>
        <w:rPr>
          <w:rFonts w:hint="eastAsia"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公务</w:t>
            </w:r>
          </w:p>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公务用车</w:t>
            </w:r>
            <w:r>
              <w:rPr>
                <w:rFonts w:ascii="Times New Roman" w:hAnsi="Times New Roman" w:eastAsia="仿宋_GB2312" w:cs="Times New Roman"/>
                <w:color w:val="auto"/>
                <w:kern w:val="0"/>
                <w:szCs w:val="21"/>
              </w:rPr>
              <w:br w:type="textWrapping"/>
            </w:r>
            <w:r>
              <w:rPr>
                <w:rFonts w:ascii="Times New Roman" w:hAnsi="Times New Roman" w:eastAsia="仿宋_GB2312" w:cs="Times New Roman"/>
                <w:color w:val="auto"/>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公务用车</w:t>
            </w:r>
            <w:r>
              <w:rPr>
                <w:rFonts w:ascii="Times New Roman" w:hAnsi="Times New Roman" w:eastAsia="仿宋_GB2312" w:cs="Times New Roman"/>
                <w:color w:val="auto"/>
                <w:kern w:val="0"/>
                <w:szCs w:val="21"/>
              </w:rPr>
              <w:br w:type="textWrapping"/>
            </w:r>
            <w:r>
              <w:rPr>
                <w:rFonts w:ascii="Times New Roman" w:hAnsi="Times New Roman" w:eastAsia="仿宋_GB2312" w:cs="Times New Roman"/>
                <w:color w:val="auto"/>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color w:val="auto"/>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ascii="Times New Roman" w:hAnsi="Times New Roman" w:eastAsia="仿宋_GB2312" w:cs="Times New Roman"/>
                <w:color w:val="auto"/>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84.5</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27.5</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color w:val="auto"/>
                <w:kern w:val="0"/>
                <w:szCs w:val="21"/>
              </w:rPr>
            </w:pPr>
            <w:r>
              <w:rPr>
                <w:rFonts w:hint="eastAsia" w:ascii="Times New Roman" w:hAnsi="Times New Roman" w:eastAsia="仿宋_GB2312" w:cs="Times New Roman"/>
                <w:color w:val="auto"/>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rPr>
            </w:pPr>
            <w:r>
              <w:rPr>
                <w:rFonts w:hint="eastAsia" w:ascii="Times New Roman" w:hAnsi="Times New Roman" w:eastAsia="仿宋_GB2312" w:cs="Times New Roman"/>
                <w:color w:val="auto"/>
                <w:kern w:val="0"/>
                <w:szCs w:val="21"/>
                <w:lang w:val="en-US" w:eastAsia="zh-CN"/>
              </w:rPr>
              <w:t>27.5</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rPr>
            </w:pPr>
            <w:r>
              <w:rPr>
                <w:rFonts w:hint="eastAsia" w:ascii="Times New Roman" w:hAnsi="Times New Roman" w:eastAsia="仿宋_GB2312" w:cs="Times New Roman"/>
                <w:color w:val="auto"/>
                <w:kern w:val="0"/>
                <w:szCs w:val="21"/>
                <w:lang w:val="en-US" w:eastAsia="zh-CN"/>
              </w:rPr>
              <w:t>57</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color w:val="auto"/>
                <w:kern w:val="0"/>
                <w:szCs w:val="21"/>
                <w:lang w:val="en-US" w:eastAsia="zh-CN"/>
              </w:rPr>
            </w:pPr>
            <w:r>
              <w:rPr>
                <w:rFonts w:hint="eastAsia" w:ascii="Times New Roman" w:hAnsi="Times New Roman" w:eastAsia="仿宋_GB2312" w:cs="Times New Roman"/>
                <w:color w:val="auto"/>
                <w:kern w:val="0"/>
                <w:szCs w:val="21"/>
                <w:lang w:val="en-US" w:eastAsia="zh-CN"/>
              </w:rPr>
              <w:t>12.47</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6.01</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nil"/>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6.01</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6.46</w:t>
            </w:r>
          </w:p>
        </w:tc>
      </w:tr>
    </w:tbl>
    <w:p>
      <w:pPr>
        <w:autoSpaceDE w:val="0"/>
        <w:autoSpaceDN w:val="0"/>
        <w:adjustRightInd w:val="0"/>
        <w:ind w:left="315" w:leftChars="150"/>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ascii="宋体" w:eastAsia="宋体" w:cs="宋体"/>
          <w:kern w:val="0"/>
          <w:sz w:val="24"/>
          <w:szCs w:val="24"/>
        </w:rPr>
      </w:pP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spacing w:line="320" w:lineRule="exact"/>
        <w:ind w:right="198" w:firstLine="630" w:firstLineChars="300"/>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湘乡市住房和城乡建设局（本级）</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eastAsia="zh-CN"/>
        </w:rPr>
        <w:t>公</w:t>
      </w:r>
      <w:r>
        <w:rPr>
          <w:rFonts w:hint="eastAsia" w:ascii="Times New Roman" w:hAnsi="Times New Roman" w:eastAsia="仿宋_GB2312" w:cs="Times New Roman"/>
          <w:color w:val="000000"/>
          <w:kern w:val="0"/>
          <w:szCs w:val="21"/>
        </w:rPr>
        <w:t>开</w:t>
      </w:r>
      <w:r>
        <w:rPr>
          <w:rFonts w:ascii="Times New Roman" w:hAnsi="Times New Roman" w:eastAsia="仿宋_GB2312" w:cs="Times New Roman"/>
          <w:color w:val="000000"/>
          <w:kern w:val="0"/>
          <w:szCs w:val="21"/>
        </w:rPr>
        <w:t>0</w:t>
      </w:r>
      <w:r>
        <w:rPr>
          <w:rFonts w:hint="eastAsia" w:ascii="Times New Roman" w:hAnsi="Times New Roman" w:eastAsia="仿宋_GB2312" w:cs="Times New Roman"/>
          <w:color w:val="000000"/>
          <w:kern w:val="0"/>
          <w:szCs w:val="21"/>
          <w:lang w:val="en-US" w:eastAsia="zh-CN"/>
        </w:rPr>
        <w:t>8</w:t>
      </w:r>
      <w:r>
        <w:rPr>
          <w:rFonts w:hint="eastAsia" w:ascii="Times New Roman" w:hAnsi="Times New Roman" w:eastAsia="仿宋_GB2312" w:cs="Times New Roman"/>
          <w:color w:val="000000"/>
          <w:kern w:val="0"/>
          <w:szCs w:val="21"/>
        </w:rPr>
        <w:t>表</w:t>
      </w:r>
    </w:p>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055"/>
        <w:gridCol w:w="3560"/>
        <w:gridCol w:w="1440"/>
        <w:gridCol w:w="1280"/>
        <w:gridCol w:w="1480"/>
        <w:gridCol w:w="1706"/>
        <w:gridCol w:w="1734"/>
        <w:gridCol w:w="218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615"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144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28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492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185"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055"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6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1440" w:type="dxa"/>
            <w:vMerge w:val="continue"/>
            <w:vAlign w:val="center"/>
          </w:tcPr>
          <w:p>
            <w:pPr>
              <w:widowControl/>
              <w:jc w:val="left"/>
              <w:rPr>
                <w:rFonts w:ascii="Times New Roman" w:hAnsi="Times New Roman" w:eastAsia="仿宋_GB2312" w:cs="Times New Roman"/>
                <w:b/>
                <w:kern w:val="0"/>
                <w:szCs w:val="21"/>
              </w:rPr>
            </w:pPr>
          </w:p>
        </w:tc>
        <w:tc>
          <w:tcPr>
            <w:tcW w:w="1280" w:type="dxa"/>
            <w:vMerge w:val="continue"/>
            <w:vAlign w:val="center"/>
          </w:tcPr>
          <w:p>
            <w:pPr>
              <w:widowControl/>
              <w:jc w:val="left"/>
              <w:rPr>
                <w:rFonts w:ascii="Times New Roman" w:hAnsi="Times New Roman" w:eastAsia="仿宋_GB2312" w:cs="Times New Roman"/>
                <w:b/>
                <w:kern w:val="0"/>
                <w:szCs w:val="21"/>
              </w:rPr>
            </w:pPr>
          </w:p>
        </w:tc>
        <w:tc>
          <w:tcPr>
            <w:tcW w:w="148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1706"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1734"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185"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055" w:type="dxa"/>
            <w:vMerge w:val="continue"/>
            <w:vAlign w:val="center"/>
          </w:tcPr>
          <w:p>
            <w:pPr>
              <w:widowControl/>
              <w:jc w:val="left"/>
              <w:rPr>
                <w:rFonts w:ascii="Times New Roman" w:hAnsi="Times New Roman" w:eastAsia="仿宋_GB2312" w:cs="Times New Roman"/>
                <w:kern w:val="0"/>
                <w:szCs w:val="21"/>
              </w:rPr>
            </w:pPr>
          </w:p>
        </w:tc>
        <w:tc>
          <w:tcPr>
            <w:tcW w:w="3560" w:type="dxa"/>
            <w:vMerge w:val="continue"/>
            <w:vAlign w:val="center"/>
          </w:tcPr>
          <w:p>
            <w:pPr>
              <w:widowControl/>
              <w:jc w:val="left"/>
              <w:rPr>
                <w:rFonts w:ascii="Times New Roman" w:hAnsi="Times New Roman" w:eastAsia="仿宋_GB2312" w:cs="Times New Roman"/>
                <w:kern w:val="0"/>
                <w:szCs w:val="21"/>
              </w:rPr>
            </w:pPr>
          </w:p>
        </w:tc>
        <w:tc>
          <w:tcPr>
            <w:tcW w:w="1440" w:type="dxa"/>
            <w:vMerge w:val="continue"/>
            <w:vAlign w:val="center"/>
          </w:tcPr>
          <w:p>
            <w:pPr>
              <w:widowControl/>
              <w:jc w:val="left"/>
              <w:rPr>
                <w:rFonts w:ascii="Times New Roman" w:hAnsi="Times New Roman" w:eastAsia="仿宋_GB2312" w:cs="Times New Roman"/>
                <w:kern w:val="0"/>
                <w:szCs w:val="21"/>
              </w:rPr>
            </w:pPr>
          </w:p>
        </w:tc>
        <w:tc>
          <w:tcPr>
            <w:tcW w:w="1280" w:type="dxa"/>
            <w:vMerge w:val="continue"/>
            <w:vAlign w:val="center"/>
          </w:tcPr>
          <w:p>
            <w:pPr>
              <w:widowControl/>
              <w:jc w:val="left"/>
              <w:rPr>
                <w:rFonts w:ascii="Times New Roman" w:hAnsi="Times New Roman" w:eastAsia="仿宋_GB2312" w:cs="Times New Roman"/>
                <w:kern w:val="0"/>
                <w:szCs w:val="21"/>
              </w:rPr>
            </w:pPr>
          </w:p>
        </w:tc>
        <w:tc>
          <w:tcPr>
            <w:tcW w:w="1480" w:type="dxa"/>
            <w:vMerge w:val="continue"/>
            <w:vAlign w:val="center"/>
          </w:tcPr>
          <w:p>
            <w:pPr>
              <w:widowControl/>
              <w:jc w:val="left"/>
              <w:rPr>
                <w:rFonts w:ascii="Times New Roman" w:hAnsi="Times New Roman" w:eastAsia="仿宋_GB2312" w:cs="Times New Roman"/>
                <w:kern w:val="0"/>
                <w:szCs w:val="21"/>
              </w:rPr>
            </w:pPr>
          </w:p>
        </w:tc>
        <w:tc>
          <w:tcPr>
            <w:tcW w:w="1706" w:type="dxa"/>
            <w:vMerge w:val="continue"/>
            <w:vAlign w:val="center"/>
          </w:tcPr>
          <w:p>
            <w:pPr>
              <w:widowControl/>
              <w:jc w:val="left"/>
              <w:rPr>
                <w:rFonts w:ascii="Times New Roman" w:hAnsi="Times New Roman" w:eastAsia="仿宋_GB2312" w:cs="Times New Roman"/>
                <w:kern w:val="0"/>
                <w:szCs w:val="21"/>
              </w:rPr>
            </w:pPr>
          </w:p>
        </w:tc>
        <w:tc>
          <w:tcPr>
            <w:tcW w:w="1734" w:type="dxa"/>
            <w:vMerge w:val="continue"/>
            <w:vAlign w:val="center"/>
          </w:tcPr>
          <w:p>
            <w:pPr>
              <w:widowControl/>
              <w:jc w:val="left"/>
              <w:rPr>
                <w:rFonts w:ascii="Times New Roman" w:hAnsi="Times New Roman" w:eastAsia="仿宋_GB2312" w:cs="Times New Roman"/>
                <w:kern w:val="0"/>
                <w:szCs w:val="21"/>
              </w:rPr>
            </w:pPr>
          </w:p>
        </w:tc>
        <w:tc>
          <w:tcPr>
            <w:tcW w:w="2185"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055" w:type="dxa"/>
            <w:vMerge w:val="continue"/>
            <w:vAlign w:val="center"/>
          </w:tcPr>
          <w:p>
            <w:pPr>
              <w:widowControl/>
              <w:jc w:val="left"/>
              <w:rPr>
                <w:rFonts w:ascii="Times New Roman" w:hAnsi="Times New Roman" w:eastAsia="仿宋_GB2312" w:cs="Times New Roman"/>
                <w:kern w:val="0"/>
                <w:szCs w:val="21"/>
              </w:rPr>
            </w:pPr>
          </w:p>
        </w:tc>
        <w:tc>
          <w:tcPr>
            <w:tcW w:w="3560" w:type="dxa"/>
            <w:vMerge w:val="continue"/>
            <w:vAlign w:val="center"/>
          </w:tcPr>
          <w:p>
            <w:pPr>
              <w:widowControl/>
              <w:jc w:val="left"/>
              <w:rPr>
                <w:rFonts w:ascii="Times New Roman" w:hAnsi="Times New Roman" w:eastAsia="仿宋_GB2312" w:cs="Times New Roman"/>
                <w:kern w:val="0"/>
                <w:szCs w:val="21"/>
              </w:rPr>
            </w:pPr>
          </w:p>
        </w:tc>
        <w:tc>
          <w:tcPr>
            <w:tcW w:w="1440" w:type="dxa"/>
            <w:vMerge w:val="continue"/>
            <w:vAlign w:val="center"/>
          </w:tcPr>
          <w:p>
            <w:pPr>
              <w:widowControl/>
              <w:jc w:val="left"/>
              <w:rPr>
                <w:rFonts w:ascii="Times New Roman" w:hAnsi="Times New Roman" w:eastAsia="仿宋_GB2312" w:cs="Times New Roman"/>
                <w:kern w:val="0"/>
                <w:szCs w:val="21"/>
              </w:rPr>
            </w:pPr>
          </w:p>
        </w:tc>
        <w:tc>
          <w:tcPr>
            <w:tcW w:w="1280" w:type="dxa"/>
            <w:vMerge w:val="continue"/>
            <w:vAlign w:val="center"/>
          </w:tcPr>
          <w:p>
            <w:pPr>
              <w:widowControl/>
              <w:jc w:val="left"/>
              <w:rPr>
                <w:rFonts w:ascii="Times New Roman" w:hAnsi="Times New Roman" w:eastAsia="仿宋_GB2312" w:cs="Times New Roman"/>
                <w:kern w:val="0"/>
                <w:szCs w:val="21"/>
              </w:rPr>
            </w:pPr>
          </w:p>
        </w:tc>
        <w:tc>
          <w:tcPr>
            <w:tcW w:w="1480" w:type="dxa"/>
            <w:vMerge w:val="continue"/>
            <w:vAlign w:val="center"/>
          </w:tcPr>
          <w:p>
            <w:pPr>
              <w:widowControl/>
              <w:jc w:val="left"/>
              <w:rPr>
                <w:rFonts w:ascii="Times New Roman" w:hAnsi="Times New Roman" w:eastAsia="仿宋_GB2312" w:cs="Times New Roman"/>
                <w:kern w:val="0"/>
                <w:szCs w:val="21"/>
              </w:rPr>
            </w:pPr>
          </w:p>
        </w:tc>
        <w:tc>
          <w:tcPr>
            <w:tcW w:w="1706" w:type="dxa"/>
            <w:vMerge w:val="continue"/>
            <w:vAlign w:val="center"/>
          </w:tcPr>
          <w:p>
            <w:pPr>
              <w:widowControl/>
              <w:jc w:val="left"/>
              <w:rPr>
                <w:rFonts w:ascii="Times New Roman" w:hAnsi="Times New Roman" w:eastAsia="仿宋_GB2312" w:cs="Times New Roman"/>
                <w:kern w:val="0"/>
                <w:szCs w:val="21"/>
              </w:rPr>
            </w:pPr>
          </w:p>
        </w:tc>
        <w:tc>
          <w:tcPr>
            <w:tcW w:w="1734" w:type="dxa"/>
            <w:vMerge w:val="continue"/>
            <w:vAlign w:val="center"/>
          </w:tcPr>
          <w:p>
            <w:pPr>
              <w:widowControl/>
              <w:jc w:val="left"/>
              <w:rPr>
                <w:rFonts w:ascii="Times New Roman" w:hAnsi="Times New Roman" w:eastAsia="仿宋_GB2312" w:cs="Times New Roman"/>
                <w:kern w:val="0"/>
                <w:szCs w:val="21"/>
              </w:rPr>
            </w:pPr>
          </w:p>
        </w:tc>
        <w:tc>
          <w:tcPr>
            <w:tcW w:w="2185"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615"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44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4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706"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734"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18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615"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440" w:type="dxa"/>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8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r>
              <w:rPr>
                <w:rFonts w:ascii="Times New Roman" w:hAnsi="Times New Roman" w:eastAsia="仿宋_GB2312" w:cs="Times New Roman"/>
                <w:kern w:val="0"/>
                <w:szCs w:val="21"/>
              </w:rPr>
              <w:t>　</w:t>
            </w:r>
          </w:p>
        </w:tc>
        <w:tc>
          <w:tcPr>
            <w:tcW w:w="1480"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30.00</w:t>
            </w:r>
          </w:p>
        </w:tc>
        <w:tc>
          <w:tcPr>
            <w:tcW w:w="1706"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r>
              <w:rPr>
                <w:rFonts w:ascii="Times New Roman" w:hAnsi="Times New Roman" w:eastAsia="仿宋_GB2312" w:cs="Times New Roman"/>
                <w:kern w:val="0"/>
                <w:szCs w:val="21"/>
              </w:rPr>
              <w:t>　</w:t>
            </w:r>
          </w:p>
        </w:tc>
        <w:tc>
          <w:tcPr>
            <w:tcW w:w="1734"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p>
        </w:tc>
        <w:tc>
          <w:tcPr>
            <w:tcW w:w="2185"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055" w:type="dxa"/>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212</w:t>
            </w:r>
            <w:r>
              <w:rPr>
                <w:rFonts w:ascii="Times New Roman" w:hAnsi="Times New Roman" w:eastAsia="仿宋_GB2312" w:cs="Times New Roman"/>
                <w:kern w:val="0"/>
                <w:szCs w:val="21"/>
              </w:rPr>
              <w:t>　</w:t>
            </w:r>
          </w:p>
        </w:tc>
        <w:tc>
          <w:tcPr>
            <w:tcW w:w="3560" w:type="dxa"/>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城乡社区支出</w:t>
            </w:r>
          </w:p>
        </w:tc>
        <w:tc>
          <w:tcPr>
            <w:tcW w:w="144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c>
          <w:tcPr>
            <w:tcW w:w="128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p>
        </w:tc>
        <w:tc>
          <w:tcPr>
            <w:tcW w:w="148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p>
        </w:tc>
        <w:tc>
          <w:tcPr>
            <w:tcW w:w="1706"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p>
        </w:tc>
        <w:tc>
          <w:tcPr>
            <w:tcW w:w="1734"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p>
        </w:tc>
        <w:tc>
          <w:tcPr>
            <w:tcW w:w="2185" w:type="dxa"/>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055" w:type="dxa"/>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21213</w:t>
            </w:r>
          </w:p>
        </w:tc>
        <w:tc>
          <w:tcPr>
            <w:tcW w:w="3560" w:type="dxa"/>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城市基础设施配套费安排的支出</w:t>
            </w:r>
          </w:p>
        </w:tc>
        <w:tc>
          <w:tcPr>
            <w:tcW w:w="144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c>
          <w:tcPr>
            <w:tcW w:w="128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p>
        </w:tc>
        <w:tc>
          <w:tcPr>
            <w:tcW w:w="148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p>
        </w:tc>
        <w:tc>
          <w:tcPr>
            <w:tcW w:w="1706"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p>
        </w:tc>
        <w:tc>
          <w:tcPr>
            <w:tcW w:w="1734"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p>
        </w:tc>
        <w:tc>
          <w:tcPr>
            <w:tcW w:w="2185"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055" w:type="dxa"/>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2121302</w:t>
            </w:r>
          </w:p>
        </w:tc>
        <w:tc>
          <w:tcPr>
            <w:tcW w:w="3560" w:type="dxa"/>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城市环境卫生</w:t>
            </w:r>
          </w:p>
        </w:tc>
        <w:tc>
          <w:tcPr>
            <w:tcW w:w="144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c>
          <w:tcPr>
            <w:tcW w:w="128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p>
        </w:tc>
        <w:tc>
          <w:tcPr>
            <w:tcW w:w="1480"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p>
        </w:tc>
        <w:tc>
          <w:tcPr>
            <w:tcW w:w="1706"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p>
        </w:tc>
        <w:tc>
          <w:tcPr>
            <w:tcW w:w="1734"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30.00</w:t>
            </w:r>
          </w:p>
        </w:tc>
        <w:tc>
          <w:tcPr>
            <w:tcW w:w="2185" w:type="dxa"/>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05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6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4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8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8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3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18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05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6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4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8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8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3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18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05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6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4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8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8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0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3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18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pPr>
        <w:pStyle w:val="10"/>
        <w:numPr>
          <w:ilvl w:val="0"/>
          <w:numId w:val="3"/>
        </w:numPr>
        <w:jc w:val="both"/>
        <w:rPr>
          <w:rFonts w:hint="eastAsia" w:ascii="黑体" w:hAnsi="黑体" w:eastAsia="黑体" w:cs="黑体"/>
          <w:sz w:val="32"/>
          <w:szCs w:val="32"/>
        </w:rPr>
      </w:pPr>
      <w:r>
        <w:rPr>
          <w:rFonts w:hint="eastAsia" w:hAnsi="黑体" w:cs="黑体"/>
          <w:sz w:val="32"/>
          <w:szCs w:val="32"/>
          <w:lang w:val="en-US" w:eastAsia="zh-CN"/>
        </w:rPr>
        <w:t xml:space="preserve"> </w:t>
      </w:r>
      <w:r>
        <w:rPr>
          <w:rFonts w:hint="eastAsia" w:ascii="黑体" w:hAnsi="黑体" w:eastAsia="黑体" w:cs="黑体"/>
          <w:sz w:val="32"/>
          <w:szCs w:val="32"/>
        </w:rPr>
        <w:t>2019年度部门决算情况说明</w:t>
      </w:r>
    </w:p>
    <w:p>
      <w:pPr>
        <w:pStyle w:val="10"/>
        <w:numPr>
          <w:ilvl w:val="0"/>
          <w:numId w:val="0"/>
        </w:numPr>
        <w:ind w:firstLine="640" w:firstLineChars="200"/>
        <w:jc w:val="both"/>
        <w:rPr>
          <w:rFonts w:hint="eastAsia" w:ascii="黑体" w:hAnsi="黑体" w:eastAsia="黑体" w:cs="黑体"/>
          <w:b/>
          <w:sz w:val="32"/>
          <w:szCs w:val="32"/>
        </w:rPr>
      </w:pPr>
      <w:r>
        <w:rPr>
          <w:rFonts w:hint="eastAsia" w:ascii="黑体" w:hAnsi="黑体" w:eastAsia="黑体" w:cs="黑体"/>
          <w:b/>
          <w:sz w:val="32"/>
          <w:szCs w:val="32"/>
        </w:rPr>
        <w:t>一、收入支出决算总体情况说明</w:t>
      </w:r>
    </w:p>
    <w:p>
      <w:pPr>
        <w:pStyle w:val="10"/>
        <w:ind w:firstLine="640" w:firstLineChars="200"/>
        <w:rPr>
          <w:rFonts w:hint="eastAsia" w:ascii="仿宋" w:hAnsi="仿宋" w:eastAsia="仿宋" w:cs="仿宋"/>
          <w:sz w:val="32"/>
          <w:szCs w:val="32"/>
        </w:rPr>
      </w:pPr>
      <w:r>
        <w:rPr>
          <w:rFonts w:hint="eastAsia" w:ascii="仿宋" w:hAnsi="仿宋" w:eastAsia="仿宋" w:cs="仿宋"/>
          <w:sz w:val="32"/>
          <w:szCs w:val="32"/>
        </w:rPr>
        <w:t>2019 年度收、支总计</w:t>
      </w:r>
      <w:r>
        <w:rPr>
          <w:rFonts w:hint="eastAsia" w:ascii="仿宋" w:hAnsi="仿宋" w:eastAsia="仿宋" w:cs="仿宋"/>
          <w:sz w:val="32"/>
          <w:szCs w:val="32"/>
          <w:lang w:val="en-US" w:eastAsia="zh-CN"/>
        </w:rPr>
        <w:t>5909.29</w:t>
      </w:r>
      <w:r>
        <w:rPr>
          <w:rFonts w:hint="eastAsia" w:ascii="仿宋" w:hAnsi="仿宋" w:eastAsia="仿宋" w:cs="仿宋"/>
          <w:sz w:val="32"/>
          <w:szCs w:val="32"/>
        </w:rPr>
        <w:t>万元。与2018年相比，增加</w:t>
      </w:r>
      <w:r>
        <w:rPr>
          <w:rFonts w:hint="eastAsia" w:ascii="仿宋" w:hAnsi="仿宋" w:eastAsia="仿宋" w:cs="仿宋"/>
          <w:sz w:val="32"/>
          <w:szCs w:val="32"/>
          <w:lang w:val="en-US" w:eastAsia="zh-CN"/>
        </w:rPr>
        <w:t>2018.09</w:t>
      </w:r>
      <w:r>
        <w:rPr>
          <w:rFonts w:hint="eastAsia" w:ascii="仿宋" w:hAnsi="仿宋" w:eastAsia="仿宋" w:cs="仿宋"/>
          <w:sz w:val="32"/>
          <w:szCs w:val="32"/>
        </w:rPr>
        <w:t>万元，增长</w:t>
      </w:r>
      <w:r>
        <w:rPr>
          <w:rFonts w:hint="eastAsia" w:ascii="仿宋" w:hAnsi="仿宋" w:eastAsia="仿宋" w:cs="仿宋"/>
          <w:sz w:val="32"/>
          <w:szCs w:val="32"/>
          <w:lang w:val="en-US" w:eastAsia="zh-CN"/>
        </w:rPr>
        <w:t>51.9</w:t>
      </w:r>
      <w:r>
        <w:rPr>
          <w:rFonts w:hint="eastAsia" w:ascii="仿宋" w:hAnsi="仿宋" w:eastAsia="仿宋" w:cs="仿宋"/>
          <w:sz w:val="32"/>
          <w:szCs w:val="32"/>
        </w:rPr>
        <w:t>%，主要是因为按照湘乡市机构改革方案，从2019年4月1日开始原房产局、原人防办账务全部并入住建局，年终决算报表系统只含并入单位的年初结转结余和本年收支，合并后单位的资产、负债、收支与上年原住建局的对比，对比的口径不一致，导致差异率比较大。</w:t>
      </w:r>
    </w:p>
    <w:p>
      <w:pPr>
        <w:pStyle w:val="10"/>
        <w:ind w:firstLine="640" w:firstLineChars="200"/>
        <w:rPr>
          <w:rFonts w:hint="eastAsia" w:ascii="黑体" w:hAnsi="黑体" w:eastAsia="黑体" w:cs="黑体"/>
          <w:b/>
          <w:sz w:val="32"/>
          <w:szCs w:val="32"/>
        </w:rPr>
      </w:pPr>
      <w:r>
        <w:rPr>
          <w:rFonts w:hint="eastAsia" w:ascii="黑体" w:hAnsi="黑体" w:eastAsia="黑体" w:cs="黑体"/>
          <w:b/>
          <w:sz w:val="32"/>
          <w:szCs w:val="32"/>
        </w:rPr>
        <w:t>二、收入决算情况说明</w:t>
      </w:r>
    </w:p>
    <w:p>
      <w:pPr>
        <w:pStyle w:val="10"/>
        <w:ind w:firstLine="640" w:firstLineChars="200"/>
        <w:rPr>
          <w:rFonts w:hint="eastAsia" w:ascii="仿宋" w:hAnsi="仿宋" w:eastAsia="仿宋" w:cs="仿宋"/>
          <w:sz w:val="32"/>
          <w:szCs w:val="32"/>
        </w:rPr>
      </w:pPr>
      <w:r>
        <w:rPr>
          <w:rFonts w:hint="eastAsia" w:ascii="仿宋" w:hAnsi="仿宋" w:eastAsia="仿宋" w:cs="仿宋"/>
          <w:sz w:val="32"/>
          <w:szCs w:val="32"/>
        </w:rPr>
        <w:t>本年收入合计</w:t>
      </w:r>
      <w:r>
        <w:rPr>
          <w:rFonts w:hint="eastAsia" w:ascii="仿宋" w:hAnsi="仿宋" w:eastAsia="仿宋" w:cs="仿宋"/>
          <w:sz w:val="32"/>
          <w:szCs w:val="32"/>
          <w:lang w:val="en-US" w:eastAsia="zh-CN"/>
        </w:rPr>
        <w:t>3987.27</w:t>
      </w:r>
      <w:r>
        <w:rPr>
          <w:rFonts w:hint="eastAsia" w:ascii="仿宋" w:hAnsi="仿宋" w:eastAsia="仿宋" w:cs="仿宋"/>
          <w:sz w:val="32"/>
          <w:szCs w:val="32"/>
        </w:rPr>
        <w:t>万元，其中：财政拨款收入</w:t>
      </w:r>
      <w:r>
        <w:rPr>
          <w:rFonts w:hint="eastAsia" w:ascii="仿宋" w:hAnsi="仿宋" w:eastAsia="仿宋" w:cs="仿宋"/>
          <w:sz w:val="32"/>
          <w:szCs w:val="32"/>
          <w:lang w:val="en-US" w:eastAsia="zh-CN"/>
        </w:rPr>
        <w:t>3474.58</w:t>
      </w:r>
      <w:r>
        <w:rPr>
          <w:rFonts w:hint="eastAsia" w:ascii="仿宋" w:hAnsi="仿宋" w:eastAsia="仿宋" w:cs="仿宋"/>
          <w:sz w:val="32"/>
          <w:szCs w:val="32"/>
        </w:rPr>
        <w:t>万元，占</w:t>
      </w:r>
      <w:r>
        <w:rPr>
          <w:rFonts w:hint="eastAsia" w:ascii="仿宋" w:hAnsi="仿宋" w:eastAsia="仿宋" w:cs="仿宋"/>
          <w:sz w:val="32"/>
          <w:szCs w:val="32"/>
          <w:lang w:val="en-US" w:eastAsia="zh-CN"/>
        </w:rPr>
        <w:t>87.1</w:t>
      </w:r>
      <w:r>
        <w:rPr>
          <w:rFonts w:hint="eastAsia" w:ascii="仿宋" w:hAnsi="仿宋" w:eastAsia="仿宋" w:cs="仿宋"/>
          <w:sz w:val="32"/>
          <w:szCs w:val="32"/>
        </w:rPr>
        <w:t>%；其他收入</w:t>
      </w:r>
      <w:r>
        <w:rPr>
          <w:rFonts w:hint="eastAsia" w:ascii="仿宋" w:hAnsi="仿宋" w:eastAsia="仿宋" w:cs="仿宋"/>
          <w:sz w:val="32"/>
          <w:szCs w:val="32"/>
          <w:lang w:val="en-US" w:eastAsia="zh-CN"/>
        </w:rPr>
        <w:t>512.69</w:t>
      </w:r>
      <w:r>
        <w:rPr>
          <w:rFonts w:hint="eastAsia" w:ascii="仿宋" w:hAnsi="仿宋" w:eastAsia="仿宋" w:cs="仿宋"/>
          <w:sz w:val="32"/>
          <w:szCs w:val="32"/>
        </w:rPr>
        <w:t>万元，占</w:t>
      </w:r>
      <w:r>
        <w:rPr>
          <w:rFonts w:hint="eastAsia" w:ascii="仿宋" w:hAnsi="仿宋" w:eastAsia="仿宋" w:cs="仿宋"/>
          <w:sz w:val="32"/>
          <w:szCs w:val="32"/>
          <w:lang w:val="en-US" w:eastAsia="zh-CN"/>
        </w:rPr>
        <w:t>12.9</w:t>
      </w:r>
      <w:r>
        <w:rPr>
          <w:rFonts w:hint="eastAsia" w:ascii="仿宋" w:hAnsi="仿宋" w:eastAsia="仿宋" w:cs="仿宋"/>
          <w:sz w:val="32"/>
          <w:szCs w:val="32"/>
        </w:rPr>
        <w:t>%。</w:t>
      </w:r>
    </w:p>
    <w:p>
      <w:pPr>
        <w:pStyle w:val="10"/>
        <w:ind w:firstLine="640" w:firstLineChars="200"/>
        <w:rPr>
          <w:rFonts w:hint="eastAsia" w:ascii="黑体" w:hAnsi="黑体" w:eastAsia="黑体" w:cs="黑体"/>
          <w:b/>
          <w:sz w:val="32"/>
          <w:szCs w:val="32"/>
        </w:rPr>
      </w:pPr>
      <w:r>
        <w:rPr>
          <w:rFonts w:hint="eastAsia" w:ascii="黑体" w:hAnsi="黑体" w:eastAsia="黑体" w:cs="黑体"/>
          <w:b/>
          <w:sz w:val="32"/>
          <w:szCs w:val="32"/>
        </w:rPr>
        <w:t>三、支出决算情况说明</w:t>
      </w:r>
    </w:p>
    <w:p>
      <w:pPr>
        <w:pStyle w:val="10"/>
        <w:ind w:firstLine="640" w:firstLineChars="200"/>
        <w:rPr>
          <w:rFonts w:hint="eastAsia" w:ascii="仿宋" w:hAnsi="仿宋" w:eastAsia="仿宋" w:cs="仿宋"/>
          <w:sz w:val="32"/>
          <w:szCs w:val="32"/>
        </w:rPr>
      </w:pPr>
      <w:r>
        <w:rPr>
          <w:rFonts w:hint="eastAsia" w:ascii="仿宋" w:hAnsi="仿宋" w:eastAsia="仿宋" w:cs="仿宋"/>
          <w:sz w:val="32"/>
          <w:szCs w:val="32"/>
        </w:rPr>
        <w:t>本年支出合计</w:t>
      </w:r>
      <w:r>
        <w:rPr>
          <w:rFonts w:hint="eastAsia" w:ascii="仿宋" w:hAnsi="仿宋" w:eastAsia="仿宋" w:cs="仿宋"/>
          <w:sz w:val="32"/>
          <w:szCs w:val="32"/>
          <w:lang w:val="en-US" w:eastAsia="zh-CN"/>
        </w:rPr>
        <w:t>3939.17</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2032.81</w:t>
      </w:r>
      <w:r>
        <w:rPr>
          <w:rFonts w:hint="eastAsia" w:ascii="仿宋" w:hAnsi="仿宋" w:eastAsia="仿宋" w:cs="仿宋"/>
          <w:sz w:val="32"/>
          <w:szCs w:val="32"/>
        </w:rPr>
        <w:t>万元，占</w:t>
      </w:r>
      <w:r>
        <w:rPr>
          <w:rFonts w:hint="eastAsia" w:ascii="仿宋" w:hAnsi="仿宋" w:eastAsia="仿宋" w:cs="仿宋"/>
          <w:sz w:val="32"/>
          <w:szCs w:val="32"/>
          <w:lang w:val="en-US" w:eastAsia="zh-CN"/>
        </w:rPr>
        <w:t>51.6</w:t>
      </w:r>
      <w:r>
        <w:rPr>
          <w:rFonts w:hint="eastAsia" w:ascii="仿宋" w:hAnsi="仿宋" w:eastAsia="仿宋" w:cs="仿宋"/>
          <w:sz w:val="32"/>
          <w:szCs w:val="32"/>
        </w:rPr>
        <w:t>%；项目支出</w:t>
      </w:r>
      <w:r>
        <w:rPr>
          <w:rFonts w:hint="eastAsia" w:ascii="仿宋" w:hAnsi="仿宋" w:eastAsia="仿宋" w:cs="仿宋"/>
          <w:sz w:val="32"/>
          <w:szCs w:val="32"/>
          <w:lang w:val="en-US" w:eastAsia="zh-CN"/>
        </w:rPr>
        <w:t>1906.37</w:t>
      </w:r>
      <w:r>
        <w:rPr>
          <w:rFonts w:hint="eastAsia" w:ascii="仿宋" w:hAnsi="仿宋" w:eastAsia="仿宋" w:cs="仿宋"/>
          <w:sz w:val="32"/>
          <w:szCs w:val="32"/>
        </w:rPr>
        <w:t>万元，占</w:t>
      </w:r>
      <w:r>
        <w:rPr>
          <w:rFonts w:hint="eastAsia" w:ascii="仿宋" w:hAnsi="仿宋" w:eastAsia="仿宋" w:cs="仿宋"/>
          <w:sz w:val="32"/>
          <w:szCs w:val="32"/>
          <w:lang w:val="en-US" w:eastAsia="zh-CN"/>
        </w:rPr>
        <w:t>48.4</w:t>
      </w:r>
      <w:r>
        <w:rPr>
          <w:rFonts w:hint="eastAsia" w:ascii="仿宋" w:hAnsi="仿宋" w:eastAsia="仿宋" w:cs="仿宋"/>
          <w:sz w:val="32"/>
          <w:szCs w:val="32"/>
        </w:rPr>
        <w:t>%。</w:t>
      </w:r>
    </w:p>
    <w:p>
      <w:pPr>
        <w:pStyle w:val="10"/>
        <w:ind w:firstLine="640" w:firstLineChars="200"/>
        <w:rPr>
          <w:rFonts w:hint="eastAsia" w:ascii="黑体" w:hAnsi="黑体" w:eastAsia="黑体" w:cs="黑体"/>
          <w:b/>
          <w:sz w:val="32"/>
          <w:szCs w:val="32"/>
        </w:rPr>
      </w:pPr>
      <w:r>
        <w:rPr>
          <w:rFonts w:hint="eastAsia" w:ascii="黑体" w:hAnsi="黑体" w:eastAsia="黑体" w:cs="黑体"/>
          <w:b/>
          <w:sz w:val="32"/>
          <w:szCs w:val="32"/>
        </w:rPr>
        <w:t>四、财政拨款收入支出决算总体情况说明</w:t>
      </w:r>
    </w:p>
    <w:p>
      <w:pPr>
        <w:pStyle w:val="10"/>
        <w:rPr>
          <w:rFonts w:hint="eastAsia" w:ascii="仿宋" w:hAnsi="仿宋" w:eastAsia="仿宋" w:cs="仿宋"/>
          <w:sz w:val="32"/>
          <w:szCs w:val="32"/>
        </w:rPr>
      </w:pPr>
      <w:r>
        <w:rPr>
          <w:rFonts w:hint="eastAsia" w:ascii="仿宋" w:hAnsi="仿宋" w:eastAsia="仿宋" w:cs="仿宋"/>
          <w:sz w:val="32"/>
          <w:szCs w:val="32"/>
        </w:rPr>
        <w:t xml:space="preserve">    2019年度财政拨款收、支总计</w:t>
      </w:r>
      <w:r>
        <w:rPr>
          <w:rFonts w:hint="eastAsia" w:ascii="仿宋" w:hAnsi="仿宋" w:eastAsia="仿宋" w:cs="仿宋"/>
          <w:sz w:val="32"/>
          <w:szCs w:val="32"/>
          <w:lang w:val="en-US" w:eastAsia="zh-CN"/>
        </w:rPr>
        <w:t>5396.60</w:t>
      </w:r>
      <w:r>
        <w:rPr>
          <w:rFonts w:hint="eastAsia" w:ascii="仿宋" w:hAnsi="仿宋" w:eastAsia="仿宋" w:cs="仿宋"/>
          <w:sz w:val="32"/>
          <w:szCs w:val="32"/>
        </w:rPr>
        <w:t>万元，与2018年相比，增加</w:t>
      </w:r>
      <w:r>
        <w:rPr>
          <w:rFonts w:hint="eastAsia" w:ascii="仿宋" w:hAnsi="仿宋" w:eastAsia="仿宋" w:cs="仿宋"/>
          <w:sz w:val="32"/>
          <w:szCs w:val="32"/>
          <w:lang w:val="en-US" w:eastAsia="zh-CN"/>
        </w:rPr>
        <w:t>1505.40</w:t>
      </w:r>
      <w:r>
        <w:rPr>
          <w:rFonts w:hint="eastAsia" w:ascii="仿宋" w:hAnsi="仿宋" w:eastAsia="仿宋" w:cs="仿宋"/>
          <w:sz w:val="32"/>
          <w:szCs w:val="32"/>
        </w:rPr>
        <w:t>万元,增长</w:t>
      </w:r>
      <w:r>
        <w:rPr>
          <w:rFonts w:hint="eastAsia" w:ascii="仿宋" w:hAnsi="仿宋" w:eastAsia="仿宋" w:cs="仿宋"/>
          <w:sz w:val="32"/>
          <w:szCs w:val="32"/>
          <w:lang w:val="en-US" w:eastAsia="zh-CN"/>
        </w:rPr>
        <w:t>38.7</w:t>
      </w:r>
      <w:r>
        <w:rPr>
          <w:rFonts w:hint="eastAsia" w:ascii="仿宋" w:hAnsi="仿宋" w:eastAsia="仿宋" w:cs="仿宋"/>
          <w:sz w:val="32"/>
          <w:szCs w:val="32"/>
        </w:rPr>
        <w:t>%，主要是因为按照湘乡市机构改革方案，从2019年4月1日开始原房产局、原人防办账务全部并入住建局，年终决算报表系统只含并入单位的年初结转结余和本年收支，合并后单位的资产、负债、收支与上年原住建局的对比，对比的口径不一致，导致差异率比较大。</w:t>
      </w:r>
    </w:p>
    <w:p>
      <w:pPr>
        <w:pStyle w:val="10"/>
        <w:ind w:firstLine="640" w:firstLineChars="200"/>
        <w:rPr>
          <w:rFonts w:hint="eastAsia" w:ascii="黑体" w:hAnsi="黑体" w:eastAsia="黑体" w:cs="黑体"/>
          <w:b/>
          <w:sz w:val="32"/>
          <w:szCs w:val="32"/>
        </w:rPr>
      </w:pPr>
      <w:r>
        <w:rPr>
          <w:rFonts w:hint="eastAsia" w:ascii="黑体" w:hAnsi="黑体" w:eastAsia="黑体" w:cs="黑体"/>
          <w:b/>
          <w:sz w:val="32"/>
          <w:szCs w:val="32"/>
        </w:rPr>
        <w:t>五、一般公共预算财政拨款支出决算情况说明</w:t>
      </w:r>
    </w:p>
    <w:p>
      <w:pPr>
        <w:pStyle w:val="10"/>
        <w:ind w:firstLine="640" w:firstLineChars="200"/>
        <w:rPr>
          <w:rFonts w:hint="eastAsia" w:ascii="楷体" w:hAnsi="楷体" w:eastAsia="楷体" w:cs="楷体"/>
          <w:b/>
          <w:bCs w:val="0"/>
          <w:sz w:val="32"/>
          <w:szCs w:val="32"/>
        </w:rPr>
      </w:pPr>
      <w:r>
        <w:rPr>
          <w:rFonts w:hint="eastAsia" w:ascii="楷体" w:hAnsi="楷体" w:eastAsia="楷体" w:cs="楷体"/>
          <w:b/>
          <w:bCs w:val="0"/>
          <w:sz w:val="32"/>
          <w:szCs w:val="32"/>
        </w:rPr>
        <w:t>（一）财政拨款支出决算总体情况</w:t>
      </w:r>
    </w:p>
    <w:p>
      <w:pPr>
        <w:pStyle w:val="10"/>
        <w:ind w:firstLine="800" w:firstLineChars="250"/>
        <w:rPr>
          <w:rFonts w:hint="eastAsia" w:ascii="仿宋" w:hAnsi="仿宋" w:eastAsia="仿宋" w:cs="仿宋"/>
          <w:sz w:val="32"/>
          <w:szCs w:val="32"/>
          <w:lang w:val="en-US" w:eastAsia="zh-CN"/>
        </w:rPr>
      </w:pPr>
      <w:r>
        <w:rPr>
          <w:rFonts w:hint="eastAsia" w:ascii="仿宋" w:hAnsi="仿宋" w:eastAsia="仿宋" w:cs="仿宋"/>
          <w:sz w:val="32"/>
          <w:szCs w:val="32"/>
        </w:rPr>
        <w:t>2019年度财政拨款支出</w:t>
      </w:r>
      <w:r>
        <w:rPr>
          <w:rFonts w:hint="eastAsia" w:ascii="仿宋" w:hAnsi="仿宋" w:eastAsia="仿宋" w:cs="仿宋"/>
          <w:sz w:val="32"/>
          <w:szCs w:val="32"/>
          <w:lang w:val="en-US" w:eastAsia="zh-CN"/>
        </w:rPr>
        <w:t>3939.17</w:t>
      </w:r>
      <w:r>
        <w:rPr>
          <w:rFonts w:hint="eastAsia" w:ascii="仿宋" w:hAnsi="仿宋" w:eastAsia="仿宋" w:cs="仿宋"/>
          <w:sz w:val="32"/>
          <w:szCs w:val="32"/>
        </w:rPr>
        <w:t>万元，占本年支出合计的</w:t>
      </w:r>
      <w:r>
        <w:rPr>
          <w:rFonts w:hint="eastAsia" w:ascii="仿宋" w:hAnsi="仿宋" w:eastAsia="仿宋" w:cs="仿宋"/>
          <w:sz w:val="32"/>
          <w:szCs w:val="32"/>
          <w:lang w:val="en-US" w:eastAsia="zh-CN"/>
        </w:rPr>
        <w:t>73</w:t>
      </w:r>
      <w:r>
        <w:rPr>
          <w:rFonts w:hint="eastAsia" w:ascii="仿宋" w:hAnsi="仿宋" w:eastAsia="仿宋" w:cs="仿宋"/>
          <w:sz w:val="32"/>
          <w:szCs w:val="32"/>
        </w:rPr>
        <w:t>%，与2018年相比，财政拨款支出增加</w:t>
      </w:r>
      <w:r>
        <w:rPr>
          <w:rFonts w:hint="eastAsia" w:ascii="仿宋" w:hAnsi="仿宋" w:eastAsia="仿宋" w:cs="仿宋"/>
          <w:sz w:val="32"/>
          <w:szCs w:val="32"/>
          <w:lang w:val="en-US" w:eastAsia="zh-CN"/>
        </w:rPr>
        <w:t>47.97</w:t>
      </w:r>
      <w:r>
        <w:rPr>
          <w:rFonts w:hint="eastAsia" w:ascii="仿宋" w:hAnsi="仿宋" w:eastAsia="仿宋" w:cs="仿宋"/>
          <w:sz w:val="32"/>
          <w:szCs w:val="32"/>
        </w:rPr>
        <w:t>万元，增长</w:t>
      </w:r>
      <w:r>
        <w:rPr>
          <w:rFonts w:hint="eastAsia" w:ascii="仿宋" w:hAnsi="仿宋" w:eastAsia="仿宋" w:cs="仿宋"/>
          <w:sz w:val="32"/>
          <w:szCs w:val="32"/>
          <w:lang w:val="en-US" w:eastAsia="zh-CN"/>
        </w:rPr>
        <w:t>1.2</w:t>
      </w:r>
      <w:r>
        <w:rPr>
          <w:rFonts w:hint="eastAsia" w:ascii="仿宋" w:hAnsi="仿宋" w:eastAsia="仿宋" w:cs="仿宋"/>
          <w:sz w:val="32"/>
          <w:szCs w:val="32"/>
        </w:rPr>
        <w:t>%，主要是因</w:t>
      </w:r>
      <w:r>
        <w:rPr>
          <w:rFonts w:hint="eastAsia" w:ascii="仿宋" w:hAnsi="仿宋" w:eastAsia="仿宋" w:cs="仿宋"/>
          <w:sz w:val="32"/>
          <w:szCs w:val="32"/>
          <w:lang w:eastAsia="zh-CN"/>
        </w:rPr>
        <w:t>为压减开支，导致开支升幅降低。</w:t>
      </w:r>
    </w:p>
    <w:p>
      <w:pPr>
        <w:pStyle w:val="10"/>
        <w:ind w:firstLine="480" w:firstLineChars="150"/>
        <w:rPr>
          <w:rFonts w:hint="eastAsia" w:ascii="仿宋" w:hAnsi="仿宋" w:eastAsia="仿宋" w:cs="仿宋"/>
          <w:b/>
          <w:sz w:val="32"/>
          <w:szCs w:val="32"/>
        </w:rPr>
      </w:pPr>
      <w:r>
        <w:rPr>
          <w:rFonts w:hint="eastAsia" w:ascii="楷体" w:hAnsi="楷体" w:eastAsia="楷体" w:cs="楷体"/>
          <w:b/>
          <w:sz w:val="32"/>
          <w:szCs w:val="32"/>
        </w:rPr>
        <w:t>（二）财政拨款支出决算结构情况</w:t>
      </w:r>
    </w:p>
    <w:p>
      <w:pPr>
        <w:pStyle w:val="10"/>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2019年度财政拨款支出</w:t>
      </w:r>
      <w:r>
        <w:rPr>
          <w:rFonts w:hint="eastAsia" w:ascii="仿宋" w:hAnsi="仿宋" w:eastAsia="仿宋" w:cs="仿宋"/>
          <w:sz w:val="32"/>
          <w:szCs w:val="32"/>
          <w:lang w:val="en-US" w:eastAsia="zh-CN"/>
        </w:rPr>
        <w:t>3939.17</w:t>
      </w:r>
      <w:r>
        <w:rPr>
          <w:rFonts w:hint="eastAsia" w:ascii="仿宋" w:hAnsi="仿宋" w:eastAsia="仿宋" w:cs="仿宋"/>
          <w:sz w:val="32"/>
          <w:szCs w:val="32"/>
        </w:rPr>
        <w:t>万元，主要用于以下方面：社会保障和就业支出</w:t>
      </w:r>
      <w:r>
        <w:rPr>
          <w:rFonts w:hint="eastAsia" w:ascii="仿宋" w:hAnsi="仿宋" w:eastAsia="仿宋" w:cs="仿宋"/>
          <w:sz w:val="32"/>
          <w:szCs w:val="32"/>
          <w:lang w:val="en-US" w:eastAsia="zh-CN"/>
        </w:rPr>
        <w:t>185.92</w:t>
      </w:r>
      <w:r>
        <w:rPr>
          <w:rFonts w:hint="eastAsia" w:ascii="仿宋" w:hAnsi="仿宋" w:eastAsia="仿宋" w:cs="仿宋"/>
          <w:sz w:val="32"/>
          <w:szCs w:val="32"/>
        </w:rPr>
        <w:t>万元，占</w:t>
      </w:r>
      <w:r>
        <w:rPr>
          <w:rFonts w:hint="eastAsia" w:ascii="仿宋" w:hAnsi="仿宋" w:eastAsia="仿宋" w:cs="仿宋"/>
          <w:sz w:val="32"/>
          <w:szCs w:val="32"/>
          <w:lang w:val="en-US" w:eastAsia="zh-CN"/>
        </w:rPr>
        <w:t>4.7</w:t>
      </w:r>
      <w:r>
        <w:rPr>
          <w:rFonts w:hint="eastAsia" w:ascii="仿宋" w:hAnsi="仿宋" w:eastAsia="仿宋" w:cs="仿宋"/>
          <w:sz w:val="32"/>
          <w:szCs w:val="32"/>
        </w:rPr>
        <w:t>%；卫生健康支出</w:t>
      </w:r>
      <w:r>
        <w:rPr>
          <w:rFonts w:hint="eastAsia" w:ascii="仿宋" w:hAnsi="仿宋" w:eastAsia="仿宋" w:cs="仿宋"/>
          <w:sz w:val="32"/>
          <w:szCs w:val="32"/>
          <w:lang w:val="en-US" w:eastAsia="zh-CN"/>
        </w:rPr>
        <w:t>79.31</w:t>
      </w:r>
      <w:r>
        <w:rPr>
          <w:rFonts w:hint="eastAsia" w:ascii="仿宋" w:hAnsi="仿宋" w:eastAsia="仿宋" w:cs="仿宋"/>
          <w:sz w:val="32"/>
          <w:szCs w:val="32"/>
        </w:rPr>
        <w:t>万元，占</w:t>
      </w:r>
      <w:r>
        <w:rPr>
          <w:rFonts w:hint="eastAsia" w:ascii="仿宋" w:hAnsi="仿宋" w:eastAsia="仿宋" w:cs="仿宋"/>
          <w:sz w:val="32"/>
          <w:szCs w:val="32"/>
          <w:lang w:val="en-US" w:eastAsia="zh-CN"/>
        </w:rPr>
        <w:t>2</w:t>
      </w:r>
      <w:r>
        <w:rPr>
          <w:rFonts w:hint="eastAsia" w:ascii="仿宋" w:hAnsi="仿宋" w:eastAsia="仿宋" w:cs="仿宋"/>
          <w:sz w:val="32"/>
          <w:szCs w:val="32"/>
        </w:rPr>
        <w:t>%;节能环保支出</w:t>
      </w:r>
      <w:r>
        <w:rPr>
          <w:rFonts w:hint="eastAsia" w:ascii="仿宋" w:hAnsi="仿宋" w:eastAsia="仿宋" w:cs="仿宋"/>
          <w:sz w:val="32"/>
          <w:szCs w:val="32"/>
          <w:lang w:val="en-US" w:eastAsia="zh-CN"/>
        </w:rPr>
        <w:t>181.91万元，占4.6%；城乡社区支出3396.27万元，占86.2%；住房保障支出95.76万元，占2.5%。</w:t>
      </w:r>
    </w:p>
    <w:p>
      <w:pPr>
        <w:pStyle w:val="10"/>
        <w:ind w:firstLine="800" w:firstLineChars="250"/>
        <w:rPr>
          <w:rFonts w:hint="eastAsia" w:ascii="仿宋" w:hAnsi="仿宋" w:eastAsia="仿宋" w:cs="仿宋"/>
          <w:b/>
          <w:sz w:val="32"/>
          <w:szCs w:val="32"/>
        </w:rPr>
      </w:pPr>
      <w:r>
        <w:rPr>
          <w:rFonts w:hint="eastAsia" w:ascii="仿宋" w:hAnsi="仿宋" w:eastAsia="仿宋" w:cs="仿宋"/>
          <w:b/>
          <w:sz w:val="32"/>
          <w:szCs w:val="32"/>
        </w:rPr>
        <w:t>（三）财政拨款支出决算具体情况</w:t>
      </w:r>
    </w:p>
    <w:p>
      <w:pPr>
        <w:pStyle w:val="10"/>
        <w:ind w:firstLine="800" w:firstLineChars="250"/>
        <w:rPr>
          <w:rFonts w:hint="eastAsia" w:ascii="仿宋" w:hAnsi="仿宋" w:eastAsia="仿宋" w:cs="仿宋"/>
          <w:sz w:val="32"/>
          <w:szCs w:val="32"/>
        </w:rPr>
      </w:pPr>
      <w:r>
        <w:rPr>
          <w:rFonts w:hint="eastAsia" w:ascii="仿宋" w:hAnsi="仿宋" w:eastAsia="仿宋" w:cs="仿宋"/>
          <w:sz w:val="32"/>
          <w:szCs w:val="32"/>
        </w:rPr>
        <w:t>2019年度财政拨款支出年初预算数为</w:t>
      </w:r>
      <w:r>
        <w:rPr>
          <w:rFonts w:hint="eastAsia" w:ascii="仿宋" w:hAnsi="仿宋" w:eastAsia="仿宋" w:cs="仿宋"/>
          <w:sz w:val="32"/>
          <w:szCs w:val="32"/>
          <w:lang w:val="en-US" w:eastAsia="zh-CN"/>
        </w:rPr>
        <w:t>842.17</w:t>
      </w:r>
      <w:r>
        <w:rPr>
          <w:rFonts w:hint="eastAsia" w:ascii="仿宋" w:hAnsi="仿宋" w:eastAsia="仿宋" w:cs="仿宋"/>
          <w:sz w:val="32"/>
          <w:szCs w:val="32"/>
        </w:rPr>
        <w:t>万元，支出决算数为</w:t>
      </w:r>
      <w:r>
        <w:rPr>
          <w:rFonts w:hint="eastAsia" w:ascii="仿宋" w:hAnsi="仿宋" w:eastAsia="仿宋" w:cs="仿宋"/>
          <w:sz w:val="32"/>
          <w:szCs w:val="32"/>
          <w:lang w:val="en-US" w:eastAsia="zh-CN"/>
        </w:rPr>
        <w:t>3939.17</w:t>
      </w:r>
      <w:r>
        <w:rPr>
          <w:rFonts w:hint="eastAsia" w:ascii="仿宋" w:hAnsi="仿宋" w:eastAsia="仿宋" w:cs="仿宋"/>
          <w:sz w:val="32"/>
          <w:szCs w:val="32"/>
        </w:rPr>
        <w:t>万元，完成年初预算的</w:t>
      </w:r>
      <w:r>
        <w:rPr>
          <w:rFonts w:hint="eastAsia" w:ascii="仿宋" w:hAnsi="仿宋" w:eastAsia="仿宋" w:cs="仿宋"/>
          <w:sz w:val="32"/>
          <w:szCs w:val="32"/>
          <w:lang w:val="en-US" w:eastAsia="zh-CN"/>
        </w:rPr>
        <w:t>467.7</w:t>
      </w:r>
      <w:r>
        <w:rPr>
          <w:rFonts w:hint="eastAsia" w:ascii="仿宋" w:hAnsi="仿宋" w:eastAsia="仿宋" w:cs="仿宋"/>
          <w:sz w:val="32"/>
          <w:szCs w:val="32"/>
        </w:rPr>
        <w:t>%，其中：</w:t>
      </w:r>
    </w:p>
    <w:p>
      <w:pPr>
        <w:pStyle w:val="10"/>
        <w:ind w:firstLine="800" w:firstLineChars="250"/>
        <w:rPr>
          <w:rFonts w:hint="eastAsia" w:ascii="仿宋" w:hAnsi="仿宋" w:eastAsia="仿宋" w:cs="仿宋"/>
          <w:sz w:val="32"/>
          <w:szCs w:val="32"/>
          <w:lang w:eastAsia="zh-CN"/>
        </w:rPr>
      </w:pPr>
      <w:r>
        <w:rPr>
          <w:rFonts w:hint="eastAsia" w:ascii="仿宋" w:hAnsi="仿宋" w:eastAsia="仿宋" w:cs="仿宋"/>
          <w:sz w:val="32"/>
          <w:szCs w:val="32"/>
        </w:rPr>
        <w:t>1、社会保障和就业支出年初预算为</w:t>
      </w:r>
      <w:r>
        <w:rPr>
          <w:rFonts w:hint="eastAsia" w:ascii="仿宋" w:hAnsi="仿宋" w:eastAsia="仿宋" w:cs="仿宋"/>
          <w:sz w:val="32"/>
          <w:szCs w:val="32"/>
          <w:lang w:val="en-US" w:eastAsia="zh-CN"/>
        </w:rPr>
        <w:t>102.08</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185.92</w:t>
      </w:r>
      <w:r>
        <w:rPr>
          <w:rFonts w:hint="eastAsia" w:ascii="仿宋" w:hAnsi="仿宋" w:eastAsia="仿宋" w:cs="仿宋"/>
          <w:sz w:val="32"/>
          <w:szCs w:val="32"/>
        </w:rPr>
        <w:t>万元，完成年初预算的</w:t>
      </w:r>
      <w:r>
        <w:rPr>
          <w:rFonts w:hint="eastAsia" w:ascii="仿宋" w:hAnsi="仿宋" w:eastAsia="仿宋" w:cs="仿宋"/>
          <w:sz w:val="32"/>
          <w:szCs w:val="32"/>
          <w:lang w:val="en-US" w:eastAsia="zh-CN"/>
        </w:rPr>
        <w:t>182.1</w:t>
      </w:r>
      <w:r>
        <w:rPr>
          <w:rFonts w:hint="eastAsia" w:ascii="仿宋" w:hAnsi="仿宋" w:eastAsia="仿宋" w:cs="仿宋"/>
          <w:sz w:val="32"/>
          <w:szCs w:val="32"/>
        </w:rPr>
        <w:t>%，决算数大于年初预算数的主要原因是</w:t>
      </w:r>
      <w:r>
        <w:rPr>
          <w:rFonts w:hint="eastAsia" w:ascii="仿宋" w:hAnsi="仿宋" w:eastAsia="仿宋" w:cs="仿宋"/>
          <w:sz w:val="32"/>
          <w:szCs w:val="32"/>
          <w:lang w:eastAsia="zh-CN"/>
        </w:rPr>
        <w:t>机构合并，人员开支增加。</w:t>
      </w:r>
    </w:p>
    <w:p>
      <w:pPr>
        <w:pStyle w:val="10"/>
        <w:ind w:firstLine="800" w:firstLineChars="250"/>
        <w:rPr>
          <w:rFonts w:hint="eastAsia" w:ascii="仿宋" w:hAnsi="仿宋" w:eastAsia="仿宋" w:cs="仿宋"/>
          <w:sz w:val="32"/>
          <w:szCs w:val="32"/>
          <w:lang w:eastAsia="zh-CN"/>
        </w:rPr>
      </w:pPr>
      <w:r>
        <w:rPr>
          <w:rFonts w:hint="eastAsia" w:ascii="仿宋" w:hAnsi="仿宋" w:eastAsia="仿宋" w:cs="仿宋"/>
          <w:sz w:val="32"/>
          <w:szCs w:val="32"/>
        </w:rPr>
        <w:t>2、卫生健康支出年初预算为</w:t>
      </w:r>
      <w:r>
        <w:rPr>
          <w:rFonts w:hint="eastAsia" w:ascii="仿宋" w:hAnsi="仿宋" w:eastAsia="仿宋" w:cs="仿宋"/>
          <w:sz w:val="32"/>
          <w:szCs w:val="32"/>
          <w:lang w:val="en-US" w:eastAsia="zh-CN"/>
        </w:rPr>
        <w:t>40.20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79.31</w:t>
      </w:r>
      <w:r>
        <w:rPr>
          <w:rFonts w:hint="eastAsia" w:ascii="仿宋" w:hAnsi="仿宋" w:eastAsia="仿宋" w:cs="仿宋"/>
          <w:sz w:val="32"/>
          <w:szCs w:val="32"/>
        </w:rPr>
        <w:t>万元，完成年初预算的</w:t>
      </w:r>
      <w:r>
        <w:rPr>
          <w:rFonts w:hint="eastAsia" w:ascii="仿宋" w:hAnsi="仿宋" w:eastAsia="仿宋" w:cs="仿宋"/>
          <w:sz w:val="32"/>
          <w:szCs w:val="32"/>
          <w:lang w:val="en-US" w:eastAsia="zh-CN"/>
        </w:rPr>
        <w:t>197.3</w:t>
      </w:r>
      <w:r>
        <w:rPr>
          <w:rFonts w:hint="eastAsia" w:ascii="仿宋" w:hAnsi="仿宋" w:eastAsia="仿宋" w:cs="仿宋"/>
          <w:sz w:val="32"/>
          <w:szCs w:val="32"/>
        </w:rPr>
        <w:t>%，决算数大于年初预算数的主要原因是</w:t>
      </w:r>
      <w:r>
        <w:rPr>
          <w:rFonts w:hint="eastAsia" w:ascii="仿宋" w:hAnsi="仿宋" w:eastAsia="仿宋" w:cs="仿宋"/>
          <w:sz w:val="32"/>
          <w:szCs w:val="32"/>
          <w:lang w:eastAsia="zh-CN"/>
        </w:rPr>
        <w:t>因机构合并，开支增加。</w:t>
      </w:r>
    </w:p>
    <w:p>
      <w:pPr>
        <w:pStyle w:val="10"/>
        <w:ind w:firstLine="800" w:firstLineChars="250"/>
        <w:rPr>
          <w:rFonts w:hint="eastAsia" w:ascii="仿宋" w:hAnsi="仿宋" w:eastAsia="仿宋" w:cs="仿宋"/>
          <w:color w:val="auto"/>
          <w:sz w:val="32"/>
          <w:szCs w:val="32"/>
          <w:lang w:eastAsia="zh-CN"/>
        </w:rPr>
      </w:pPr>
      <w:r>
        <w:rPr>
          <w:rFonts w:hint="eastAsia" w:ascii="仿宋" w:hAnsi="仿宋" w:eastAsia="仿宋" w:cs="仿宋"/>
          <w:sz w:val="32"/>
          <w:szCs w:val="32"/>
          <w:lang w:val="en-US" w:eastAsia="zh-CN"/>
        </w:rPr>
        <w:t>3、节能环保支出年</w:t>
      </w:r>
      <w:r>
        <w:rPr>
          <w:rFonts w:hint="eastAsia" w:ascii="仿宋" w:hAnsi="仿宋" w:eastAsia="仿宋" w:cs="仿宋"/>
          <w:sz w:val="32"/>
          <w:szCs w:val="32"/>
        </w:rPr>
        <w:t>初预算为</w:t>
      </w:r>
      <w:r>
        <w:rPr>
          <w:rFonts w:hint="eastAsia" w:ascii="仿宋" w:hAnsi="仿宋" w:eastAsia="仿宋" w:cs="仿宋"/>
          <w:sz w:val="32"/>
          <w:szCs w:val="32"/>
          <w:lang w:val="en-US" w:eastAsia="zh-CN"/>
        </w:rPr>
        <w:t>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181.91</w:t>
      </w:r>
      <w:r>
        <w:rPr>
          <w:rFonts w:hint="eastAsia" w:ascii="仿宋" w:hAnsi="仿宋" w:eastAsia="仿宋" w:cs="仿宋"/>
          <w:sz w:val="32"/>
          <w:szCs w:val="32"/>
        </w:rPr>
        <w:t>万元，完成年初预算的</w:t>
      </w:r>
      <w:r>
        <w:rPr>
          <w:rFonts w:hint="eastAsia" w:ascii="仿宋" w:hAnsi="仿宋" w:eastAsia="仿宋" w:cs="仿宋"/>
          <w:sz w:val="32"/>
          <w:szCs w:val="32"/>
          <w:lang w:val="en-US" w:eastAsia="zh-CN"/>
        </w:rPr>
        <w:t>100</w:t>
      </w:r>
      <w:r>
        <w:rPr>
          <w:rFonts w:hint="eastAsia" w:ascii="仿宋" w:hAnsi="仿宋" w:eastAsia="仿宋" w:cs="仿宋"/>
          <w:sz w:val="32"/>
          <w:szCs w:val="32"/>
        </w:rPr>
        <w:t>%，决算数大于年初预算数的主要原因是</w:t>
      </w:r>
      <w:r>
        <w:rPr>
          <w:rFonts w:hint="eastAsia" w:ascii="仿宋" w:hAnsi="仿宋" w:eastAsia="仿宋" w:cs="仿宋"/>
          <w:sz w:val="32"/>
          <w:szCs w:val="32"/>
          <w:lang w:eastAsia="zh-CN"/>
        </w:rPr>
        <w:t>中央环保督查交办工作</w:t>
      </w:r>
      <w:r>
        <w:rPr>
          <w:rFonts w:hint="eastAsia" w:ascii="仿宋" w:hAnsi="仿宋" w:eastAsia="仿宋" w:cs="仿宋"/>
          <w:color w:val="auto"/>
          <w:sz w:val="32"/>
          <w:szCs w:val="32"/>
          <w:lang w:eastAsia="zh-CN"/>
        </w:rPr>
        <w:t>，完成欧家港、城区黑臭水整治工作。</w:t>
      </w:r>
    </w:p>
    <w:p>
      <w:pPr>
        <w:pStyle w:val="10"/>
        <w:ind w:firstLine="800" w:firstLineChars="25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4、城乡社区支出年</w:t>
      </w:r>
      <w:r>
        <w:rPr>
          <w:rFonts w:hint="eastAsia" w:ascii="仿宋" w:hAnsi="仿宋" w:eastAsia="仿宋" w:cs="仿宋"/>
          <w:color w:val="auto"/>
          <w:sz w:val="32"/>
          <w:szCs w:val="32"/>
        </w:rPr>
        <w:t>初预算为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652.05万元，支出决算为3396.27万元，</w:t>
      </w:r>
      <w:r>
        <w:rPr>
          <w:rFonts w:hint="eastAsia" w:ascii="仿宋" w:hAnsi="仿宋" w:eastAsia="仿宋" w:cs="仿宋"/>
          <w:color w:val="auto"/>
          <w:sz w:val="32"/>
          <w:szCs w:val="32"/>
        </w:rPr>
        <w:t>完成年初预算的</w:t>
      </w:r>
      <w:r>
        <w:rPr>
          <w:rFonts w:hint="eastAsia" w:ascii="仿宋" w:hAnsi="仿宋" w:eastAsia="仿宋" w:cs="仿宋"/>
          <w:color w:val="auto"/>
          <w:sz w:val="32"/>
          <w:szCs w:val="32"/>
          <w:lang w:val="en-US" w:eastAsia="zh-CN"/>
        </w:rPr>
        <w:t>520.9</w:t>
      </w:r>
      <w:r>
        <w:rPr>
          <w:rFonts w:hint="eastAsia" w:ascii="仿宋" w:hAnsi="仿宋" w:eastAsia="仿宋" w:cs="仿宋"/>
          <w:color w:val="auto"/>
          <w:sz w:val="32"/>
          <w:szCs w:val="32"/>
        </w:rPr>
        <w:t>%，决算数大于年初预算数的主要原因是</w:t>
      </w:r>
      <w:r>
        <w:rPr>
          <w:rFonts w:hint="eastAsia" w:ascii="仿宋" w:hAnsi="仿宋" w:eastAsia="仿宋" w:cs="仿宋"/>
          <w:color w:val="auto"/>
          <w:sz w:val="32"/>
          <w:szCs w:val="32"/>
          <w:lang w:val="en-US" w:eastAsia="zh-CN"/>
        </w:rPr>
        <w:t>2019年机构合并以及新增项目开支增加</w:t>
      </w:r>
      <w:r>
        <w:rPr>
          <w:rFonts w:hint="eastAsia" w:ascii="仿宋" w:hAnsi="仿宋" w:eastAsia="仿宋" w:cs="仿宋"/>
          <w:color w:val="auto"/>
          <w:sz w:val="32"/>
          <w:szCs w:val="32"/>
          <w:lang w:eastAsia="zh-CN"/>
        </w:rPr>
        <w:t>。</w:t>
      </w:r>
    </w:p>
    <w:p>
      <w:pPr>
        <w:pStyle w:val="10"/>
        <w:ind w:firstLine="640" w:firstLineChars="200"/>
        <w:rPr>
          <w:rFonts w:hint="eastAsia" w:ascii="黑体" w:hAnsi="黑体" w:eastAsia="黑体" w:cs="黑体"/>
          <w:b/>
          <w:color w:val="auto"/>
          <w:sz w:val="32"/>
          <w:szCs w:val="32"/>
        </w:rPr>
      </w:pPr>
      <w:r>
        <w:rPr>
          <w:rFonts w:hint="eastAsia" w:ascii="黑体" w:hAnsi="黑体" w:eastAsia="黑体" w:cs="黑体"/>
          <w:b/>
          <w:color w:val="auto"/>
          <w:sz w:val="32"/>
          <w:szCs w:val="32"/>
        </w:rPr>
        <w:t>六、一般公共预算财政拨款基本支出决算情况说明</w:t>
      </w:r>
    </w:p>
    <w:p>
      <w:pPr>
        <w:pStyle w:val="10"/>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2019年度财政拨款基本支出</w:t>
      </w:r>
      <w:r>
        <w:rPr>
          <w:rFonts w:hint="eastAsia" w:ascii="仿宋" w:hAnsi="仿宋" w:eastAsia="仿宋" w:cs="仿宋"/>
          <w:color w:val="auto"/>
          <w:sz w:val="32"/>
          <w:szCs w:val="32"/>
          <w:lang w:val="en-US" w:eastAsia="zh-CN"/>
        </w:rPr>
        <w:t>2032.81</w:t>
      </w:r>
      <w:r>
        <w:rPr>
          <w:rFonts w:hint="eastAsia" w:ascii="仿宋" w:hAnsi="仿宋" w:eastAsia="仿宋" w:cs="仿宋"/>
          <w:color w:val="auto"/>
          <w:sz w:val="32"/>
          <w:szCs w:val="32"/>
        </w:rPr>
        <w:t>万元，其中：人员经费</w:t>
      </w:r>
      <w:r>
        <w:rPr>
          <w:rFonts w:hint="eastAsia" w:ascii="仿宋" w:hAnsi="仿宋" w:eastAsia="仿宋" w:cs="仿宋"/>
          <w:color w:val="auto"/>
          <w:sz w:val="32"/>
          <w:szCs w:val="32"/>
          <w:lang w:val="en-US" w:eastAsia="zh-CN"/>
        </w:rPr>
        <w:t>1667.19</w:t>
      </w:r>
      <w:r>
        <w:rPr>
          <w:rFonts w:hint="eastAsia" w:ascii="仿宋" w:hAnsi="仿宋" w:eastAsia="仿宋" w:cs="仿宋"/>
          <w:color w:val="auto"/>
          <w:sz w:val="32"/>
          <w:szCs w:val="32"/>
        </w:rPr>
        <w:t>万元，占基本支出的</w:t>
      </w:r>
      <w:r>
        <w:rPr>
          <w:rFonts w:hint="eastAsia" w:ascii="仿宋" w:hAnsi="仿宋" w:eastAsia="仿宋" w:cs="仿宋"/>
          <w:color w:val="auto"/>
          <w:sz w:val="32"/>
          <w:szCs w:val="32"/>
          <w:lang w:val="en-US" w:eastAsia="zh-CN"/>
        </w:rPr>
        <w:t>82.0</w:t>
      </w:r>
      <w:r>
        <w:rPr>
          <w:rFonts w:hint="eastAsia" w:ascii="仿宋" w:hAnsi="仿宋" w:eastAsia="仿宋" w:cs="仿宋"/>
          <w:color w:val="auto"/>
          <w:sz w:val="32"/>
          <w:szCs w:val="32"/>
        </w:rPr>
        <w:t>%,主要包括</w:t>
      </w:r>
      <w:r>
        <w:rPr>
          <w:rFonts w:hint="eastAsia" w:ascii="仿宋" w:hAnsi="仿宋" w:eastAsia="仿宋" w:cs="仿宋"/>
          <w:color w:val="auto"/>
          <w:sz w:val="32"/>
          <w:szCs w:val="32"/>
          <w:lang w:eastAsia="zh-CN"/>
        </w:rPr>
        <w:t>工资福利支出</w:t>
      </w:r>
      <w:r>
        <w:rPr>
          <w:rFonts w:hint="eastAsia" w:ascii="仿宋" w:hAnsi="仿宋" w:eastAsia="仿宋" w:cs="仿宋"/>
          <w:color w:val="auto"/>
          <w:sz w:val="32"/>
          <w:szCs w:val="32"/>
          <w:lang w:val="en-US" w:eastAsia="zh-CN"/>
        </w:rPr>
        <w:t>1530.28万元、对个人和家庭的补助136.91万元</w:t>
      </w:r>
      <w:r>
        <w:rPr>
          <w:rFonts w:hint="eastAsia" w:ascii="仿宋" w:hAnsi="仿宋" w:eastAsia="仿宋" w:cs="仿宋"/>
          <w:color w:val="auto"/>
          <w:sz w:val="32"/>
          <w:szCs w:val="32"/>
        </w:rPr>
        <w:t>；公用经费</w:t>
      </w:r>
      <w:r>
        <w:rPr>
          <w:rFonts w:hint="eastAsia" w:ascii="仿宋" w:hAnsi="仿宋" w:eastAsia="仿宋" w:cs="仿宋"/>
          <w:color w:val="auto"/>
          <w:sz w:val="32"/>
          <w:szCs w:val="32"/>
          <w:lang w:val="en-US" w:eastAsia="zh-CN"/>
        </w:rPr>
        <w:t>365.62</w:t>
      </w:r>
      <w:r>
        <w:rPr>
          <w:rFonts w:hint="eastAsia" w:ascii="仿宋" w:hAnsi="仿宋" w:eastAsia="仿宋" w:cs="仿宋"/>
          <w:color w:val="auto"/>
          <w:sz w:val="32"/>
          <w:szCs w:val="32"/>
        </w:rPr>
        <w:t>万元，占基本支出的</w:t>
      </w:r>
      <w:r>
        <w:rPr>
          <w:rFonts w:hint="eastAsia" w:ascii="仿宋" w:hAnsi="仿宋" w:eastAsia="仿宋" w:cs="仿宋"/>
          <w:color w:val="auto"/>
          <w:sz w:val="32"/>
          <w:szCs w:val="32"/>
          <w:lang w:val="en-US" w:eastAsia="zh-CN"/>
        </w:rPr>
        <w:t>18.0</w:t>
      </w:r>
      <w:r>
        <w:rPr>
          <w:rFonts w:hint="eastAsia" w:ascii="仿宋" w:hAnsi="仿宋" w:eastAsia="仿宋" w:cs="仿宋"/>
          <w:color w:val="auto"/>
          <w:sz w:val="32"/>
          <w:szCs w:val="32"/>
        </w:rPr>
        <w:t>%，主要包括</w:t>
      </w:r>
      <w:r>
        <w:rPr>
          <w:rFonts w:hint="eastAsia" w:ascii="仿宋" w:hAnsi="仿宋" w:eastAsia="仿宋" w:cs="仿宋"/>
          <w:color w:val="auto"/>
          <w:sz w:val="32"/>
          <w:szCs w:val="32"/>
          <w:lang w:eastAsia="zh-CN"/>
        </w:rPr>
        <w:t>商品和服务支出</w:t>
      </w:r>
      <w:r>
        <w:rPr>
          <w:rFonts w:hint="eastAsia" w:ascii="仿宋" w:hAnsi="仿宋" w:eastAsia="仿宋" w:cs="仿宋"/>
          <w:color w:val="auto"/>
          <w:sz w:val="32"/>
          <w:szCs w:val="32"/>
          <w:lang w:val="en-US" w:eastAsia="zh-CN"/>
        </w:rPr>
        <w:t>360.37万元、</w:t>
      </w:r>
      <w:r>
        <w:rPr>
          <w:rFonts w:hint="eastAsia" w:ascii="仿宋" w:hAnsi="仿宋" w:eastAsia="仿宋" w:cs="仿宋"/>
          <w:color w:val="auto"/>
          <w:sz w:val="32"/>
          <w:szCs w:val="32"/>
          <w:lang w:eastAsia="zh-CN"/>
        </w:rPr>
        <w:t>资本性支出</w:t>
      </w:r>
      <w:r>
        <w:rPr>
          <w:rFonts w:hint="eastAsia" w:ascii="仿宋" w:hAnsi="仿宋" w:eastAsia="仿宋" w:cs="仿宋"/>
          <w:color w:val="auto"/>
          <w:sz w:val="32"/>
          <w:szCs w:val="32"/>
          <w:lang w:val="en-US" w:eastAsia="zh-CN"/>
        </w:rPr>
        <w:t>5.25万元。</w:t>
      </w:r>
    </w:p>
    <w:p>
      <w:pPr>
        <w:pStyle w:val="10"/>
        <w:ind w:firstLine="640" w:firstLineChars="200"/>
        <w:rPr>
          <w:rFonts w:hint="eastAsia" w:ascii="黑体" w:hAnsi="黑体" w:eastAsia="黑体" w:cs="黑体"/>
          <w:b/>
          <w:bCs w:val="0"/>
          <w:color w:val="auto"/>
          <w:sz w:val="32"/>
          <w:szCs w:val="32"/>
        </w:rPr>
      </w:pPr>
      <w:r>
        <w:rPr>
          <w:rFonts w:hint="eastAsia" w:ascii="黑体" w:hAnsi="黑体" w:eastAsia="黑体" w:cs="黑体"/>
          <w:b/>
          <w:bCs w:val="0"/>
          <w:color w:val="auto"/>
          <w:sz w:val="32"/>
          <w:szCs w:val="32"/>
        </w:rPr>
        <w:t>七、一般公共预算财政拨款三公经费支出决算情况说明</w:t>
      </w:r>
    </w:p>
    <w:p>
      <w:pPr>
        <w:pStyle w:val="10"/>
        <w:ind w:firstLine="640" w:firstLineChars="200"/>
        <w:rPr>
          <w:rFonts w:hint="eastAsia" w:ascii="楷体" w:hAnsi="楷体" w:eastAsia="楷体" w:cs="楷体"/>
          <w:b/>
          <w:color w:val="auto"/>
          <w:sz w:val="32"/>
          <w:szCs w:val="32"/>
        </w:rPr>
      </w:pPr>
      <w:r>
        <w:rPr>
          <w:rFonts w:hint="eastAsia" w:ascii="楷体" w:hAnsi="楷体" w:eastAsia="楷体" w:cs="楷体"/>
          <w:b/>
          <w:color w:val="auto"/>
          <w:sz w:val="32"/>
          <w:szCs w:val="32"/>
        </w:rPr>
        <w:t>（一）“三公”经费财政拨款支出决算总体情况说明</w:t>
      </w:r>
    </w:p>
    <w:p>
      <w:pPr>
        <w:pStyle w:val="10"/>
        <w:ind w:firstLine="800" w:firstLineChars="250"/>
        <w:rPr>
          <w:rFonts w:hint="eastAsia" w:ascii="仿宋" w:hAnsi="仿宋" w:eastAsia="仿宋" w:cs="仿宋"/>
          <w:color w:val="auto"/>
          <w:sz w:val="32"/>
          <w:szCs w:val="32"/>
        </w:rPr>
      </w:pPr>
      <w:r>
        <w:rPr>
          <w:rFonts w:hint="eastAsia" w:ascii="仿宋" w:hAnsi="仿宋" w:eastAsia="仿宋" w:cs="仿宋"/>
          <w:color w:val="auto"/>
          <w:sz w:val="32"/>
          <w:szCs w:val="32"/>
        </w:rPr>
        <w:t>“三公”经费财政拨款支出预算为</w:t>
      </w:r>
      <w:r>
        <w:rPr>
          <w:rFonts w:hint="eastAsia" w:ascii="仿宋" w:hAnsi="仿宋" w:eastAsia="仿宋" w:cs="仿宋"/>
          <w:color w:val="auto"/>
          <w:sz w:val="32"/>
          <w:szCs w:val="32"/>
          <w:lang w:val="en-US" w:eastAsia="zh-CN"/>
        </w:rPr>
        <w:t>84.5</w:t>
      </w:r>
      <w:r>
        <w:rPr>
          <w:rFonts w:hint="eastAsia" w:ascii="仿宋" w:hAnsi="仿宋" w:eastAsia="仿宋" w:cs="仿宋"/>
          <w:color w:val="auto"/>
          <w:sz w:val="32"/>
          <w:szCs w:val="32"/>
        </w:rPr>
        <w:t>万元，支出决算为</w:t>
      </w:r>
      <w:r>
        <w:rPr>
          <w:rFonts w:hint="eastAsia" w:ascii="仿宋" w:hAnsi="仿宋" w:eastAsia="仿宋" w:cs="仿宋"/>
          <w:color w:val="auto"/>
          <w:sz w:val="32"/>
          <w:szCs w:val="32"/>
          <w:lang w:val="en-US" w:eastAsia="zh-CN"/>
        </w:rPr>
        <w:t>12.47</w:t>
      </w:r>
      <w:r>
        <w:rPr>
          <w:rFonts w:hint="eastAsia" w:ascii="仿宋" w:hAnsi="仿宋" w:eastAsia="仿宋" w:cs="仿宋"/>
          <w:color w:val="auto"/>
          <w:sz w:val="32"/>
          <w:szCs w:val="32"/>
        </w:rPr>
        <w:t>万元，完成预算的</w:t>
      </w:r>
      <w:r>
        <w:rPr>
          <w:rFonts w:hint="eastAsia" w:ascii="仿宋" w:hAnsi="仿宋" w:eastAsia="仿宋" w:cs="仿宋"/>
          <w:color w:val="auto"/>
          <w:sz w:val="32"/>
          <w:szCs w:val="32"/>
          <w:lang w:val="en-US" w:eastAsia="zh-CN"/>
        </w:rPr>
        <w:t>14.75</w:t>
      </w:r>
      <w:r>
        <w:rPr>
          <w:rFonts w:hint="eastAsia" w:ascii="仿宋" w:hAnsi="仿宋" w:eastAsia="仿宋" w:cs="仿宋"/>
          <w:color w:val="auto"/>
          <w:sz w:val="32"/>
          <w:szCs w:val="32"/>
        </w:rPr>
        <w:t>%，其中：</w:t>
      </w:r>
    </w:p>
    <w:p>
      <w:pPr>
        <w:pStyle w:val="10"/>
        <w:ind w:firstLine="800" w:firstLineChars="250"/>
        <w:rPr>
          <w:rFonts w:hint="eastAsia" w:ascii="仿宋" w:hAnsi="仿宋" w:eastAsia="仿宋" w:cs="仿宋"/>
          <w:color w:val="auto"/>
          <w:sz w:val="32"/>
          <w:szCs w:val="32"/>
        </w:rPr>
      </w:pPr>
      <w:r>
        <w:rPr>
          <w:rFonts w:hint="eastAsia" w:ascii="仿宋" w:hAnsi="仿宋" w:eastAsia="仿宋" w:cs="仿宋"/>
          <w:color w:val="auto"/>
          <w:sz w:val="32"/>
          <w:szCs w:val="32"/>
        </w:rPr>
        <w:t>因公出国（境）费支出预算为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万元，支出决算为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pStyle w:val="10"/>
        <w:ind w:firstLine="800" w:firstLineChars="250"/>
        <w:jc w:val="both"/>
        <w:rPr>
          <w:rFonts w:hint="eastAsia" w:ascii="仿宋" w:hAnsi="仿宋" w:eastAsia="仿宋" w:cs="仿宋"/>
          <w:color w:val="auto"/>
          <w:sz w:val="32"/>
          <w:szCs w:val="32"/>
        </w:rPr>
      </w:pPr>
      <w:r>
        <w:rPr>
          <w:rFonts w:hint="eastAsia" w:ascii="仿宋" w:hAnsi="仿宋" w:eastAsia="仿宋" w:cs="仿宋"/>
          <w:color w:val="auto"/>
          <w:sz w:val="32"/>
          <w:szCs w:val="32"/>
        </w:rPr>
        <w:t>公务接待费支出预算为</w:t>
      </w:r>
      <w:r>
        <w:rPr>
          <w:rFonts w:hint="eastAsia" w:ascii="仿宋" w:hAnsi="仿宋" w:eastAsia="仿宋" w:cs="仿宋"/>
          <w:color w:val="auto"/>
          <w:sz w:val="32"/>
          <w:szCs w:val="32"/>
          <w:lang w:val="en-US" w:eastAsia="zh-CN"/>
        </w:rPr>
        <w:t>57.00</w:t>
      </w:r>
      <w:r>
        <w:rPr>
          <w:rFonts w:hint="eastAsia" w:ascii="仿宋" w:hAnsi="仿宋" w:eastAsia="仿宋" w:cs="仿宋"/>
          <w:color w:val="auto"/>
          <w:sz w:val="32"/>
          <w:szCs w:val="32"/>
        </w:rPr>
        <w:t>万元，支出决算为</w:t>
      </w:r>
      <w:r>
        <w:rPr>
          <w:rFonts w:hint="eastAsia" w:ascii="仿宋" w:hAnsi="仿宋" w:eastAsia="仿宋" w:cs="仿宋"/>
          <w:color w:val="auto"/>
          <w:sz w:val="32"/>
          <w:szCs w:val="32"/>
          <w:lang w:val="en-US" w:eastAsia="zh-CN"/>
        </w:rPr>
        <w:t>6.46</w:t>
      </w:r>
      <w:r>
        <w:rPr>
          <w:rFonts w:hint="eastAsia" w:ascii="仿宋" w:hAnsi="仿宋" w:eastAsia="仿宋" w:cs="仿宋"/>
          <w:color w:val="auto"/>
          <w:sz w:val="32"/>
          <w:szCs w:val="32"/>
        </w:rPr>
        <w:t>万元，完成预算的</w:t>
      </w:r>
      <w:r>
        <w:rPr>
          <w:rFonts w:hint="eastAsia" w:ascii="仿宋" w:hAnsi="仿宋" w:eastAsia="仿宋" w:cs="仿宋"/>
          <w:color w:val="auto"/>
          <w:sz w:val="32"/>
          <w:szCs w:val="32"/>
          <w:lang w:val="en-US" w:eastAsia="zh-CN"/>
        </w:rPr>
        <w:t>11.3</w:t>
      </w:r>
      <w:r>
        <w:rPr>
          <w:rFonts w:hint="eastAsia" w:ascii="仿宋" w:hAnsi="仿宋" w:eastAsia="仿宋" w:cs="仿宋"/>
          <w:color w:val="auto"/>
          <w:sz w:val="32"/>
          <w:szCs w:val="32"/>
        </w:rPr>
        <w:t>%，决算数小于年初预算数的主要原因是</w:t>
      </w:r>
      <w:r>
        <w:rPr>
          <w:rFonts w:hint="eastAsia" w:ascii="仿宋" w:hAnsi="仿宋" w:eastAsia="仿宋" w:cs="仿宋"/>
          <w:color w:val="auto"/>
          <w:sz w:val="32"/>
          <w:szCs w:val="32"/>
          <w:lang w:eastAsia="zh-CN"/>
        </w:rPr>
        <w:t>厉行节约压缩开支</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决算数</w:t>
      </w:r>
      <w:r>
        <w:rPr>
          <w:rFonts w:hint="eastAsia" w:ascii="仿宋" w:hAnsi="仿宋" w:eastAsia="仿宋" w:cs="仿宋"/>
          <w:color w:val="auto"/>
          <w:sz w:val="32"/>
          <w:szCs w:val="32"/>
        </w:rPr>
        <w:t>与上年相比减少</w:t>
      </w:r>
      <w:r>
        <w:rPr>
          <w:rFonts w:hint="eastAsia" w:ascii="仿宋" w:hAnsi="仿宋" w:eastAsia="仿宋" w:cs="仿宋"/>
          <w:color w:val="auto"/>
          <w:sz w:val="32"/>
          <w:szCs w:val="32"/>
          <w:lang w:val="en-US" w:eastAsia="zh-CN"/>
        </w:rPr>
        <w:t>9.11</w:t>
      </w:r>
      <w:r>
        <w:rPr>
          <w:rFonts w:hint="eastAsia" w:ascii="仿宋" w:hAnsi="仿宋" w:eastAsia="仿宋" w:cs="仿宋"/>
          <w:color w:val="auto"/>
          <w:sz w:val="32"/>
          <w:szCs w:val="32"/>
        </w:rPr>
        <w:t>万元，减少</w:t>
      </w:r>
      <w:r>
        <w:rPr>
          <w:rFonts w:hint="eastAsia" w:ascii="仿宋" w:hAnsi="仿宋" w:eastAsia="仿宋" w:cs="仿宋"/>
          <w:color w:val="auto"/>
          <w:sz w:val="32"/>
          <w:szCs w:val="32"/>
          <w:lang w:val="en-US" w:eastAsia="zh-CN"/>
        </w:rPr>
        <w:t>58.51</w:t>
      </w:r>
      <w:r>
        <w:rPr>
          <w:rFonts w:hint="eastAsia" w:ascii="仿宋" w:hAnsi="仿宋" w:eastAsia="仿宋" w:cs="仿宋"/>
          <w:color w:val="auto"/>
          <w:sz w:val="32"/>
          <w:szCs w:val="32"/>
        </w:rPr>
        <w:t>%,减少的主要原因是</w:t>
      </w:r>
      <w:r>
        <w:rPr>
          <w:rFonts w:hint="eastAsia" w:ascii="仿宋_GB2312" w:hAnsi="仿宋" w:eastAsia="仿宋_GB2312"/>
          <w:color w:val="auto"/>
          <w:sz w:val="32"/>
          <w:szCs w:val="32"/>
          <w:lang w:eastAsia="zh-CN"/>
        </w:rPr>
        <w:t>我局严格遵守中央八项规定，制订完善相关制度，厉行节约，严格控制三公经费支出，故三公经费开支大幅缩减</w:t>
      </w:r>
      <w:r>
        <w:rPr>
          <w:rFonts w:hint="eastAsia" w:ascii="仿宋_GB2312" w:eastAsia="仿宋_GB2312"/>
          <w:bCs/>
          <w:color w:val="auto"/>
          <w:kern w:val="0"/>
          <w:sz w:val="32"/>
          <w:szCs w:val="32"/>
        </w:rPr>
        <w:t>。</w:t>
      </w:r>
    </w:p>
    <w:p>
      <w:pPr>
        <w:pStyle w:val="10"/>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公务用车购置费及运行维护费支出预算为</w:t>
      </w:r>
      <w:r>
        <w:rPr>
          <w:rFonts w:hint="eastAsia" w:ascii="仿宋" w:hAnsi="仿宋" w:eastAsia="仿宋" w:cs="仿宋"/>
          <w:color w:val="auto"/>
          <w:sz w:val="32"/>
          <w:szCs w:val="32"/>
          <w:lang w:val="en-US" w:eastAsia="zh-CN"/>
        </w:rPr>
        <w:t>27.5</w:t>
      </w:r>
      <w:r>
        <w:rPr>
          <w:rFonts w:hint="eastAsia" w:ascii="仿宋" w:hAnsi="仿宋" w:eastAsia="仿宋" w:cs="仿宋"/>
          <w:color w:val="auto"/>
          <w:sz w:val="32"/>
          <w:szCs w:val="32"/>
        </w:rPr>
        <w:t>万元，支出决算为</w:t>
      </w:r>
      <w:r>
        <w:rPr>
          <w:rFonts w:hint="eastAsia" w:ascii="仿宋" w:hAnsi="仿宋" w:eastAsia="仿宋" w:cs="仿宋"/>
          <w:color w:val="auto"/>
          <w:sz w:val="32"/>
          <w:szCs w:val="32"/>
          <w:lang w:val="en-US" w:eastAsia="zh-CN"/>
        </w:rPr>
        <w:t>6.01</w:t>
      </w:r>
      <w:r>
        <w:rPr>
          <w:rFonts w:hint="eastAsia" w:ascii="仿宋" w:hAnsi="仿宋" w:eastAsia="仿宋" w:cs="仿宋"/>
          <w:color w:val="auto"/>
          <w:sz w:val="32"/>
          <w:szCs w:val="32"/>
        </w:rPr>
        <w:t>万元，完成预算的</w:t>
      </w:r>
      <w:r>
        <w:rPr>
          <w:rFonts w:hint="eastAsia" w:ascii="仿宋" w:hAnsi="仿宋" w:eastAsia="仿宋" w:cs="仿宋"/>
          <w:color w:val="auto"/>
          <w:sz w:val="32"/>
          <w:szCs w:val="32"/>
          <w:lang w:val="en-US" w:eastAsia="zh-CN"/>
        </w:rPr>
        <w:t>21.85</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决算数</w:t>
      </w:r>
      <w:r>
        <w:rPr>
          <w:rFonts w:hint="eastAsia" w:ascii="仿宋" w:hAnsi="仿宋" w:eastAsia="仿宋" w:cs="仿宋"/>
          <w:color w:val="auto"/>
          <w:sz w:val="32"/>
          <w:szCs w:val="32"/>
        </w:rPr>
        <w:t>与上年相比减少</w:t>
      </w:r>
      <w:r>
        <w:rPr>
          <w:rFonts w:hint="eastAsia" w:ascii="仿宋" w:hAnsi="仿宋" w:eastAsia="仿宋" w:cs="仿宋"/>
          <w:color w:val="auto"/>
          <w:sz w:val="32"/>
          <w:szCs w:val="32"/>
          <w:lang w:val="en-US" w:eastAsia="zh-CN"/>
        </w:rPr>
        <w:t>12.59</w:t>
      </w:r>
      <w:r>
        <w:rPr>
          <w:rFonts w:hint="eastAsia" w:ascii="仿宋" w:hAnsi="仿宋" w:eastAsia="仿宋" w:cs="仿宋"/>
          <w:color w:val="auto"/>
          <w:sz w:val="32"/>
          <w:szCs w:val="32"/>
        </w:rPr>
        <w:t>万元，减少</w:t>
      </w:r>
      <w:r>
        <w:rPr>
          <w:rFonts w:hint="eastAsia" w:ascii="仿宋" w:hAnsi="仿宋" w:eastAsia="仿宋" w:cs="仿宋"/>
          <w:color w:val="auto"/>
          <w:sz w:val="32"/>
          <w:szCs w:val="32"/>
          <w:lang w:val="en-US" w:eastAsia="zh-CN"/>
        </w:rPr>
        <w:t>67.69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rPr>
        <w:t>的主要原因</w:t>
      </w:r>
      <w:r>
        <w:rPr>
          <w:rFonts w:hint="eastAsia" w:ascii="仿宋" w:hAnsi="仿宋" w:eastAsia="仿宋" w:cs="仿宋"/>
          <w:color w:val="auto"/>
          <w:sz w:val="32"/>
          <w:szCs w:val="32"/>
          <w:lang w:eastAsia="zh-CN"/>
        </w:rPr>
        <w:t>一</w:t>
      </w:r>
      <w:r>
        <w:rPr>
          <w:rFonts w:hint="eastAsia" w:ascii="仿宋" w:hAnsi="仿宋" w:eastAsia="仿宋" w:cs="仿宋"/>
          <w:color w:val="auto"/>
          <w:sz w:val="32"/>
          <w:szCs w:val="32"/>
        </w:rPr>
        <w:t>是</w:t>
      </w:r>
      <w:r>
        <w:rPr>
          <w:rFonts w:hint="eastAsia" w:ascii="仿宋" w:hAnsi="仿宋" w:eastAsia="仿宋" w:cs="仿宋"/>
          <w:color w:val="auto"/>
          <w:sz w:val="32"/>
          <w:szCs w:val="32"/>
          <w:lang w:eastAsia="zh-CN"/>
        </w:rPr>
        <w:t>公车改革后未新增车辆购置，压缩原有公车开支；二是原住建局与原房产局、原人防办合并机构精简，费用节支；三</w:t>
      </w:r>
      <w:r>
        <w:rPr>
          <w:rFonts w:hint="eastAsia" w:ascii="仿宋" w:hAnsi="仿宋" w:eastAsia="仿宋" w:cs="仿宋"/>
          <w:color w:val="auto"/>
          <w:sz w:val="32"/>
          <w:szCs w:val="32"/>
        </w:rPr>
        <w:t>是我局严格遵守中央八项规定，制订完善相关制度，厉行节约，严格控制三公经费支出，故三公经费开支大幅缩减。</w:t>
      </w:r>
    </w:p>
    <w:p>
      <w:pPr>
        <w:pStyle w:val="10"/>
        <w:ind w:firstLine="640" w:firstLineChars="200"/>
        <w:rPr>
          <w:rFonts w:hint="eastAsia" w:ascii="楷体" w:hAnsi="楷体" w:eastAsia="楷体" w:cs="楷体"/>
          <w:b/>
          <w:sz w:val="32"/>
          <w:szCs w:val="32"/>
        </w:rPr>
      </w:pPr>
      <w:r>
        <w:rPr>
          <w:rFonts w:hint="eastAsia" w:ascii="楷体" w:hAnsi="楷体" w:eastAsia="楷体" w:cs="楷体"/>
          <w:b/>
          <w:sz w:val="32"/>
          <w:szCs w:val="32"/>
        </w:rPr>
        <w:t>（二）“三公”经费财政拨款支出决算具体情况说明</w:t>
      </w:r>
    </w:p>
    <w:p>
      <w:pPr>
        <w:pStyle w:val="10"/>
        <w:ind w:firstLine="640" w:firstLineChars="200"/>
        <w:rPr>
          <w:rFonts w:hint="eastAsia" w:ascii="仿宋" w:hAnsi="仿宋" w:eastAsia="仿宋" w:cs="仿宋"/>
          <w:sz w:val="32"/>
          <w:szCs w:val="32"/>
        </w:rPr>
      </w:pPr>
      <w:r>
        <w:rPr>
          <w:rFonts w:hint="eastAsia" w:ascii="仿宋" w:hAnsi="仿宋" w:eastAsia="仿宋" w:cs="仿宋"/>
          <w:sz w:val="32"/>
          <w:szCs w:val="32"/>
        </w:rPr>
        <w:t>2019年度“三公”经费财政拨款支出决算中，公务接待费支出决算</w:t>
      </w:r>
      <w:r>
        <w:rPr>
          <w:rFonts w:hint="eastAsia" w:ascii="仿宋" w:hAnsi="仿宋" w:eastAsia="仿宋" w:cs="仿宋"/>
          <w:sz w:val="32"/>
          <w:szCs w:val="32"/>
          <w:lang w:val="en-US" w:eastAsia="zh-CN"/>
        </w:rPr>
        <w:t>6.46</w:t>
      </w:r>
      <w:r>
        <w:rPr>
          <w:rFonts w:hint="eastAsia" w:ascii="仿宋" w:hAnsi="仿宋" w:eastAsia="仿宋" w:cs="仿宋"/>
          <w:sz w:val="32"/>
          <w:szCs w:val="32"/>
        </w:rPr>
        <w:t>万元，占</w:t>
      </w:r>
      <w:r>
        <w:rPr>
          <w:rFonts w:hint="eastAsia" w:ascii="仿宋" w:hAnsi="仿宋" w:eastAsia="仿宋" w:cs="仿宋"/>
          <w:sz w:val="32"/>
          <w:szCs w:val="32"/>
          <w:lang w:val="en-US" w:eastAsia="zh-CN"/>
        </w:rPr>
        <w:t>51.8</w:t>
      </w:r>
      <w:r>
        <w:rPr>
          <w:rFonts w:hint="eastAsia" w:ascii="仿宋" w:hAnsi="仿宋" w:eastAsia="仿宋" w:cs="仿宋"/>
          <w:sz w:val="32"/>
          <w:szCs w:val="32"/>
        </w:rPr>
        <w:t>%,因公出国（境）费支出决算</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万元,公务用车购置费及运行维护费支出决算</w:t>
      </w:r>
      <w:r>
        <w:rPr>
          <w:rFonts w:hint="eastAsia" w:ascii="仿宋" w:hAnsi="仿宋" w:eastAsia="仿宋" w:cs="仿宋"/>
          <w:sz w:val="32"/>
          <w:szCs w:val="32"/>
          <w:lang w:val="en-US" w:eastAsia="zh-CN"/>
        </w:rPr>
        <w:t>6.01</w:t>
      </w:r>
      <w:r>
        <w:rPr>
          <w:rFonts w:hint="eastAsia" w:ascii="仿宋" w:hAnsi="仿宋" w:eastAsia="仿宋" w:cs="仿宋"/>
          <w:sz w:val="32"/>
          <w:szCs w:val="32"/>
        </w:rPr>
        <w:t>万元，占</w:t>
      </w:r>
      <w:r>
        <w:rPr>
          <w:rFonts w:hint="eastAsia" w:ascii="仿宋" w:hAnsi="仿宋" w:eastAsia="仿宋" w:cs="仿宋"/>
          <w:sz w:val="32"/>
          <w:szCs w:val="32"/>
          <w:lang w:val="en-US" w:eastAsia="zh-CN"/>
        </w:rPr>
        <w:t>48.2</w:t>
      </w:r>
      <w:r>
        <w:rPr>
          <w:rFonts w:hint="eastAsia" w:ascii="仿宋" w:hAnsi="仿宋" w:eastAsia="仿宋" w:cs="仿宋"/>
          <w:sz w:val="32"/>
          <w:szCs w:val="32"/>
        </w:rPr>
        <w:t>%。其中：</w:t>
      </w:r>
    </w:p>
    <w:p>
      <w:pPr>
        <w:pStyle w:val="10"/>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1、因公出国（境）费支出决算为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pStyle w:val="10"/>
        <w:ind w:firstLine="640" w:firstLineChars="200"/>
        <w:rPr>
          <w:rFonts w:hint="eastAsia" w:ascii="仿宋" w:hAnsi="仿宋" w:eastAsia="仿宋" w:cs="仿宋"/>
          <w:sz w:val="32"/>
          <w:szCs w:val="32"/>
        </w:rPr>
      </w:pPr>
      <w:r>
        <w:rPr>
          <w:rFonts w:hint="eastAsia" w:ascii="仿宋" w:hAnsi="仿宋" w:eastAsia="仿宋" w:cs="仿宋"/>
          <w:sz w:val="32"/>
          <w:szCs w:val="32"/>
        </w:rPr>
        <w:t>2、公务接待费支出决算为</w:t>
      </w:r>
      <w:r>
        <w:rPr>
          <w:rFonts w:hint="eastAsia" w:ascii="仿宋" w:hAnsi="仿宋" w:eastAsia="仿宋" w:cs="仿宋"/>
          <w:sz w:val="32"/>
          <w:szCs w:val="32"/>
          <w:lang w:val="en-US" w:eastAsia="zh-CN"/>
        </w:rPr>
        <w:t>6.46</w:t>
      </w:r>
      <w:r>
        <w:rPr>
          <w:rFonts w:hint="eastAsia" w:ascii="仿宋" w:hAnsi="仿宋" w:eastAsia="仿宋" w:cs="仿宋"/>
          <w:sz w:val="32"/>
          <w:szCs w:val="32"/>
        </w:rPr>
        <w:t>万元。</w:t>
      </w:r>
    </w:p>
    <w:p>
      <w:pPr>
        <w:ind w:firstLine="640" w:firstLineChars="200"/>
        <w:rPr>
          <w:rFonts w:hint="eastAsia" w:ascii="仿宋" w:hAnsi="仿宋" w:eastAsia="仿宋" w:cs="仿宋"/>
          <w:color w:val="000000"/>
          <w:kern w:val="0"/>
          <w:sz w:val="32"/>
          <w:szCs w:val="32"/>
        </w:rPr>
      </w:pPr>
      <w:r>
        <w:rPr>
          <w:rFonts w:hint="eastAsia" w:ascii="仿宋" w:hAnsi="仿宋" w:eastAsia="仿宋" w:cs="仿宋"/>
          <w:sz w:val="32"/>
          <w:szCs w:val="32"/>
        </w:rPr>
        <w:t>3、公务用车购置费及运行维护费支出决算为</w:t>
      </w:r>
      <w:r>
        <w:rPr>
          <w:rFonts w:hint="eastAsia" w:ascii="仿宋" w:hAnsi="仿宋" w:eastAsia="仿宋" w:cs="仿宋"/>
          <w:sz w:val="32"/>
          <w:szCs w:val="32"/>
          <w:lang w:val="en-US" w:eastAsia="zh-CN"/>
        </w:rPr>
        <w:t>6.01</w:t>
      </w:r>
      <w:r>
        <w:rPr>
          <w:rFonts w:hint="eastAsia" w:ascii="仿宋" w:hAnsi="仿宋" w:eastAsia="仿宋" w:cs="仿宋"/>
          <w:sz w:val="32"/>
          <w:szCs w:val="32"/>
        </w:rPr>
        <w:t>万元，其中：公务用车购置费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6.01</w:t>
      </w:r>
      <w:r>
        <w:rPr>
          <w:rFonts w:hint="eastAsia" w:ascii="仿宋" w:hAnsi="仿宋" w:eastAsia="仿宋" w:cs="仿宋"/>
          <w:sz w:val="32"/>
          <w:szCs w:val="32"/>
        </w:rPr>
        <w:t>万元，主要是</w:t>
      </w:r>
      <w:r>
        <w:rPr>
          <w:rFonts w:hint="eastAsia" w:ascii="仿宋" w:hAnsi="仿宋" w:eastAsia="仿宋" w:cs="仿宋"/>
          <w:sz w:val="32"/>
          <w:szCs w:val="32"/>
          <w:lang w:eastAsia="zh-CN"/>
        </w:rPr>
        <w:t>公务用车的保险、维修维护</w:t>
      </w:r>
      <w:r>
        <w:rPr>
          <w:rFonts w:hint="eastAsia" w:ascii="仿宋" w:hAnsi="仿宋" w:eastAsia="仿宋" w:cs="仿宋"/>
          <w:sz w:val="32"/>
          <w:szCs w:val="32"/>
        </w:rPr>
        <w:t>支出，截止2019年12月31日，我单位开支财政拨款的公务用车保有量为</w:t>
      </w:r>
      <w:r>
        <w:rPr>
          <w:rFonts w:hint="eastAsia" w:ascii="仿宋" w:hAnsi="仿宋" w:eastAsia="仿宋" w:cs="仿宋"/>
          <w:sz w:val="32"/>
          <w:szCs w:val="32"/>
          <w:lang w:val="en-US" w:eastAsia="zh-CN"/>
        </w:rPr>
        <w:t>2</w:t>
      </w:r>
      <w:r>
        <w:rPr>
          <w:rFonts w:hint="eastAsia" w:ascii="仿宋" w:hAnsi="仿宋" w:eastAsia="仿宋" w:cs="仿宋"/>
          <w:sz w:val="32"/>
          <w:szCs w:val="32"/>
        </w:rPr>
        <w:t>辆。</w:t>
      </w:r>
    </w:p>
    <w:p>
      <w:pPr>
        <w:pStyle w:val="10"/>
        <w:ind w:firstLine="640" w:firstLineChars="200"/>
        <w:rPr>
          <w:rFonts w:hint="eastAsia" w:ascii="黑体" w:hAnsi="黑体" w:eastAsia="黑体" w:cs="黑体"/>
          <w:b/>
          <w:sz w:val="32"/>
          <w:szCs w:val="32"/>
        </w:rPr>
      </w:pPr>
      <w:r>
        <w:rPr>
          <w:rFonts w:hint="eastAsia" w:ascii="黑体" w:hAnsi="黑体" w:eastAsia="黑体" w:cs="黑体"/>
          <w:b/>
          <w:sz w:val="32"/>
          <w:szCs w:val="32"/>
        </w:rPr>
        <w:t>八、政府性基金预算收入支出决算情况</w:t>
      </w:r>
    </w:p>
    <w:p>
      <w:pPr>
        <w:pStyle w:val="10"/>
        <w:ind w:firstLine="640"/>
        <w:rPr>
          <w:rFonts w:hint="eastAsia" w:ascii="仿宋" w:hAnsi="仿宋" w:eastAsia="仿宋" w:cs="仿宋"/>
          <w:sz w:val="32"/>
          <w:szCs w:val="32"/>
        </w:rPr>
      </w:pPr>
      <w:r>
        <w:rPr>
          <w:rFonts w:hint="eastAsia" w:ascii="仿宋" w:hAnsi="仿宋" w:eastAsia="仿宋" w:cs="仿宋"/>
          <w:sz w:val="32"/>
          <w:szCs w:val="32"/>
        </w:rPr>
        <w:t>2019年度政府性基金预算财政拨款收入</w:t>
      </w:r>
      <w:r>
        <w:rPr>
          <w:rFonts w:hint="eastAsia" w:ascii="仿宋" w:hAnsi="仿宋" w:eastAsia="仿宋" w:cs="仿宋"/>
          <w:sz w:val="32"/>
          <w:szCs w:val="32"/>
          <w:lang w:val="en-US" w:eastAsia="zh-CN"/>
        </w:rPr>
        <w:t>30.00</w:t>
      </w:r>
      <w:r>
        <w:rPr>
          <w:rFonts w:hint="eastAsia" w:ascii="仿宋" w:hAnsi="仿宋" w:eastAsia="仿宋" w:cs="仿宋"/>
          <w:sz w:val="32"/>
          <w:szCs w:val="32"/>
        </w:rPr>
        <w:t>万元；年初结转和结余</w:t>
      </w:r>
      <w:r>
        <w:rPr>
          <w:rFonts w:hint="eastAsia" w:ascii="仿宋" w:hAnsi="仿宋" w:eastAsia="仿宋" w:cs="仿宋"/>
          <w:sz w:val="32"/>
          <w:szCs w:val="32"/>
          <w:lang w:val="en-US" w:eastAsia="zh-CN"/>
        </w:rPr>
        <w:t>0.00</w:t>
      </w:r>
      <w:r>
        <w:rPr>
          <w:rFonts w:hint="eastAsia" w:ascii="仿宋" w:hAnsi="仿宋" w:eastAsia="仿宋" w:cs="仿宋"/>
          <w:sz w:val="32"/>
          <w:szCs w:val="32"/>
        </w:rPr>
        <w:t>万元；支出</w:t>
      </w:r>
      <w:r>
        <w:rPr>
          <w:rFonts w:hint="eastAsia" w:ascii="仿宋" w:hAnsi="仿宋" w:eastAsia="仿宋" w:cs="仿宋"/>
          <w:sz w:val="32"/>
          <w:szCs w:val="32"/>
          <w:lang w:val="en-US" w:eastAsia="zh-CN"/>
        </w:rPr>
        <w:t>30.00</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0.00</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30.00</w:t>
      </w:r>
      <w:r>
        <w:rPr>
          <w:rFonts w:hint="eastAsia" w:ascii="仿宋" w:hAnsi="仿宋" w:eastAsia="仿宋" w:cs="仿宋"/>
          <w:sz w:val="32"/>
          <w:szCs w:val="32"/>
        </w:rPr>
        <w:t>万元；年末结转和结余</w:t>
      </w:r>
      <w:r>
        <w:rPr>
          <w:rFonts w:hint="eastAsia" w:ascii="仿宋" w:hAnsi="仿宋" w:eastAsia="仿宋" w:cs="仿宋"/>
          <w:sz w:val="32"/>
          <w:szCs w:val="32"/>
          <w:lang w:val="en-US" w:eastAsia="zh-CN"/>
        </w:rPr>
        <w:t>0.00</w:t>
      </w:r>
      <w:r>
        <w:rPr>
          <w:rFonts w:hint="eastAsia" w:ascii="仿宋" w:hAnsi="仿宋" w:eastAsia="仿宋" w:cs="仿宋"/>
          <w:sz w:val="32"/>
          <w:szCs w:val="32"/>
        </w:rPr>
        <w:t>万元。</w:t>
      </w:r>
    </w:p>
    <w:p>
      <w:pPr>
        <w:pStyle w:val="10"/>
        <w:ind w:firstLine="640"/>
        <w:rPr>
          <w:rFonts w:hint="eastAsia" w:ascii="黑体" w:hAnsi="黑体" w:eastAsia="黑体" w:cs="黑体"/>
          <w:b/>
          <w:sz w:val="32"/>
          <w:szCs w:val="32"/>
        </w:rPr>
      </w:pPr>
      <w:r>
        <w:rPr>
          <w:rFonts w:hint="eastAsia" w:ascii="黑体" w:hAnsi="黑体" w:eastAsia="黑体" w:cs="黑体"/>
          <w:b/>
          <w:sz w:val="32"/>
          <w:szCs w:val="32"/>
        </w:rPr>
        <w:t>九、关于2019年度预算绩效情况说明</w:t>
      </w:r>
    </w:p>
    <w:p>
      <w:p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本系统秉持“编制有目标，执行有监控、完成有评价、评价有反馈、反馈有运用”全过程预算绩效管理模式的要求，对绩效管理的职责、目标、指标、绩效预算编制、绩效预算执行、绩效预算评价、绩效预算监督、绩效评价结果应用等方面做出了明确的规定，整体预算绩效管理工作取得了一定的成效。2019年整体支出绩效目标全部完成，</w:t>
      </w:r>
      <w:r>
        <w:rPr>
          <w:rFonts w:hint="eastAsia" w:ascii="仿宋_GB2312" w:hAnsi="仿宋_GB2312" w:eastAsia="仿宋_GB2312" w:cs="仿宋_GB2312"/>
          <w:sz w:val="32"/>
          <w:szCs w:val="32"/>
          <w:lang w:eastAsia="zh-CN"/>
        </w:rPr>
        <w:t>自评</w:t>
      </w:r>
      <w:r>
        <w:rPr>
          <w:rFonts w:hint="eastAsia" w:ascii="仿宋_GB2312" w:hAnsi="仿宋_GB2312" w:eastAsia="仿宋_GB2312" w:cs="仿宋_GB2312"/>
          <w:sz w:val="32"/>
          <w:szCs w:val="32"/>
        </w:rPr>
        <w:t>整体评价为良好。2019年住建项目前期经费专项纳入了财政绩效评价，</w:t>
      </w:r>
      <w:r>
        <w:rPr>
          <w:rFonts w:hint="eastAsia" w:ascii="仿宋_GB2312" w:hAnsi="仿宋_GB2312" w:eastAsia="仿宋_GB2312" w:cs="仿宋_GB2312"/>
          <w:sz w:val="32"/>
          <w:szCs w:val="32"/>
          <w:lang w:eastAsia="zh-CN"/>
        </w:rPr>
        <w:t>自评</w:t>
      </w:r>
      <w:r>
        <w:rPr>
          <w:rFonts w:hint="eastAsia" w:ascii="仿宋_GB2312" w:hAnsi="仿宋_GB2312" w:eastAsia="仿宋_GB2312" w:cs="仿宋_GB2312"/>
          <w:sz w:val="32"/>
          <w:szCs w:val="32"/>
        </w:rPr>
        <w:t>等级为中等；农村危房改造经费专项纳入了财政绩效评价，</w:t>
      </w:r>
      <w:r>
        <w:rPr>
          <w:rFonts w:hint="eastAsia" w:ascii="仿宋_GB2312" w:hAnsi="仿宋_GB2312" w:eastAsia="仿宋_GB2312" w:cs="仿宋_GB2312"/>
          <w:sz w:val="32"/>
          <w:szCs w:val="32"/>
          <w:lang w:eastAsia="zh-CN"/>
        </w:rPr>
        <w:t>自评</w:t>
      </w:r>
      <w:r>
        <w:rPr>
          <w:rFonts w:hint="eastAsia" w:ascii="仿宋_GB2312" w:hAnsi="仿宋_GB2312" w:eastAsia="仿宋_GB2312" w:cs="仿宋_GB2312"/>
          <w:sz w:val="32"/>
          <w:szCs w:val="32"/>
        </w:rPr>
        <w:t>等级为良好。</w:t>
      </w:r>
    </w:p>
    <w:p>
      <w:pPr>
        <w:pStyle w:val="10"/>
        <w:numPr>
          <w:ilvl w:val="0"/>
          <w:numId w:val="0"/>
        </w:numPr>
        <w:ind w:firstLine="640" w:firstLineChars="200"/>
        <w:rPr>
          <w:rFonts w:hint="eastAsia" w:ascii="仿宋" w:hAnsi="仿宋" w:eastAsia="仿宋" w:cs="仿宋"/>
          <w:color w:val="000000"/>
          <w:kern w:val="0"/>
          <w:sz w:val="32"/>
          <w:szCs w:val="32"/>
        </w:rPr>
      </w:pPr>
      <w:r>
        <w:rPr>
          <w:rFonts w:hint="eastAsia" w:hAnsi="黑体" w:cs="黑体"/>
          <w:b/>
          <w:sz w:val="32"/>
          <w:szCs w:val="32"/>
          <w:lang w:eastAsia="zh-CN"/>
        </w:rPr>
        <w:t>十、</w:t>
      </w:r>
      <w:r>
        <w:rPr>
          <w:rFonts w:hint="eastAsia" w:ascii="黑体" w:hAnsi="黑体" w:eastAsia="黑体" w:cs="黑体"/>
          <w:b/>
          <w:sz w:val="32"/>
          <w:szCs w:val="32"/>
        </w:rPr>
        <w:t>其他重要事项情况说明</w:t>
      </w:r>
    </w:p>
    <w:p>
      <w:pPr>
        <w:pStyle w:val="10"/>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本说明中</w:t>
      </w:r>
      <w:r>
        <w:rPr>
          <w:rFonts w:hint="eastAsia" w:ascii="仿宋_GB2312" w:hAnsi="仿宋_GB2312" w:eastAsia="仿宋_GB2312" w:cs="仿宋_GB2312"/>
          <w:sz w:val="32"/>
          <w:szCs w:val="32"/>
        </w:rPr>
        <w:t>数据不含人民防空办公室收入支出，因涉及军事秘密不予公示。</w:t>
      </w:r>
    </w:p>
    <w:p>
      <w:pPr>
        <w:pStyle w:val="10"/>
        <w:numPr>
          <w:ilvl w:val="0"/>
          <w:numId w:val="0"/>
        </w:numPr>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（一）机关运行经费支出情况</w:t>
      </w:r>
    </w:p>
    <w:p>
      <w:pPr>
        <w:pStyle w:val="10"/>
        <w:numPr>
          <w:ilvl w:val="0"/>
          <w:numId w:val="0"/>
        </w:num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本部门</w:t>
      </w:r>
      <w:r>
        <w:rPr>
          <w:rFonts w:hint="eastAsia" w:ascii="仿宋_GB2312" w:hAnsi="仿宋_GB2312" w:eastAsia="仿宋_GB2312" w:cs="仿宋_GB2312"/>
          <w:color w:val="auto"/>
          <w:sz w:val="32"/>
          <w:szCs w:val="32"/>
          <w:lang w:val="en-US" w:eastAsia="zh-CN"/>
        </w:rPr>
        <w:t>2019</w:t>
      </w:r>
      <w:r>
        <w:rPr>
          <w:rFonts w:hint="eastAsia" w:ascii="仿宋_GB2312" w:hAnsi="仿宋_GB2312" w:eastAsia="仿宋_GB2312" w:cs="仿宋_GB2312"/>
          <w:color w:val="auto"/>
          <w:sz w:val="32"/>
          <w:szCs w:val="32"/>
        </w:rPr>
        <w:t>年度机关运行经费支出</w:t>
      </w:r>
      <w:r>
        <w:rPr>
          <w:rFonts w:hint="eastAsia" w:ascii="仿宋_GB2312" w:hAnsi="仿宋_GB2312" w:eastAsia="仿宋_GB2312" w:cs="仿宋_GB2312"/>
          <w:color w:val="auto"/>
          <w:sz w:val="32"/>
          <w:szCs w:val="32"/>
          <w:lang w:val="en-US" w:eastAsia="zh-CN"/>
        </w:rPr>
        <w:t>365.62</w:t>
      </w:r>
      <w:r>
        <w:rPr>
          <w:rFonts w:hint="eastAsia" w:ascii="仿宋_GB2312" w:hAnsi="仿宋_GB2312" w:eastAsia="仿宋_GB2312" w:cs="仿宋_GB2312"/>
          <w:color w:val="auto"/>
          <w:sz w:val="32"/>
          <w:szCs w:val="32"/>
        </w:rPr>
        <w:t>万元，比年初预算数增加</w:t>
      </w:r>
      <w:r>
        <w:rPr>
          <w:rFonts w:hint="eastAsia" w:ascii="仿宋_GB2312" w:hAnsi="仿宋_GB2312" w:eastAsia="仿宋_GB2312" w:cs="仿宋_GB2312"/>
          <w:color w:val="auto"/>
          <w:sz w:val="32"/>
          <w:szCs w:val="32"/>
          <w:lang w:val="en-US" w:eastAsia="zh-CN"/>
        </w:rPr>
        <w:t>269.99</w:t>
      </w:r>
      <w:r>
        <w:rPr>
          <w:rFonts w:hint="eastAsia" w:ascii="仿宋_GB2312" w:hAnsi="仿宋_GB2312" w:eastAsia="仿宋_GB2312" w:cs="仿宋_GB2312"/>
          <w:color w:val="auto"/>
          <w:sz w:val="32"/>
          <w:szCs w:val="32"/>
        </w:rPr>
        <w:t>万元，增长</w:t>
      </w:r>
      <w:r>
        <w:rPr>
          <w:rFonts w:hint="eastAsia" w:ascii="仿宋_GB2312" w:hAnsi="仿宋_GB2312" w:eastAsia="仿宋_GB2312" w:cs="仿宋_GB2312"/>
          <w:color w:val="auto"/>
          <w:sz w:val="32"/>
          <w:szCs w:val="32"/>
          <w:lang w:val="en-US" w:eastAsia="zh-CN"/>
        </w:rPr>
        <w:t>282.32</w:t>
      </w:r>
      <w:r>
        <w:rPr>
          <w:rFonts w:hint="eastAsia" w:ascii="仿宋_GB2312" w:hAnsi="仿宋_GB2312" w:eastAsia="仿宋_GB2312" w:cs="仿宋_GB2312"/>
          <w:color w:val="auto"/>
          <w:sz w:val="32"/>
          <w:szCs w:val="32"/>
        </w:rPr>
        <w:t> %。主要原因是：</w:t>
      </w:r>
      <w:r>
        <w:rPr>
          <w:rFonts w:hint="eastAsia" w:ascii="仿宋_GB2312" w:hAnsi="仿宋_GB2312" w:eastAsia="仿宋_GB2312" w:cs="仿宋_GB2312"/>
          <w:color w:val="auto"/>
          <w:sz w:val="32"/>
          <w:szCs w:val="32"/>
          <w:lang w:val="en-US" w:eastAsia="zh-CN"/>
        </w:rPr>
        <w:t xml:space="preserve">原住建局、原房产局、原人防办合并成住房和城乡建设局，原预算只含住房和城乡建设局一家单位。  </w:t>
      </w:r>
    </w:p>
    <w:p>
      <w:pPr>
        <w:pStyle w:val="10"/>
        <w:numPr>
          <w:ilvl w:val="0"/>
          <w:numId w:val="0"/>
        </w:numPr>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（二）一般性支出情况</w:t>
      </w:r>
    </w:p>
    <w:p>
      <w:pPr>
        <w:pStyle w:val="10"/>
        <w:numPr>
          <w:ilvl w:val="0"/>
          <w:numId w:val="0"/>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2019</w:t>
      </w:r>
      <w:r>
        <w:rPr>
          <w:rFonts w:hint="eastAsia" w:ascii="仿宋_GB2312" w:hAnsi="仿宋_GB2312" w:eastAsia="仿宋_GB2312" w:cs="仿宋_GB2312"/>
          <w:sz w:val="32"/>
          <w:szCs w:val="32"/>
        </w:rPr>
        <w:t>年本部门开支会议费</w:t>
      </w:r>
      <w:r>
        <w:rPr>
          <w:rFonts w:hint="eastAsia" w:ascii="仿宋_GB2312" w:hAnsi="仿宋_GB2312" w:eastAsia="仿宋_GB2312" w:cs="仿宋_GB2312"/>
          <w:sz w:val="32"/>
          <w:szCs w:val="32"/>
          <w:lang w:val="en-US" w:eastAsia="zh-CN"/>
        </w:rPr>
        <w:t>5.77</w:t>
      </w:r>
      <w:r>
        <w:rPr>
          <w:rFonts w:hint="eastAsia" w:ascii="仿宋_GB2312" w:hAnsi="仿宋_GB2312" w:eastAsia="仿宋_GB2312" w:cs="仿宋_GB2312"/>
          <w:sz w:val="32"/>
          <w:szCs w:val="32"/>
        </w:rPr>
        <w:t>万元，用于召开</w:t>
      </w:r>
      <w:r>
        <w:rPr>
          <w:rFonts w:hint="eastAsia" w:ascii="仿宋_GB2312" w:hAnsi="仿宋_GB2312" w:eastAsia="仿宋_GB2312" w:cs="仿宋_GB2312"/>
          <w:sz w:val="32"/>
          <w:szCs w:val="32"/>
          <w:lang w:val="en-US" w:eastAsia="zh-CN"/>
        </w:rPr>
        <w:t>危房改造工作会议、党建微宣讲会议、建筑行业年会</w:t>
      </w:r>
      <w:r>
        <w:rPr>
          <w:rFonts w:hint="eastAsia" w:ascii="仿宋_GB2312" w:hAnsi="仿宋_GB2312" w:eastAsia="仿宋_GB2312" w:cs="仿宋_GB2312"/>
          <w:sz w:val="32"/>
          <w:szCs w:val="32"/>
        </w:rPr>
        <w:t>会议，人数</w:t>
      </w:r>
      <w:r>
        <w:rPr>
          <w:rFonts w:hint="eastAsia" w:ascii="仿宋_GB2312" w:hAnsi="仿宋_GB2312" w:eastAsia="仿宋_GB2312" w:cs="仿宋_GB2312"/>
          <w:sz w:val="32"/>
          <w:szCs w:val="32"/>
          <w:lang w:val="en-US" w:eastAsia="zh-CN"/>
        </w:rPr>
        <w:t>256</w:t>
      </w:r>
      <w:r>
        <w:rPr>
          <w:rFonts w:hint="eastAsia" w:ascii="仿宋_GB2312" w:hAnsi="仿宋_GB2312" w:eastAsia="仿宋_GB2312" w:cs="仿宋_GB2312"/>
          <w:sz w:val="32"/>
          <w:szCs w:val="32"/>
        </w:rPr>
        <w:t>人，内容为</w:t>
      </w:r>
      <w:r>
        <w:rPr>
          <w:rFonts w:hint="eastAsia" w:ascii="仿宋_GB2312" w:hAnsi="仿宋_GB2312" w:eastAsia="仿宋_GB2312" w:cs="仿宋_GB2312"/>
          <w:sz w:val="32"/>
          <w:szCs w:val="32"/>
          <w:lang w:val="en-US" w:eastAsia="zh-CN"/>
        </w:rPr>
        <w:t>建筑行业工匠培训和建筑行业业绩总结、优秀企业表彰等</w:t>
      </w:r>
      <w:r>
        <w:rPr>
          <w:rFonts w:hint="eastAsia" w:ascii="仿宋_GB2312" w:hAnsi="仿宋_GB2312" w:eastAsia="仿宋_GB2312" w:cs="仿宋_GB2312"/>
          <w:sz w:val="32"/>
          <w:szCs w:val="32"/>
        </w:rPr>
        <w:t>；开支培训费</w:t>
      </w:r>
      <w:r>
        <w:rPr>
          <w:rFonts w:hint="eastAsia" w:ascii="仿宋_GB2312" w:hAnsi="仿宋_GB2312" w:eastAsia="仿宋_GB2312" w:cs="仿宋_GB2312"/>
          <w:sz w:val="32"/>
          <w:szCs w:val="32"/>
          <w:lang w:val="en-US" w:eastAsia="zh-CN"/>
        </w:rPr>
        <w:t>0.08</w:t>
      </w:r>
      <w:r>
        <w:rPr>
          <w:rFonts w:hint="eastAsia" w:ascii="仿宋_GB2312" w:hAnsi="仿宋_GB2312" w:eastAsia="仿宋_GB2312" w:cs="仿宋_GB2312"/>
          <w:sz w:val="32"/>
          <w:szCs w:val="32"/>
        </w:rPr>
        <w:t>万元，用于开展</w:t>
      </w:r>
      <w:r>
        <w:rPr>
          <w:rFonts w:hint="eastAsia" w:ascii="仿宋_GB2312" w:hAnsi="仿宋_GB2312" w:eastAsia="仿宋_GB2312" w:cs="仿宋_GB2312"/>
          <w:sz w:val="32"/>
          <w:szCs w:val="32"/>
          <w:lang w:val="en-US" w:eastAsia="zh-CN"/>
        </w:rPr>
        <w:t>建筑工匠培训、从业人员继续教育等</w:t>
      </w:r>
      <w:r>
        <w:rPr>
          <w:rFonts w:hint="eastAsia" w:ascii="仿宋_GB2312" w:hAnsi="仿宋_GB2312" w:eastAsia="仿宋_GB2312" w:cs="仿宋_GB2312"/>
          <w:sz w:val="32"/>
          <w:szCs w:val="32"/>
        </w:rPr>
        <w:t>培训，人数</w:t>
      </w:r>
      <w:r>
        <w:rPr>
          <w:rFonts w:hint="eastAsia" w:ascii="仿宋_GB2312" w:hAnsi="仿宋_GB2312" w:eastAsia="仿宋_GB2312" w:cs="仿宋_GB2312"/>
          <w:sz w:val="32"/>
          <w:szCs w:val="32"/>
          <w:lang w:val="en-US" w:eastAsia="zh-CN"/>
        </w:rPr>
        <w:t>136</w:t>
      </w:r>
      <w:r>
        <w:rPr>
          <w:rFonts w:hint="eastAsia" w:ascii="仿宋_GB2312" w:hAnsi="仿宋_GB2312" w:eastAsia="仿宋_GB2312" w:cs="仿宋_GB2312"/>
          <w:sz w:val="32"/>
          <w:szCs w:val="32"/>
        </w:rPr>
        <w:t>人，内容为</w:t>
      </w:r>
      <w:r>
        <w:rPr>
          <w:rFonts w:hint="eastAsia" w:ascii="仿宋_GB2312" w:hAnsi="仿宋_GB2312" w:eastAsia="仿宋_GB2312" w:cs="仿宋_GB2312"/>
          <w:sz w:val="32"/>
          <w:szCs w:val="32"/>
          <w:lang w:val="en-US" w:eastAsia="zh-CN"/>
        </w:rPr>
        <w:t>建筑行业工人培训、行业在职人员继续教育等支出</w:t>
      </w:r>
      <w:r>
        <w:rPr>
          <w:rFonts w:hint="eastAsia" w:ascii="仿宋_GB2312" w:hAnsi="仿宋_GB2312" w:eastAsia="仿宋_GB2312" w:cs="仿宋_GB2312"/>
          <w:sz w:val="32"/>
          <w:szCs w:val="32"/>
          <w:lang w:eastAsia="zh-CN"/>
        </w:rPr>
        <w:t>。</w:t>
      </w:r>
    </w:p>
    <w:p>
      <w:pPr>
        <w:pStyle w:val="10"/>
        <w:numPr>
          <w:ilvl w:val="0"/>
          <w:numId w:val="0"/>
        </w:numPr>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（三）政府采购支出情况</w:t>
      </w:r>
    </w:p>
    <w:p>
      <w:pPr>
        <w:pStyle w:val="10"/>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w:t>
      </w:r>
      <w:r>
        <w:rPr>
          <w:rFonts w:hint="eastAsia" w:ascii="仿宋_GB2312" w:hAnsi="仿宋_GB2312" w:eastAsia="仿宋_GB2312" w:cs="仿宋_GB2312"/>
          <w:sz w:val="32"/>
          <w:szCs w:val="32"/>
          <w:lang w:val="en-US" w:eastAsia="zh-CN"/>
        </w:rPr>
        <w:t>2019</w:t>
      </w:r>
      <w:r>
        <w:rPr>
          <w:rFonts w:hint="eastAsia" w:ascii="仿宋_GB2312" w:hAnsi="仿宋_GB2312" w:eastAsia="仿宋_GB2312" w:cs="仿宋_GB2312"/>
          <w:sz w:val="32"/>
          <w:szCs w:val="32"/>
        </w:rPr>
        <w:t>年度政府采购支出总额</w:t>
      </w:r>
      <w:r>
        <w:rPr>
          <w:rFonts w:hint="eastAsia" w:ascii="仿宋_GB2312" w:hAnsi="仿宋_GB2312" w:eastAsia="仿宋_GB2312" w:cs="仿宋_GB2312"/>
          <w:sz w:val="32"/>
          <w:szCs w:val="32"/>
          <w:lang w:val="en-US" w:eastAsia="zh-CN"/>
        </w:rPr>
        <w:t>5.25</w:t>
      </w:r>
      <w:r>
        <w:rPr>
          <w:rFonts w:hint="eastAsia" w:ascii="仿宋_GB2312" w:hAnsi="仿宋_GB2312" w:eastAsia="仿宋_GB2312" w:cs="仿宋_GB2312"/>
          <w:sz w:val="32"/>
          <w:szCs w:val="32"/>
        </w:rPr>
        <w:t>万元，其中：政府采购货物支出</w:t>
      </w:r>
      <w:r>
        <w:rPr>
          <w:rFonts w:hint="eastAsia" w:ascii="仿宋_GB2312" w:hAnsi="仿宋_GB2312" w:eastAsia="仿宋_GB2312" w:cs="仿宋_GB2312"/>
          <w:sz w:val="32"/>
          <w:szCs w:val="32"/>
          <w:lang w:val="en-US" w:eastAsia="zh-CN"/>
        </w:rPr>
        <w:t>5.25</w:t>
      </w:r>
      <w:r>
        <w:rPr>
          <w:rFonts w:hint="eastAsia" w:ascii="仿宋_GB2312" w:hAnsi="仿宋_GB2312" w:eastAsia="仿宋_GB2312" w:cs="仿宋_GB2312"/>
          <w:sz w:val="32"/>
          <w:szCs w:val="32"/>
        </w:rPr>
        <w:t>万元。其中：授予小微企业合同金额 </w:t>
      </w:r>
      <w:r>
        <w:rPr>
          <w:rFonts w:hint="eastAsia" w:ascii="仿宋_GB2312" w:hAnsi="仿宋_GB2312" w:eastAsia="仿宋_GB2312" w:cs="仿宋_GB2312"/>
          <w:sz w:val="32"/>
          <w:szCs w:val="32"/>
          <w:lang w:val="en-US" w:eastAsia="zh-CN"/>
        </w:rPr>
        <w:t>5.25</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pStyle w:val="10"/>
        <w:numPr>
          <w:ilvl w:val="0"/>
          <w:numId w:val="0"/>
        </w:numPr>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（四）国有资产占用情况</w:t>
      </w:r>
    </w:p>
    <w:p>
      <w:pPr>
        <w:pStyle w:val="10"/>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w:t>
      </w:r>
      <w:r>
        <w:rPr>
          <w:rFonts w:hint="eastAsia" w:ascii="仿宋_GB2312" w:hAnsi="仿宋_GB2312" w:eastAsia="仿宋_GB2312" w:cs="仿宋_GB2312"/>
          <w:sz w:val="32"/>
          <w:szCs w:val="32"/>
          <w:lang w:val="en-US" w:eastAsia="zh-CN"/>
        </w:rPr>
        <w:t>2019</w:t>
      </w:r>
      <w:r>
        <w:rPr>
          <w:rFonts w:hint="eastAsia" w:ascii="仿宋_GB2312" w:hAnsi="仿宋_GB2312" w:eastAsia="仿宋_GB2312" w:cs="仿宋_GB2312"/>
          <w:sz w:val="32"/>
          <w:szCs w:val="32"/>
        </w:rPr>
        <w:t>年12月31日，本单位共有车辆</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辆，其中，其他用车</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辆，其他用车主要是</w:t>
      </w:r>
      <w:r>
        <w:rPr>
          <w:rFonts w:hint="eastAsia" w:ascii="仿宋_GB2312" w:hAnsi="仿宋_GB2312" w:eastAsia="仿宋_GB2312" w:cs="仿宋_GB2312"/>
          <w:sz w:val="32"/>
          <w:szCs w:val="32"/>
          <w:lang w:val="en-US" w:eastAsia="zh-CN"/>
        </w:rPr>
        <w:t>用于建筑领域执法用车</w:t>
      </w:r>
      <w:r>
        <w:rPr>
          <w:rFonts w:hint="eastAsia" w:ascii="仿宋_GB2312" w:hAnsi="仿宋_GB2312" w:eastAsia="仿宋_GB2312" w:cs="仿宋_GB2312"/>
          <w:sz w:val="32"/>
          <w:szCs w:val="32"/>
        </w:rPr>
        <w:t>；单位价值50万元以上通用设备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台（套）；单位价值100万元以上专用设备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p>
    <w:p>
      <w:pPr>
        <w:pStyle w:val="10"/>
        <w:numPr>
          <w:ilvl w:val="0"/>
          <w:numId w:val="0"/>
        </w:numPr>
        <w:rPr>
          <w:rFonts w:hint="eastAsia" w:ascii="黑体" w:hAnsi="黑体" w:eastAsia="黑体" w:cs="黑体"/>
          <w:color w:val="000000"/>
          <w:kern w:val="0"/>
          <w:sz w:val="32"/>
          <w:szCs w:val="32"/>
        </w:rPr>
      </w:pPr>
      <w:r>
        <w:rPr>
          <w:rFonts w:hint="eastAsia" w:ascii="黑体" w:hAnsi="黑体" w:eastAsia="黑体" w:cs="黑体"/>
          <w:sz w:val="32"/>
          <w:szCs w:val="32"/>
        </w:rPr>
        <w:t>第四部分</w:t>
      </w:r>
      <w:r>
        <w:rPr>
          <w:rFonts w:hint="eastAsia" w:ascii="黑体" w:hAnsi="黑体" w:eastAsia="黑体" w:cs="黑体"/>
          <w:sz w:val="32"/>
          <w:szCs w:val="32"/>
          <w:lang w:val="en-US" w:eastAsia="zh-CN"/>
        </w:rPr>
        <w:t xml:space="preserve">  </w:t>
      </w:r>
      <w:r>
        <w:rPr>
          <w:rFonts w:hint="eastAsia" w:ascii="黑体" w:hAnsi="黑体" w:eastAsia="黑体" w:cs="黑体"/>
          <w:color w:val="000000"/>
          <w:kern w:val="0"/>
          <w:sz w:val="32"/>
          <w:szCs w:val="32"/>
        </w:rPr>
        <w:t>名词解释</w:t>
      </w:r>
    </w:p>
    <w:p>
      <w:pPr>
        <w:widowControl/>
        <w:ind w:firstLine="640" w:firstLineChars="20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一、机关运行经费：为保障行政单位（包括参照公务员法管理的事业单位）运行，用一般公共预算拨款安排用于购买货物和服务的各项资金，包括办公及印刷费、邮电费、差旅费、会议费、福利费、日常维修费、办公用房水电费、办公用房取暖费、办公用房物业管理费、公务用车运行维护费以及其他费用。</w:t>
      </w:r>
    </w:p>
    <w:p>
      <w:pPr>
        <w:widowControl/>
        <w:ind w:firstLine="640" w:firstLineChars="20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二、“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jc w:val="left"/>
        <w:rPr>
          <w:rFonts w:hint="eastAsia" w:ascii="黑体" w:hAnsi="黑体" w:eastAsia="黑体" w:cs="黑体"/>
          <w:color w:val="000000"/>
          <w:kern w:val="0"/>
          <w:sz w:val="32"/>
          <w:szCs w:val="32"/>
          <w:lang w:eastAsia="zh-CN"/>
        </w:rPr>
      </w:pPr>
      <w:r>
        <w:rPr>
          <w:rFonts w:hint="eastAsia" w:ascii="黑体" w:hAnsi="黑体" w:eastAsia="黑体" w:cs="黑体"/>
          <w:sz w:val="32"/>
          <w:szCs w:val="32"/>
        </w:rPr>
        <w:t>第五部分</w:t>
      </w:r>
      <w:r>
        <w:rPr>
          <w:rFonts w:hint="eastAsia" w:ascii="黑体" w:hAnsi="黑体" w:eastAsia="黑体" w:cs="黑体"/>
          <w:sz w:val="32"/>
          <w:szCs w:val="32"/>
          <w:lang w:val="en-US" w:eastAsia="zh-CN"/>
        </w:rPr>
        <w:t xml:space="preserve">  </w:t>
      </w:r>
      <w:r>
        <w:rPr>
          <w:rFonts w:hint="eastAsia" w:ascii="黑体" w:hAnsi="黑体" w:eastAsia="黑体" w:cs="黑体"/>
          <w:color w:val="000000"/>
          <w:kern w:val="0"/>
          <w:sz w:val="32"/>
          <w:szCs w:val="32"/>
        </w:rPr>
        <w:t>附件2019年度部门整体支出绩效评价自评报</w:t>
      </w:r>
      <w:r>
        <w:rPr>
          <w:rFonts w:hint="eastAsia" w:ascii="黑体" w:hAnsi="黑体" w:eastAsia="黑体" w:cs="黑体"/>
          <w:color w:val="000000"/>
          <w:kern w:val="0"/>
          <w:sz w:val="32"/>
          <w:szCs w:val="32"/>
          <w:lang w:eastAsia="zh-CN"/>
        </w:rPr>
        <w:t>告</w:t>
      </w:r>
    </w:p>
    <w:p>
      <w:pPr>
        <w:pStyle w:val="2"/>
        <w:ind w:left="0" w:leftChars="0" w:firstLine="0" w:firstLineChars="0"/>
        <w:rPr>
          <w:rFonts w:hint="eastAsia"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lang w:eastAsia="zh-CN"/>
        </w:rPr>
        <w:t>附件</w:t>
      </w:r>
      <w:r>
        <w:rPr>
          <w:rFonts w:hint="eastAsia" w:ascii="黑体" w:hAnsi="黑体" w:eastAsia="黑体" w:cs="黑体"/>
          <w:color w:val="000000"/>
          <w:kern w:val="0"/>
          <w:sz w:val="32"/>
          <w:szCs w:val="32"/>
          <w:lang w:val="en-US" w:eastAsia="zh-CN"/>
        </w:rPr>
        <w:t>1:</w:t>
      </w:r>
    </w:p>
    <w:p>
      <w:pPr>
        <w:spacing w:line="800" w:lineRule="exact"/>
        <w:ind w:firstLine="1100" w:firstLineChars="250"/>
        <w:rPr>
          <w:rFonts w:hint="eastAsia" w:ascii="方正小标宋简体" w:hAnsi="方正小标宋简体" w:cs="方正小标宋简体"/>
          <w:sz w:val="44"/>
          <w:szCs w:val="44"/>
        </w:rPr>
      </w:pPr>
      <w:r>
        <w:rPr>
          <w:rFonts w:hint="eastAsia" w:ascii="方正小标宋简体" w:hAnsi="方正小标宋简体" w:eastAsia="方正小标宋简体" w:cs="方正小标宋简体"/>
          <w:sz w:val="44"/>
          <w:szCs w:val="44"/>
        </w:rPr>
        <w:t>2019年度部门整体支出绩效评价</w:t>
      </w:r>
    </w:p>
    <w:p>
      <w:pPr>
        <w:spacing w:line="800" w:lineRule="exact"/>
        <w:ind w:firstLine="3300" w:firstLineChars="75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自评报告</w:t>
      </w:r>
    </w:p>
    <w:p>
      <w:pPr>
        <w:rPr>
          <w:rFonts w:eastAsia="仿宋"/>
          <w:b/>
          <w:bCs/>
        </w:rPr>
      </w:pPr>
    </w:p>
    <w:p>
      <w:pPr>
        <w:rPr>
          <w:rFonts w:hint="eastAsia" w:ascii="仿宋_GB2312" w:hAnsi="仿宋_GB2312" w:eastAsia="仿宋_GB2312" w:cs="仿宋_GB2312"/>
          <w:sz w:val="32"/>
          <w:szCs w:val="32"/>
        </w:rPr>
      </w:pPr>
      <w:r>
        <w:rPr>
          <w:rFonts w:eastAsia="仿宋"/>
          <w:b/>
          <w:bCs/>
        </w:rPr>
        <w:t xml:space="preserve"> </w:t>
      </w:r>
      <w:r>
        <w:rPr>
          <w:rFonts w:hint="eastAsia" w:ascii="仿宋_GB2312" w:hAnsi="仿宋_GB2312" w:eastAsia="仿宋_GB2312" w:cs="仿宋_GB2312"/>
          <w:sz w:val="32"/>
          <w:szCs w:val="32"/>
        </w:rPr>
        <w:t>一、部门概况</w:t>
      </w:r>
    </w:p>
    <w:p>
      <w:pPr>
        <w:spacing w:line="60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（一）机构设置</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机构改革，原房产管理局、原人防办、原住建局三个机构合并为湘乡市住房和城乡建设局（人防办），合并后内现设机构有办公室、法规股、审批服务股、住房保障股城市排水管理股、建筑工程管理股房产综合开发管理股、质量安全管理股城市村镇建设管理股、人防工程建设管理股、指挥通信股物业管理股、建设工程招标投标管理股、科技设计管理股（造价管理站）财务股、党建办公室、人事股；局下辖工程质量安全监督站、墙体材料改革办公室、住房办、建筑勘察设计院、白蚁防治所、城建综合开发公司、湘房公司（棚户公司）、信源物业公司、物业维修资金中心、房管所10个，除白蚁防治所未实行单独核算,由局机关进行统一核算外，其余9个均实行独立核算。其中市建筑勘察设计院、城建综合开发公司、湘房公司（棚户公司）、信源物业公司、物业维修资金中心、房管所为自收自支企业化管理单位，未纳入财政预算。因机构改革，市政维护管理处、园林管理处于今年3月划归城管综合执法局管理。</w:t>
      </w:r>
    </w:p>
    <w:p>
      <w:pPr>
        <w:spacing w:line="60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（二）人员情况</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至本年末，机关在职编制人数156人，实有人数156人，另退休人员98人，共计254人。本年因机构合并，导致在职人数和退休人数与上年相比有所增加。</w:t>
      </w:r>
    </w:p>
    <w:p>
      <w:pPr>
        <w:spacing w:line="60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（三）主要职能</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牵头推进新型城镇化战略工作。贯彻执行国家、省、湘潭、市关于推进新型城镇化、住房保障、城市建设（含城市雕塑）、村镇建设、工程建设、建筑业、勘察设计的方针政策和法律法规，研究制定实施办法、相关发展战略和相应监督管理办法，并组织实施。</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2.加快建立全市多主体供给、多渠道保障、租购并举的住房制度，拟订全市住房建设规划并指导实施，培育和完善房产市场。</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拟订全市房产管理的具体实施办法并监督执行；贯彻执行国家、省有关房产管理工作的方针政策和法律法规，负责整顿、规范房产市场，查处全市房产违法违规行为，规范房产市场管理；承担全市房产信息管理工作；负责指导全市公有住房的管理工作；负责全市商品房预（销）售许可、预（销）售合同备案和预售资金的监管；负责房地产经纪、评估、咨询等中介机构管理和从业人员资格管理；指导、监督、规范全市房产行业协会工作；负责处理全市房屋落实政策遗留问题。</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拟订全市住房保障政策措施，编制全市城镇保障性住房的建设规划及相关的管理办法并监督实施；负责全市保障性安居工程整体规划，并组织、指导、监督实施；负责市城镇住房保障对象审核登记，实施公共住房租赁补贴。负责市城区保障性住房的建设、储备、分配、交易管理工作；负责全市旧城改造管理工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负责全市物业管理活动的指导和监督管理；负责全市住宅物业单位前期物业管理活动中不采用招投标方式选聘物业管理企业许可；负责指导、监督全市物业管理招投标活动。负责全市住宅物业专项维修资金的归集管理和监督使用工作；承担全市城镇房屋安全鉴定管理工作；负责全市房产开发项目备案管理工作；负责全市城镇住宅室内装饰装修活动的管理工作；负责全市房屋白蚁防治管理工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承担建立科学规范的工程建设标准体系的工作。组织实施工程建设实施阶段的国家标准、全国统一定额和行业标准定额；研究制定具体实施办法、管理规程和地方标准；组织制定和发布全市造价信息；监督指导各类工程建设计价规范的实施。</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指导和管理全市建筑活动，规范建筑市场。贯彻执行建设施工、监理和相关社会中介组织管理的法规和规章；研究拟订建筑业中长期发展规划及年度计划并组织实施；负责全市建筑市场管理、建筑业发展、建筑市场准入、建设工程招投标、建筑勘察设计、工程监理以及工程质量和安全、劳务培训基地建设、技能培训及劳务培训等工作；负责全市房地产开发企业、建筑施工企业等各类专业企业及从业人员的资质资格管理工作，指导监督住宅建设、城市综合开发；协调全市工程建设领域工程款及农民工工资清欠工作；协助搞好全市建设领域专项治理工作；指导、协调全市施工队伍开拓对外建筑市场，开发对外工程承包和劳务合作业务；负责施工企业劳动保障的统筹工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8.承担全市建设工程勘察设计、建筑设计市场管理的工作。负责全市建设工程勘察、设计及建筑装饰设计等行业资质管理工作；负责各类建设项目初步设计审批；指导、检查全市勘察设计行业的工作。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承担村镇建设的指导和管理工作。指导全市各乡镇的建设；拟订小城镇建设的政策建议并组织实施；指导农村住房建设及农村危房改造；指导小城镇和农村人居生态环境的改善工作；组织特色景观旅游名镇（村）的申报和管理工作；负责小城镇建设统计工作；负责城市建设项目管理；制定村镇建设年度计划，对各镇基础设施建设进行监督管理；负责村镇建设适用技术的推广应用及组织村镇管理人员的技术培训工作；组织指导各乡镇农村垃圾治理、黑臭水体治理、污水处理、厕所革命等工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承担全市房屋建筑、市政工程、人防及装饰装修质量安全监督的工作。负责依法对全市受监工程的质量和施工安全进行监督管理；制定工程质量、安全生产和竣工验收备案的制度并监督执行；组织或参与工程重大质量、安全事故的调查处理；负责建设工程抗震设防管理；指导城市地下空间勘察设计、工程质量安全及其开发利用；负责全市房屋建筑工程和市政基础设施及人防工程的竣工验收备案；负责预制构件和商品砼监督管理工作；负责全市建筑企业安全生产许可证的预审及申报工作。根据国家批准的防护类别、防护标准，会同有关部门编制全市人民防空建设和城市地下空间开发利用规划。负责城市地下空间开发利用兼顾人民防空要求的管理和监督检查，依法对城市和重要经济目标的人民防空建设进行监督检查。组织管理人民防空工程建设。根据国家制定的防护标准和质量标准，对人民防空工程（含结合民用建筑修建的防空地下室）建设实施计划、技术和质量管理；组织指导和监督检查人民防空工程维护管理及平时开发利用工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11.承担推进全市建筑节能与建设科技进步的工作。拟订全市建筑节能政策建议及组织实施；制定建设行业科技发展规划；组织重大科技项目攻关和新技术开发利用；管理行业科技成果。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12.负责指导全市城建档案的管理指导监督、管理全市建设工程竣工档案工作；审查、认证、验收工程竣工档案，负责城市建设档案的收集、整理及城建档案信息的开发、利用。</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会同有关部门编制和执行城乡社区事务建设维护专项支出预算、村镇基础设施建设资金补助的分配方案；负责小城镇建设资金的预决算使用计划安排；负责项目资本金的收取和管理；负责物业保修金收取、使用和管理。</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负责城市排水管理工作。负责城市排水及其附属设施的规划建设工作；负责城市排水设施建设审批验收、排水管网日常维护管理、排水许可证核发、污水处理厂运营行政管理及资产设施监管、污水处理费征收监管和协调拨付。</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15.负责全市墙体材料、散装水泥的推广应用工作，编制我市推广应用新墙材、散装水泥的中长期规划和年度计划并监督实施；负责墙体改革和散装水泥推广应用方面的信息交流、职工培训、宣传教育和统计工作。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16.贯彻执行国家、省、湘潭市关于人民防空工作的方针政策和法律法规，组织拟订全市人民防空工作的基本战备方案，组织编制全市人民防空建设中长期发展规划和年度工作计划，经批准后组织实施。</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17.制定和组织实施城市防空袭方案和各项保障方案、群众防空组织（人民防空专业队）建设和训练、防空防灾演习演练、疏散体系建设，协助军事部门组织指导城市防卫建设。</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18.战时组织开展城市人民防空袭斗争，组织指挥人民防空疏散和隐蔽，依法组织实施灯火管制和发放防空袭警报，配合要地防空和城市防卫作战，组织有关部门恢复生产和生活秩序，消除空袭后果。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19.组织管理人民防空通信警报和信息化建设。对人民防空通信警报网和信息化建设实施计划、技术和质量管理，负责保障全市人民防空通信警报畅通。负责对全市人民防空无线电进行管理。</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20.会同有关部门组织开展人民防空宣传教育工作，普及人民防空知识和技能。</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21.管理人民防空经费和资产，负责编制市本级人民防空经费预决算，并对使用情况实施监督检查。</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22.承担市人民政府赋予的应急救援任务，利用人防设施和人民防空专业队伍为应急救援服务。</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23.指导相关行业协会的工作。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24.负责国有土地上房屋征收管理行政职能。</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25.负责全市建设工程消防设计审查验收工作。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26.负责全市在建工程项目起重机械设备监管工作。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27.承办上级交办的其他事项。</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二、部门整体支出管理及使用情况</w:t>
      </w:r>
    </w:p>
    <w:p>
      <w:pPr>
        <w:snapToGrid w:val="0"/>
        <w:spacing w:line="60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（一）预算情况</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1.年初预算情况。</w:t>
      </w:r>
      <w:r>
        <w:rPr>
          <w:rFonts w:hint="eastAsia" w:ascii="仿宋_GB2312" w:hAnsi="仿宋_GB2312" w:eastAsia="仿宋_GB2312" w:cs="仿宋_GB2312"/>
          <w:sz w:val="32"/>
          <w:szCs w:val="32"/>
        </w:rPr>
        <w:t>2019年，我局机关财政部门预算收入为2042.63万元，其中经费拨款收入2000.33万元，纳入公共财政预算管理的非税收入42.3万元。2019年我局机关财政部门预算支出为2042.63万元。其中：基本支出预算1521.63万元；项目支出预算521万元。</w:t>
      </w:r>
    </w:p>
    <w:p>
      <w:pPr>
        <w:snapToGrid w:val="0"/>
        <w:spacing w:line="60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2.年中追加和调减预算情况。</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年共追加预算2387.45万元，具体为：（1）增加城乡社区事务建设维护专项支出预算1945.10万元（城乡社区专项施工图审查服务费232.09万元、地下管线信息平台建设40万元、建筑工匠培训10万元、地下管线普查41.9万元、污水处理G线截污干管工程172.11万元、泉塘镇东郊乡污水处理厂建设693万元、城市精细化管理278万元、小区物业精细化管理48万元、洙津渡饮用水源地保护430万元）；（2）增加基本支出280.63万元（2018年10月1日至2019年9月30日人员异动，基本工资调标23.82万元、2018年度全市科技领导班子绩效考核良好单位2.4万元、2018年度绩效考核奖励59.28万元、2018年综治奖99.22万元、因基本工资调标调增的社会保障缴费95.91万元）。（3）增加人防开支110万元；（4）国有资本经营收入52万元（这52万元属于国有资本经营预算收入，因建筑规划勘察设计院、湘房公司、开发公司不属于财政部门预算单位，所以财政直接将指标拨付给主管部门住建局再由主管部门转拨给这三个二级机构）。</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全年调减28.32万元，具体为：（1）上解工会经费3.44万元；（2）2019年5月起养保调标（单位缴费部分由20%调减至16%）24.88万元。</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2019年共计全年增加预算2359.13万元。</w:t>
      </w:r>
    </w:p>
    <w:p>
      <w:pPr>
        <w:snapToGrid w:val="0"/>
        <w:spacing w:line="600" w:lineRule="exact"/>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b/>
          <w:bCs/>
          <w:sz w:val="32"/>
          <w:szCs w:val="32"/>
        </w:rPr>
        <w:t>3.全年总预算情况。</w:t>
      </w:r>
      <w:r>
        <w:rPr>
          <w:rFonts w:hint="eastAsia" w:ascii="仿宋_GB2312" w:hAnsi="仿宋_GB2312" w:eastAsia="仿宋_GB2312" w:cs="仿宋_GB2312"/>
          <w:sz w:val="32"/>
          <w:szCs w:val="32"/>
        </w:rPr>
        <w:t>全年总预算4401.76万元。其中：2018年财政部门预算2042.63万元，年中增加城乡社区专项预算支出1945.1万元，增加基本支出280.63万元，增加人防开支110万元，国有资本经营收入52万元，全年调减28.32万元。</w:t>
      </w:r>
    </w:p>
    <w:p>
      <w:pPr>
        <w:snapToGrid w:val="0"/>
        <w:spacing w:line="60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（二）预算执行情况</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2019年我局机关实际总支出为4406.75万元。</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1.基本支出执行情况。</w:t>
      </w:r>
      <w:r>
        <w:rPr>
          <w:rFonts w:hint="eastAsia" w:ascii="仿宋_GB2312" w:hAnsi="仿宋_GB2312" w:eastAsia="仿宋_GB2312" w:cs="仿宋_GB2312"/>
          <w:sz w:val="32"/>
          <w:szCs w:val="32"/>
        </w:rPr>
        <w:t>基本支出2447.80万元，其中人员支出2052.02万元，商品和服务支出395.78万元，对个人和家庭的补助支出约97.77万元，其他资本性支出5万元。</w:t>
      </w:r>
    </w:p>
    <w:p>
      <w:pPr>
        <w:snapToGrid w:val="0"/>
        <w:spacing w:line="600" w:lineRule="exact"/>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b/>
          <w:bCs/>
          <w:sz w:val="32"/>
          <w:szCs w:val="32"/>
        </w:rPr>
        <w:t>2.业务性专项执行情况。</w:t>
      </w:r>
      <w:r>
        <w:rPr>
          <w:rFonts w:hint="eastAsia" w:ascii="仿宋_GB2312" w:hAnsi="仿宋_GB2312" w:eastAsia="仿宋_GB2312" w:cs="仿宋_GB2312"/>
          <w:sz w:val="32"/>
          <w:szCs w:val="32"/>
        </w:rPr>
        <w:t>业务性专项支出222.20万元，主要为：农村危房改造工作经费63.85万元，人防开支115.69万元，住建项目前期工作经费42.66（含小城镇建设、新农村建设、新型城镇化建设等）。</w:t>
      </w:r>
    </w:p>
    <w:p>
      <w:pPr>
        <w:snapToGrid w:val="0"/>
        <w:spacing w:line="600" w:lineRule="exact"/>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b/>
          <w:bCs/>
          <w:sz w:val="32"/>
          <w:szCs w:val="32"/>
        </w:rPr>
        <w:t>3.项目性专项执行情况。</w:t>
      </w:r>
      <w:r>
        <w:rPr>
          <w:rFonts w:hint="eastAsia" w:ascii="仿宋_GB2312" w:hAnsi="仿宋_GB2312" w:eastAsia="仿宋_GB2312" w:cs="仿宋_GB2312"/>
          <w:sz w:val="32"/>
          <w:szCs w:val="32"/>
        </w:rPr>
        <w:t>项目性专项支出1735.89万元，主要为：城市地下管线普查173.98万元，城市地下管线信息平台建设43.57万元，施工图审费124.26万元，洙津渡饮用水源地保护建设427.76万元，建筑工匠培训10万元，乡镇污水处理厂建设551.13万元，黑臭水整治10.67万元，物业精细化管理33.69万元，住房信息构建及维护及纠纷调解17.40万元，政务大楼运行45.55万元，白蚁防灭治成本47.13万元，城市精细化管理道路中央隔离设施建设150万元，G线截污干管建设100.75万元。</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三、部门整体支出绩效情况</w:t>
      </w:r>
    </w:p>
    <w:p>
      <w:pPr>
        <w:snapToGrid w:val="0"/>
        <w:spacing w:line="60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（一）部门绩效基本指标分析。</w:t>
      </w:r>
    </w:p>
    <w:p>
      <w:pPr>
        <w:snapToGrid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sz w:val="32"/>
          <w:szCs w:val="32"/>
        </w:rPr>
        <w:t>预算配置。在职人员控制率100%，</w:t>
      </w:r>
      <w:r>
        <w:rPr>
          <w:rFonts w:hint="eastAsia" w:ascii="仿宋_GB2312" w:hAnsi="仿宋_GB2312" w:eastAsia="仿宋_GB2312" w:cs="仿宋_GB2312"/>
          <w:sz w:val="32"/>
          <w:szCs w:val="32"/>
        </w:rPr>
        <w:t>2019年年初在职人数为78人，退休37人，年末机关在职编制人数156人，实有人数156人，增加78人，另退休人员98人，共计254人。本年因机构合并，导致在职人数和退休人数与上年相比有所增加。人员进出严格控制，全部人员异动严格按人社部</w:t>
      </w:r>
      <w:r>
        <w:rPr>
          <w:rFonts w:hint="eastAsia" w:ascii="仿宋_GB2312" w:hAnsi="仿宋_GB2312" w:eastAsia="仿宋_GB2312" w:cs="仿宋_GB2312"/>
          <w:color w:val="auto"/>
          <w:sz w:val="32"/>
          <w:szCs w:val="32"/>
        </w:rPr>
        <w:t>门和编办要求的程序进行手续办理。</w:t>
      </w:r>
      <w:r>
        <w:rPr>
          <w:rFonts w:hint="eastAsia" w:ascii="仿宋_GB2312" w:hAnsi="仿宋_GB2312" w:eastAsia="仿宋_GB2312" w:cs="仿宋_GB2312"/>
          <w:b/>
          <w:bCs/>
          <w:color w:val="auto"/>
          <w:sz w:val="32"/>
          <w:szCs w:val="32"/>
        </w:rPr>
        <w:t>“三公经费变动率”下降55.60%</w:t>
      </w:r>
      <w:r>
        <w:rPr>
          <w:rFonts w:hint="eastAsia" w:ascii="仿宋_GB2312" w:hAnsi="仿宋_GB2312" w:eastAsia="仿宋_GB2312" w:cs="仿宋_GB2312"/>
          <w:color w:val="auto"/>
          <w:sz w:val="32"/>
          <w:szCs w:val="32"/>
        </w:rPr>
        <w:t>，2018年三公经费总额</w:t>
      </w:r>
      <w:r>
        <w:rPr>
          <w:rFonts w:hint="eastAsia" w:ascii="仿宋_GB2312" w:hAnsi="仿宋_GB2312" w:eastAsia="仿宋_GB2312" w:cs="仿宋_GB2312"/>
          <w:color w:val="auto"/>
          <w:sz w:val="32"/>
          <w:szCs w:val="32"/>
          <w:lang w:val="en-US" w:eastAsia="zh-CN"/>
        </w:rPr>
        <w:t>34.17</w:t>
      </w:r>
      <w:r>
        <w:rPr>
          <w:rFonts w:hint="eastAsia" w:ascii="仿宋_GB2312" w:hAnsi="仿宋_GB2312" w:eastAsia="仿宋_GB2312" w:cs="仿宋_GB2312"/>
          <w:color w:val="auto"/>
          <w:sz w:val="32"/>
          <w:szCs w:val="32"/>
        </w:rPr>
        <w:t>万元，2019年三公经费总额12.46万元，其中公务接待费6.46万元，比上年减少</w:t>
      </w:r>
      <w:r>
        <w:rPr>
          <w:rFonts w:hint="eastAsia" w:ascii="仿宋_GB2312" w:hAnsi="仿宋_GB2312" w:eastAsia="仿宋_GB2312" w:cs="仿宋_GB2312"/>
          <w:color w:val="auto"/>
          <w:sz w:val="32"/>
          <w:szCs w:val="32"/>
          <w:lang w:val="en-US" w:eastAsia="zh-CN"/>
        </w:rPr>
        <w:t>9.11</w:t>
      </w:r>
      <w:r>
        <w:rPr>
          <w:rFonts w:hint="eastAsia" w:ascii="仿宋_GB2312" w:hAnsi="仿宋_GB2312" w:eastAsia="仿宋_GB2312" w:cs="仿宋_GB2312"/>
          <w:color w:val="auto"/>
          <w:sz w:val="32"/>
          <w:szCs w:val="32"/>
        </w:rPr>
        <w:t>万；公务用车维护6万元，比上年减少</w:t>
      </w:r>
      <w:r>
        <w:rPr>
          <w:rFonts w:hint="eastAsia" w:ascii="仿宋_GB2312" w:hAnsi="仿宋_GB2312" w:eastAsia="仿宋_GB2312" w:cs="仿宋_GB2312"/>
          <w:color w:val="auto"/>
          <w:sz w:val="32"/>
          <w:szCs w:val="32"/>
          <w:lang w:val="en-US" w:eastAsia="zh-CN"/>
        </w:rPr>
        <w:t>12.6</w:t>
      </w:r>
      <w:r>
        <w:rPr>
          <w:rFonts w:hint="eastAsia" w:ascii="仿宋_GB2312" w:hAnsi="仿宋_GB2312" w:eastAsia="仿宋_GB2312" w:cs="仿宋_GB2312"/>
          <w:color w:val="auto"/>
          <w:sz w:val="32"/>
          <w:szCs w:val="32"/>
        </w:rPr>
        <w:t>万元；会议费9.52万元，比上年增加4.24万元。三公经费及会议费比上年减少</w:t>
      </w:r>
      <w:r>
        <w:rPr>
          <w:rFonts w:hint="eastAsia" w:ascii="仿宋_GB2312" w:hAnsi="仿宋_GB2312" w:eastAsia="仿宋_GB2312" w:cs="仿宋_GB2312"/>
          <w:color w:val="auto"/>
          <w:sz w:val="32"/>
          <w:szCs w:val="32"/>
          <w:lang w:val="en-US" w:eastAsia="zh-CN"/>
        </w:rPr>
        <w:t>17.47</w:t>
      </w:r>
      <w:r>
        <w:rPr>
          <w:rFonts w:hint="eastAsia" w:ascii="仿宋_GB2312" w:hAnsi="仿宋_GB2312" w:eastAsia="仿宋_GB2312" w:cs="仿宋_GB2312"/>
          <w:color w:val="auto"/>
          <w:sz w:val="32"/>
          <w:szCs w:val="32"/>
        </w:rPr>
        <w:t>万元。</w:t>
      </w:r>
    </w:p>
    <w:p>
      <w:pPr>
        <w:snapToGrid w:val="0"/>
        <w:spacing w:line="60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（二）预算执行。</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1.预算调整率0。</w:t>
      </w:r>
      <w:bookmarkStart w:id="2" w:name="_GoBack"/>
      <w:bookmarkEnd w:id="2"/>
      <w:r>
        <w:rPr>
          <w:rFonts w:hint="eastAsia" w:ascii="仿宋_GB2312" w:hAnsi="仿宋_GB2312" w:eastAsia="仿宋_GB2312" w:cs="仿宋_GB2312"/>
          <w:sz w:val="32"/>
          <w:szCs w:val="32"/>
        </w:rPr>
        <w:t>因政府工作安排全年共追加预算2387.45万元，具体为：（1）增加城乡社区事务建设维护专项支出预算1945.10万元（城乡社区专项施工图审查服务费232.09万元、地下管线信息平台建设40万元、建筑工匠培训10万元、地下管线普查41.9万元、污水处理G线截污干管工程172.11万元、泉塘镇东郊乡污水处理厂建设693万元、城市精细化管理278万元、小区物业精细化管理48万元、洙津渡饮用水源地保护430万元）；（2）增加基本支出280.63万元（2018年10月1日至2019年9月30日人员异动，基本工资调标23.82万元、2018年度全市科技领导班子绩效考核良好单位2.4万元、2018年度绩效考核奖励59.28万元、2018年综治奖99.22万元、因基本工资调标调增的社会保障缴费95.91万元）。（3）增加人防开支110万元；（4）国有资本经营收入52万元（这52万元属于国有资本经营预算收入，因建筑规划勘察设计院、湘房公司、开发公司不属于财政部门预算单位，所以财政直接将指标拨付给主管部门住建局再由主管部门转拨给这三个二级机构）。</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全年调减28.32万元，具体为：（1）上解工会经费3.44万元；（2）2019年5月起养保调标（单位缴费部分由20%调减至16%）24.88万元。</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2019年共计全年增加预算2359.13万元。</w:t>
      </w:r>
    </w:p>
    <w:p>
      <w:pPr>
        <w:spacing w:line="6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按部门整体支出绩效评价指标体系评价标准中“因落实国家政策，发生不可抗力、上级部门或本级党委政府临时交办而产生的调整除外”我们认为此项应视为合理追加，不作为扣分项目。</w:t>
      </w:r>
    </w:p>
    <w:p>
      <w:pPr>
        <w:spacing w:line="6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2.基本支出预算控制率105.36%。</w:t>
      </w:r>
      <w:r>
        <w:rPr>
          <w:rFonts w:hint="eastAsia" w:ascii="仿宋_GB2312" w:hAnsi="仿宋_GB2312" w:eastAsia="仿宋_GB2312" w:cs="仿宋_GB2312"/>
          <w:sz w:val="32"/>
          <w:szCs w:val="32"/>
        </w:rPr>
        <w:t>2019年实际基本支出为2447.8万，预算数为2042.63万，年中追加基本支出280.63万元（2018年10月1日至2019年9月30日人员异动，基本工资调标23.82万元、2018年度全市科技领导班子绩效考核良好单位2.4万元、2018年度绩效考核奖励59.28万元、2018年综治奖99.22万元、因基本工资调标调增的社会保障缴费95.91万元）。综上所述，基本支出年度总预算应为2323.26万元，需实际支出为2447.8万元，故基本支出预算控制率为105.36%。</w:t>
      </w:r>
    </w:p>
    <w:p>
      <w:pPr>
        <w:spacing w:line="600" w:lineRule="exact"/>
        <w:ind w:firstLine="800" w:firstLineChars="25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sz w:val="32"/>
          <w:szCs w:val="32"/>
        </w:rPr>
        <w:t>3.项目支出预算控制率为70.39%</w:t>
      </w:r>
      <w:r>
        <w:rPr>
          <w:rFonts w:hint="eastAsia" w:ascii="仿宋_GB2312" w:hAnsi="仿宋_GB2312" w:eastAsia="仿宋_GB2312" w:cs="仿宋_GB2312"/>
          <w:sz w:val="32"/>
          <w:szCs w:val="32"/>
        </w:rPr>
        <w:t>。2019年实际项目支出1735.89万元，部门预算数为521万元，年中增加城乡社区事务建设维护专项支出预算1945.10万元（城乡社区专项施工图审查服务费232.09万元、地下管线信息平台建设40万元、建筑工匠培训10万元、地下管线普查41.9万元、污水处理G线截污干管工程172.11万元、泉塘镇东郊乡污水处理厂建设693万元、城市精细化管理278万元、小区物业精细化管理48万元、洙津渡饮用水源地保护430万元</w:t>
      </w:r>
      <w:r>
        <w:rPr>
          <w:rFonts w:hint="eastAsia" w:ascii="仿宋_GB2312" w:hAnsi="仿宋_GB2312" w:eastAsia="仿宋_GB2312" w:cs="仿宋_GB2312"/>
          <w:color w:val="000000"/>
          <w:sz w:val="32"/>
          <w:szCs w:val="32"/>
        </w:rPr>
        <w:t>，项目支出年度总预算为2466.1万元，故项目支出预算控制率为70.39%。</w:t>
      </w:r>
    </w:p>
    <w:p>
      <w:pPr>
        <w:spacing w:line="6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4.账面指标结余1634.78万元（为应付款）。</w:t>
      </w:r>
      <w:r>
        <w:rPr>
          <w:rFonts w:hint="eastAsia" w:ascii="仿宋_GB2312" w:hAnsi="仿宋_GB2312" w:eastAsia="仿宋_GB2312" w:cs="仿宋_GB2312"/>
          <w:sz w:val="32"/>
          <w:szCs w:val="32"/>
        </w:rPr>
        <w:t>但此数据并非真正意义上的结余资金，主要是是因财政国库不能按时拨款到位或因项目进度等所欠的专项拨款及应付的相关社会保障缴费，具体应付明细如下：壶天镇传统村落保护建设250万元，洙津渡饮用水源地保护建设265万元，乡镇污水处理厂建设550万元，国有资本经营预算收入应下拨（湘房、棚户、开发公司）109万，城市地下管线普查41.9万元，城区主干道中央隔离护栏48万元，施工图审费106.77万元、地下管线信息平台建设40万元，人防工程建设99.71，物业精细化管理48万元，污水处理二期G线工程款72.11万元，春节慰问4.29万元。</w:t>
      </w:r>
    </w:p>
    <w:p>
      <w:pPr>
        <w:spacing w:line="600" w:lineRule="exact"/>
        <w:ind w:firstLine="800" w:firstLineChars="25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5.“三公经费”控制率14.75%。</w:t>
      </w:r>
      <w:r>
        <w:rPr>
          <w:rFonts w:hint="eastAsia" w:ascii="仿宋_GB2312" w:hAnsi="仿宋_GB2312" w:eastAsia="仿宋_GB2312" w:cs="仿宋_GB2312"/>
          <w:sz w:val="32"/>
          <w:szCs w:val="32"/>
        </w:rPr>
        <w:t>“三公经费 ”年初预算数为84.5万元，实际支出12.46万元。</w:t>
      </w:r>
    </w:p>
    <w:p>
      <w:pPr>
        <w:spacing w:line="600" w:lineRule="exact"/>
        <w:ind w:firstLine="800" w:firstLineChars="25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6.预算管理。管理制度健全性</w:t>
      </w:r>
      <w:r>
        <w:rPr>
          <w:rFonts w:hint="eastAsia" w:ascii="仿宋_GB2312" w:hAnsi="仿宋_GB2312" w:eastAsia="仿宋_GB2312" w:cs="仿宋_GB2312"/>
          <w:sz w:val="32"/>
          <w:szCs w:val="32"/>
        </w:rPr>
        <w:t>：已制订预算管理、内部财务管理、会计核算制度等相关制度，明确了职责，分工到人，相关管理制度合法、合规、完整。</w:t>
      </w:r>
      <w:r>
        <w:rPr>
          <w:rFonts w:hint="eastAsia" w:ascii="仿宋_GB2312" w:hAnsi="仿宋_GB2312" w:eastAsia="仿宋_GB2312" w:cs="仿宋_GB2312"/>
          <w:b/>
          <w:bCs/>
          <w:sz w:val="32"/>
          <w:szCs w:val="32"/>
        </w:rPr>
        <w:t>专账核算：</w:t>
      </w:r>
      <w:r>
        <w:rPr>
          <w:rFonts w:hint="eastAsia" w:ascii="仿宋_GB2312" w:hAnsi="仿宋_GB2312" w:eastAsia="仿宋_GB2312" w:cs="仿宋_GB2312"/>
          <w:sz w:val="32"/>
          <w:szCs w:val="32"/>
        </w:rPr>
        <w:t>各项目支出均进行了分项目核算，账目清楚，支出合理。</w:t>
      </w:r>
      <w:r>
        <w:rPr>
          <w:rFonts w:hint="eastAsia" w:ascii="仿宋_GB2312" w:hAnsi="仿宋_GB2312" w:eastAsia="仿宋_GB2312" w:cs="仿宋_GB2312"/>
          <w:b/>
          <w:bCs/>
          <w:sz w:val="32"/>
          <w:szCs w:val="32"/>
        </w:rPr>
        <w:t>预决算信息公开性和完善性：</w:t>
      </w:r>
      <w:r>
        <w:rPr>
          <w:rFonts w:hint="eastAsia" w:ascii="仿宋_GB2312" w:hAnsi="仿宋_GB2312" w:eastAsia="仿宋_GB2312" w:cs="仿宋_GB2312"/>
          <w:sz w:val="32"/>
          <w:szCs w:val="32"/>
        </w:rPr>
        <w:t>预决算均按财政部门要求在接到批复文件后20天内全部在湘乡政府网及湘乡市住房和城乡建设局门户网站上进行了长期公示，接受社会各界监督。</w:t>
      </w:r>
      <w:r>
        <w:rPr>
          <w:rFonts w:hint="eastAsia" w:ascii="仿宋_GB2312" w:hAnsi="仿宋_GB2312" w:eastAsia="仿宋_GB2312" w:cs="仿宋_GB2312"/>
          <w:b/>
          <w:bCs/>
          <w:sz w:val="32"/>
          <w:szCs w:val="32"/>
        </w:rPr>
        <w:t>政府采购完成情况：</w:t>
      </w:r>
      <w:r>
        <w:rPr>
          <w:rFonts w:hint="eastAsia" w:ascii="仿宋_GB2312" w:hAnsi="仿宋_GB2312" w:eastAsia="仿宋_GB2312" w:cs="仿宋_GB2312"/>
          <w:sz w:val="32"/>
          <w:szCs w:val="32"/>
        </w:rPr>
        <w:t>所有政府采购项目均按程序和采购要求进行了办结，政府采购严格细致，合理合法。</w:t>
      </w:r>
    </w:p>
    <w:p>
      <w:pPr>
        <w:spacing w:line="60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7.资产管理。</w:t>
      </w:r>
      <w:r>
        <w:rPr>
          <w:rFonts w:hint="eastAsia" w:ascii="仿宋_GB2312" w:hAnsi="仿宋_GB2312" w:eastAsia="仿宋_GB2312" w:cs="仿宋_GB2312"/>
          <w:sz w:val="32"/>
          <w:szCs w:val="32"/>
        </w:rPr>
        <w:t>已制定了资产管理制度，建立了固定资产台账，安排了专人进行资产管理，相关资产管理制度合法合规完整，管理制度健全。</w:t>
      </w:r>
    </w:p>
    <w:p>
      <w:pPr>
        <w:spacing w:line="600" w:lineRule="exact"/>
        <w:ind w:firstLine="800" w:firstLineChars="250"/>
        <w:rPr>
          <w:rFonts w:hint="eastAsia" w:ascii="仿宋_GB2312" w:hAnsi="仿宋_GB2312" w:eastAsia="仿宋_GB2312" w:cs="仿宋_GB2312"/>
          <w:b/>
          <w:bCs/>
          <w:color w:val="0070C0"/>
          <w:sz w:val="32"/>
          <w:szCs w:val="32"/>
        </w:rPr>
      </w:pPr>
      <w:r>
        <w:rPr>
          <w:rFonts w:hint="eastAsia" w:ascii="仿宋_GB2312" w:hAnsi="仿宋_GB2312" w:eastAsia="仿宋_GB2312" w:cs="仿宋_GB2312"/>
          <w:b/>
          <w:bCs/>
          <w:sz w:val="32"/>
          <w:szCs w:val="32"/>
        </w:rPr>
        <w:t>（二）工作绩效目标完成情况。</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1.产业经济加速转型升级。建筑产业稳中向好。</w:t>
      </w:r>
      <w:r>
        <w:rPr>
          <w:rFonts w:hint="eastAsia" w:ascii="仿宋_GB2312" w:hAnsi="仿宋_GB2312" w:eastAsia="仿宋_GB2312" w:cs="仿宋_GB2312"/>
          <w:sz w:val="32"/>
          <w:szCs w:val="32"/>
        </w:rPr>
        <w:t>全年完成建筑业总产值101.12亿，首次突破百亿大关，同比增长18%。完成本地税收4.43亿，占全市税收的24%。新增建筑业企业7家，全市达139家，其中施工总承包和专业承包104家。湖南中部电力科级产业园入驻企业31家，一期4家已投入运营，二期14家在建，“电力湘军”逐渐成为我市产业经济聚焦的洼地。</w:t>
      </w:r>
      <w:r>
        <w:rPr>
          <w:rFonts w:hint="eastAsia" w:ascii="仿宋_GB2312" w:hAnsi="仿宋_GB2312" w:eastAsia="仿宋_GB2312" w:cs="仿宋_GB2312"/>
          <w:b/>
          <w:bCs/>
          <w:sz w:val="32"/>
          <w:szCs w:val="32"/>
        </w:rPr>
        <w:t>房地产业总体平稳。</w:t>
      </w:r>
      <w:r>
        <w:rPr>
          <w:rFonts w:hint="eastAsia" w:ascii="仿宋_GB2312" w:hAnsi="仿宋_GB2312" w:eastAsia="仿宋_GB2312" w:cs="仿宋_GB2312"/>
          <w:sz w:val="32"/>
          <w:szCs w:val="32"/>
        </w:rPr>
        <w:t>全市共有房地产开发企业48家，2019年新增3家，新开工楼盘16个，新开工面积91万m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，完成房地产开发投资27亿元，同比增长14%。完成房地产税收3.5亿元。商品房销售面积47.9万m</w:t>
      </w:r>
      <w:r>
        <w:rPr>
          <w:rFonts w:hint="eastAsia" w:ascii="仿宋_GB2312" w:hAnsi="仿宋_GB2312" w:eastAsia="仿宋_GB2312" w:cs="仿宋_GB2312"/>
          <w:sz w:val="32"/>
          <w:szCs w:val="32"/>
          <w:vertAlign w:val="superscript"/>
        </w:rPr>
        <w:t>2</w:t>
      </w:r>
      <w:r>
        <w:rPr>
          <w:rFonts w:hint="eastAsia" w:ascii="仿宋_GB2312" w:hAnsi="仿宋_GB2312" w:eastAsia="仿宋_GB2312" w:cs="仿宋_GB2312"/>
          <w:sz w:val="32"/>
          <w:szCs w:val="32"/>
        </w:rPr>
        <w:t>，总销售额26.3亿元。全年共核发商品房预售许可证30个，对57个楼盘、12亿资金实施商品房预售资金监管。高水平举办湘乡市第二届房博会，5天成交金额突破13亿，创历史新高，有效促进消费投资，提振市场信心。在朝晖同志、肖军同志的带领下，相关股室加班加点，高强度工作，付出了辛勤劳动，使本次房博会得到了市委政府的高度肯定。</w:t>
      </w:r>
      <w:r>
        <w:rPr>
          <w:rFonts w:hint="eastAsia" w:ascii="仿宋_GB2312" w:hAnsi="仿宋_GB2312" w:eastAsia="仿宋_GB2312" w:cs="仿宋_GB2312"/>
          <w:b/>
          <w:bCs/>
          <w:sz w:val="32"/>
          <w:szCs w:val="32"/>
        </w:rPr>
        <w:t>工程品质大幅提升。</w:t>
      </w:r>
      <w:r>
        <w:rPr>
          <w:rFonts w:hint="eastAsia" w:ascii="仿宋_GB2312" w:hAnsi="仿宋_GB2312" w:eastAsia="仿宋_GB2312" w:cs="仿宋_GB2312"/>
          <w:sz w:val="32"/>
          <w:szCs w:val="32"/>
        </w:rPr>
        <w:t>弘扬工匠精神，全年成功获评省建设工程芙蓉奖1项，省优质工程4项，湘莲奖4项，湘潭市优质工程12项。承办湖南技能大赛·住建行业职业（镶贴工）技能大赛湘潭地区选拔赛，并为获胜选手提供技术指导，最终在省厅决赛中获得团体二等奖的优异成绩。</w:t>
      </w:r>
      <w:r>
        <w:rPr>
          <w:rFonts w:hint="eastAsia" w:ascii="仿宋_GB2312" w:hAnsi="仿宋_GB2312" w:eastAsia="仿宋_GB2312" w:cs="仿宋_GB2312"/>
          <w:b/>
          <w:bCs/>
          <w:sz w:val="32"/>
          <w:szCs w:val="32"/>
        </w:rPr>
        <w:t>科技创新稳步推进。</w:t>
      </w:r>
      <w:r>
        <w:rPr>
          <w:rFonts w:hint="eastAsia" w:ascii="仿宋_GB2312" w:hAnsi="仿宋_GB2312" w:eastAsia="仿宋_GB2312" w:cs="仿宋_GB2312"/>
          <w:sz w:val="32"/>
          <w:szCs w:val="32"/>
        </w:rPr>
        <w:t>大力推进爬架、铝模施工工艺，建筑品质得到进步提升。</w:t>
      </w:r>
      <w:r>
        <w:rPr>
          <w:rFonts w:hint="eastAsia" w:ascii="仿宋_GB2312" w:hAnsi="仿宋_GB2312" w:eastAsia="仿宋_GB2312" w:cs="仿宋_GB2312"/>
          <w:color w:val="000000"/>
          <w:sz w:val="32"/>
          <w:szCs w:val="32"/>
        </w:rPr>
        <w:t>全年生产墙材2.75亿标块，散装水泥254万吨，推进城市规划区建设工程项目禁止现场搅拌砂浆工作。</w:t>
      </w:r>
      <w:r>
        <w:rPr>
          <w:rFonts w:hint="eastAsia" w:ascii="仿宋_GB2312" w:hAnsi="仿宋_GB2312" w:eastAsia="仿宋_GB2312" w:cs="仿宋_GB2312"/>
          <w:sz w:val="32"/>
          <w:szCs w:val="32"/>
        </w:rPr>
        <w:t>加强绿色建筑与建筑节能监管，2019年我市绿色建筑项目5个，20个项目通过施工图节能审查及报建，24个竣工项目节能保温施工建筑面积35.5万㎡。</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2.城乡建设持续协调发展。</w:t>
      </w:r>
      <w:r>
        <w:rPr>
          <w:rFonts w:hint="eastAsia" w:ascii="仿宋_GB2312" w:hAnsi="仿宋_GB2312" w:eastAsia="仿宋_GB2312" w:cs="仿宋_GB2312"/>
          <w:sz w:val="32"/>
          <w:szCs w:val="32"/>
        </w:rPr>
        <w:t>新型城镇化步伐加快。圆满完成新型城镇化年度评估，获评2018年度省试点二类单位，获得220万元试点奖补资金。精心铺排“双修双改”项目，16个城市双修项目完成投资6.8亿元，27个农村双改项目完成投资4.7亿元，获湘潭市2019年度农村双改工作一等奖。欧家港河道清淤治理、东山渠黑臭水体治理取得明显成效，完成梅桥、龙洞两处乡镇黑臭水体整治。东山湖综合治理工程总投资7.5亿元，争取农发行融资4.5亿元，洙津水厂水源地保护受到省媒肯定。城市地下管线综合信息管理平台建成运行，城市地下管线普查项目获2019年度湖南省地理信息产业优秀应用工程金奖、测绘地理信息优秀工程奖二等奖。完成东郊、毛田、泉塘污水处理厂建设。稳步推进水府水乡特色小镇、古龙湖特色小镇建设。35个垃圾治理提升村全面完成，33处非正规垃圾点全部销号，14个乡镇垃圾中转站投入运营。全年共向上争资1.5亿元。城市污水处理率达96.2%。新型城镇化水平达47.2%，年均增长4%。</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3.住房保障取得显著成效。</w:t>
      </w:r>
      <w:r>
        <w:rPr>
          <w:rFonts w:hint="eastAsia" w:ascii="仿宋_GB2312" w:hAnsi="仿宋_GB2312" w:eastAsia="仿宋_GB2312" w:cs="仿宋_GB2312"/>
          <w:sz w:val="32"/>
          <w:szCs w:val="32"/>
        </w:rPr>
        <w:t>秉承“住有所居、居有所安”的初心使命，坚持以办好民生实事为重要抓手，为困难群众筑“幸福巢”，为万千家庭圆“安居梦”。全面完成1258户“四类”重点对象危房改造工作任务，拨付资金5087.92万元，顺利通过省检，在青松同志的带领下，城建村镇股的同志冲锋在前、任劳任怨，全局上下戮力同心、积极配合，真正诠释了“没有等来的辉煌，只有拼来的精彩”。德泽二期项目稳步推进。完成五矿红星片区棚户区改造安置552户，柏求同志坚持深入征拆一线，调配人员积极配合维护现场秩序，实现腾地加速度。完成直管公房大小维修280次。实施惜池路教工宿舍、环卫处宿舍、造纸厂宿舍等扩改翻822户，尤其是在湘碱社区因地制宜增设厕所72户，受到省委“不忘初心、牢记使命”主题教育指导组高度肯定，昆办居民多次送来锦旗表示感谢，说明我们真正将实事办好、好事办实了。</w:t>
      </w:r>
    </w:p>
    <w:p>
      <w:pPr>
        <w:spacing w:line="60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sz w:val="32"/>
          <w:szCs w:val="32"/>
        </w:rPr>
        <w:t>4.行业管理更加规范有序。质安监管全面加强。</w:t>
      </w:r>
      <w:r>
        <w:rPr>
          <w:rFonts w:hint="eastAsia" w:ascii="仿宋_GB2312" w:hAnsi="仿宋_GB2312" w:eastAsia="仿宋_GB2312" w:cs="仿宋_GB2312"/>
          <w:sz w:val="32"/>
          <w:szCs w:val="32"/>
        </w:rPr>
        <w:t>秉持安全发展理念，坚持严管重罚、铁腕治违，扎实开展建设领域“打非治违”“强执法防事故”等专项治理，坚持局领导带队检查安全生产制度，深入贯彻落实工程质量治理提升三年行动，严格扬尘治理，</w:t>
      </w:r>
      <w:r>
        <w:rPr>
          <w:rFonts w:hint="eastAsia" w:ascii="仿宋_GB2312" w:hAnsi="仿宋_GB2312" w:eastAsia="仿宋_GB2312" w:cs="仿宋_GB2312"/>
          <w:color w:val="000000"/>
          <w:kern w:val="0"/>
          <w:sz w:val="32"/>
          <w:szCs w:val="32"/>
        </w:rPr>
        <w:t>建筑工地全面落实“八个100%”要求。</w:t>
      </w:r>
      <w:r>
        <w:rPr>
          <w:rFonts w:hint="eastAsia" w:ascii="仿宋_GB2312" w:hAnsi="仿宋_GB2312" w:eastAsia="仿宋_GB2312" w:cs="仿宋_GB2312"/>
          <w:color w:val="000000"/>
          <w:sz w:val="32"/>
          <w:szCs w:val="32"/>
        </w:rPr>
        <w:t>全年完成招标项目31个，中标造价11亿元。</w:t>
      </w:r>
      <w:r>
        <w:rPr>
          <w:rFonts w:hint="eastAsia" w:ascii="仿宋_GB2312" w:hAnsi="仿宋_GB2312" w:eastAsia="仿宋_GB2312" w:cs="仿宋_GB2312"/>
          <w:sz w:val="32"/>
          <w:szCs w:val="32"/>
        </w:rPr>
        <w:t>全年受监工程45个、面积165万㎡；竣工验收项目29个、面积45万㎡；备案项目42个、面积88万㎡。质安监站下工地监督检查1320次，发现并处理一般问题355次。</w:t>
      </w:r>
      <w:r>
        <w:rPr>
          <w:rFonts w:hint="eastAsia" w:ascii="仿宋_GB2312" w:hAnsi="仿宋_GB2312" w:eastAsia="仿宋_GB2312" w:cs="仿宋_GB2312"/>
          <w:color w:val="000000"/>
          <w:kern w:val="0"/>
          <w:sz w:val="32"/>
          <w:szCs w:val="32"/>
        </w:rPr>
        <w:t>受监工地连续66个月零死亡，</w:t>
      </w:r>
      <w:r>
        <w:rPr>
          <w:rFonts w:hint="eastAsia" w:ascii="仿宋_GB2312" w:hAnsi="仿宋_GB2312" w:eastAsia="仿宋_GB2312" w:cs="仿宋_GB2312"/>
          <w:sz w:val="32"/>
          <w:szCs w:val="32"/>
        </w:rPr>
        <w:t>全市建筑业安全形势保持平稳可控。质安监站获评湘潭地区唯一一个省级建设工程质量安全文明监督机构，喻文峰同志、刘军同志分获省文明管理工作者、文明监督工作者。</w:t>
      </w:r>
      <w:r>
        <w:rPr>
          <w:rFonts w:hint="eastAsia" w:ascii="仿宋_GB2312" w:hAnsi="仿宋_GB2312" w:eastAsia="仿宋_GB2312" w:cs="仿宋_GB2312"/>
          <w:color w:val="000000"/>
          <w:kern w:val="0"/>
          <w:sz w:val="32"/>
          <w:szCs w:val="32"/>
        </w:rPr>
        <w:t>在全省“守护一湖四水、建设生态强省”建设工程质量、安全监督技能竞赛中，质安监站选手刘军同志、李锦灿同志代表湘潭站参赛，取得安全监督团体二等奖、质量监督团体三等奖佳绩。全年</w:t>
      </w:r>
      <w:r>
        <w:rPr>
          <w:rFonts w:hint="eastAsia" w:ascii="仿宋_GB2312" w:hAnsi="仿宋_GB2312" w:eastAsia="仿宋_GB2312" w:cs="仿宋_GB2312"/>
          <w:sz w:val="32"/>
          <w:szCs w:val="32"/>
        </w:rPr>
        <w:t>培训“农村工匠”552名。</w:t>
      </w:r>
      <w:r>
        <w:rPr>
          <w:rFonts w:hint="eastAsia" w:ascii="仿宋_GB2312" w:hAnsi="仿宋_GB2312" w:eastAsia="仿宋_GB2312" w:cs="仿宋_GB2312"/>
          <w:color w:val="000000"/>
          <w:kern w:val="0"/>
          <w:sz w:val="32"/>
          <w:szCs w:val="32"/>
        </w:rPr>
        <w:t>尤为突出的是今年我们为了严格落实农民工工资支付管理，对预售监管资金、项目资金本、农民工工资保障金、劳保基金、政府投资的财政性项目工程款支付实施联动管理，取得了较好效果。</w:t>
      </w:r>
      <w:r>
        <w:rPr>
          <w:rFonts w:hint="eastAsia" w:ascii="仿宋_GB2312" w:hAnsi="仿宋_GB2312" w:eastAsia="仿宋_GB2312" w:cs="仿宋_GB2312"/>
          <w:sz w:val="32"/>
          <w:szCs w:val="32"/>
        </w:rPr>
        <w:t>全市共有65家企业设立农民工工资支付专用账户，共调处农民工工资拖欠投诉事件10起，涉及金额660余万元。稳妥处置福盈庭、云翠楼等历史遗留问题，尚品国际、缇香尊邸等项目拖欠农民工工资问题。</w:t>
      </w:r>
      <w:r>
        <w:rPr>
          <w:rFonts w:hint="eastAsia" w:ascii="仿宋_GB2312" w:hAnsi="仿宋_GB2312" w:eastAsia="仿宋_GB2312" w:cs="仿宋_GB2312"/>
          <w:b/>
          <w:bCs/>
          <w:sz w:val="32"/>
          <w:szCs w:val="32"/>
        </w:rPr>
        <w:t>严格执法“零容忍”。</w:t>
      </w:r>
      <w:r>
        <w:rPr>
          <w:rFonts w:hint="eastAsia" w:ascii="仿宋_GB2312" w:hAnsi="仿宋_GB2312" w:eastAsia="仿宋_GB2312" w:cs="仿宋_GB2312"/>
          <w:color w:val="000000"/>
          <w:kern w:val="0"/>
          <w:sz w:val="32"/>
          <w:szCs w:val="32"/>
        </w:rPr>
        <w:t>对全市在建违法项目相关责任单位和责任人约谈16次，共计发出整改通知84份，停工通知59份，执法建议书11份，记不良行为黑名单2人，立案查处17起，罚没款金额约30万元，有效维护了建筑市场秩序。</w:t>
      </w:r>
      <w:r>
        <w:rPr>
          <w:rFonts w:hint="eastAsia" w:ascii="仿宋_GB2312" w:hAnsi="仿宋_GB2312" w:eastAsia="仿宋_GB2312" w:cs="仿宋_GB2312"/>
          <w:b/>
          <w:bCs/>
          <w:sz w:val="32"/>
          <w:szCs w:val="32"/>
        </w:rPr>
        <w:t>住宅小区管理纵深推进。</w:t>
      </w:r>
      <w:r>
        <w:rPr>
          <w:rFonts w:hint="eastAsia" w:ascii="仿宋_GB2312" w:hAnsi="仿宋_GB2312" w:eastAsia="仿宋_GB2312" w:cs="仿宋_GB2312"/>
          <w:sz w:val="32"/>
          <w:szCs w:val="32"/>
        </w:rPr>
        <w:t>不断规范物业服务企业行为，组织物业小区开展消防安全检查及宣传工作，联合市人大、政协、纪监委、街道等部门开展争先创优评比活动，评选出3家优秀物业服务企业和12个示范业主委员会。物业股的同志克服人员不足的情况，积极调处物业矛盾纠纷120余起，维护了小区稳定。</w:t>
      </w:r>
      <w:r>
        <w:rPr>
          <w:rFonts w:hint="eastAsia" w:ascii="仿宋_GB2312" w:hAnsi="仿宋_GB2312" w:eastAsia="仿宋_GB2312" w:cs="仿宋_GB2312"/>
          <w:color w:val="000000"/>
          <w:kern w:val="0"/>
          <w:sz w:val="32"/>
          <w:szCs w:val="32"/>
        </w:rPr>
        <w:t>全年共归集物业专项维修资金6000余万元，完成项目维修217处，拨付工程款470万元。开展白蚁预防施工11综、灭治施工41综，得到了良好的社会反响。</w:t>
      </w:r>
      <w:r>
        <w:rPr>
          <w:rFonts w:hint="eastAsia" w:ascii="仿宋_GB2312" w:hAnsi="仿宋_GB2312" w:eastAsia="仿宋_GB2312" w:cs="仿宋_GB2312"/>
          <w:b/>
          <w:bCs/>
          <w:color w:val="000000"/>
          <w:sz w:val="32"/>
          <w:szCs w:val="32"/>
        </w:rPr>
        <w:t>行政审批服务进一步优化。</w:t>
      </w:r>
      <w:r>
        <w:rPr>
          <w:rFonts w:hint="eastAsia" w:ascii="仿宋_GB2312" w:hAnsi="仿宋_GB2312" w:eastAsia="仿宋_GB2312" w:cs="仿宋_GB2312"/>
          <w:sz w:val="32"/>
          <w:szCs w:val="32"/>
        </w:rPr>
        <w:t>实现“马上就办，最多跑一次”，37项行政许可、审批、服务事项一站办理，稳步推进工程建设项目审批改革，实现工程建设项目“120/100/70/60”的改革总目标，全年办理审批服务事项8000余件。积极推进建筑房地产领域扫黑除恶专项斗争，实现行业治理大联动，将扫黑除恶融入标前警示、建前承诺、事中监察、竣工回头看等关键环节，营商环境进</w:t>
      </w:r>
      <w:r>
        <w:rPr>
          <w:rFonts w:hint="eastAsia" w:ascii="仿宋_GB2312" w:hAnsi="仿宋_GB2312" w:eastAsia="仿宋_GB2312" w:cs="仿宋_GB2312"/>
          <w:color w:val="000000"/>
          <w:sz w:val="32"/>
          <w:szCs w:val="32"/>
        </w:rPr>
        <w:t>一步优化，市扫黑办准备将此列为典型经验。设计院业务收入336万元，完成国防训练基地、融媒体中心等设计项目169处，为我市重点工程项目建设提供有力保障。</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rPr>
        <w:t>5.人防事业积极稳步推进。</w:t>
      </w:r>
      <w:r>
        <w:rPr>
          <w:rFonts w:hint="eastAsia" w:ascii="仿宋_GB2312" w:hAnsi="仿宋_GB2312" w:eastAsia="仿宋_GB2312" w:cs="仿宋_GB2312"/>
          <w:sz w:val="32"/>
          <w:szCs w:val="32"/>
        </w:rPr>
        <w:t>加强人防工程安全维护管理，对所有人防结建工程、三大厂矿人防工事、早期人防工程及人防通信警报器进行全方位、拉网式安全隐患排查。不断提高人防通讯指挥能力，对全市人防警报设备进行全面升级，试鸣警报覆盖率保持100%。强化人防实战演练，特别是参与湘潭市“准军事化”训练周活动，在人防机动指挥通信系统跨区演练中对人防机动指挥通信系统进行了大拉练，提升了整体素质。人防宣传教育不断创新，利用应急宣传日、防空警报试鸣日等重要时间节点广泛普及人防知识，确保城区中小学人防教育开课率达100%，组织市委党校青干班实地开展人防教育。不断加强人防行政审批和易地建设费的收缴。</w:t>
      </w:r>
    </w:p>
    <w:p>
      <w:pPr>
        <w:spacing w:line="600" w:lineRule="exact"/>
        <w:ind w:firstLine="640" w:firstLineChars="200"/>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b/>
          <w:bCs/>
          <w:color w:val="000000"/>
          <w:kern w:val="0"/>
          <w:sz w:val="32"/>
          <w:szCs w:val="32"/>
        </w:rPr>
        <w:t>6.思想作风得到更好锤炼。</w:t>
      </w:r>
      <w:r>
        <w:rPr>
          <w:rFonts w:hint="eastAsia" w:ascii="仿宋_GB2312" w:hAnsi="仿宋_GB2312" w:eastAsia="仿宋_GB2312" w:cs="仿宋_GB2312"/>
          <w:sz w:val="32"/>
          <w:szCs w:val="32"/>
          <w:shd w:val="clear" w:color="auto" w:fill="FFFFFF"/>
        </w:rPr>
        <w:t>坚持把党的政治建设摆在首位，严格遵守党的政治纪律和政治规矩，全系统各级党组织创造力、凝聚力、战斗力不断提升。强化思想理论武装，以“不忘初心、牢记使命”主题教育为抓手，积极开展中心组学习、专题研讨、调查研究等，聚焦问题查摆与整改落实，严格落实书记交办函，解决群众反映的突出问题。全面落实意识形态工作责任制，强化信息宣传和舆论管控，及时回应群众关切，弘扬主旋律，传播正能量。严格正风肃纪，切实落实主体责任，持续推进以案促改，出台严明工作纪律等一系列制度规定。</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四、存在的主要问题</w:t>
      </w:r>
    </w:p>
    <w:p>
      <w:pPr>
        <w:spacing w:line="600" w:lineRule="exact"/>
        <w:ind w:firstLine="656"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pacing w:val="4"/>
          <w:sz w:val="32"/>
          <w:szCs w:val="32"/>
        </w:rPr>
        <w:t>（一）非税收入逐年减少。</w:t>
      </w:r>
      <w:r>
        <w:rPr>
          <w:rFonts w:hint="eastAsia" w:ascii="仿宋_GB2312" w:hAnsi="仿宋_GB2312" w:eastAsia="仿宋_GB2312" w:cs="仿宋_GB2312"/>
          <w:sz w:val="32"/>
          <w:szCs w:val="32"/>
        </w:rPr>
        <w:t>一是</w:t>
      </w:r>
      <w:r>
        <w:rPr>
          <w:rFonts w:hint="eastAsia" w:ascii="仿宋_GB2312" w:hAnsi="仿宋_GB2312" w:eastAsia="仿宋_GB2312" w:cs="仿宋_GB2312"/>
          <w:spacing w:val="4"/>
          <w:sz w:val="32"/>
          <w:szCs w:val="32"/>
        </w:rPr>
        <w:t>按上级相关政策，从</w:t>
      </w:r>
      <w:r>
        <w:rPr>
          <w:rFonts w:hint="eastAsia" w:ascii="仿宋_GB2312" w:hAnsi="仿宋_GB2312" w:eastAsia="仿宋_GB2312" w:cs="仿宋_GB2312"/>
          <w:sz w:val="32"/>
          <w:szCs w:val="32"/>
        </w:rPr>
        <w:t xml:space="preserve"> 2017年7月1日起，我局已取消所有行政事业服务性收费项目，目前非税收入只有门面房租及少量罚没收入。二是财政部门预算不增反降，各项开支已压缩至最低，收支缺口仍很大。</w:t>
      </w:r>
    </w:p>
    <w:p>
      <w:pPr>
        <w:spacing w:line="600" w:lineRule="exact"/>
        <w:ind w:firstLine="656"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（二）部门预算年初考虑欠缺全面性，致使年中增加预算。</w:t>
      </w:r>
      <w:r>
        <w:rPr>
          <w:rFonts w:hint="eastAsia" w:ascii="仿宋_GB2312" w:hAnsi="仿宋_GB2312" w:eastAsia="仿宋_GB2312" w:cs="仿宋_GB2312"/>
          <w:spacing w:val="4"/>
          <w:sz w:val="32"/>
          <w:szCs w:val="32"/>
        </w:rPr>
        <w:t>目前，经济攀升，物价上涨，但每年公用经费支出预算一直未增加，财政预算年度安排机关公用经费标准为7200元/人，另工资福利支出及社会保障缴费增加造成人员经费上涨，而财政年初部门预算安排时考虑相关费用较少，而实际支出增加，故支出缺口增大。同时，中心工作并未在年初时一并考虑，故年中收支预算增加。</w:t>
      </w:r>
    </w:p>
    <w:p>
      <w:pPr>
        <w:spacing w:line="600" w:lineRule="exact"/>
        <w:ind w:firstLine="656"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（三）财政拨款不能及时到位，造成年终账面结余资金虚高。</w:t>
      </w:r>
      <w:r>
        <w:rPr>
          <w:rFonts w:hint="eastAsia" w:ascii="仿宋_GB2312" w:hAnsi="仿宋_GB2312" w:eastAsia="仿宋_GB2312" w:cs="仿宋_GB2312"/>
          <w:spacing w:val="4"/>
          <w:sz w:val="32"/>
          <w:szCs w:val="32"/>
        </w:rPr>
        <w:t>因政府财力紧张，拨款不能及时到位，单位各项资金不能及时支付，到年底时结存指标较多，但实际却应付未付，造成结余数与实际数相差较大。</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五、改进措施和有关建议</w:t>
      </w:r>
    </w:p>
    <w:p>
      <w:pPr>
        <w:snapToGrid w:val="0"/>
        <w:spacing w:line="600" w:lineRule="exact"/>
        <w:ind w:firstLine="656"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（一）进一步完善相关制度，加强预算管理的前瞻性。</w:t>
      </w:r>
      <w:r>
        <w:rPr>
          <w:rFonts w:hint="eastAsia" w:ascii="仿宋_GB2312" w:hAnsi="仿宋_GB2312" w:eastAsia="仿宋_GB2312" w:cs="仿宋_GB2312"/>
          <w:spacing w:val="4"/>
          <w:sz w:val="32"/>
          <w:szCs w:val="32"/>
        </w:rPr>
        <w:t>在操作细节上进一步完善预决算管理制度，同时尽量在预算前进行全面了解，作长远考虑，减少事后完善。</w:t>
      </w:r>
    </w:p>
    <w:p>
      <w:pPr>
        <w:snapToGrid w:val="0"/>
        <w:spacing w:line="600" w:lineRule="exact"/>
        <w:ind w:firstLine="656" w:firstLineChars="200"/>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（二）公用经费预算标准有待适当提高。</w:t>
      </w:r>
      <w:r>
        <w:rPr>
          <w:rFonts w:hint="eastAsia" w:ascii="仿宋_GB2312" w:hAnsi="仿宋_GB2312" w:eastAsia="仿宋_GB2312" w:cs="仿宋_GB2312"/>
          <w:spacing w:val="4"/>
          <w:sz w:val="32"/>
          <w:szCs w:val="32"/>
        </w:rPr>
        <w:t>我们在秉着厉行节约，实事求是的基础上进行各项开支，但实际办公、伙食费等及其他日常开支远大于财政预算标准，残疾人就业基金、精准扶贫、政务中心及信访窗口人员津贴等预算未安排，故资金缺口大，建议增加公用经费预算标准。</w:t>
      </w:r>
    </w:p>
    <w:p>
      <w:pPr>
        <w:spacing w:line="600" w:lineRule="exact"/>
        <w:ind w:firstLine="656" w:firstLineChars="200"/>
        <w:rPr>
          <w:rFonts w:hint="eastAsia" w:ascii="仿宋_GB2312" w:hAnsi="仿宋_GB2312" w:eastAsia="仿宋_GB2312" w:cs="仿宋_GB2312"/>
          <w:b/>
          <w:bCs/>
          <w:spacing w:val="4"/>
          <w:sz w:val="32"/>
          <w:szCs w:val="32"/>
        </w:rPr>
      </w:pPr>
      <w:r>
        <w:rPr>
          <w:rFonts w:hint="eastAsia" w:ascii="仿宋_GB2312" w:hAnsi="仿宋_GB2312" w:eastAsia="仿宋_GB2312" w:cs="仿宋_GB2312"/>
          <w:b/>
          <w:bCs/>
          <w:spacing w:val="4"/>
          <w:sz w:val="32"/>
          <w:szCs w:val="32"/>
        </w:rPr>
        <w:t>（三）财政拨款及时到位，为各项工作顺利开展奠定良好的基础。</w:t>
      </w:r>
    </w:p>
    <w:p>
      <w:pPr>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六、绩效目标自评结论及报告附表</w:t>
      </w:r>
    </w:p>
    <w:p>
      <w:pPr>
        <w:ind w:firstLine="640" w:firstLineChars="200"/>
        <w:rPr>
          <w:rFonts w:hint="default"/>
          <w:lang w:val="en-US" w:eastAsia="zh-CN"/>
        </w:rPr>
      </w:pPr>
      <w:r>
        <w:rPr>
          <w:rFonts w:hint="eastAsia" w:ascii="仿宋_GB2312" w:hAnsi="仿宋_GB2312" w:eastAsia="仿宋_GB2312" w:cs="仿宋_GB2312"/>
          <w:sz w:val="32"/>
          <w:szCs w:val="32"/>
        </w:rPr>
        <w:t>2019年住建局的各项工作按期优质完成，取得了较好的经济及社会效益，各界反响良好，对湘乡经济社会发展作出了较大贡献。各项年初绩效目标全部实现，其中绝大部份指标超额完成，自评计分99分，评定等级为优秀。</w:t>
      </w:r>
    </w:p>
    <w:p>
      <w:pPr>
        <w:widowControl/>
        <w:jc w:val="right"/>
        <w:rPr>
          <w:rFonts w:hint="eastAsia" w:ascii="仿宋" w:hAnsi="仿宋" w:eastAsia="仿宋" w:cs="仿宋"/>
          <w:color w:val="000000"/>
          <w:kern w:val="0"/>
          <w:sz w:val="32"/>
          <w:szCs w:val="32"/>
          <w:lang w:eastAsia="zh-CN"/>
        </w:rPr>
      </w:pPr>
    </w:p>
    <w:p>
      <w:pPr>
        <w:widowControl/>
        <w:jc w:val="right"/>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lang w:eastAsia="zh-CN"/>
        </w:rPr>
        <w:t>湘乡市住房和城乡建设局</w:t>
      </w:r>
    </w:p>
    <w:p>
      <w:pPr>
        <w:widowControl/>
        <w:jc w:val="center"/>
        <w:rPr>
          <w:rFonts w:cs="黑体" w:asciiTheme="minorEastAsia" w:hAnsiTheme="minorEastAsia"/>
          <w:color w:val="000000"/>
          <w:kern w:val="0"/>
          <w:sz w:val="32"/>
          <w:szCs w:val="32"/>
        </w:rPr>
      </w:pPr>
      <w:r>
        <w:rPr>
          <w:rFonts w:hint="eastAsia" w:ascii="仿宋" w:hAnsi="仿宋" w:eastAsia="仿宋" w:cs="仿宋"/>
          <w:color w:val="000000"/>
          <w:kern w:val="0"/>
          <w:sz w:val="32"/>
          <w:szCs w:val="32"/>
          <w:lang w:val="en-US" w:eastAsia="zh-CN"/>
        </w:rPr>
        <w:t xml:space="preserve">                               2020年10月5日</w:t>
      </w: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5ABBFF"/>
    <w:multiLevelType w:val="singleLevel"/>
    <w:tmpl w:val="E15ABBFF"/>
    <w:lvl w:ilvl="0" w:tentative="0">
      <w:start w:val="1"/>
      <w:numFmt w:val="chineseCounting"/>
      <w:suff w:val="space"/>
      <w:lvlText w:val="第%1部分"/>
      <w:lvlJc w:val="left"/>
      <w:rPr>
        <w:rFonts w:hint="eastAsia"/>
      </w:rPr>
    </w:lvl>
  </w:abstractNum>
  <w:abstractNum w:abstractNumId="1">
    <w:nsid w:val="0A8573DD"/>
    <w:multiLevelType w:val="singleLevel"/>
    <w:tmpl w:val="0A8573DD"/>
    <w:lvl w:ilvl="0" w:tentative="0">
      <w:start w:val="2"/>
      <w:numFmt w:val="chineseCounting"/>
      <w:suff w:val="nothing"/>
      <w:lvlText w:val="%1、"/>
      <w:lvlJc w:val="left"/>
      <w:rPr>
        <w:rFonts w:hint="eastAsia"/>
      </w:rPr>
    </w:lvl>
  </w:abstractNum>
  <w:abstractNum w:abstractNumId="2">
    <w:nsid w:val="33555EA1"/>
    <w:multiLevelType w:val="singleLevel"/>
    <w:tmpl w:val="33555EA1"/>
    <w:lvl w:ilvl="0" w:tentative="0">
      <w:start w:val="3"/>
      <w:numFmt w:val="chineseCounting"/>
      <w:suff w:val="space"/>
      <w:lvlText w:val="第%1部分"/>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658A3"/>
    <w:rsid w:val="00074155"/>
    <w:rsid w:val="000A3F69"/>
    <w:rsid w:val="00152C6D"/>
    <w:rsid w:val="00162D39"/>
    <w:rsid w:val="001A67DB"/>
    <w:rsid w:val="001D51E5"/>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20FF1"/>
    <w:rsid w:val="00812ED5"/>
    <w:rsid w:val="008277D9"/>
    <w:rsid w:val="008A3E8D"/>
    <w:rsid w:val="009237C4"/>
    <w:rsid w:val="00950252"/>
    <w:rsid w:val="00967F5D"/>
    <w:rsid w:val="009A0F95"/>
    <w:rsid w:val="009B3ADF"/>
    <w:rsid w:val="009C3B52"/>
    <w:rsid w:val="00A42218"/>
    <w:rsid w:val="00A70249"/>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05F65EAF"/>
    <w:rsid w:val="17D20F5A"/>
    <w:rsid w:val="368071D3"/>
    <w:rsid w:val="38E81DB1"/>
    <w:rsid w:val="48542361"/>
    <w:rsid w:val="52A55BE9"/>
    <w:rsid w:val="55A14C5A"/>
    <w:rsid w:val="60F778C1"/>
    <w:rsid w:val="616D6FD6"/>
    <w:rsid w:val="62B46579"/>
    <w:rsid w:val="6D0A2924"/>
    <w:rsid w:val="78782910"/>
    <w:rsid w:val="79BA0D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index 8"/>
    <w:basedOn w:val="1"/>
    <w:next w:val="1"/>
    <w:qFormat/>
    <w:uiPriority w:val="99"/>
    <w:pPr>
      <w:ind w:left="2940"/>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CA967F-99A7-44AE-8CB3-A0222E97AF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1258</Words>
  <Characters>7176</Characters>
  <Lines>59</Lines>
  <Paragraphs>16</Paragraphs>
  <TotalTime>11</TotalTime>
  <ScaleCrop>false</ScaleCrop>
  <LinksUpToDate>false</LinksUpToDate>
  <CharactersWithSpaces>8418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ZiZi</cp:lastModifiedBy>
  <cp:lastPrinted>2020-10-10T00:44:00Z</cp:lastPrinted>
  <dcterms:modified xsi:type="dcterms:W3CDTF">2021-07-02T10:16:13Z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C6A670D7CBF64B099F2E24E828224DD6</vt:lpwstr>
  </property>
</Properties>
</file>