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color w:val="auto"/>
          <w:sz w:val="56"/>
          <w:szCs w:val="56"/>
        </w:rPr>
      </w:pPr>
      <w:bookmarkStart w:id="2" w:name="_GoBack"/>
      <w:bookmarkEnd w:id="2"/>
    </w:p>
    <w:p>
      <w:pPr>
        <w:pStyle w:val="9"/>
        <w:jc w:val="center"/>
        <w:rPr>
          <w:color w:val="auto"/>
          <w:sz w:val="56"/>
          <w:szCs w:val="56"/>
        </w:rPr>
      </w:pPr>
    </w:p>
    <w:p>
      <w:pPr>
        <w:pStyle w:val="9"/>
        <w:jc w:val="center"/>
        <w:rPr>
          <w:color w:val="auto"/>
          <w:sz w:val="84"/>
          <w:szCs w:val="84"/>
        </w:rPr>
      </w:pPr>
    </w:p>
    <w:p>
      <w:pPr>
        <w:pStyle w:val="9"/>
        <w:jc w:val="center"/>
        <w:rPr>
          <w:color w:val="auto"/>
          <w:sz w:val="84"/>
          <w:szCs w:val="84"/>
        </w:rPr>
      </w:pPr>
    </w:p>
    <w:p>
      <w:pPr>
        <w:pStyle w:val="9"/>
        <w:jc w:val="center"/>
        <w:rPr>
          <w:color w:val="auto"/>
          <w:sz w:val="84"/>
          <w:szCs w:val="84"/>
        </w:rPr>
      </w:pPr>
      <w:r>
        <w:rPr>
          <w:rFonts w:hint="eastAsia"/>
          <w:color w:val="auto"/>
          <w:sz w:val="84"/>
          <w:szCs w:val="84"/>
        </w:rPr>
        <w:t>2019年度</w:t>
      </w:r>
    </w:p>
    <w:p>
      <w:pPr>
        <w:pStyle w:val="9"/>
        <w:jc w:val="center"/>
        <w:rPr>
          <w:color w:val="auto"/>
          <w:sz w:val="84"/>
          <w:szCs w:val="84"/>
        </w:rPr>
      </w:pPr>
      <w:r>
        <w:rPr>
          <w:rFonts w:hint="eastAsia"/>
          <w:color w:val="auto"/>
          <w:sz w:val="84"/>
          <w:szCs w:val="84"/>
          <w:lang w:eastAsia="zh-CN"/>
        </w:rPr>
        <w:t>湘乡市建设工程质量安全监督站</w:t>
      </w:r>
      <w:r>
        <w:rPr>
          <w:rFonts w:hint="eastAsia"/>
          <w:color w:val="auto"/>
          <w:sz w:val="84"/>
          <w:szCs w:val="84"/>
        </w:rPr>
        <w:t>单位部门决算</w:t>
      </w:r>
    </w:p>
    <w:p>
      <w:pPr>
        <w:pStyle w:val="9"/>
        <w:jc w:val="center"/>
        <w:rPr>
          <w:color w:val="auto"/>
          <w:sz w:val="56"/>
          <w:szCs w:val="56"/>
        </w:rPr>
      </w:pPr>
    </w:p>
    <w:p>
      <w:pPr>
        <w:pStyle w:val="9"/>
        <w:jc w:val="center"/>
        <w:rPr>
          <w:color w:val="auto"/>
          <w:sz w:val="56"/>
          <w:szCs w:val="56"/>
        </w:rPr>
      </w:pPr>
    </w:p>
    <w:p>
      <w:pPr>
        <w:pStyle w:val="9"/>
        <w:jc w:val="center"/>
        <w:rPr>
          <w:color w:val="auto"/>
          <w:sz w:val="56"/>
          <w:szCs w:val="56"/>
        </w:rPr>
      </w:pPr>
    </w:p>
    <w:p>
      <w:pPr>
        <w:pStyle w:val="9"/>
        <w:jc w:val="center"/>
        <w:rPr>
          <w:color w:val="auto"/>
          <w:sz w:val="56"/>
          <w:szCs w:val="56"/>
        </w:rPr>
      </w:pPr>
    </w:p>
    <w:p>
      <w:pPr>
        <w:pStyle w:val="9"/>
        <w:jc w:val="center"/>
        <w:rPr>
          <w:color w:val="auto"/>
          <w:sz w:val="56"/>
          <w:szCs w:val="56"/>
        </w:rPr>
      </w:pPr>
    </w:p>
    <w:p>
      <w:pPr>
        <w:rPr>
          <w:rFonts w:hint="eastAsia"/>
          <w:color w:val="auto"/>
          <w:sz w:val="56"/>
          <w:szCs w:val="56"/>
        </w:rPr>
      </w:pPr>
      <w:r>
        <w:rPr>
          <w:rFonts w:hint="eastAsia"/>
          <w:color w:val="auto"/>
          <w:sz w:val="56"/>
          <w:szCs w:val="56"/>
        </w:rPr>
        <w:br w:type="page"/>
      </w:r>
    </w:p>
    <w:p>
      <w:pPr>
        <w:pStyle w:val="9"/>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color w:val="auto"/>
          <w:sz w:val="56"/>
          <w:szCs w:val="56"/>
        </w:rPr>
      </w:pPr>
      <w:r>
        <w:rPr>
          <w:rFonts w:hint="eastAsia"/>
          <w:color w:val="auto"/>
          <w:sz w:val="56"/>
          <w:szCs w:val="56"/>
        </w:rPr>
        <w:t>目</w:t>
      </w:r>
      <w:r>
        <w:rPr>
          <w:rFonts w:hint="eastAsia"/>
          <w:color w:val="auto"/>
          <w:sz w:val="56"/>
          <w:szCs w:val="56"/>
          <w:lang w:val="en-US" w:eastAsia="zh-CN"/>
        </w:rPr>
        <w:t xml:space="preserve">  </w:t>
      </w:r>
      <w:r>
        <w:rPr>
          <w:rFonts w:hint="eastAsia"/>
          <w:color w:val="auto"/>
          <w:sz w:val="56"/>
          <w:szCs w:val="56"/>
        </w:rPr>
        <w:t>录</w:t>
      </w:r>
    </w:p>
    <w:p>
      <w:pPr>
        <w:pStyle w:val="9"/>
        <w:spacing w:line="520" w:lineRule="exact"/>
        <w:rPr>
          <w:rFonts w:ascii="仿宋_GB2312" w:hAnsi="仿宋_GB2312" w:cs="仿宋_GB2312"/>
          <w:b/>
          <w:color w:val="auto"/>
          <w:sz w:val="28"/>
          <w:szCs w:val="28"/>
        </w:rPr>
      </w:pPr>
      <w:r>
        <w:rPr>
          <w:rFonts w:hint="eastAsia"/>
          <w:b/>
          <w:color w:val="auto"/>
          <w:sz w:val="28"/>
          <w:szCs w:val="28"/>
        </w:rPr>
        <w:t>第一部分单位概况</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一、部门职责</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二、机构设置</w:t>
      </w:r>
    </w:p>
    <w:p>
      <w:pPr>
        <w:pStyle w:val="9"/>
        <w:spacing w:line="520" w:lineRule="exact"/>
        <w:rPr>
          <w:rFonts w:ascii="仿宋_GB2312" w:hAnsi="仿宋_GB2312" w:cs="仿宋_GB2312"/>
          <w:b/>
          <w:color w:val="auto"/>
          <w:sz w:val="28"/>
          <w:szCs w:val="28"/>
        </w:rPr>
      </w:pPr>
      <w:r>
        <w:rPr>
          <w:rFonts w:hint="eastAsia" w:hAnsi="仿宋_GB2312"/>
          <w:b/>
          <w:color w:val="auto"/>
          <w:sz w:val="28"/>
          <w:szCs w:val="28"/>
        </w:rPr>
        <w:t>第二部分</w:t>
      </w:r>
      <w:r>
        <w:rPr>
          <w:rFonts w:hAnsi="仿宋_GB2312"/>
          <w:b/>
          <w:color w:val="auto"/>
          <w:sz w:val="28"/>
          <w:szCs w:val="28"/>
        </w:rPr>
        <w:t>2019</w:t>
      </w:r>
      <w:r>
        <w:rPr>
          <w:rFonts w:hint="eastAsia" w:hAnsi="仿宋_GB2312"/>
          <w:b/>
          <w:color w:val="auto"/>
          <w:sz w:val="28"/>
          <w:szCs w:val="28"/>
        </w:rPr>
        <w:t>年度部门决算表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一、收入支出决算总表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二、收入决算表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三、支出决算表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四、财政拨款收入支出决算总表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五、一般公共预算财政拨款支出决算表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六、一般公共预算财政拨款基本支出决算表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七、一般公共预算财政拨款“三公”经费支出决算表</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八、政府性基金预算财政拨款收入支出决算表</w:t>
      </w:r>
    </w:p>
    <w:p>
      <w:pPr>
        <w:pStyle w:val="9"/>
        <w:spacing w:line="520" w:lineRule="exact"/>
        <w:rPr>
          <w:rFonts w:ascii="仿宋_GB2312" w:hAnsi="仿宋_GB2312" w:cs="仿宋_GB2312"/>
          <w:b/>
          <w:color w:val="auto"/>
          <w:sz w:val="28"/>
          <w:szCs w:val="28"/>
        </w:rPr>
      </w:pPr>
      <w:r>
        <w:rPr>
          <w:rFonts w:hint="eastAsia" w:hAnsi="仿宋_GB2312"/>
          <w:b/>
          <w:color w:val="auto"/>
          <w:sz w:val="28"/>
          <w:szCs w:val="28"/>
        </w:rPr>
        <w:t>第三部分</w:t>
      </w:r>
      <w:r>
        <w:rPr>
          <w:rFonts w:hAnsi="仿宋_GB2312"/>
          <w:b/>
          <w:color w:val="auto"/>
          <w:sz w:val="28"/>
          <w:szCs w:val="28"/>
        </w:rPr>
        <w:t>2019</w:t>
      </w:r>
      <w:r>
        <w:rPr>
          <w:rFonts w:hint="eastAsia" w:hAnsi="仿宋_GB2312"/>
          <w:b/>
          <w:color w:val="auto"/>
          <w:sz w:val="28"/>
          <w:szCs w:val="28"/>
        </w:rPr>
        <w:t>年度部门决算情况说明</w:t>
      </w:r>
    </w:p>
    <w:p>
      <w:pPr>
        <w:pStyle w:val="9"/>
        <w:spacing w:line="520" w:lineRule="exact"/>
        <w:ind w:firstLine="700" w:firstLineChars="250"/>
        <w:rPr>
          <w:rFonts w:cs="仿宋_GB2312" w:asciiTheme="minorEastAsia" w:hAnsiTheme="minorEastAsia" w:eastAsiaTheme="minorEastAsia"/>
          <w:color w:val="auto"/>
          <w:sz w:val="28"/>
          <w:szCs w:val="28"/>
        </w:rPr>
      </w:pPr>
      <w:r>
        <w:rPr>
          <w:rFonts w:cs="仿宋_GB2312" w:asciiTheme="minorEastAsia" w:hAnsiTheme="minorEastAsia" w:eastAsiaTheme="minorEastAsia"/>
          <w:color w:val="auto"/>
          <w:sz w:val="28"/>
          <w:szCs w:val="28"/>
        </w:rPr>
        <w:t>一、收入支出决算总体情况说明</w:t>
      </w:r>
    </w:p>
    <w:p>
      <w:pPr>
        <w:spacing w:line="520" w:lineRule="exact"/>
        <w:ind w:firstLine="700" w:firstLineChars="250"/>
        <w:jc w:val="left"/>
        <w:rPr>
          <w:rFonts w:ascii="仿宋_GB2312" w:hAnsi="仿宋_GB2312" w:cs="仿宋_GB2312"/>
          <w:color w:val="auto"/>
          <w:sz w:val="28"/>
          <w:szCs w:val="28"/>
        </w:rPr>
      </w:pPr>
      <w:r>
        <w:rPr>
          <w:rFonts w:ascii="仿宋_GB2312" w:hAnsi="仿宋_GB2312" w:cs="仿宋_GB2312"/>
          <w:color w:val="auto"/>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ascii="仿宋_GB2312" w:hAnsi="仿宋_GB2312" w:cs="仿宋_GB2312"/>
          <w:color w:val="auto"/>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hint="eastAsia" w:ascii="仿宋_GB2312" w:hAnsi="仿宋_GB2312" w:cs="仿宋_GB2312"/>
          <w:color w:val="auto"/>
          <w:kern w:val="0"/>
          <w:sz w:val="28"/>
          <w:szCs w:val="28"/>
        </w:rPr>
        <w:t>八</w:t>
      </w:r>
      <w:r>
        <w:rPr>
          <w:rFonts w:ascii="仿宋_GB2312" w:hAnsi="仿宋_GB2312" w:cs="仿宋_GB2312"/>
          <w:color w:val="auto"/>
          <w:kern w:val="0"/>
          <w:sz w:val="28"/>
          <w:szCs w:val="28"/>
        </w:rPr>
        <w:t>、</w:t>
      </w:r>
      <w:r>
        <w:rPr>
          <w:rFonts w:hint="eastAsia" w:ascii="仿宋_GB2312" w:hAnsi="仿宋_GB2312" w:cs="仿宋_GB2312"/>
          <w:color w:val="auto"/>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hint="eastAsia" w:ascii="仿宋_GB2312" w:hAnsi="仿宋_GB2312" w:cs="仿宋_GB2312"/>
          <w:color w:val="auto"/>
          <w:kern w:val="0"/>
          <w:sz w:val="28"/>
          <w:szCs w:val="28"/>
        </w:rPr>
        <w:t>九</w:t>
      </w:r>
      <w:r>
        <w:rPr>
          <w:rFonts w:ascii="仿宋_GB2312" w:hAnsi="仿宋_GB2312" w:cs="仿宋_GB2312"/>
          <w:color w:val="auto"/>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auto"/>
          <w:kern w:val="0"/>
          <w:sz w:val="28"/>
          <w:szCs w:val="28"/>
        </w:rPr>
      </w:pPr>
      <w:r>
        <w:rPr>
          <w:rFonts w:hint="eastAsia" w:ascii="仿宋_GB2312" w:hAnsi="仿宋_GB2312" w:cs="仿宋_GB2312"/>
          <w:color w:val="auto"/>
          <w:kern w:val="0"/>
          <w:sz w:val="28"/>
          <w:szCs w:val="28"/>
        </w:rPr>
        <w:t>十</w:t>
      </w:r>
      <w:r>
        <w:rPr>
          <w:rFonts w:ascii="仿宋_GB2312" w:hAnsi="仿宋_GB2312" w:cs="仿宋_GB2312"/>
          <w:color w:val="auto"/>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auto"/>
          <w:kern w:val="0"/>
          <w:sz w:val="28"/>
          <w:szCs w:val="28"/>
        </w:rPr>
      </w:pPr>
      <w:r>
        <w:rPr>
          <w:rFonts w:ascii="黑体" w:hAnsi="黑体" w:eastAsia="黑体" w:cs="黑体"/>
          <w:b/>
          <w:color w:val="auto"/>
          <w:kern w:val="0"/>
          <w:sz w:val="28"/>
          <w:szCs w:val="28"/>
        </w:rPr>
        <w:t>第四部分名词解释</w:t>
      </w:r>
    </w:p>
    <w:p>
      <w:pPr>
        <w:spacing w:line="520" w:lineRule="exact"/>
        <w:jc w:val="left"/>
        <w:rPr>
          <w:rFonts w:ascii="黑体" w:hAnsi="黑体" w:eastAsia="黑体" w:cs="仿宋_GB2312"/>
          <w:b/>
          <w:color w:val="auto"/>
          <w:kern w:val="0"/>
          <w:sz w:val="28"/>
          <w:szCs w:val="28"/>
        </w:rPr>
      </w:pPr>
      <w:r>
        <w:rPr>
          <w:rFonts w:ascii="黑体" w:hAnsi="黑体" w:eastAsia="黑体" w:cs="黑体"/>
          <w:b/>
          <w:color w:val="auto"/>
          <w:kern w:val="0"/>
          <w:sz w:val="28"/>
          <w:szCs w:val="28"/>
        </w:rPr>
        <w:t>第五部分附件</w:t>
      </w:r>
    </w:p>
    <w:p>
      <w:pPr>
        <w:jc w:val="center"/>
        <w:rPr>
          <w:color w:val="auto"/>
          <w:sz w:val="72"/>
          <w:szCs w:val="72"/>
        </w:rPr>
      </w:pPr>
    </w:p>
    <w:p>
      <w:pPr>
        <w:jc w:val="center"/>
        <w:rPr>
          <w:color w:val="auto"/>
          <w:sz w:val="72"/>
          <w:szCs w:val="72"/>
        </w:rPr>
      </w:pPr>
    </w:p>
    <w:p>
      <w:pPr>
        <w:jc w:val="center"/>
        <w:rPr>
          <w:color w:val="auto"/>
          <w:sz w:val="72"/>
          <w:szCs w:val="72"/>
        </w:rPr>
      </w:pPr>
    </w:p>
    <w:p>
      <w:pPr>
        <w:jc w:val="center"/>
        <w:rPr>
          <w:color w:val="auto"/>
          <w:sz w:val="72"/>
          <w:szCs w:val="72"/>
        </w:rPr>
      </w:pPr>
    </w:p>
    <w:p>
      <w:pPr>
        <w:rPr>
          <w:color w:val="auto"/>
          <w:sz w:val="72"/>
          <w:szCs w:val="72"/>
        </w:rPr>
      </w:pPr>
    </w:p>
    <w:p>
      <w:pPr>
        <w:pStyle w:val="9"/>
        <w:jc w:val="center"/>
        <w:rPr>
          <w:color w:val="auto"/>
          <w:sz w:val="84"/>
          <w:szCs w:val="84"/>
        </w:rPr>
      </w:pPr>
      <w:r>
        <w:rPr>
          <w:rFonts w:hint="eastAsia"/>
          <w:color w:val="auto"/>
          <w:sz w:val="84"/>
          <w:szCs w:val="84"/>
        </w:rPr>
        <w:t>第一部分</w:t>
      </w:r>
      <w:r>
        <w:rPr>
          <w:color w:val="auto"/>
          <w:sz w:val="84"/>
          <w:szCs w:val="84"/>
        </w:rPr>
        <w:t xml:space="preserve"> </w:t>
      </w:r>
    </w:p>
    <w:p>
      <w:pPr>
        <w:pStyle w:val="9"/>
        <w:jc w:val="center"/>
        <w:rPr>
          <w:color w:val="auto"/>
          <w:sz w:val="84"/>
          <w:szCs w:val="84"/>
        </w:rPr>
      </w:pPr>
    </w:p>
    <w:p>
      <w:pPr>
        <w:pStyle w:val="9"/>
        <w:jc w:val="center"/>
        <w:rPr>
          <w:color w:val="auto"/>
          <w:sz w:val="84"/>
          <w:szCs w:val="84"/>
        </w:rPr>
      </w:pPr>
      <w:r>
        <w:rPr>
          <w:rFonts w:hint="eastAsia"/>
          <w:color w:val="auto"/>
          <w:sz w:val="84"/>
          <w:szCs w:val="84"/>
          <w:lang w:eastAsia="zh-CN"/>
        </w:rPr>
        <w:t>湘乡市建设工程质量安全监督站</w:t>
      </w:r>
      <w:r>
        <w:rPr>
          <w:rFonts w:hint="eastAsia"/>
          <w:color w:val="auto"/>
          <w:sz w:val="84"/>
          <w:szCs w:val="84"/>
        </w:rPr>
        <w:t>单位概况</w:t>
      </w:r>
    </w:p>
    <w:p>
      <w:pPr>
        <w:jc w:val="center"/>
        <w:rPr>
          <w:color w:val="auto"/>
          <w:sz w:val="72"/>
          <w:szCs w:val="72"/>
        </w:rPr>
      </w:pPr>
    </w:p>
    <w:p>
      <w:pPr>
        <w:jc w:val="center"/>
        <w:rPr>
          <w:color w:val="auto"/>
          <w:sz w:val="72"/>
          <w:szCs w:val="72"/>
        </w:rPr>
      </w:pPr>
    </w:p>
    <w:p>
      <w:pPr>
        <w:pStyle w:val="10"/>
        <w:numPr>
          <w:ilvl w:val="0"/>
          <w:numId w:val="0"/>
        </w:numPr>
        <w:ind w:leftChars="0"/>
        <w:jc w:val="left"/>
        <w:rPr>
          <w:rFonts w:hint="eastAsia" w:ascii="黑体" w:hAnsi="黑体" w:eastAsia="黑体"/>
          <w:color w:val="auto"/>
          <w:sz w:val="32"/>
          <w:szCs w:val="32"/>
          <w:lang w:eastAsia="zh-CN"/>
        </w:rPr>
      </w:pPr>
    </w:p>
    <w:p>
      <w:pPr>
        <w:pStyle w:val="10"/>
        <w:numPr>
          <w:ilvl w:val="0"/>
          <w:numId w:val="0"/>
        </w:numPr>
        <w:ind w:leftChars="0"/>
        <w:jc w:val="left"/>
        <w:rPr>
          <w:rFonts w:hint="eastAsia" w:ascii="黑体" w:hAnsi="黑体" w:eastAsia="黑体"/>
          <w:color w:val="auto"/>
          <w:sz w:val="32"/>
          <w:szCs w:val="32"/>
          <w:lang w:eastAsia="zh-CN"/>
        </w:rPr>
      </w:pPr>
    </w:p>
    <w:p>
      <w:pPr>
        <w:pStyle w:val="10"/>
        <w:numPr>
          <w:ilvl w:val="0"/>
          <w:numId w:val="0"/>
        </w:numPr>
        <w:ind w:leftChars="0"/>
        <w:jc w:val="left"/>
        <w:rPr>
          <w:rFonts w:hint="eastAsia" w:ascii="黑体" w:hAnsi="黑体" w:eastAsia="黑体"/>
          <w:color w:val="auto"/>
          <w:sz w:val="32"/>
          <w:szCs w:val="32"/>
          <w:lang w:eastAsia="zh-CN"/>
        </w:rPr>
      </w:pPr>
    </w:p>
    <w:p>
      <w:pPr>
        <w:pStyle w:val="10"/>
        <w:numPr>
          <w:ilvl w:val="0"/>
          <w:numId w:val="0"/>
        </w:numPr>
        <w:ind w:leftChars="0"/>
        <w:jc w:val="left"/>
        <w:rPr>
          <w:rFonts w:hint="eastAsia" w:ascii="黑体" w:hAnsi="黑体" w:eastAsia="黑体"/>
          <w:color w:val="auto"/>
          <w:sz w:val="32"/>
          <w:szCs w:val="32"/>
          <w:lang w:eastAsia="zh-CN"/>
        </w:rPr>
      </w:pPr>
    </w:p>
    <w:p>
      <w:pPr>
        <w:pStyle w:val="10"/>
        <w:numPr>
          <w:ilvl w:val="0"/>
          <w:numId w:val="0"/>
        </w:numPr>
        <w:ind w:leftChars="0"/>
        <w:jc w:val="left"/>
        <w:rPr>
          <w:rFonts w:ascii="黑体" w:hAnsi="黑体" w:eastAsia="黑体"/>
          <w:color w:val="auto"/>
          <w:sz w:val="32"/>
          <w:szCs w:val="32"/>
        </w:rPr>
      </w:pPr>
      <w:r>
        <w:rPr>
          <w:rFonts w:hint="eastAsia" w:ascii="黑体" w:hAnsi="黑体" w:eastAsia="黑体"/>
          <w:color w:val="auto"/>
          <w:sz w:val="32"/>
          <w:szCs w:val="32"/>
          <w:lang w:eastAsia="zh-CN"/>
        </w:rPr>
        <w:t>一、</w:t>
      </w:r>
      <w:r>
        <w:rPr>
          <w:rFonts w:ascii="黑体" w:hAnsi="黑体" w:eastAsia="黑体"/>
          <w:color w:val="auto"/>
          <w:sz w:val="32"/>
          <w:szCs w:val="32"/>
        </w:rPr>
        <w:t>部门职责</w:t>
      </w:r>
    </w:p>
    <w:p>
      <w:pPr>
        <w:widowControl/>
        <w:ind w:firstLine="600" w:firstLineChars="200"/>
        <w:rPr>
          <w:rFonts w:hint="eastAsia" w:ascii="宋体" w:hAnsi="宋体"/>
          <w:bCs/>
          <w:color w:val="auto"/>
          <w:kern w:val="0"/>
          <w:sz w:val="30"/>
          <w:szCs w:val="30"/>
        </w:rPr>
      </w:pPr>
      <w:r>
        <w:rPr>
          <w:rFonts w:hint="eastAsia" w:ascii="宋体" w:hAnsi="宋体"/>
          <w:color w:val="auto"/>
          <w:sz w:val="30"/>
          <w:szCs w:val="30"/>
        </w:rPr>
        <w:t>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程达标验收工作的监督；负责全市在建工程项目起重机械设备监管工作。</w:t>
      </w:r>
    </w:p>
    <w:p>
      <w:pPr>
        <w:widowControl/>
        <w:spacing w:line="600" w:lineRule="exact"/>
        <w:rPr>
          <w:rFonts w:ascii="黑体" w:hAnsi="黑体" w:eastAsia="黑体"/>
          <w:bCs/>
          <w:color w:val="auto"/>
          <w:kern w:val="0"/>
          <w:sz w:val="32"/>
          <w:szCs w:val="32"/>
        </w:rPr>
      </w:pPr>
      <w:r>
        <w:rPr>
          <w:rFonts w:hint="eastAsia" w:ascii="黑体" w:hAnsi="黑体" w:eastAsia="黑体"/>
          <w:bCs/>
          <w:color w:val="auto"/>
          <w:kern w:val="0"/>
          <w:sz w:val="32"/>
          <w:szCs w:val="32"/>
        </w:rPr>
        <w:t>二、机构设置及决算单位构成</w:t>
      </w:r>
    </w:p>
    <w:p>
      <w:pPr>
        <w:widowControl/>
        <w:spacing w:line="600" w:lineRule="exact"/>
        <w:ind w:firstLine="640" w:firstLineChars="200"/>
        <w:rPr>
          <w:rFonts w:hint="eastAsia" w:ascii="宋体" w:hAnsi="宋体"/>
          <w:bCs/>
          <w:color w:val="auto"/>
          <w:kern w:val="0"/>
          <w:sz w:val="30"/>
          <w:szCs w:val="30"/>
        </w:rPr>
      </w:pPr>
      <w:r>
        <w:rPr>
          <w:rFonts w:hint="eastAsia" w:asciiTheme="minorEastAsia" w:hAnsiTheme="minorEastAsia"/>
          <w:bCs/>
          <w:color w:val="auto"/>
          <w:kern w:val="0"/>
          <w:sz w:val="32"/>
          <w:szCs w:val="32"/>
        </w:rPr>
        <w:t>（一）内设机构设置</w:t>
      </w:r>
      <w:r>
        <w:rPr>
          <w:rFonts w:hint="eastAsia" w:asciiTheme="minorEastAsia" w:hAnsiTheme="minorEastAsia"/>
          <w:bCs/>
          <w:color w:val="auto"/>
          <w:kern w:val="0"/>
          <w:sz w:val="32"/>
          <w:szCs w:val="32"/>
          <w:lang w:eastAsia="zh-CN"/>
        </w:rPr>
        <w:t>：湘乡市建设工程质量安全监督站</w:t>
      </w:r>
      <w:r>
        <w:rPr>
          <w:rFonts w:hint="eastAsia" w:asciiTheme="minorEastAsia" w:hAnsiTheme="minorEastAsia"/>
          <w:bCs/>
          <w:color w:val="auto"/>
          <w:kern w:val="0"/>
          <w:sz w:val="32"/>
          <w:szCs w:val="32"/>
        </w:rPr>
        <w:t>单位内设机构包括：</w:t>
      </w:r>
      <w:r>
        <w:rPr>
          <w:rFonts w:hint="eastAsia" w:ascii="宋体" w:hAnsi="宋体"/>
          <w:bCs/>
          <w:color w:val="auto"/>
          <w:kern w:val="0"/>
          <w:sz w:val="30"/>
          <w:szCs w:val="30"/>
        </w:rPr>
        <w:t>综合室、建筑工程监督一室、建设工程监督二室、市政监督室、检测监督室按《关于市住建局所属事业单位分类和机构编制调整事项的通知》（湘机编（2015）25号）本单位为公益一类事业单位。人员编制38名。</w:t>
      </w:r>
    </w:p>
    <w:p>
      <w:pPr>
        <w:widowControl/>
        <w:spacing w:line="600" w:lineRule="exact"/>
        <w:ind w:firstLine="640" w:firstLineChars="200"/>
        <w:rPr>
          <w:rFonts w:ascii="黑体" w:hAnsi="黑体" w:eastAsia="黑体"/>
          <w:color w:val="auto"/>
          <w:sz w:val="28"/>
          <w:szCs w:val="28"/>
        </w:rPr>
      </w:pPr>
      <w:r>
        <w:rPr>
          <w:rFonts w:hint="eastAsia" w:asciiTheme="minorEastAsia" w:hAnsiTheme="minorEastAsia"/>
          <w:bCs/>
          <w:color w:val="auto"/>
          <w:kern w:val="0"/>
          <w:sz w:val="32"/>
          <w:szCs w:val="32"/>
        </w:rPr>
        <w:t>（二）决算单位构成</w:t>
      </w:r>
      <w:r>
        <w:rPr>
          <w:rFonts w:hint="eastAsia" w:asciiTheme="minorEastAsia" w:hAnsiTheme="minorEastAsia"/>
          <w:bCs/>
          <w:color w:val="auto"/>
          <w:kern w:val="0"/>
          <w:sz w:val="32"/>
          <w:szCs w:val="32"/>
          <w:lang w:eastAsia="zh-CN"/>
        </w:rPr>
        <w:t>：湘乡市建设工程质量安全监督站</w:t>
      </w:r>
      <w:r>
        <w:rPr>
          <w:rFonts w:hint="eastAsia" w:asciiTheme="minorEastAsia" w:hAnsiTheme="minorEastAsia"/>
          <w:bCs/>
          <w:color w:val="auto"/>
          <w:kern w:val="0"/>
          <w:sz w:val="32"/>
          <w:szCs w:val="32"/>
        </w:rPr>
        <w:t>单位</w:t>
      </w:r>
      <w:r>
        <w:rPr>
          <w:rFonts w:asciiTheme="minorEastAsia" w:hAnsiTheme="minorEastAsia"/>
          <w:bCs/>
          <w:color w:val="auto"/>
          <w:kern w:val="0"/>
          <w:sz w:val="32"/>
          <w:szCs w:val="32"/>
        </w:rPr>
        <w:t>2019</w:t>
      </w:r>
      <w:r>
        <w:rPr>
          <w:rFonts w:hint="eastAsia" w:asciiTheme="minorEastAsia" w:hAnsiTheme="minorEastAsia"/>
          <w:bCs/>
          <w:color w:val="auto"/>
          <w:kern w:val="0"/>
          <w:sz w:val="32"/>
          <w:szCs w:val="32"/>
        </w:rPr>
        <w:t>年部门决算汇总公开单位构成包括</w:t>
      </w:r>
      <w:r>
        <w:rPr>
          <w:rFonts w:hint="eastAsia" w:asciiTheme="minorEastAsia" w:hAnsiTheme="minorEastAsia"/>
          <w:bCs/>
          <w:color w:val="auto"/>
          <w:kern w:val="0"/>
          <w:sz w:val="32"/>
          <w:szCs w:val="32"/>
          <w:lang w:eastAsia="zh-CN"/>
        </w:rPr>
        <w:t>：</w:t>
      </w:r>
      <w:r>
        <w:rPr>
          <w:rFonts w:hint="eastAsia" w:asciiTheme="minorEastAsia" w:hAnsiTheme="minorEastAsia"/>
          <w:bCs/>
          <w:color w:val="auto"/>
          <w:kern w:val="0"/>
          <w:sz w:val="32"/>
          <w:szCs w:val="32"/>
        </w:rPr>
        <w:t>单位本级</w:t>
      </w: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color w:val="auto"/>
          <w:sz w:val="72"/>
          <w:szCs w:val="72"/>
        </w:rPr>
      </w:pPr>
      <w:r>
        <w:rPr>
          <w:rFonts w:hint="eastAsia"/>
          <w:color w:val="auto"/>
          <w:sz w:val="72"/>
          <w:szCs w:val="72"/>
        </w:rPr>
        <w:t>第二部分</w:t>
      </w:r>
    </w:p>
    <w:p>
      <w:pPr>
        <w:jc w:val="center"/>
        <w:rPr>
          <w:color w:val="auto"/>
          <w:sz w:val="72"/>
          <w:szCs w:val="72"/>
        </w:rPr>
      </w:pPr>
    </w:p>
    <w:p>
      <w:pPr>
        <w:jc w:val="center"/>
        <w:rPr>
          <w:color w:val="auto"/>
          <w:sz w:val="72"/>
          <w:szCs w:val="72"/>
        </w:rPr>
      </w:pPr>
      <w:r>
        <w:rPr>
          <w:rFonts w:hint="eastAsia"/>
          <w:color w:val="auto"/>
          <w:sz w:val="72"/>
          <w:szCs w:val="72"/>
        </w:rPr>
        <w:t>部门决算表</w:t>
      </w:r>
    </w:p>
    <w:p>
      <w:pPr>
        <w:jc w:val="center"/>
        <w:rPr>
          <w:color w:val="auto"/>
          <w:sz w:val="72"/>
          <w:szCs w:val="72"/>
        </w:rPr>
      </w:pPr>
    </w:p>
    <w:p>
      <w:pPr>
        <w:jc w:val="center"/>
        <w:rPr>
          <w:color w:val="auto"/>
          <w:sz w:val="72"/>
          <w:szCs w:val="72"/>
        </w:rPr>
      </w:pPr>
    </w:p>
    <w:p>
      <w:pPr>
        <w:jc w:val="center"/>
        <w:rPr>
          <w:color w:val="auto"/>
          <w:sz w:val="72"/>
          <w:szCs w:val="72"/>
        </w:rPr>
      </w:pPr>
    </w:p>
    <w:p>
      <w:pPr>
        <w:jc w:val="center"/>
        <w:rPr>
          <w:color w:val="auto"/>
          <w:sz w:val="72"/>
          <w:szCs w:val="72"/>
        </w:rPr>
      </w:pPr>
    </w:p>
    <w:p>
      <w:pPr>
        <w:jc w:val="center"/>
        <w:rPr>
          <w:color w:val="auto"/>
          <w:sz w:val="72"/>
          <w:szCs w:val="72"/>
        </w:rPr>
      </w:pPr>
    </w:p>
    <w:p>
      <w:pPr>
        <w:jc w:val="left"/>
        <w:rPr>
          <w:color w:val="auto"/>
          <w:sz w:val="32"/>
          <w:szCs w:val="32"/>
        </w:rPr>
      </w:pPr>
    </w:p>
    <w:p>
      <w:pPr>
        <w:jc w:val="left"/>
        <w:rPr>
          <w:rFonts w:asciiTheme="minorEastAsia" w:hAnsiTheme="minorEastAsia"/>
          <w:color w:val="auto"/>
          <w:sz w:val="32"/>
          <w:szCs w:val="32"/>
        </w:rPr>
        <w:sectPr>
          <w:footerReference r:id="rId3" w:type="default"/>
          <w:pgSz w:w="11906" w:h="16838"/>
          <w:pgMar w:top="1417" w:right="1701" w:bottom="1417" w:left="1701" w:header="851" w:footer="992" w:gutter="0"/>
          <w:cols w:space="425" w:num="1"/>
          <w:docGrid w:type="lines" w:linePitch="312" w:charSpace="0"/>
        </w:sectPr>
      </w:pPr>
    </w:p>
    <w:p>
      <w:pPr>
        <w:jc w:val="center"/>
        <w:rPr>
          <w:rFonts w:hint="eastAsia" w:ascii="黑体" w:hAnsi="黑体" w:eastAsia="黑体"/>
          <w:color w:val="auto"/>
          <w:sz w:val="36"/>
          <w:szCs w:val="32"/>
        </w:rPr>
      </w:pPr>
      <w:r>
        <w:rPr>
          <w:rFonts w:hint="eastAsia" w:ascii="黑体" w:hAnsi="黑体" w:eastAsia="黑体"/>
          <w:color w:val="auto"/>
          <w:sz w:val="36"/>
          <w:szCs w:val="32"/>
        </w:rPr>
        <w:t>收入支出决算总表</w:t>
      </w:r>
    </w:p>
    <w:p>
      <w:pPr>
        <w:widowControl/>
        <w:ind w:firstLine="630" w:firstLineChars="300"/>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部门：湘乡市建设工程质量安全监督站</w:t>
      </w:r>
      <w:r>
        <w:rPr>
          <w:rFonts w:hint="eastAsia" w:ascii="Times New Roman" w:hAnsi="Times New Roman" w:eastAsia="仿宋_GB2312" w:cs="Times New Roman"/>
          <w:color w:val="auto"/>
          <w:kern w:val="0"/>
          <w:szCs w:val="21"/>
          <w:lang w:val="en-US" w:eastAsia="zh-CN"/>
        </w:rPr>
        <w:t xml:space="preserve">                                                                                      </w:t>
      </w:r>
      <w:r>
        <w:rPr>
          <w:rFonts w:hint="eastAsia" w:ascii="Times New Roman" w:hAnsi="Times New Roman" w:eastAsia="仿宋_GB2312" w:cs="Times New Roman"/>
          <w:color w:val="auto"/>
          <w:kern w:val="0"/>
          <w:szCs w:val="21"/>
        </w:rPr>
        <w:t>公开</w:t>
      </w:r>
      <w:r>
        <w:rPr>
          <w:rFonts w:ascii="Times New Roman" w:hAnsi="Times New Roman" w:eastAsia="仿宋_GB2312" w:cs="Times New Roman"/>
          <w:color w:val="auto"/>
          <w:kern w:val="0"/>
          <w:szCs w:val="21"/>
        </w:rPr>
        <w:t>01</w:t>
      </w:r>
      <w:r>
        <w:rPr>
          <w:rFonts w:hint="eastAsia" w:ascii="Times New Roman" w:hAnsi="Times New Roman" w:eastAsia="仿宋_GB2312" w:cs="Times New Roman"/>
          <w:color w:val="auto"/>
          <w:kern w:val="0"/>
          <w:szCs w:val="21"/>
        </w:rPr>
        <w:t>表</w:t>
      </w:r>
    </w:p>
    <w:p>
      <w:pPr>
        <w:widowControl/>
        <w:spacing w:line="240" w:lineRule="auto"/>
        <w:ind w:right="198"/>
        <w:jc w:val="both"/>
        <w:rPr>
          <w:rFonts w:hint="eastAsia" w:ascii="Times New Roman" w:hAnsi="Times New Roman" w:eastAsia="仿宋_GB2312" w:cs="Times New Roman"/>
          <w:color w:val="auto"/>
          <w:kern w:val="0"/>
          <w:szCs w:val="21"/>
        </w:rPr>
      </w:pPr>
    </w:p>
    <w:p>
      <w:pPr>
        <w:widowControl/>
        <w:spacing w:line="240" w:lineRule="auto"/>
        <w:ind w:right="198"/>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 xml:space="preserve">                                                                                                                       </w:t>
      </w:r>
      <w:r>
        <w:rPr>
          <w:rFonts w:hint="eastAsia" w:ascii="Times New Roman" w:hAnsi="Times New Roman" w:eastAsia="仿宋_GB2312" w:cs="Times New Roman"/>
          <w:color w:val="auto"/>
          <w:kern w:val="0"/>
          <w:szCs w:val="21"/>
        </w:rPr>
        <w:t>单位：万元</w:t>
      </w:r>
    </w:p>
    <w:tbl>
      <w:tblPr>
        <w:tblStyle w:val="5"/>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项</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项</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栏</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次</w:t>
            </w:r>
          </w:p>
        </w:tc>
        <w:tc>
          <w:tcPr>
            <w:tcW w:w="702" w:type="dxa"/>
            <w:tcBorders>
              <w:top w:val="nil"/>
              <w:left w:val="nil"/>
              <w:bottom w:val="single" w:color="auto" w:sz="4" w:space="0"/>
              <w:right w:val="single" w:color="auto" w:sz="4" w:space="0"/>
            </w:tcBorders>
            <w:noWrap/>
            <w:vAlign w:val="center"/>
          </w:tcPr>
          <w:p>
            <w:pP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1224"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栏</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200.93</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一、一般公共服务支出</w:t>
            </w:r>
            <w:r>
              <w:rPr>
                <w:rFonts w:ascii="Times New Roman" w:hAnsi="Times New Roman" w:eastAsia="仿宋_GB2312" w:cs="Times New Roman"/>
                <w:color w:val="auto"/>
                <w:kern w:val="0"/>
                <w:szCs w:val="21"/>
              </w:rPr>
              <w:t>……</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14</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八</w:t>
            </w:r>
            <w:r>
              <w:rPr>
                <w:rFonts w:hint="eastAsia" w:ascii="Times New Roman" w:hAnsi="Times New Roman" w:eastAsia="仿宋_GB2312" w:cs="Times New Roman"/>
                <w:color w:val="auto"/>
                <w:kern w:val="0"/>
                <w:szCs w:val="21"/>
              </w:rPr>
              <w:t>、</w:t>
            </w:r>
            <w:r>
              <w:rPr>
                <w:rFonts w:hint="eastAsia" w:ascii="Times New Roman" w:hAnsi="Times New Roman" w:eastAsia="仿宋_GB2312" w:cs="Times New Roman"/>
                <w:color w:val="auto"/>
                <w:kern w:val="0"/>
                <w:szCs w:val="21"/>
                <w:lang w:eastAsia="zh-CN"/>
              </w:rPr>
              <w:t>社会保障和就业支出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15</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九、卫生健康支出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16</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45.84</w:t>
            </w: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121.13</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十一、城乡社区支出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17</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241.10</w:t>
            </w: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十九、住房保障支出</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18</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21.21</w:t>
            </w: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19</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7</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20</w:t>
            </w:r>
          </w:p>
        </w:tc>
        <w:tc>
          <w:tcPr>
            <w:tcW w:w="1681"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8</w:t>
            </w:r>
          </w:p>
        </w:tc>
        <w:tc>
          <w:tcPr>
            <w:tcW w:w="1224"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21</w:t>
            </w:r>
          </w:p>
        </w:tc>
        <w:tc>
          <w:tcPr>
            <w:tcW w:w="168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color w:val="auto"/>
                <w:kern w:val="0"/>
                <w:szCs w:val="21"/>
              </w:rPr>
            </w:pPr>
            <w:r>
              <w:rPr>
                <w:rFonts w:hint="eastAsia" w:ascii="Times New Roman" w:hAnsi="Times New Roman" w:eastAsia="仿宋_GB2312" w:cs="Times New Roman"/>
                <w:b/>
                <w:bCs/>
                <w:color w:val="auto"/>
                <w:kern w:val="0"/>
                <w:szCs w:val="21"/>
              </w:rPr>
              <w:t>本年收入合计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9</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322.06</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color w:val="auto"/>
                <w:kern w:val="0"/>
                <w:szCs w:val="21"/>
              </w:rPr>
            </w:pPr>
            <w:r>
              <w:rPr>
                <w:rFonts w:hint="eastAsia" w:ascii="Times New Roman" w:hAnsi="Times New Roman" w:eastAsia="仿宋_GB2312" w:cs="Times New Roman"/>
                <w:b/>
                <w:bCs/>
                <w:color w:val="auto"/>
                <w:kern w:val="0"/>
                <w:szCs w:val="21"/>
              </w:rPr>
              <w:t>本年支出合计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22</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b/>
                <w:bCs/>
                <w:color w:val="auto"/>
                <w:kern w:val="0"/>
                <w:szCs w:val="21"/>
                <w:lang w:val="en-US" w:eastAsia="zh-CN"/>
              </w:rPr>
            </w:pPr>
            <w:r>
              <w:rPr>
                <w:rFonts w:hint="eastAsia" w:ascii="Times New Roman" w:hAnsi="Times New Roman" w:eastAsia="仿宋_GB2312" w:cs="Times New Roman"/>
                <w:b/>
                <w:bCs/>
                <w:color w:val="auto"/>
                <w:kern w:val="0"/>
                <w:szCs w:val="21"/>
              </w:rPr>
              <w:t>　</w:t>
            </w:r>
            <w:r>
              <w:rPr>
                <w:rFonts w:hint="eastAsia" w:ascii="Times New Roman" w:hAnsi="Times New Roman" w:eastAsia="仿宋_GB2312" w:cs="Times New Roman"/>
                <w:b/>
                <w:bCs/>
                <w:color w:val="auto"/>
                <w:kern w:val="0"/>
                <w:szCs w:val="21"/>
                <w:lang w:val="en-US" w:eastAsia="zh-CN"/>
              </w:rPr>
              <w:t>350.47</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10</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结余分配</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23</w:t>
            </w:r>
          </w:p>
        </w:tc>
        <w:tc>
          <w:tcPr>
            <w:tcW w:w="1681"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年初结转和结余</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11</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52.74</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年末结转和结余</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24</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24.33</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12</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25</w:t>
            </w:r>
          </w:p>
        </w:tc>
        <w:tc>
          <w:tcPr>
            <w:tcW w:w="1681"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color w:val="auto"/>
                <w:kern w:val="0"/>
                <w:szCs w:val="21"/>
              </w:rPr>
            </w:pPr>
            <w:r>
              <w:rPr>
                <w:rFonts w:hint="eastAsia" w:ascii="Times New Roman" w:hAnsi="Times New Roman" w:eastAsia="仿宋_GB2312" w:cs="Times New Roman"/>
                <w:b/>
                <w:bCs/>
                <w:color w:val="auto"/>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13</w:t>
            </w:r>
          </w:p>
        </w:tc>
        <w:tc>
          <w:tcPr>
            <w:tcW w:w="1224"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374.80</w:t>
            </w:r>
            <w:r>
              <w:rPr>
                <w:rFonts w:hint="eastAsia" w:ascii="Times New Roman" w:hAnsi="Times New Roman" w:eastAsia="仿宋_GB2312" w:cs="Times New Roman"/>
                <w:color w:val="auto"/>
                <w:kern w:val="0"/>
                <w:szCs w:val="21"/>
              </w:rPr>
              <w:t>　</w:t>
            </w:r>
          </w:p>
        </w:tc>
        <w:tc>
          <w:tcPr>
            <w:tcW w:w="482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color w:val="auto"/>
                <w:kern w:val="0"/>
                <w:szCs w:val="21"/>
              </w:rPr>
            </w:pPr>
            <w:r>
              <w:rPr>
                <w:rFonts w:hint="eastAsia" w:ascii="Times New Roman" w:hAnsi="Times New Roman" w:eastAsia="仿宋_GB2312" w:cs="Times New Roman"/>
                <w:b/>
                <w:bCs/>
                <w:color w:val="auto"/>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26</w:t>
            </w:r>
          </w:p>
        </w:tc>
        <w:tc>
          <w:tcPr>
            <w:tcW w:w="1681"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b/>
                <w:bCs/>
                <w:color w:val="auto"/>
                <w:kern w:val="0"/>
                <w:szCs w:val="21"/>
                <w:lang w:val="en-US" w:eastAsia="zh-CN"/>
              </w:rPr>
            </w:pPr>
            <w:r>
              <w:rPr>
                <w:rFonts w:hint="eastAsia" w:ascii="Times New Roman" w:hAnsi="Times New Roman" w:eastAsia="仿宋_GB2312" w:cs="Times New Roman"/>
                <w:b/>
                <w:bCs/>
                <w:color w:val="auto"/>
                <w:kern w:val="0"/>
                <w:szCs w:val="21"/>
              </w:rPr>
              <w:t>　</w:t>
            </w:r>
            <w:r>
              <w:rPr>
                <w:rFonts w:hint="eastAsia" w:ascii="Times New Roman" w:hAnsi="Times New Roman" w:eastAsia="仿宋_GB2312" w:cs="Times New Roman"/>
                <w:b/>
                <w:bCs/>
                <w:color w:val="auto"/>
                <w:kern w:val="0"/>
                <w:szCs w:val="21"/>
                <w:lang w:val="en-US" w:eastAsia="zh-CN"/>
              </w:rPr>
              <w:t>374.80</w:t>
            </w:r>
          </w:p>
        </w:tc>
      </w:tr>
    </w:tbl>
    <w:p>
      <w:pPr>
        <w:widowControl/>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注：本表反映部门本年度的总收支和年末结转结余情况。</w:t>
      </w:r>
    </w:p>
    <w:p>
      <w:pPr>
        <w:widowControl/>
        <w:jc w:val="left"/>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br w:type="page"/>
      </w:r>
    </w:p>
    <w:p>
      <w:pPr>
        <w:widowControl/>
        <w:jc w:val="center"/>
        <w:rPr>
          <w:rFonts w:ascii="Times New Roman" w:hAnsi="Times New Roman" w:eastAsia="方正小标宋_GBK" w:cs="Times New Roman"/>
          <w:color w:val="auto"/>
          <w:kern w:val="0"/>
          <w:sz w:val="36"/>
          <w:szCs w:val="36"/>
        </w:rPr>
      </w:pPr>
      <w:r>
        <w:rPr>
          <w:rFonts w:ascii="Times New Roman" w:hAnsi="Times New Roman" w:eastAsia="方正小标宋_GBK" w:cs="Times New Roman"/>
          <w:color w:val="auto"/>
          <w:kern w:val="0"/>
          <w:sz w:val="36"/>
          <w:szCs w:val="36"/>
        </w:rPr>
        <w:t>收入决算表</w:t>
      </w:r>
    </w:p>
    <w:p>
      <w:pPr>
        <w:widowControl/>
        <w:ind w:firstLine="630" w:firstLineChars="300"/>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eastAsia="zh-CN"/>
        </w:rPr>
        <w:t>部门：湘乡市建设工程质量安全监督站</w:t>
      </w:r>
      <w:r>
        <w:rPr>
          <w:rFonts w:ascii="Times New Roman" w:hAnsi="Times New Roman" w:eastAsia="仿宋_GB2312" w:cs="Times New Roman"/>
          <w:color w:val="auto"/>
          <w:kern w:val="0"/>
          <w:szCs w:val="21"/>
        </w:rPr>
        <w:t xml:space="preserve">                                                                                          公开02表</w:t>
      </w:r>
    </w:p>
    <w:p>
      <w:pPr>
        <w:widowControl/>
        <w:ind w:right="630"/>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5"/>
        <w:tblW w:w="13813" w:type="dxa"/>
        <w:jc w:val="center"/>
        <w:tblLayout w:type="fixed"/>
        <w:tblCellMar>
          <w:top w:w="0" w:type="dxa"/>
          <w:left w:w="108" w:type="dxa"/>
          <w:bottom w:w="0" w:type="dxa"/>
          <w:right w:w="108" w:type="dxa"/>
        </w:tblCellMar>
      </w:tblPr>
      <w:tblGrid>
        <w:gridCol w:w="1057"/>
        <w:gridCol w:w="2190"/>
        <w:gridCol w:w="1275"/>
        <w:gridCol w:w="1410"/>
        <w:gridCol w:w="1400"/>
        <w:gridCol w:w="1382"/>
        <w:gridCol w:w="1412"/>
        <w:gridCol w:w="1676"/>
        <w:gridCol w:w="2011"/>
      </w:tblGrid>
      <w:tr>
        <w:tblPrEx>
          <w:tblCellMar>
            <w:top w:w="0" w:type="dxa"/>
            <w:left w:w="108" w:type="dxa"/>
            <w:bottom w:w="0" w:type="dxa"/>
            <w:right w:w="108" w:type="dxa"/>
          </w:tblCellMar>
        </w:tblPrEx>
        <w:trPr>
          <w:trHeight w:val="450" w:hRule="atLeast"/>
          <w:jc w:val="center"/>
        </w:trPr>
        <w:tc>
          <w:tcPr>
            <w:tcW w:w="3247"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项    目</w:t>
            </w:r>
          </w:p>
        </w:tc>
        <w:tc>
          <w:tcPr>
            <w:tcW w:w="1275"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本年收入合计</w:t>
            </w:r>
          </w:p>
        </w:tc>
        <w:tc>
          <w:tcPr>
            <w:tcW w:w="141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财政拨款收入</w:t>
            </w:r>
          </w:p>
        </w:tc>
        <w:tc>
          <w:tcPr>
            <w:tcW w:w="140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上级补助收入</w:t>
            </w:r>
          </w:p>
        </w:tc>
        <w:tc>
          <w:tcPr>
            <w:tcW w:w="138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事业收入</w:t>
            </w:r>
          </w:p>
        </w:tc>
        <w:tc>
          <w:tcPr>
            <w:tcW w:w="141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经营收入</w:t>
            </w:r>
          </w:p>
        </w:tc>
        <w:tc>
          <w:tcPr>
            <w:tcW w:w="167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附属单位上缴收入</w:t>
            </w:r>
          </w:p>
        </w:tc>
        <w:tc>
          <w:tcPr>
            <w:tcW w:w="2011" w:type="dxa"/>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其他收入</w:t>
            </w:r>
          </w:p>
        </w:tc>
      </w:tr>
      <w:tr>
        <w:tblPrEx>
          <w:tblCellMar>
            <w:top w:w="0" w:type="dxa"/>
            <w:left w:w="108" w:type="dxa"/>
            <w:bottom w:w="0" w:type="dxa"/>
            <w:right w:w="108" w:type="dxa"/>
          </w:tblCellMar>
        </w:tblPrEx>
        <w:trPr>
          <w:trHeight w:val="450" w:hRule="atLeast"/>
          <w:jc w:val="center"/>
        </w:trPr>
        <w:tc>
          <w:tcPr>
            <w:tcW w:w="1057"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功能分类科目编码</w:t>
            </w:r>
          </w:p>
        </w:tc>
        <w:tc>
          <w:tcPr>
            <w:tcW w:w="219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科目名称</w:t>
            </w:r>
          </w:p>
        </w:tc>
        <w:tc>
          <w:tcPr>
            <w:tcW w:w="127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1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0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rPr>
            </w:pPr>
          </w:p>
        </w:tc>
      </w:tr>
      <w:tr>
        <w:tblPrEx>
          <w:tblCellMar>
            <w:top w:w="0" w:type="dxa"/>
            <w:left w:w="108" w:type="dxa"/>
            <w:bottom w:w="0" w:type="dxa"/>
            <w:right w:w="108" w:type="dxa"/>
          </w:tblCellMar>
        </w:tblPrEx>
        <w:trPr>
          <w:trHeight w:val="450" w:hRule="atLeast"/>
          <w:jc w:val="center"/>
        </w:trPr>
        <w:tc>
          <w:tcPr>
            <w:tcW w:w="1057" w:type="dxa"/>
            <w:vMerge w:val="continue"/>
            <w:tcBorders>
              <w:top w:val="single" w:color="auto" w:sz="4" w:space="0"/>
              <w:left w:val="single" w:color="auto" w:sz="8" w:space="0"/>
              <w:bottom w:val="single" w:color="000000" w:sz="4" w:space="0"/>
              <w:right w:val="nil"/>
            </w:tcBorders>
            <w:vAlign w:val="center"/>
          </w:tcPr>
          <w:p>
            <w:pPr>
              <w:widowControl/>
              <w:jc w:val="left"/>
              <w:rPr>
                <w:rFonts w:ascii="Times New Roman" w:hAnsi="Times New Roman" w:eastAsia="仿宋_GB2312" w:cs="Times New Roman"/>
                <w:color w:val="auto"/>
                <w:kern w:val="0"/>
                <w:szCs w:val="21"/>
              </w:rPr>
            </w:pPr>
          </w:p>
        </w:tc>
        <w:tc>
          <w:tcPr>
            <w:tcW w:w="219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75"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1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0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38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4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67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2011"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rPr>
            </w:pPr>
          </w:p>
        </w:tc>
      </w:tr>
      <w:tr>
        <w:tblPrEx>
          <w:tblCellMar>
            <w:top w:w="0" w:type="dxa"/>
            <w:left w:w="108" w:type="dxa"/>
            <w:bottom w:w="0" w:type="dxa"/>
            <w:right w:w="108" w:type="dxa"/>
          </w:tblCellMar>
        </w:tblPrEx>
        <w:trPr>
          <w:trHeight w:val="450" w:hRule="atLeast"/>
          <w:jc w:val="center"/>
        </w:trPr>
        <w:tc>
          <w:tcPr>
            <w:tcW w:w="3247"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栏次</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41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38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c>
          <w:tcPr>
            <w:tcW w:w="2011" w:type="dxa"/>
            <w:tcBorders>
              <w:top w:val="nil"/>
              <w:left w:val="nil"/>
              <w:bottom w:val="single" w:color="auto" w:sz="4" w:space="0"/>
              <w:right w:val="single" w:color="auto" w:sz="8"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7</w:t>
            </w:r>
          </w:p>
        </w:tc>
      </w:tr>
      <w:tr>
        <w:tblPrEx>
          <w:tblCellMar>
            <w:top w:w="0" w:type="dxa"/>
            <w:left w:w="108" w:type="dxa"/>
            <w:bottom w:w="0" w:type="dxa"/>
            <w:right w:w="108" w:type="dxa"/>
          </w:tblCellMar>
        </w:tblPrEx>
        <w:trPr>
          <w:trHeight w:val="450" w:hRule="atLeast"/>
          <w:jc w:val="center"/>
        </w:trPr>
        <w:tc>
          <w:tcPr>
            <w:tcW w:w="3247"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322.06</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200.93</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121.13</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社会保障和就业支出</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行政事业单位离退休</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2080505</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机关事业单位基本养老保险缴费支出</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财政对其他社会保险基金的补助</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3.90</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3.90</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2082701</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财政对失业保险基金的补助</w:t>
            </w:r>
          </w:p>
        </w:tc>
        <w:tc>
          <w:tcPr>
            <w:tcW w:w="1275"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1.67</w:t>
            </w:r>
            <w:r>
              <w:rPr>
                <w:rFonts w:ascii="Times New Roman" w:hAnsi="Times New Roman" w:eastAsia="仿宋_GB2312" w:cs="Times New Roman"/>
                <w:color w:val="auto"/>
                <w:kern w:val="0"/>
                <w:szCs w:val="21"/>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1.67</w:t>
            </w:r>
            <w:r>
              <w:rPr>
                <w:rFonts w:ascii="Times New Roman" w:hAnsi="Times New Roman" w:eastAsia="仿宋_GB2312" w:cs="Times New Roman"/>
                <w:color w:val="auto"/>
                <w:kern w:val="0"/>
                <w:szCs w:val="21"/>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2082702</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财政对工伤保险基金的补助</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2.22</w:t>
            </w:r>
            <w:r>
              <w:rPr>
                <w:rFonts w:ascii="Times New Roman" w:hAnsi="Times New Roman" w:eastAsia="仿宋_GB2312" w:cs="Times New Roman"/>
                <w:color w:val="auto"/>
                <w:kern w:val="0"/>
                <w:szCs w:val="21"/>
              </w:rPr>
              <w:t>　</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2.22</w:t>
            </w:r>
            <w:r>
              <w:rPr>
                <w:rFonts w:ascii="Times New Roman" w:hAnsi="Times New Roman" w:eastAsia="仿宋_GB2312" w:cs="Times New Roman"/>
                <w:color w:val="auto"/>
                <w:kern w:val="0"/>
                <w:szCs w:val="21"/>
              </w:rPr>
              <w:t>　</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卫生健康支出</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行政事业单位医疗</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2101102</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事业单位医疗</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17.43</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城乡社区支出</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241.10</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119.97</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城乡社区管理事务</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133.13</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2120101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行政运行</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2120106</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工程建设管理</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建设市场管理与监督</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2120601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建设市场管理与监督</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住房保障支出</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住房改革支出</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057"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2210201</w:t>
            </w:r>
          </w:p>
        </w:tc>
        <w:tc>
          <w:tcPr>
            <w:tcW w:w="2190"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住房公积金</w:t>
            </w:r>
          </w:p>
        </w:tc>
        <w:tc>
          <w:tcPr>
            <w:tcW w:w="1275"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1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400"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38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4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67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11"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615" w:hRule="atLeast"/>
          <w:jc w:val="center"/>
        </w:trPr>
        <w:tc>
          <w:tcPr>
            <w:tcW w:w="13813" w:type="dxa"/>
            <w:gridSpan w:val="9"/>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注：本表反映部门本年度取得的各项收入情况。</w:t>
            </w:r>
          </w:p>
        </w:tc>
      </w:tr>
    </w:tbl>
    <w:p>
      <w:pPr>
        <w:widowControl/>
        <w:jc w:val="left"/>
        <w:rPr>
          <w:rFonts w:ascii="Times New Roman" w:hAnsi="Times New Roman" w:eastAsia="黑体" w:cs="Times New Roman"/>
          <w:bCs/>
          <w:color w:val="auto"/>
          <w:kern w:val="0"/>
          <w:sz w:val="32"/>
          <w:szCs w:val="32"/>
        </w:rPr>
      </w:pPr>
    </w:p>
    <w:p>
      <w:pPr>
        <w:widowControl/>
        <w:jc w:val="left"/>
        <w:rPr>
          <w:rFonts w:ascii="Times New Roman" w:hAnsi="Times New Roman" w:eastAsia="黑体" w:cs="Times New Roman"/>
          <w:bCs/>
          <w:color w:val="auto"/>
          <w:kern w:val="0"/>
          <w:sz w:val="32"/>
          <w:szCs w:val="32"/>
        </w:rPr>
      </w:pPr>
      <w:r>
        <w:rPr>
          <w:rFonts w:ascii="Times New Roman" w:hAnsi="Times New Roman" w:eastAsia="黑体" w:cs="Times New Roman"/>
          <w:bCs/>
          <w:color w:val="auto"/>
          <w:kern w:val="0"/>
          <w:sz w:val="32"/>
          <w:szCs w:val="32"/>
        </w:rPr>
        <w:br w:type="page"/>
      </w:r>
    </w:p>
    <w:p>
      <w:pPr>
        <w:widowControl/>
        <w:rPr>
          <w:rFonts w:ascii="Times New Roman" w:hAnsi="Times New Roman" w:eastAsia="方正小标宋_GBK" w:cs="Times New Roman"/>
          <w:color w:val="auto"/>
          <w:kern w:val="0"/>
          <w:sz w:val="36"/>
          <w:szCs w:val="36"/>
        </w:rPr>
      </w:pPr>
    </w:p>
    <w:p>
      <w:pPr>
        <w:widowControl/>
        <w:jc w:val="center"/>
        <w:rPr>
          <w:rFonts w:ascii="Times New Roman" w:hAnsi="Times New Roman" w:eastAsia="方正小标宋_GBK" w:cs="Times New Roman"/>
          <w:color w:val="auto"/>
          <w:kern w:val="0"/>
          <w:sz w:val="36"/>
          <w:szCs w:val="36"/>
        </w:rPr>
      </w:pPr>
      <w:r>
        <w:rPr>
          <w:rFonts w:ascii="Times New Roman" w:hAnsi="Times New Roman" w:eastAsia="方正小标宋_GBK" w:cs="Times New Roman"/>
          <w:color w:val="auto"/>
          <w:kern w:val="0"/>
          <w:sz w:val="36"/>
          <w:szCs w:val="36"/>
        </w:rPr>
        <w:t>支出决算表</w:t>
      </w:r>
    </w:p>
    <w:p>
      <w:pPr>
        <w:widowControl/>
        <w:spacing w:line="400" w:lineRule="exact"/>
        <w:jc w:val="left"/>
        <w:rPr>
          <w:rFonts w:ascii="Times New Roman" w:hAnsi="Times New Roman" w:eastAsia="仿宋_GB2312" w:cs="Times New Roman"/>
          <w:color w:val="auto"/>
          <w:kern w:val="0"/>
          <w:sz w:val="20"/>
          <w:szCs w:val="20"/>
        </w:rPr>
      </w:pPr>
      <w:r>
        <w:rPr>
          <w:rFonts w:ascii="Times New Roman" w:hAnsi="Times New Roman" w:eastAsia="仿宋_GB2312" w:cs="Times New Roman"/>
          <w:color w:val="auto"/>
          <w:kern w:val="0"/>
          <w:sz w:val="20"/>
          <w:szCs w:val="20"/>
        </w:rPr>
        <w:t xml:space="preserve"> </w:t>
      </w:r>
      <w:r>
        <w:rPr>
          <w:rFonts w:hint="eastAsia" w:ascii="Times New Roman" w:hAnsi="Times New Roman" w:eastAsia="仿宋_GB2312" w:cs="Times New Roman"/>
          <w:color w:val="auto"/>
          <w:kern w:val="0"/>
          <w:sz w:val="20"/>
          <w:szCs w:val="20"/>
          <w:lang w:val="en-US" w:eastAsia="zh-CN"/>
        </w:rPr>
        <w:t xml:space="preserve">     </w:t>
      </w:r>
      <w:r>
        <w:rPr>
          <w:rFonts w:hint="eastAsia" w:ascii="Times New Roman" w:hAnsi="Times New Roman" w:eastAsia="仿宋_GB2312" w:cs="Times New Roman"/>
          <w:color w:val="auto"/>
          <w:kern w:val="0"/>
          <w:szCs w:val="21"/>
          <w:lang w:eastAsia="zh-CN"/>
        </w:rPr>
        <w:t>部门：湘乡市建设工程质量安全监督站</w:t>
      </w:r>
      <w:r>
        <w:rPr>
          <w:rFonts w:ascii="Times New Roman" w:hAnsi="Times New Roman" w:eastAsia="仿宋_GB2312" w:cs="Times New Roman"/>
          <w:color w:val="auto"/>
          <w:kern w:val="0"/>
          <w:sz w:val="20"/>
          <w:szCs w:val="20"/>
        </w:rPr>
        <w:t xml:space="preserve">                                                                                                公开03表</w:t>
      </w:r>
    </w:p>
    <w:p>
      <w:pPr>
        <w:widowControl/>
        <w:spacing w:line="400" w:lineRule="exact"/>
        <w:ind w:right="700"/>
        <w:jc w:val="right"/>
        <w:rPr>
          <w:rFonts w:ascii="Times New Roman" w:hAnsi="Times New Roman" w:eastAsia="仿宋_GB2312" w:cs="Times New Roman"/>
          <w:color w:val="auto"/>
          <w:kern w:val="0"/>
          <w:sz w:val="20"/>
          <w:szCs w:val="20"/>
        </w:rPr>
      </w:pPr>
      <w:r>
        <w:rPr>
          <w:rFonts w:ascii="Times New Roman" w:hAnsi="Times New Roman" w:eastAsia="仿宋_GB2312" w:cs="Times New Roman"/>
          <w:color w:val="auto"/>
          <w:kern w:val="0"/>
          <w:sz w:val="20"/>
          <w:szCs w:val="20"/>
        </w:rPr>
        <w:t>单位：万元</w:t>
      </w:r>
    </w:p>
    <w:tbl>
      <w:tblPr>
        <w:tblStyle w:val="5"/>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2418"/>
        <w:gridCol w:w="1470"/>
        <w:gridCol w:w="1500"/>
        <w:gridCol w:w="1905"/>
        <w:gridCol w:w="1725"/>
        <w:gridCol w:w="1905"/>
        <w:gridCol w:w="20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520" w:type="dxa"/>
            <w:gridSpan w:val="2"/>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项    目</w:t>
            </w:r>
          </w:p>
        </w:tc>
        <w:tc>
          <w:tcPr>
            <w:tcW w:w="1470"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本年支出合计</w:t>
            </w:r>
          </w:p>
        </w:tc>
        <w:tc>
          <w:tcPr>
            <w:tcW w:w="1500"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基本支出</w:t>
            </w:r>
          </w:p>
        </w:tc>
        <w:tc>
          <w:tcPr>
            <w:tcW w:w="1905"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项目支出</w:t>
            </w:r>
          </w:p>
        </w:tc>
        <w:tc>
          <w:tcPr>
            <w:tcW w:w="1725"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上缴上级支出</w:t>
            </w:r>
          </w:p>
        </w:tc>
        <w:tc>
          <w:tcPr>
            <w:tcW w:w="1905"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经营支出</w:t>
            </w:r>
          </w:p>
        </w:tc>
        <w:tc>
          <w:tcPr>
            <w:tcW w:w="2064"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功能分类科目编码</w:t>
            </w:r>
          </w:p>
        </w:tc>
        <w:tc>
          <w:tcPr>
            <w:tcW w:w="2418" w:type="dxa"/>
            <w:vMerge w:val="restart"/>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科目名称</w:t>
            </w:r>
          </w:p>
        </w:tc>
        <w:tc>
          <w:tcPr>
            <w:tcW w:w="1470"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500"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90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72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90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2064"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2418"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470"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500"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90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72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1905"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c>
          <w:tcPr>
            <w:tcW w:w="2064" w:type="dxa"/>
            <w:vMerge w:val="continue"/>
            <w:shd w:val="clear" w:color="auto" w:fill="auto"/>
            <w:vAlign w:val="center"/>
          </w:tcPr>
          <w:p>
            <w:pPr>
              <w:widowControl/>
              <w:jc w:val="left"/>
              <w:rPr>
                <w:rFonts w:ascii="Times New Roman" w:hAnsi="Times New Roman" w:eastAsia="仿宋_GB2312" w:cs="Times New Roman"/>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520" w:type="dxa"/>
            <w:gridSpan w:val="2"/>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栏次</w:t>
            </w:r>
          </w:p>
        </w:tc>
        <w:tc>
          <w:tcPr>
            <w:tcW w:w="147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50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905"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725"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905"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206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3520" w:type="dxa"/>
            <w:gridSpan w:val="2"/>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350.47</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350.47</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社会保障和就业支出</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行政事业单位离退休</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2080505</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机关事业单位基本养老保险缴费支出</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38.43</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财政对其他社会保险基金的补助</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3.90</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3.90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2082701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财政对失业保险基金的补助</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1.67</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1.67</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2082702</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财政对工伤保险基金的补助</w:t>
            </w:r>
          </w:p>
        </w:tc>
        <w:tc>
          <w:tcPr>
            <w:tcW w:w="147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2.22</w:t>
            </w:r>
            <w:r>
              <w:rPr>
                <w:rFonts w:ascii="Times New Roman" w:hAnsi="Times New Roman" w:eastAsia="仿宋_GB2312" w:cs="Times New Roman"/>
                <w:color w:val="auto"/>
                <w:kern w:val="0"/>
                <w:szCs w:val="21"/>
              </w:rPr>
              <w:t>　</w:t>
            </w:r>
          </w:p>
        </w:tc>
        <w:tc>
          <w:tcPr>
            <w:tcW w:w="150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2.22</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72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1905"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2064"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卫生健康支出</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行政事业单位医疗</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2101102</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事业单位医疗</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城乡社区支出</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241.10</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241.10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城乡社区管理事务</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133.13</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133.13</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2120101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行政运行</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121.13</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2120106</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工程建设管理</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建设市场管理与监督</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2120601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建设市场管理与监督</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住房保障支出</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住房改革支出</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2210201</w:t>
            </w:r>
          </w:p>
        </w:tc>
        <w:tc>
          <w:tcPr>
            <w:tcW w:w="2418"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住房公积金</w:t>
            </w:r>
          </w:p>
        </w:tc>
        <w:tc>
          <w:tcPr>
            <w:tcW w:w="147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500"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72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905"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2064" w:type="dxa"/>
            <w:shd w:val="clear" w:color="auto" w:fill="auto"/>
            <w:noWrap/>
            <w:vAlign w:val="center"/>
          </w:tcPr>
          <w:p>
            <w:pPr>
              <w:widowControl/>
              <w:jc w:val="righ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bl>
    <w:p>
      <w:pPr>
        <w:widowControl/>
        <w:ind w:firstLine="630" w:firstLineChars="300"/>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注：本表反映部门本年度各项支出情况。</w:t>
      </w:r>
    </w:p>
    <w:p>
      <w:pPr>
        <w:widowControl/>
        <w:jc w:val="left"/>
        <w:rPr>
          <w:rFonts w:ascii="Times New Roman" w:hAnsi="Times New Roman" w:eastAsia="仿宋_GB2312" w:cs="Times New Roman"/>
          <w:bCs/>
          <w:color w:val="auto"/>
          <w:kern w:val="0"/>
          <w:szCs w:val="21"/>
        </w:rPr>
      </w:pPr>
      <w:r>
        <w:rPr>
          <w:rFonts w:ascii="Times New Roman" w:hAnsi="Times New Roman" w:eastAsia="仿宋_GB2312" w:cs="Times New Roman"/>
          <w:bCs/>
          <w:color w:val="auto"/>
          <w:kern w:val="0"/>
          <w:szCs w:val="21"/>
        </w:rPr>
        <w:br w:type="page"/>
      </w:r>
    </w:p>
    <w:p>
      <w:pPr>
        <w:widowControl/>
        <w:ind w:left="93"/>
        <w:jc w:val="center"/>
        <w:rPr>
          <w:rFonts w:ascii="Times New Roman" w:hAnsi="Times New Roman" w:eastAsia="方正小标宋_GBK" w:cs="Times New Roman"/>
          <w:color w:val="auto"/>
          <w:kern w:val="0"/>
          <w:sz w:val="36"/>
          <w:szCs w:val="21"/>
        </w:rPr>
      </w:pPr>
      <w:r>
        <w:rPr>
          <w:rFonts w:ascii="Times New Roman" w:hAnsi="Times New Roman" w:eastAsia="方正小标宋_GBK" w:cs="Times New Roman"/>
          <w:color w:val="auto"/>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公开04表</w:t>
      </w:r>
    </w:p>
    <w:p>
      <w:pPr>
        <w:widowControl/>
        <w:tabs>
          <w:tab w:val="left" w:pos="13725"/>
          <w:tab w:val="left" w:pos="13755"/>
          <w:tab w:val="left" w:pos="13800"/>
        </w:tabs>
        <w:spacing w:line="240" w:lineRule="exact"/>
        <w:ind w:left="91" w:firstLine="315" w:firstLineChars="150"/>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eastAsia="zh-CN"/>
        </w:rPr>
        <w:t>部门：湘乡市建设工程质量安全监督站</w:t>
      </w:r>
      <w:r>
        <w:rPr>
          <w:rFonts w:ascii="Times New Roman" w:hAnsi="Times New Roman" w:eastAsia="仿宋_GB2312" w:cs="Times New Roman"/>
          <w:color w:val="auto"/>
          <w:kern w:val="0"/>
          <w:szCs w:val="21"/>
        </w:rPr>
        <w:tab/>
      </w:r>
      <w:r>
        <w:rPr>
          <w:rFonts w:ascii="Times New Roman" w:hAnsi="Times New Roman" w:eastAsia="仿宋_GB2312" w:cs="Times New Roman"/>
          <w:color w:val="auto"/>
          <w:kern w:val="0"/>
          <w:szCs w:val="21"/>
        </w:rPr>
        <w:t>单位：万元</w:t>
      </w:r>
    </w:p>
    <w:tbl>
      <w:tblPr>
        <w:tblStyle w:val="5"/>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收入</w:t>
            </w:r>
          </w:p>
        </w:tc>
        <w:tc>
          <w:tcPr>
            <w:tcW w:w="9303" w:type="dxa"/>
            <w:gridSpan w:val="5"/>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    目</w:t>
            </w:r>
          </w:p>
        </w:tc>
        <w:tc>
          <w:tcPr>
            <w:tcW w:w="480"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金额</w:t>
            </w:r>
          </w:p>
        </w:tc>
        <w:tc>
          <w:tcPr>
            <w:tcW w:w="3761"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    目</w:t>
            </w:r>
          </w:p>
        </w:tc>
        <w:tc>
          <w:tcPr>
            <w:tcW w:w="430"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合计</w:t>
            </w:r>
          </w:p>
        </w:tc>
        <w:tc>
          <w:tcPr>
            <w:tcW w:w="1660" w:type="dxa"/>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一般公共预算财政拨款</w:t>
            </w:r>
          </w:p>
        </w:tc>
        <w:tc>
          <w:tcPr>
            <w:tcW w:w="1572" w:type="dxa"/>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    次</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3761"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    次</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572"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一、一般公共预算财政拨款</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200.93</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一、一般公共服务支出…</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15</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二、政府性基金预算财政拨款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八、社会保障和就业支出</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16</w:t>
            </w:r>
          </w:p>
        </w:tc>
        <w:tc>
          <w:tcPr>
            <w:tcW w:w="1880" w:type="dxa"/>
            <w:shd w:val="clear" w:color="auto" w:fill="auto"/>
            <w:noWrap/>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42.33</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42.33</w:t>
            </w: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九、卫生健康支出</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17</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45.84</w:t>
            </w: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45.84</w:t>
            </w: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十一、城乡社区支出</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18</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119.97</w:t>
            </w: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119.97</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十九、住房保障支出</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19</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21.21</w:t>
            </w: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21.21</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20</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7</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21</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8</w:t>
            </w:r>
          </w:p>
        </w:tc>
        <w:tc>
          <w:tcPr>
            <w:tcW w:w="1880"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22</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color w:val="auto"/>
                <w:kern w:val="0"/>
                <w:szCs w:val="21"/>
              </w:rPr>
            </w:pPr>
            <w:r>
              <w:rPr>
                <w:rFonts w:ascii="Times New Roman" w:hAnsi="Times New Roman" w:eastAsia="仿宋_GB2312" w:cs="Times New Roman"/>
                <w:b/>
                <w:bCs/>
                <w:color w:val="auto"/>
                <w:kern w:val="0"/>
                <w:szCs w:val="21"/>
              </w:rPr>
              <w:t>本年收入合计</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9</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200.93</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color w:val="auto"/>
                <w:kern w:val="0"/>
                <w:szCs w:val="21"/>
              </w:rPr>
            </w:pPr>
            <w:r>
              <w:rPr>
                <w:rFonts w:ascii="Times New Roman" w:hAnsi="Times New Roman" w:eastAsia="仿宋_GB2312" w:cs="Times New Roman"/>
                <w:b/>
                <w:bCs/>
                <w:color w:val="auto"/>
                <w:kern w:val="0"/>
                <w:szCs w:val="21"/>
              </w:rPr>
              <w:t>本年支出合计</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23</w:t>
            </w:r>
          </w:p>
        </w:tc>
        <w:tc>
          <w:tcPr>
            <w:tcW w:w="1880" w:type="dxa"/>
            <w:shd w:val="clear" w:color="auto" w:fill="auto"/>
            <w:noWrap/>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229.34</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229.34</w:t>
            </w: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hint="default" w:ascii="Times New Roman" w:hAnsi="Times New Roman" w:eastAsia="仿宋_GB2312" w:cs="Times New Roman"/>
                <w:b/>
                <w:bCs/>
                <w:color w:val="auto"/>
                <w:kern w:val="0"/>
                <w:szCs w:val="21"/>
                <w:lang w:val="en-US" w:eastAsia="zh-CN"/>
              </w:rPr>
            </w:pPr>
            <w:r>
              <w:rPr>
                <w:rFonts w:ascii="Times New Roman" w:hAnsi="Times New Roman" w:eastAsia="仿宋_GB2312" w:cs="Times New Roman"/>
                <w:b/>
                <w:bCs/>
                <w:color w:val="auto"/>
                <w:kern w:val="0"/>
                <w:szCs w:val="21"/>
              </w:rPr>
              <w:t>　</w:t>
            </w:r>
            <w:r>
              <w:rPr>
                <w:rFonts w:hint="eastAsia" w:ascii="Times New Roman" w:hAnsi="Times New Roman" w:eastAsia="仿宋_GB2312" w:cs="Times New Roman"/>
                <w:b/>
                <w:bCs/>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年初财政拨款结转和结余</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10</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52.74</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年末财政拨款结转和结余</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24</w:t>
            </w:r>
          </w:p>
        </w:tc>
        <w:tc>
          <w:tcPr>
            <w:tcW w:w="1880" w:type="dxa"/>
            <w:shd w:val="clear" w:color="auto" w:fill="auto"/>
            <w:noWrap/>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24.33</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24.33</w:t>
            </w: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一、</w:t>
            </w:r>
            <w:r>
              <w:rPr>
                <w:rFonts w:ascii="Times New Roman" w:hAnsi="Times New Roman" w:eastAsia="仿宋_GB2312" w:cs="Times New Roman"/>
                <w:color w:val="auto"/>
                <w:kern w:val="0"/>
                <w:szCs w:val="21"/>
              </w:rPr>
              <w:t>一般公共预算财政拨款</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11</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52.74</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25</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二、</w:t>
            </w:r>
            <w:r>
              <w:rPr>
                <w:rFonts w:ascii="Times New Roman" w:hAnsi="Times New Roman" w:eastAsia="仿宋_GB2312" w:cs="Times New Roman"/>
                <w:color w:val="auto"/>
                <w:kern w:val="0"/>
                <w:szCs w:val="21"/>
              </w:rPr>
              <w:t>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12</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26</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13</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27</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color w:val="auto"/>
                <w:kern w:val="0"/>
                <w:szCs w:val="21"/>
              </w:rPr>
            </w:pPr>
            <w:r>
              <w:rPr>
                <w:rFonts w:ascii="Times New Roman" w:hAnsi="Times New Roman" w:eastAsia="仿宋_GB2312" w:cs="Times New Roman"/>
                <w:b/>
                <w:bCs/>
                <w:color w:val="auto"/>
                <w:kern w:val="0"/>
                <w:szCs w:val="21"/>
              </w:rPr>
              <w:t>总计</w:t>
            </w:r>
          </w:p>
        </w:tc>
        <w:tc>
          <w:tcPr>
            <w:tcW w:w="4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14</w:t>
            </w:r>
          </w:p>
        </w:tc>
        <w:tc>
          <w:tcPr>
            <w:tcW w:w="1880" w:type="dxa"/>
            <w:shd w:val="clear" w:color="auto" w:fill="auto"/>
            <w:noWrap/>
            <w:vAlign w:val="center"/>
          </w:tcPr>
          <w:p>
            <w:pPr>
              <w:widowControl/>
              <w:jc w:val="righ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253.67</w:t>
            </w:r>
            <w:r>
              <w:rPr>
                <w:rFonts w:ascii="Times New Roman" w:hAnsi="Times New Roman" w:eastAsia="仿宋_GB2312" w:cs="Times New Roman"/>
                <w:color w:val="auto"/>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color w:val="auto"/>
                <w:kern w:val="0"/>
                <w:szCs w:val="21"/>
              </w:rPr>
            </w:pPr>
            <w:r>
              <w:rPr>
                <w:rFonts w:ascii="Times New Roman" w:hAnsi="Times New Roman" w:eastAsia="仿宋_GB2312" w:cs="Times New Roman"/>
                <w:b/>
                <w:bCs/>
                <w:color w:val="auto"/>
                <w:kern w:val="0"/>
                <w:szCs w:val="21"/>
              </w:rPr>
              <w:t>总计</w:t>
            </w:r>
          </w:p>
        </w:tc>
        <w:tc>
          <w:tcPr>
            <w:tcW w:w="43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28</w:t>
            </w:r>
          </w:p>
        </w:tc>
        <w:tc>
          <w:tcPr>
            <w:tcW w:w="188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253.67</w:t>
            </w:r>
            <w:r>
              <w:rPr>
                <w:rFonts w:ascii="Times New Roman" w:hAnsi="Times New Roman" w:eastAsia="仿宋_GB2312" w:cs="Times New Roman"/>
                <w:color w:val="auto"/>
                <w:kern w:val="0"/>
                <w:szCs w:val="21"/>
              </w:rPr>
              <w:t>　</w:t>
            </w:r>
          </w:p>
        </w:tc>
        <w:tc>
          <w:tcPr>
            <w:tcW w:w="1660" w:type="dxa"/>
            <w:shd w:val="clear" w:color="auto" w:fill="auto"/>
            <w:noWrap/>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253.67</w:t>
            </w:r>
            <w:r>
              <w:rPr>
                <w:rFonts w:ascii="Times New Roman" w:hAnsi="Times New Roman" w:eastAsia="仿宋_GB2312" w:cs="Times New Roman"/>
                <w:color w:val="auto"/>
                <w:kern w:val="0"/>
                <w:szCs w:val="21"/>
              </w:rPr>
              <w:t>　</w:t>
            </w:r>
          </w:p>
        </w:tc>
        <w:tc>
          <w:tcPr>
            <w:tcW w:w="1572" w:type="dxa"/>
            <w:shd w:val="clear" w:color="auto" w:fill="auto"/>
            <w:noWrap/>
            <w:vAlign w:val="center"/>
          </w:tcPr>
          <w:p>
            <w:pPr>
              <w:widowControl/>
              <w:jc w:val="left"/>
              <w:rPr>
                <w:rFonts w:hint="default" w:ascii="Times New Roman" w:hAnsi="Times New Roman" w:eastAsia="仿宋_GB2312" w:cs="Times New Roman"/>
                <w:b/>
                <w:bCs/>
                <w:color w:val="auto"/>
                <w:kern w:val="0"/>
                <w:szCs w:val="21"/>
                <w:lang w:val="en-US" w:eastAsia="zh-CN"/>
              </w:rPr>
            </w:pPr>
            <w:r>
              <w:rPr>
                <w:rFonts w:ascii="Times New Roman" w:hAnsi="Times New Roman" w:eastAsia="仿宋_GB2312" w:cs="Times New Roman"/>
                <w:b/>
                <w:bCs/>
                <w:color w:val="auto"/>
                <w:kern w:val="0"/>
                <w:szCs w:val="21"/>
              </w:rPr>
              <w:t>　</w:t>
            </w:r>
            <w:r>
              <w:rPr>
                <w:rFonts w:hint="eastAsia" w:ascii="Times New Roman" w:hAnsi="Times New Roman" w:eastAsia="仿宋_GB2312" w:cs="Times New Roman"/>
                <w:b/>
                <w:bCs/>
                <w:color w:val="auto"/>
                <w:kern w:val="0"/>
                <w:szCs w:val="21"/>
                <w:lang w:val="en-US" w:eastAsia="zh-CN"/>
              </w:rPr>
              <w:t>0.00</w:t>
            </w:r>
          </w:p>
        </w:tc>
      </w:tr>
    </w:tbl>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注：本表反映部门本年度一般公共预算财政拨款和政府性基金预算财政拨款的总收支和年末结转结余情况。</w:t>
      </w:r>
    </w:p>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br w:type="page"/>
      </w:r>
    </w:p>
    <w:p>
      <w:pPr>
        <w:widowControl/>
        <w:jc w:val="center"/>
        <w:rPr>
          <w:rFonts w:ascii="Times New Roman" w:hAnsi="Times New Roman" w:eastAsia="方正小标宋_GBK" w:cs="Times New Roman"/>
          <w:color w:val="auto"/>
          <w:kern w:val="0"/>
          <w:sz w:val="36"/>
          <w:szCs w:val="36"/>
        </w:rPr>
      </w:pPr>
      <w:bookmarkStart w:id="0" w:name="RANGE!A1:F16"/>
      <w:r>
        <w:rPr>
          <w:rFonts w:ascii="Times New Roman" w:hAnsi="Times New Roman" w:eastAsia="方正小标宋_GBK" w:cs="Times New Roman"/>
          <w:color w:val="auto"/>
          <w:kern w:val="0"/>
          <w:sz w:val="36"/>
          <w:szCs w:val="36"/>
        </w:rPr>
        <w:t>一般公共预算财政拨款支出决算表</w:t>
      </w:r>
      <w:bookmarkEnd w:id="0"/>
    </w:p>
    <w:p>
      <w:pPr>
        <w:widowControl/>
        <w:spacing w:before="156" w:beforeLines="50"/>
        <w:jc w:val="left"/>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rPr>
        <w:t xml:space="preserve">    </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lang w:eastAsia="zh-CN"/>
        </w:rPr>
        <w:t>部门：湘乡市建设工程质量安全监督站</w:t>
      </w: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 xml:space="preserve">                                          </w:t>
      </w:r>
      <w:r>
        <w:rPr>
          <w:rFonts w:ascii="Times New Roman" w:hAnsi="Times New Roman" w:eastAsia="仿宋_GB2312" w:cs="Times New Roman"/>
          <w:color w:val="auto"/>
          <w:kern w:val="0"/>
          <w:szCs w:val="21"/>
        </w:rPr>
        <w:t xml:space="preserve">                               公开05表</w:t>
      </w:r>
    </w:p>
    <w:p>
      <w:pPr>
        <w:widowControl/>
        <w:jc w:val="left"/>
        <w:rPr>
          <w:rFonts w:ascii="Times New Roman" w:hAnsi="Times New Roman" w:eastAsia="宋体" w:cs="Times New Roman"/>
          <w:color w:val="auto"/>
          <w:kern w:val="0"/>
          <w:sz w:val="20"/>
          <w:szCs w:val="20"/>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rPr>
        <w:t xml:space="preserve">      </w:t>
      </w:r>
      <w:r>
        <w:rPr>
          <w:rFonts w:ascii="Times New Roman" w:hAnsi="Times New Roman" w:eastAsia="仿宋_GB2312" w:cs="Times New Roman"/>
          <w:color w:val="auto"/>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42.33</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42.33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行政事业单位离退休</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38.43</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38.43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2080505</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38.43</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38.43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20827</w:t>
            </w:r>
            <w:r>
              <w:rPr>
                <w:rFonts w:ascii="Times New Roman" w:hAnsi="Times New Roman" w:eastAsia="仿宋_GB2312" w:cs="Times New Roman"/>
                <w:color w:val="auto"/>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财政对其他社会保险基金的补助</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3.90</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3.90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2082701</w:t>
            </w:r>
            <w:r>
              <w:rPr>
                <w:rFonts w:ascii="Times New Roman" w:hAnsi="Times New Roman" w:eastAsia="仿宋_GB2312" w:cs="Times New Roman"/>
                <w:color w:val="auto"/>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财政对失业保险基金的补助</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1.67</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1.67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2082702</w:t>
            </w:r>
            <w:r>
              <w:rPr>
                <w:rFonts w:ascii="Times New Roman" w:hAnsi="Times New Roman" w:eastAsia="仿宋_GB2312" w:cs="Times New Roman"/>
                <w:color w:val="auto"/>
                <w:kern w:val="0"/>
                <w:szCs w:val="21"/>
              </w:rPr>
              <w:t>　</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财政对工伤保险基金的补助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2.22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2.22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2101102</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事业单位医疗</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45.84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城乡社区支出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119.97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119.97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城乡社区管理事务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2120106</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工程建设管理</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建设市场管理与监督</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2120601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建设市场管理与监督</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107.97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住房改革支出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2210201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住房公积金</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21.21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注：本表反映部门本年度一般公共预算财政拨款支出情况。</w:t>
            </w:r>
          </w:p>
        </w:tc>
      </w:tr>
    </w:tbl>
    <w:p>
      <w:pPr>
        <w:widowControl/>
        <w:jc w:val="left"/>
        <w:rPr>
          <w:rFonts w:ascii="Times New Roman" w:hAnsi="Times New Roman" w:eastAsia="仿宋_GB2312" w:cs="Times New Roman"/>
          <w:bCs/>
          <w:color w:val="auto"/>
          <w:kern w:val="0"/>
          <w:szCs w:val="21"/>
        </w:rPr>
      </w:pPr>
    </w:p>
    <w:p>
      <w:pPr>
        <w:widowControl/>
        <w:jc w:val="left"/>
        <w:rPr>
          <w:rFonts w:ascii="Times New Roman" w:hAnsi="Times New Roman" w:eastAsia="仿宋_GB2312" w:cs="Times New Roman"/>
          <w:bCs/>
          <w:color w:val="auto"/>
          <w:kern w:val="0"/>
          <w:szCs w:val="21"/>
        </w:rPr>
      </w:pPr>
      <w:r>
        <w:rPr>
          <w:rFonts w:ascii="Times New Roman" w:hAnsi="Times New Roman" w:eastAsia="仿宋_GB2312" w:cs="Times New Roman"/>
          <w:bCs/>
          <w:color w:val="auto"/>
          <w:kern w:val="0"/>
          <w:szCs w:val="21"/>
        </w:rPr>
        <w:br w:type="page"/>
      </w:r>
    </w:p>
    <w:p>
      <w:pPr>
        <w:widowControl/>
        <w:jc w:val="center"/>
        <w:rPr>
          <w:rFonts w:ascii="Times New Roman" w:hAnsi="Times New Roman" w:eastAsia="方正小标宋_GBK" w:cs="Times New Roman"/>
          <w:color w:val="auto"/>
          <w:kern w:val="0"/>
          <w:sz w:val="28"/>
          <w:szCs w:val="36"/>
        </w:rPr>
      </w:pPr>
      <w:bookmarkStart w:id="1" w:name="RANGE!A1:I39"/>
      <w:r>
        <w:rPr>
          <w:rFonts w:ascii="Times New Roman" w:hAnsi="Times New Roman" w:eastAsia="方正小标宋_GBK" w:cs="Times New Roman"/>
          <w:color w:val="auto"/>
          <w:kern w:val="0"/>
          <w:sz w:val="28"/>
          <w:szCs w:val="36"/>
        </w:rPr>
        <w:t>一般公共预算财政拨款基本支出决算表</w:t>
      </w:r>
      <w:bookmarkEnd w:id="1"/>
    </w:p>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lang w:eastAsia="zh-CN"/>
        </w:rPr>
        <w:t>：湘乡市建设工程质量安全监督站</w:t>
      </w:r>
      <w:r>
        <w:rPr>
          <w:rFonts w:ascii="Times New Roman" w:hAnsi="Times New Roman" w:eastAsia="仿宋_GB2312" w:cs="Times New Roman"/>
          <w:color w:val="auto"/>
          <w:kern w:val="0"/>
          <w:szCs w:val="21"/>
        </w:rPr>
        <w:t xml:space="preserve">                                                                                                       公开06表</w:t>
      </w:r>
    </w:p>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5"/>
        <w:tblW w:w="15900" w:type="dxa"/>
        <w:tblInd w:w="93" w:type="dxa"/>
        <w:tblLayout w:type="fixed"/>
        <w:tblCellMar>
          <w:top w:w="0" w:type="dxa"/>
          <w:left w:w="108" w:type="dxa"/>
          <w:bottom w:w="0" w:type="dxa"/>
          <w:right w:w="108" w:type="dxa"/>
        </w:tblCellMar>
      </w:tblPr>
      <w:tblGrid>
        <w:gridCol w:w="1149"/>
        <w:gridCol w:w="2890"/>
        <w:gridCol w:w="1272"/>
        <w:gridCol w:w="1110"/>
        <w:gridCol w:w="1938"/>
        <w:gridCol w:w="1215"/>
        <w:gridCol w:w="1076"/>
        <w:gridCol w:w="4039"/>
        <w:gridCol w:w="1211"/>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经济分类科目编码</w:t>
            </w:r>
          </w:p>
        </w:tc>
        <w:tc>
          <w:tcPr>
            <w:tcW w:w="289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科目名称</w:t>
            </w:r>
          </w:p>
        </w:tc>
        <w:tc>
          <w:tcPr>
            <w:tcW w:w="1272"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决算数</w:t>
            </w:r>
          </w:p>
        </w:tc>
        <w:tc>
          <w:tcPr>
            <w:tcW w:w="111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经济分类科目编码</w:t>
            </w:r>
          </w:p>
        </w:tc>
        <w:tc>
          <w:tcPr>
            <w:tcW w:w="1938"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科目名称</w:t>
            </w:r>
          </w:p>
        </w:tc>
        <w:tc>
          <w:tcPr>
            <w:tcW w:w="121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决算数</w:t>
            </w:r>
          </w:p>
        </w:tc>
        <w:tc>
          <w:tcPr>
            <w:tcW w:w="107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经济分类科目编码</w:t>
            </w:r>
          </w:p>
        </w:tc>
        <w:tc>
          <w:tcPr>
            <w:tcW w:w="4039"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科目名称</w:t>
            </w:r>
          </w:p>
        </w:tc>
        <w:tc>
          <w:tcPr>
            <w:tcW w:w="121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auto"/>
                <w:kern w:val="0"/>
                <w:sz w:val="20"/>
                <w:szCs w:val="20"/>
              </w:rPr>
            </w:pPr>
            <w:r>
              <w:rPr>
                <w:rFonts w:hint="eastAsia" w:ascii="仿宋_GB2312" w:hAnsi="宋体" w:eastAsia="仿宋_GB2312" w:cs="宋体"/>
                <w:b/>
                <w:bCs/>
                <w:color w:val="auto"/>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w:t>
            </w:r>
          </w:p>
        </w:tc>
        <w:tc>
          <w:tcPr>
            <w:tcW w:w="289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工资福利支出</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208.68</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w:t>
            </w:r>
          </w:p>
        </w:tc>
        <w:tc>
          <w:tcPr>
            <w:tcW w:w="1938"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商品和服务支出</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18.37</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307</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债务利息及费用支出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30101</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基本工资</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10.00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30201</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办公费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30701</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国内债务付息</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30102</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津贴补贴</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30202</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印刷费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30702</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国外债务付息</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30103</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奖金</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52.63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30203</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咨询费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资本性支出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30106</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伙食补助费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30204</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手续费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31001</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房屋建筑物购建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30107</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绩效工资</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30205</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水费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31002</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办公设备购置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30108</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机关事业单位基本养老保险费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38.43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30206</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电费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31003</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专用设备购置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30109</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职业年金缴费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36.68</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30207</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邮电费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31005</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基础设施建设</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30110</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职工基本医疗保险缴费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45.84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30208</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取暖费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31006</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大型修缮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30111</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公务员医疗补助缴费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30209</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物业管理费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31007</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信息网络及软件购置更新</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30112</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其他社会保障缴费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3.90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30211</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差旅费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31008</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物资储备</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30113</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住房公积金</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21.21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30212</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因公出国（境）费用</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31009</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土地补偿</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30114</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医疗费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30213</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维修（护）费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31010</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安置补助</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30199</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其他工资福利支出</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30214</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租赁费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31011</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地上附着物和青苗补偿</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w:t>
            </w:r>
          </w:p>
        </w:tc>
        <w:tc>
          <w:tcPr>
            <w:tcW w:w="289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对个人和家庭的补助</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2.29</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30215</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会议费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31012</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拆迁补偿</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30301</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离休费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30216</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培训费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31013</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公务用车购置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30302</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退休费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0.82</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30217</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公务接待费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31019</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其他交通工具购置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30303</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退职（役）费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30218</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专用材料费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31021</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文物和陈列品购置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30304</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抚恤金</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30224</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被装购置费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31022</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无形资产购置</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30305</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生活补助</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1.27</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30225</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专用燃料费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31099</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其他资本性支出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30306</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救济费</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30226</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劳务费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399</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其他支出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30307</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医疗费补助</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30227</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委托业务费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39906</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赠与</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30308</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助学金</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30228</w:t>
            </w:r>
          </w:p>
        </w:tc>
        <w:tc>
          <w:tcPr>
            <w:tcW w:w="1938"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工会经费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12.86</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39907</w:t>
            </w:r>
          </w:p>
        </w:tc>
        <w:tc>
          <w:tcPr>
            <w:tcW w:w="4039"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国家赔偿费用支出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30309</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奖励金</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30229</w:t>
            </w:r>
          </w:p>
        </w:tc>
        <w:tc>
          <w:tcPr>
            <w:tcW w:w="1938"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福利费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5.30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39908</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对民间非营利组织和群众性自治组织补贴</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30310</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个人农业生产补贴</w:t>
            </w:r>
          </w:p>
        </w:tc>
        <w:tc>
          <w:tcPr>
            <w:tcW w:w="1272"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30231</w:t>
            </w:r>
          </w:p>
        </w:tc>
        <w:tc>
          <w:tcPr>
            <w:tcW w:w="1938"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公务用车运行维护费</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39999</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其他支出</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rPr>
              <w:t>　</w:t>
            </w:r>
            <w:r>
              <w:rPr>
                <w:rFonts w:hint="eastAsia" w:ascii="仿宋_GB2312" w:hAnsi="宋体" w:eastAsia="仿宋_GB2312" w:cs="宋体"/>
                <w:color w:val="auto"/>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30399</w:t>
            </w:r>
          </w:p>
        </w:tc>
        <w:tc>
          <w:tcPr>
            <w:tcW w:w="2890"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xml:space="preserve">  </w:t>
            </w:r>
            <w:r>
              <w:rPr>
                <w:rFonts w:hint="eastAsia" w:ascii="仿宋_GB2312" w:hAnsi="Times New Roman" w:eastAsia="仿宋_GB2312" w:cs="Times New Roman"/>
                <w:color w:val="auto"/>
                <w:kern w:val="0"/>
                <w:sz w:val="18"/>
                <w:szCs w:val="18"/>
              </w:rPr>
              <w:t>对其他个人和家庭的补助支出</w:t>
            </w:r>
          </w:p>
        </w:tc>
        <w:tc>
          <w:tcPr>
            <w:tcW w:w="1272" w:type="dxa"/>
            <w:tcBorders>
              <w:top w:val="single" w:color="auto" w:sz="8" w:space="0"/>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110"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30239</w:t>
            </w:r>
          </w:p>
        </w:tc>
        <w:tc>
          <w:tcPr>
            <w:tcW w:w="1938"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其他交通费用</w:t>
            </w:r>
          </w:p>
        </w:tc>
        <w:tc>
          <w:tcPr>
            <w:tcW w:w="1215" w:type="dxa"/>
            <w:tcBorders>
              <w:top w:val="single" w:color="auto" w:sz="8" w:space="0"/>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07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4039"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c>
          <w:tcPr>
            <w:tcW w:w="1211" w:type="dxa"/>
            <w:tcBorders>
              <w:top w:val="single" w:color="auto" w:sz="8" w:space="0"/>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1272"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30240</w:t>
            </w:r>
          </w:p>
        </w:tc>
        <w:tc>
          <w:tcPr>
            <w:tcW w:w="1938"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税金及附加费用</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c>
          <w:tcPr>
            <w:tcW w:w="289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1272"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30299</w:t>
            </w:r>
          </w:p>
        </w:tc>
        <w:tc>
          <w:tcPr>
            <w:tcW w:w="1938"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xml:space="preserve">  其他商品和服务支出</w:t>
            </w:r>
          </w:p>
        </w:tc>
        <w:tc>
          <w:tcPr>
            <w:tcW w:w="1215" w:type="dxa"/>
            <w:tcBorders>
              <w:top w:val="nil"/>
              <w:left w:val="nil"/>
              <w:bottom w:val="single" w:color="auto" w:sz="8" w:space="0"/>
              <w:right w:val="single" w:color="auto" w:sz="8" w:space="0"/>
            </w:tcBorders>
            <w:shd w:val="clear" w:color="auto" w:fill="auto"/>
            <w:noWrap/>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0.21</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　</w:t>
            </w:r>
          </w:p>
        </w:tc>
        <w:tc>
          <w:tcPr>
            <w:tcW w:w="4039"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c>
          <w:tcPr>
            <w:tcW w:w="1211"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　</w:t>
            </w:r>
          </w:p>
        </w:tc>
      </w:tr>
      <w:tr>
        <w:tblPrEx>
          <w:tblCellMar>
            <w:top w:w="0" w:type="dxa"/>
            <w:left w:w="108" w:type="dxa"/>
            <w:bottom w:w="0" w:type="dxa"/>
            <w:right w:w="108" w:type="dxa"/>
          </w:tblCellMar>
        </w:tblPrEx>
        <w:trPr>
          <w:trHeight w:val="255" w:hRule="exact"/>
        </w:trPr>
        <w:tc>
          <w:tcPr>
            <w:tcW w:w="4039" w:type="dxa"/>
            <w:gridSpan w:val="2"/>
            <w:tcBorders>
              <w:top w:val="nil"/>
              <w:left w:val="single" w:color="auto" w:sz="8" w:space="0"/>
              <w:bottom w:val="single" w:color="auto" w:sz="8" w:space="0"/>
              <w:right w:val="single" w:color="auto" w:sz="8" w:space="0"/>
            </w:tcBorders>
            <w:shd w:val="clear" w:color="auto" w:fill="auto"/>
            <w:noWrap/>
          </w:tcPr>
          <w:p>
            <w:pPr>
              <w:widowControl/>
              <w:jc w:val="center"/>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人员经费合计</w:t>
            </w:r>
          </w:p>
        </w:tc>
        <w:tc>
          <w:tcPr>
            <w:tcW w:w="1272" w:type="dxa"/>
            <w:tcBorders>
              <w:top w:val="nil"/>
              <w:left w:val="nil"/>
              <w:bottom w:val="single" w:color="auto" w:sz="8" w:space="0"/>
              <w:right w:val="single" w:color="auto" w:sz="8" w:space="0"/>
            </w:tcBorders>
            <w:shd w:val="clear" w:color="auto" w:fill="auto"/>
            <w:noWrap/>
            <w:vAlign w:val="center"/>
          </w:tcPr>
          <w:p>
            <w:pPr>
              <w:widowControl/>
              <w:rPr>
                <w:rFonts w:hint="default"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　</w:t>
            </w:r>
            <w:r>
              <w:rPr>
                <w:rFonts w:hint="eastAsia" w:ascii="Times New Roman" w:hAnsi="Times New Roman" w:eastAsia="宋体" w:cs="Times New Roman"/>
                <w:color w:val="auto"/>
                <w:kern w:val="0"/>
                <w:sz w:val="18"/>
                <w:szCs w:val="18"/>
                <w:lang w:val="en-US" w:eastAsia="zh-CN"/>
              </w:rPr>
              <w:t>210.97</w:t>
            </w:r>
          </w:p>
        </w:tc>
        <w:tc>
          <w:tcPr>
            <w:tcW w:w="9378" w:type="dxa"/>
            <w:gridSpan w:val="5"/>
            <w:tcBorders>
              <w:top w:val="nil"/>
              <w:left w:val="nil"/>
              <w:bottom w:val="single" w:color="auto" w:sz="8" w:space="0"/>
              <w:right w:val="single" w:color="auto" w:sz="8" w:space="0"/>
            </w:tcBorders>
            <w:shd w:val="clear" w:color="auto" w:fill="auto"/>
            <w:noWrap/>
          </w:tcPr>
          <w:p>
            <w:pPr>
              <w:widowControl/>
              <w:jc w:val="center"/>
              <w:rPr>
                <w:rFonts w:ascii="仿宋_GB2312" w:hAnsi="宋体" w:eastAsia="仿宋_GB2312" w:cs="宋体"/>
                <w:color w:val="auto"/>
                <w:kern w:val="0"/>
                <w:sz w:val="18"/>
                <w:szCs w:val="18"/>
              </w:rPr>
            </w:pPr>
            <w:r>
              <w:rPr>
                <w:rFonts w:hint="eastAsia" w:ascii="仿宋_GB2312" w:hAnsi="宋体" w:eastAsia="仿宋_GB2312" w:cs="宋体"/>
                <w:color w:val="auto"/>
                <w:kern w:val="0"/>
                <w:sz w:val="18"/>
                <w:szCs w:val="18"/>
              </w:rPr>
              <w:t>公用经费合计</w:t>
            </w:r>
          </w:p>
        </w:tc>
        <w:tc>
          <w:tcPr>
            <w:tcW w:w="1211" w:type="dxa"/>
            <w:tcBorders>
              <w:top w:val="nil"/>
              <w:left w:val="nil"/>
              <w:bottom w:val="single" w:color="auto" w:sz="8" w:space="0"/>
              <w:right w:val="single" w:color="auto" w:sz="8" w:space="0"/>
            </w:tcBorders>
            <w:shd w:val="clear" w:color="auto" w:fill="auto"/>
            <w:vAlign w:val="center"/>
          </w:tcPr>
          <w:p>
            <w:pPr>
              <w:widowControl/>
              <w:rPr>
                <w:rFonts w:hint="default" w:ascii="仿宋_GB2312" w:hAnsi="宋体" w:eastAsia="仿宋_GB2312" w:cs="宋体"/>
                <w:color w:val="auto"/>
                <w:kern w:val="0"/>
                <w:sz w:val="18"/>
                <w:szCs w:val="18"/>
                <w:lang w:val="en-US" w:eastAsia="zh-CN"/>
              </w:rPr>
            </w:pPr>
            <w:r>
              <w:rPr>
                <w:rFonts w:hint="eastAsia" w:ascii="仿宋_GB2312" w:hAnsi="宋体" w:eastAsia="仿宋_GB2312" w:cs="宋体"/>
                <w:color w:val="auto"/>
                <w:kern w:val="0"/>
                <w:sz w:val="18"/>
                <w:szCs w:val="18"/>
                <w:lang w:val="en-US" w:eastAsia="zh-CN"/>
              </w:rPr>
              <w:t>18.37</w:t>
            </w:r>
          </w:p>
        </w:tc>
      </w:tr>
    </w:tbl>
    <w:p>
      <w:pPr>
        <w:widowControl/>
        <w:jc w:val="left"/>
        <w:rPr>
          <w:rFonts w:ascii="黑体" w:hAnsi="黑体" w:eastAsia="黑体"/>
          <w:color w:val="auto"/>
          <w:szCs w:val="21"/>
        </w:rPr>
      </w:pPr>
      <w:r>
        <w:rPr>
          <w:rFonts w:hint="eastAsia" w:ascii="黑体" w:hAnsi="黑体" w:eastAsia="黑体"/>
          <w:color w:val="auto"/>
          <w:szCs w:val="21"/>
        </w:rPr>
        <w:t>注：本表反映部门年度一般公共预算财政拨款基本支出明细情况。</w:t>
      </w:r>
      <w:r>
        <w:rPr>
          <w:rFonts w:ascii="黑体" w:hAnsi="黑体" w:eastAsia="黑体"/>
          <w:color w:val="auto"/>
          <w:szCs w:val="21"/>
        </w:rPr>
        <w:br w:type="page"/>
      </w:r>
    </w:p>
    <w:p>
      <w:pPr>
        <w:widowControl/>
        <w:jc w:val="center"/>
        <w:rPr>
          <w:rFonts w:ascii="Times New Roman" w:hAnsi="Times New Roman" w:eastAsia="方正小标宋_GBK" w:cs="Times New Roman"/>
          <w:color w:val="auto"/>
          <w:kern w:val="0"/>
          <w:sz w:val="36"/>
          <w:szCs w:val="36"/>
        </w:rPr>
      </w:pPr>
      <w:r>
        <w:rPr>
          <w:rFonts w:hint="eastAsia" w:ascii="Times New Roman" w:hAnsi="Times New Roman" w:eastAsia="方正小标宋_GBK" w:cs="Times New Roman"/>
          <w:color w:val="auto"/>
          <w:kern w:val="0"/>
          <w:sz w:val="36"/>
          <w:szCs w:val="36"/>
        </w:rPr>
        <w:t>一般公共预算财政拨款“三公”经费支出决算表</w:t>
      </w:r>
    </w:p>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部门：</w:t>
      </w:r>
      <w:r>
        <w:rPr>
          <w:rFonts w:hint="eastAsia" w:ascii="Times New Roman" w:hAnsi="Times New Roman" w:eastAsia="仿宋_GB2312" w:cs="Times New Roman"/>
          <w:color w:val="auto"/>
          <w:kern w:val="0"/>
          <w:szCs w:val="21"/>
          <w:lang w:eastAsia="zh-CN"/>
        </w:rPr>
        <w:t>湘乡市建设工程质量安全监督站</w:t>
      </w:r>
      <w:r>
        <w:rPr>
          <w:rFonts w:ascii="Times New Roman" w:hAnsi="Times New Roman" w:eastAsia="仿宋_GB2312" w:cs="Times New Roman"/>
          <w:color w:val="auto"/>
          <w:kern w:val="0"/>
          <w:szCs w:val="21"/>
        </w:rPr>
        <w:t xml:space="preserve">                                                                                                  公开0</w:t>
      </w:r>
      <w:r>
        <w:rPr>
          <w:rFonts w:hint="eastAsia" w:ascii="Times New Roman" w:hAnsi="Times New Roman" w:eastAsia="仿宋_GB2312" w:cs="Times New Roman"/>
          <w:color w:val="auto"/>
          <w:kern w:val="0"/>
          <w:szCs w:val="21"/>
        </w:rPr>
        <w:t>7</w:t>
      </w:r>
      <w:r>
        <w:rPr>
          <w:rFonts w:ascii="Times New Roman" w:hAnsi="Times New Roman" w:eastAsia="仿宋_GB2312" w:cs="Times New Roman"/>
          <w:color w:val="auto"/>
          <w:kern w:val="0"/>
          <w:szCs w:val="21"/>
        </w:rPr>
        <w:t>表</w:t>
      </w:r>
    </w:p>
    <w:p>
      <w:pPr>
        <w:widowControl/>
        <w:ind w:right="420"/>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w:t>
            </w:r>
          </w:p>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w:t>
            </w:r>
          </w:p>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hint="eastAsia" w:ascii="Times New Roman" w:hAnsi="Times New Roman" w:eastAsia="仿宋_GB2312" w:cs="Times New Roman"/>
                <w:color w:val="auto"/>
                <w:kern w:val="0"/>
                <w:szCs w:val="21"/>
                <w:lang w:eastAsia="zh-CN"/>
              </w:rPr>
              <w:t>本表空白</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bl>
    <w:p>
      <w:pPr>
        <w:autoSpaceDE w:val="0"/>
        <w:autoSpaceDN w:val="0"/>
        <w:adjustRightInd w:val="0"/>
        <w:ind w:left="315" w:leftChars="150"/>
        <w:jc w:val="left"/>
        <w:rPr>
          <w:rFonts w:ascii="宋体" w:eastAsia="宋体" w:cs="宋体"/>
          <w:color w:val="auto"/>
          <w:kern w:val="0"/>
          <w:sz w:val="24"/>
          <w:szCs w:val="24"/>
        </w:rPr>
      </w:pPr>
      <w:r>
        <w:rPr>
          <w:rFonts w:hint="eastAsia" w:ascii="宋体" w:eastAsia="宋体" w:cs="宋体"/>
          <w:color w:val="auto"/>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color w:val="auto"/>
          <w:kern w:val="0"/>
          <w:sz w:val="24"/>
          <w:szCs w:val="24"/>
        </w:rPr>
      </w:pPr>
      <w:r>
        <w:rPr>
          <w:rFonts w:ascii="宋体" w:eastAsia="宋体" w:cs="宋体"/>
          <w:color w:val="auto"/>
          <w:kern w:val="0"/>
          <w:sz w:val="24"/>
          <w:szCs w:val="24"/>
        </w:rPr>
        <w:br w:type="page"/>
      </w:r>
    </w:p>
    <w:p>
      <w:pPr>
        <w:autoSpaceDE w:val="0"/>
        <w:autoSpaceDN w:val="0"/>
        <w:adjustRightInd w:val="0"/>
        <w:ind w:left="315" w:leftChars="150"/>
        <w:jc w:val="left"/>
        <w:rPr>
          <w:rFonts w:ascii="宋体" w:eastAsia="宋体" w:cs="宋体"/>
          <w:color w:val="auto"/>
          <w:kern w:val="0"/>
          <w:sz w:val="24"/>
          <w:szCs w:val="24"/>
        </w:rPr>
      </w:pPr>
    </w:p>
    <w:p>
      <w:pPr>
        <w:widowControl/>
        <w:jc w:val="center"/>
        <w:rPr>
          <w:rFonts w:ascii="Times New Roman" w:hAnsi="Times New Roman" w:eastAsia="方正小标宋_GBK" w:cs="Times New Roman"/>
          <w:color w:val="auto"/>
          <w:kern w:val="0"/>
          <w:sz w:val="36"/>
          <w:szCs w:val="36"/>
        </w:rPr>
      </w:pPr>
      <w:r>
        <w:rPr>
          <w:rFonts w:ascii="Times New Roman" w:hAnsi="Times New Roman" w:eastAsia="方正小标宋_GBK" w:cs="Times New Roman"/>
          <w:color w:val="auto"/>
          <w:kern w:val="0"/>
          <w:sz w:val="36"/>
          <w:szCs w:val="36"/>
        </w:rPr>
        <w:t>政府性基金预算财政拨款收入支出决算表</w:t>
      </w:r>
    </w:p>
    <w:p>
      <w:pPr>
        <w:widowControl/>
        <w:wordWrap w:val="0"/>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xml:space="preserve">        </w:t>
      </w:r>
      <w:r>
        <w:rPr>
          <w:rFonts w:hint="eastAsia" w:ascii="Times New Roman" w:hAnsi="Times New Roman" w:eastAsia="仿宋_GB2312" w:cs="Times New Roman"/>
          <w:color w:val="auto"/>
          <w:kern w:val="0"/>
          <w:szCs w:val="21"/>
          <w:lang w:eastAsia="zh-CN"/>
        </w:rPr>
        <w:t>部门：湘乡市建设工程质量安全监督站</w:t>
      </w:r>
      <w:r>
        <w:rPr>
          <w:rFonts w:ascii="Times New Roman" w:hAnsi="Times New Roman" w:eastAsia="仿宋_GB2312" w:cs="Times New Roman"/>
          <w:color w:val="auto"/>
          <w:kern w:val="0"/>
          <w:szCs w:val="21"/>
        </w:rPr>
        <w:t xml:space="preserve">                                                                                                               公开08表</w:t>
      </w:r>
    </w:p>
    <w:p>
      <w:pPr>
        <w:widowControl/>
        <w:jc w:val="righ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    目</w:t>
            </w: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科目名称</w:t>
            </w:r>
          </w:p>
        </w:tc>
        <w:tc>
          <w:tcPr>
            <w:tcW w:w="2000" w:type="dxa"/>
            <w:vMerge w:val="continue"/>
            <w:vAlign w:val="center"/>
          </w:tcPr>
          <w:p>
            <w:pPr>
              <w:widowControl/>
              <w:jc w:val="left"/>
              <w:rPr>
                <w:rFonts w:ascii="Times New Roman" w:hAnsi="Times New Roman" w:eastAsia="仿宋_GB2312" w:cs="Times New Roman"/>
                <w:b/>
                <w:color w:val="auto"/>
                <w:kern w:val="0"/>
                <w:szCs w:val="21"/>
              </w:rPr>
            </w:pPr>
          </w:p>
        </w:tc>
        <w:tc>
          <w:tcPr>
            <w:tcW w:w="2000" w:type="dxa"/>
            <w:vMerge w:val="continue"/>
            <w:vAlign w:val="center"/>
          </w:tcPr>
          <w:p>
            <w:pPr>
              <w:widowControl/>
              <w:jc w:val="left"/>
              <w:rPr>
                <w:rFonts w:ascii="Times New Roman" w:hAnsi="Times New Roman" w:eastAsia="仿宋_GB2312" w:cs="Times New Roman"/>
                <w:b/>
                <w:color w:val="auto"/>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color w:val="auto"/>
                <w:kern w:val="0"/>
                <w:szCs w:val="21"/>
              </w:rPr>
            </w:pPr>
            <w:r>
              <w:rPr>
                <w:rFonts w:ascii="Times New Roman" w:hAnsi="Times New Roman" w:eastAsia="仿宋_GB2312" w:cs="Times New Roman"/>
                <w:b/>
                <w:color w:val="auto"/>
                <w:kern w:val="0"/>
                <w:szCs w:val="21"/>
              </w:rPr>
              <w:t>项目支出</w:t>
            </w:r>
          </w:p>
        </w:tc>
        <w:tc>
          <w:tcPr>
            <w:tcW w:w="2000" w:type="dxa"/>
            <w:vMerge w:val="continue"/>
            <w:vAlign w:val="center"/>
          </w:tcPr>
          <w:p>
            <w:pPr>
              <w:widowControl/>
              <w:jc w:val="left"/>
              <w:rPr>
                <w:rFonts w:ascii="Times New Roman" w:hAnsi="Times New Roman" w:eastAsia="仿宋_GB2312" w:cs="Times New Roman"/>
                <w:b/>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color w:val="auto"/>
                <w:kern w:val="0"/>
                <w:szCs w:val="21"/>
              </w:rPr>
            </w:pPr>
          </w:p>
        </w:tc>
        <w:tc>
          <w:tcPr>
            <w:tcW w:w="132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color w:val="auto"/>
                <w:kern w:val="0"/>
                <w:szCs w:val="21"/>
              </w:rPr>
            </w:pPr>
          </w:p>
        </w:tc>
        <w:tc>
          <w:tcPr>
            <w:tcW w:w="132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c>
          <w:tcPr>
            <w:tcW w:w="2000" w:type="dxa"/>
            <w:vMerge w:val="continue"/>
            <w:vAlign w:val="center"/>
          </w:tcPr>
          <w:p>
            <w:pPr>
              <w:widowControl/>
              <w:jc w:val="left"/>
              <w:rPr>
                <w:rFonts w:ascii="Times New Roman" w:hAnsi="Times New Roman" w:eastAsia="仿宋_GB2312" w:cs="Times New Roman"/>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hint="eastAsia" w:ascii="Times New Roman" w:hAnsi="Times New Roman" w:eastAsia="仿宋_GB2312" w:cs="Times New Roman"/>
                <w:color w:val="auto"/>
                <w:kern w:val="0"/>
                <w:szCs w:val="21"/>
                <w:lang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eastAsia="zh-CN"/>
              </w:rPr>
              <w:t>本表空白</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132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c>
          <w:tcPr>
            <w:tcW w:w="2000" w:type="dxa"/>
            <w:shd w:val="clear" w:color="auto" w:fill="auto"/>
            <w:vAlign w:val="center"/>
          </w:tcPr>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　</w:t>
            </w:r>
          </w:p>
        </w:tc>
      </w:tr>
    </w:tbl>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注：本表反映部门本年度政府性基金预算财政拨款收入、支出及结转和结余情况</w:t>
      </w:r>
    </w:p>
    <w:p>
      <w:pPr>
        <w:widowControl/>
        <w:jc w:val="left"/>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(若本单位无政府性基金收支</w:t>
      </w:r>
      <w:r>
        <w:rPr>
          <w:rFonts w:hint="eastAsia" w:ascii="Times New Roman" w:hAnsi="Times New Roman" w:eastAsia="仿宋_GB2312" w:cs="Times New Roman"/>
          <w:color w:val="auto"/>
          <w:kern w:val="0"/>
          <w:szCs w:val="21"/>
        </w:rPr>
        <w:t>,请说明：XX单位没有政府性基金收入，也没有使用政府性基金安排的支出，故本表无数据</w:t>
      </w:r>
      <w:r>
        <w:rPr>
          <w:rFonts w:ascii="Times New Roman" w:hAnsi="Times New Roman" w:eastAsia="仿宋_GB2312" w:cs="Times New Roman"/>
          <w:color w:val="auto"/>
          <w:kern w:val="0"/>
          <w:szCs w:val="21"/>
        </w:rPr>
        <w:t>)。</w:t>
      </w:r>
    </w:p>
    <w:p>
      <w:pPr>
        <w:widowControl/>
        <w:jc w:val="left"/>
        <w:rPr>
          <w:color w:val="auto"/>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olor w:val="auto"/>
          <w:szCs w:val="21"/>
        </w:rPr>
        <w:br w:type="page"/>
      </w:r>
    </w:p>
    <w:p>
      <w:pPr>
        <w:pStyle w:val="9"/>
        <w:rPr>
          <w:color w:val="auto"/>
          <w:sz w:val="72"/>
          <w:szCs w:val="72"/>
        </w:rPr>
      </w:pPr>
    </w:p>
    <w:p>
      <w:pPr>
        <w:pStyle w:val="9"/>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r>
        <w:rPr>
          <w:rFonts w:hint="eastAsia"/>
          <w:color w:val="auto"/>
          <w:sz w:val="72"/>
          <w:szCs w:val="72"/>
        </w:rPr>
        <w:t>第三部分</w:t>
      </w:r>
    </w:p>
    <w:p>
      <w:pPr>
        <w:pStyle w:val="9"/>
        <w:jc w:val="center"/>
        <w:rPr>
          <w:color w:val="auto"/>
          <w:sz w:val="70"/>
          <w:szCs w:val="70"/>
        </w:rPr>
      </w:pPr>
    </w:p>
    <w:p>
      <w:pPr>
        <w:pStyle w:val="9"/>
        <w:jc w:val="center"/>
        <w:rPr>
          <w:color w:val="auto"/>
          <w:sz w:val="70"/>
          <w:szCs w:val="70"/>
        </w:rPr>
      </w:pPr>
      <w:r>
        <w:rPr>
          <w:color w:val="auto"/>
          <w:sz w:val="70"/>
          <w:szCs w:val="70"/>
        </w:rPr>
        <w:t>2019</w:t>
      </w:r>
      <w:r>
        <w:rPr>
          <w:rFonts w:hint="eastAsia"/>
          <w:color w:val="auto"/>
          <w:sz w:val="70"/>
          <w:szCs w:val="70"/>
        </w:rPr>
        <w:t>年度部门决算情况说明</w:t>
      </w:r>
    </w:p>
    <w:p>
      <w:pPr>
        <w:widowControl/>
        <w:jc w:val="left"/>
        <w:rPr>
          <w:rFonts w:ascii="黑体" w:eastAsia="黑体" w:cs="黑体"/>
          <w:color w:val="auto"/>
          <w:kern w:val="0"/>
          <w:sz w:val="70"/>
          <w:szCs w:val="70"/>
        </w:rPr>
      </w:pPr>
      <w:r>
        <w:rPr>
          <w:color w:val="auto"/>
          <w:sz w:val="70"/>
          <w:szCs w:val="70"/>
        </w:rPr>
        <w:br w:type="page"/>
      </w:r>
    </w:p>
    <w:p>
      <w:pPr>
        <w:pStyle w:val="9"/>
        <w:rPr>
          <w:rFonts w:hAnsi="黑体"/>
          <w:b/>
          <w:color w:val="auto"/>
          <w:sz w:val="32"/>
          <w:szCs w:val="32"/>
        </w:rPr>
      </w:pPr>
      <w:r>
        <w:rPr>
          <w:rFonts w:hint="eastAsia" w:hAnsi="黑体"/>
          <w:b/>
          <w:color w:val="auto"/>
          <w:sz w:val="32"/>
          <w:szCs w:val="32"/>
        </w:rPr>
        <w:t>一、收入支出决算总体情况说明</w:t>
      </w:r>
    </w:p>
    <w:p>
      <w:pPr>
        <w:pStyle w:val="9"/>
        <w:ind w:firstLine="644" w:firstLineChars="20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年我单位收入决算总计</w:t>
      </w:r>
      <w:r>
        <w:rPr>
          <w:rFonts w:hint="eastAsia" w:asciiTheme="minorEastAsia" w:hAnsiTheme="minorEastAsia" w:eastAsiaTheme="minorEastAsia"/>
          <w:color w:val="auto"/>
          <w:sz w:val="32"/>
          <w:szCs w:val="32"/>
          <w:lang w:val="en-US" w:eastAsia="zh-CN"/>
        </w:rPr>
        <w:t>200.93</w:t>
      </w:r>
      <w:r>
        <w:rPr>
          <w:rFonts w:hint="eastAsia" w:asciiTheme="minorEastAsia" w:hAnsiTheme="minorEastAsia" w:eastAsiaTheme="minorEastAsia"/>
          <w:color w:val="auto"/>
          <w:sz w:val="32"/>
          <w:szCs w:val="32"/>
        </w:rPr>
        <w:t>万元，均为财政拨款收入；201</w:t>
      </w:r>
      <w:r>
        <w:rPr>
          <w:rFonts w:hint="eastAsia" w:asciiTheme="minorEastAsia" w:hAnsiTheme="minorEastAsia" w:eastAsiaTheme="minorEastAsia"/>
          <w:color w:val="auto"/>
          <w:sz w:val="32"/>
          <w:szCs w:val="32"/>
          <w:lang w:val="en-US" w:eastAsia="zh-CN"/>
        </w:rPr>
        <w:t>8</w:t>
      </w:r>
      <w:r>
        <w:rPr>
          <w:rFonts w:hint="eastAsia" w:asciiTheme="minorEastAsia" w:hAnsiTheme="minorEastAsia" w:eastAsiaTheme="minorEastAsia"/>
          <w:color w:val="auto"/>
          <w:sz w:val="32"/>
          <w:szCs w:val="32"/>
        </w:rPr>
        <w:t>年财政拨款</w:t>
      </w:r>
      <w:r>
        <w:rPr>
          <w:rFonts w:hint="eastAsia" w:asciiTheme="minorEastAsia" w:hAnsiTheme="minorEastAsia" w:eastAsiaTheme="minorEastAsia"/>
          <w:color w:val="auto"/>
          <w:sz w:val="32"/>
          <w:szCs w:val="32"/>
          <w:lang w:val="en-US" w:eastAsia="zh-CN"/>
        </w:rPr>
        <w:t>206.86</w:t>
      </w:r>
      <w:r>
        <w:rPr>
          <w:rFonts w:hint="eastAsia" w:asciiTheme="minorEastAsia" w:hAnsiTheme="minorEastAsia" w:eastAsiaTheme="minorEastAsia"/>
          <w:color w:val="auto"/>
          <w:sz w:val="32"/>
          <w:szCs w:val="32"/>
        </w:rPr>
        <w:t>万元，比上年度</w:t>
      </w:r>
      <w:r>
        <w:rPr>
          <w:rFonts w:hint="eastAsia" w:asciiTheme="minorEastAsia" w:hAnsiTheme="minorEastAsia" w:eastAsiaTheme="minorEastAsia"/>
          <w:color w:val="auto"/>
          <w:sz w:val="32"/>
          <w:szCs w:val="32"/>
          <w:lang w:eastAsia="zh-CN"/>
        </w:rPr>
        <w:t>减少</w:t>
      </w:r>
      <w:r>
        <w:rPr>
          <w:rFonts w:hint="eastAsia" w:asciiTheme="minorEastAsia" w:hAnsiTheme="minorEastAsia" w:eastAsiaTheme="minorEastAsia"/>
          <w:color w:val="auto"/>
          <w:sz w:val="32"/>
          <w:szCs w:val="32"/>
        </w:rPr>
        <w:t>了</w:t>
      </w:r>
      <w:r>
        <w:rPr>
          <w:rFonts w:hint="eastAsia" w:asciiTheme="minorEastAsia" w:hAnsiTheme="minorEastAsia" w:eastAsiaTheme="minorEastAsia"/>
          <w:color w:val="auto"/>
          <w:sz w:val="32"/>
          <w:szCs w:val="32"/>
          <w:lang w:val="en-US" w:eastAsia="zh-CN"/>
        </w:rPr>
        <w:t>5.93</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减少</w:t>
      </w:r>
      <w:r>
        <w:rPr>
          <w:rFonts w:hint="eastAsia" w:asciiTheme="minorEastAsia" w:hAnsiTheme="minorEastAsia" w:eastAsiaTheme="minorEastAsia"/>
          <w:color w:val="auto"/>
          <w:sz w:val="32"/>
          <w:szCs w:val="32"/>
        </w:rPr>
        <w:t>主要原因：201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年人员工资</w:t>
      </w:r>
      <w:r>
        <w:rPr>
          <w:rFonts w:hint="eastAsia" w:asciiTheme="minorEastAsia" w:hAnsiTheme="minorEastAsia" w:eastAsiaTheme="minorEastAsia"/>
          <w:color w:val="auto"/>
          <w:sz w:val="32"/>
          <w:szCs w:val="32"/>
          <w:lang w:eastAsia="zh-CN"/>
        </w:rPr>
        <w:t>人员减少</w:t>
      </w:r>
      <w:r>
        <w:rPr>
          <w:rFonts w:hint="eastAsia" w:asciiTheme="minorEastAsia" w:hAnsiTheme="minorEastAsia" w:eastAsiaTheme="minorEastAsia"/>
          <w:color w:val="auto"/>
          <w:sz w:val="32"/>
          <w:szCs w:val="32"/>
          <w:lang w:val="en-US" w:eastAsia="zh-CN"/>
        </w:rPr>
        <w:t>2人</w:t>
      </w:r>
      <w:r>
        <w:rPr>
          <w:rFonts w:hint="eastAsia" w:asciiTheme="minorEastAsia" w:hAnsiTheme="minorEastAsia" w:eastAsiaTheme="minorEastAsia"/>
          <w:color w:val="auto"/>
          <w:sz w:val="32"/>
          <w:szCs w:val="32"/>
        </w:rPr>
        <w:t>。201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年我单位决算总支出</w:t>
      </w:r>
      <w:r>
        <w:rPr>
          <w:rFonts w:hint="eastAsia" w:asciiTheme="minorEastAsia" w:hAnsiTheme="minorEastAsia" w:eastAsiaTheme="minorEastAsia"/>
          <w:color w:val="auto"/>
          <w:sz w:val="32"/>
          <w:szCs w:val="32"/>
          <w:lang w:val="en-US" w:eastAsia="zh-CN"/>
        </w:rPr>
        <w:t>350.47</w:t>
      </w:r>
      <w:r>
        <w:rPr>
          <w:rFonts w:hint="eastAsia" w:asciiTheme="minorEastAsia" w:hAnsiTheme="minorEastAsia" w:eastAsiaTheme="minorEastAsia"/>
          <w:color w:val="auto"/>
          <w:sz w:val="32"/>
          <w:szCs w:val="32"/>
        </w:rPr>
        <w:t>万元，其中基本支出</w:t>
      </w:r>
      <w:r>
        <w:rPr>
          <w:rFonts w:hint="eastAsia" w:asciiTheme="minorEastAsia" w:hAnsiTheme="minorEastAsia" w:eastAsiaTheme="minorEastAsia"/>
          <w:color w:val="auto"/>
          <w:sz w:val="32"/>
          <w:szCs w:val="32"/>
          <w:lang w:val="en-US" w:eastAsia="zh-CN"/>
        </w:rPr>
        <w:t>350.47</w:t>
      </w:r>
      <w:r>
        <w:rPr>
          <w:rFonts w:hint="eastAsia" w:asciiTheme="minorEastAsia" w:hAnsiTheme="minorEastAsia" w:eastAsiaTheme="minorEastAsia"/>
          <w:color w:val="auto"/>
          <w:sz w:val="32"/>
          <w:szCs w:val="32"/>
        </w:rPr>
        <w:t>万元，比去年增加</w:t>
      </w:r>
      <w:r>
        <w:rPr>
          <w:rFonts w:hint="eastAsia" w:asciiTheme="minorEastAsia" w:hAnsiTheme="minorEastAsia" w:eastAsiaTheme="minorEastAsia"/>
          <w:color w:val="auto"/>
          <w:sz w:val="32"/>
          <w:szCs w:val="32"/>
          <w:lang w:val="en-US" w:eastAsia="zh-CN"/>
        </w:rPr>
        <w:t>135.7</w:t>
      </w:r>
      <w:r>
        <w:rPr>
          <w:rFonts w:hint="eastAsia" w:asciiTheme="minorEastAsia" w:hAnsiTheme="minorEastAsia" w:eastAsiaTheme="minorEastAsia"/>
          <w:color w:val="auto"/>
          <w:sz w:val="32"/>
          <w:szCs w:val="32"/>
        </w:rPr>
        <w:t>万元，增加的主要原因：201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年人员工资调资、住房公积金、社会保障费等，年初累计结转和结余</w:t>
      </w:r>
      <w:r>
        <w:rPr>
          <w:rFonts w:hint="eastAsia" w:asciiTheme="minorEastAsia" w:hAnsiTheme="minorEastAsia" w:eastAsiaTheme="minorEastAsia"/>
          <w:color w:val="auto"/>
          <w:sz w:val="32"/>
          <w:szCs w:val="32"/>
          <w:lang w:val="en-US" w:eastAsia="zh-CN"/>
        </w:rPr>
        <w:t>52.74</w:t>
      </w:r>
      <w:r>
        <w:rPr>
          <w:rFonts w:hint="eastAsia" w:asciiTheme="minorEastAsia" w:hAnsiTheme="minorEastAsia" w:eastAsiaTheme="minorEastAsia"/>
          <w:color w:val="auto"/>
          <w:sz w:val="32"/>
          <w:szCs w:val="32"/>
        </w:rPr>
        <w:t>万元(基本支出结转)。</w:t>
      </w:r>
    </w:p>
    <w:p>
      <w:pPr>
        <w:pStyle w:val="9"/>
        <w:rPr>
          <w:rFonts w:hAnsi="黑体"/>
          <w:b/>
          <w:color w:val="auto"/>
          <w:sz w:val="32"/>
          <w:szCs w:val="32"/>
        </w:rPr>
      </w:pPr>
      <w:r>
        <w:rPr>
          <w:rFonts w:hint="eastAsia" w:hAnsi="黑体"/>
          <w:b/>
          <w:color w:val="auto"/>
          <w:sz w:val="32"/>
          <w:szCs w:val="32"/>
        </w:rPr>
        <w:t>二、收入决算情况说明</w:t>
      </w:r>
    </w:p>
    <w:p>
      <w:pPr>
        <w:pStyle w:val="9"/>
        <w:ind w:firstLine="644"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本年收入合计</w:t>
      </w:r>
      <w:r>
        <w:rPr>
          <w:rFonts w:hint="eastAsia" w:asciiTheme="minorEastAsia" w:hAnsiTheme="minorEastAsia" w:eastAsiaTheme="minorEastAsia"/>
          <w:color w:val="auto"/>
          <w:sz w:val="32"/>
          <w:szCs w:val="32"/>
          <w:lang w:val="en-US" w:eastAsia="zh-CN"/>
        </w:rPr>
        <w:t>322.06</w:t>
      </w:r>
      <w:r>
        <w:rPr>
          <w:rFonts w:hint="eastAsia" w:asciiTheme="minorEastAsia" w:hAnsiTheme="minorEastAsia" w:eastAsiaTheme="minorEastAsia"/>
          <w:color w:val="auto"/>
          <w:sz w:val="32"/>
          <w:szCs w:val="32"/>
        </w:rPr>
        <w:t>万元，其中：财政拨款收入</w:t>
      </w:r>
      <w:r>
        <w:rPr>
          <w:rFonts w:hint="eastAsia" w:asciiTheme="minorEastAsia" w:hAnsiTheme="minorEastAsia" w:eastAsiaTheme="minorEastAsia"/>
          <w:color w:val="auto"/>
          <w:sz w:val="32"/>
          <w:szCs w:val="32"/>
          <w:lang w:val="en-US" w:eastAsia="zh-CN"/>
        </w:rPr>
        <w:t>200.93</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62.39</w:t>
      </w:r>
      <w:r>
        <w:rPr>
          <w:rFonts w:hint="eastAsia" w:asciiTheme="minorEastAsia" w:hAnsiTheme="minorEastAsia" w:eastAsiaTheme="minorEastAsia"/>
          <w:color w:val="auto"/>
          <w:sz w:val="32"/>
          <w:szCs w:val="32"/>
        </w:rPr>
        <w:t>%；事业收入</w:t>
      </w:r>
      <w:r>
        <w:rPr>
          <w:rFonts w:hint="eastAsia" w:asciiTheme="minorEastAsia" w:hAnsiTheme="minorEastAsia" w:eastAsiaTheme="minorEastAsia"/>
          <w:color w:val="auto"/>
          <w:sz w:val="32"/>
          <w:szCs w:val="32"/>
          <w:lang w:val="en-US" w:eastAsia="zh-CN"/>
        </w:rPr>
        <w:t>121.13</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37.61</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pPr>
        <w:pStyle w:val="9"/>
        <w:rPr>
          <w:rFonts w:hAnsi="黑体"/>
          <w:b/>
          <w:color w:val="auto"/>
          <w:sz w:val="32"/>
          <w:szCs w:val="32"/>
        </w:rPr>
      </w:pPr>
      <w:r>
        <w:rPr>
          <w:rFonts w:hint="eastAsia" w:hAnsi="黑体"/>
          <w:b/>
          <w:color w:val="auto"/>
          <w:sz w:val="32"/>
          <w:szCs w:val="32"/>
        </w:rPr>
        <w:t>三、支出决算情况说明</w:t>
      </w:r>
    </w:p>
    <w:p>
      <w:pPr>
        <w:pStyle w:val="9"/>
        <w:ind w:firstLine="644"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本年支出合计</w:t>
      </w:r>
      <w:r>
        <w:rPr>
          <w:rFonts w:hint="eastAsia" w:asciiTheme="minorEastAsia" w:hAnsiTheme="minorEastAsia" w:eastAsiaTheme="minorEastAsia"/>
          <w:color w:val="auto"/>
          <w:sz w:val="32"/>
          <w:szCs w:val="32"/>
          <w:lang w:val="en-US" w:eastAsia="zh-CN"/>
        </w:rPr>
        <w:t>350.47</w:t>
      </w:r>
      <w:r>
        <w:rPr>
          <w:rFonts w:hint="eastAsia" w:asciiTheme="minorEastAsia" w:hAnsiTheme="minorEastAsia" w:eastAsiaTheme="minorEastAsia"/>
          <w:color w:val="auto"/>
          <w:sz w:val="32"/>
          <w:szCs w:val="32"/>
        </w:rPr>
        <w:t>万元，其中：基本支出</w:t>
      </w:r>
      <w:r>
        <w:rPr>
          <w:rFonts w:hint="eastAsia" w:asciiTheme="minorEastAsia" w:hAnsiTheme="minorEastAsia" w:eastAsiaTheme="minorEastAsia"/>
          <w:color w:val="auto"/>
          <w:sz w:val="32"/>
          <w:szCs w:val="32"/>
          <w:lang w:val="en-US" w:eastAsia="zh-CN"/>
        </w:rPr>
        <w:t>350.47</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p>
    <w:p>
      <w:pPr>
        <w:pStyle w:val="9"/>
        <w:rPr>
          <w:rFonts w:hAnsi="黑体"/>
          <w:b/>
          <w:color w:val="auto"/>
          <w:sz w:val="32"/>
          <w:szCs w:val="32"/>
        </w:rPr>
      </w:pPr>
      <w:r>
        <w:rPr>
          <w:rFonts w:hint="eastAsia" w:hAnsi="黑体"/>
          <w:b/>
          <w:color w:val="auto"/>
          <w:sz w:val="32"/>
          <w:szCs w:val="32"/>
        </w:rPr>
        <w:t>四、财政拨款收入支出决算总体情况说明</w:t>
      </w:r>
    </w:p>
    <w:p>
      <w:pPr>
        <w:pStyle w:val="9"/>
        <w:ind w:firstLine="640"/>
        <w:rPr>
          <w:rFonts w:hint="eastAsia" w:ascii="宋体" w:hAnsi="宋体" w:eastAsiaTheme="minorEastAsia"/>
          <w:color w:val="auto"/>
          <w:kern w:val="0"/>
          <w:sz w:val="30"/>
          <w:szCs w:val="30"/>
          <w:lang w:val="en-US" w:eastAsia="zh-CN"/>
        </w:rPr>
      </w:pPr>
      <w:r>
        <w:rPr>
          <w:rFonts w:hint="eastAsia" w:asciiTheme="minorEastAsia" w:hAnsiTheme="minorEastAsia" w:eastAsiaTheme="minorEastAsia"/>
          <w:color w:val="auto"/>
          <w:sz w:val="32"/>
          <w:szCs w:val="32"/>
        </w:rPr>
        <w:t>2019年度财政拨款收</w:t>
      </w:r>
      <w:r>
        <w:rPr>
          <w:rFonts w:hint="eastAsia" w:asciiTheme="minorEastAsia" w:hAnsiTheme="minorEastAsia" w:eastAsiaTheme="minorEastAsia"/>
          <w:color w:val="auto"/>
          <w:sz w:val="32"/>
          <w:szCs w:val="32"/>
          <w:lang w:eastAsia="zh-CN"/>
        </w:rPr>
        <w:t>入决算</w:t>
      </w:r>
      <w:r>
        <w:rPr>
          <w:rFonts w:hint="eastAsia" w:asciiTheme="minorEastAsia" w:hAnsiTheme="minorEastAsia" w:eastAsiaTheme="minorEastAsia"/>
          <w:color w:val="auto"/>
          <w:sz w:val="32"/>
          <w:szCs w:val="32"/>
        </w:rPr>
        <w:t>总计</w:t>
      </w:r>
      <w:r>
        <w:rPr>
          <w:rFonts w:hint="eastAsia" w:asciiTheme="minorEastAsia" w:hAnsiTheme="minorEastAsia" w:eastAsiaTheme="minorEastAsia"/>
          <w:color w:val="auto"/>
          <w:sz w:val="32"/>
          <w:szCs w:val="32"/>
          <w:lang w:val="en-US" w:eastAsia="zh-CN"/>
        </w:rPr>
        <w:t>200.93</w:t>
      </w:r>
      <w:r>
        <w:rPr>
          <w:rFonts w:hint="eastAsia" w:asciiTheme="minorEastAsia" w:hAnsiTheme="minorEastAsia" w:eastAsiaTheme="minorEastAsia"/>
          <w:color w:val="auto"/>
          <w:sz w:val="32"/>
          <w:szCs w:val="32"/>
        </w:rPr>
        <w:t>万元，与2018年相比，减少</w:t>
      </w:r>
      <w:r>
        <w:rPr>
          <w:rFonts w:hint="eastAsia" w:asciiTheme="minorEastAsia" w:hAnsiTheme="minorEastAsia" w:eastAsiaTheme="minorEastAsia"/>
          <w:color w:val="auto"/>
          <w:sz w:val="32"/>
          <w:szCs w:val="32"/>
          <w:lang w:val="en-US" w:eastAsia="zh-CN"/>
        </w:rPr>
        <w:t>5.93</w:t>
      </w:r>
      <w:r>
        <w:rPr>
          <w:rFonts w:hint="eastAsia" w:asciiTheme="minorEastAsia" w:hAnsiTheme="minorEastAsia" w:eastAsiaTheme="minorEastAsia"/>
          <w:color w:val="auto"/>
          <w:sz w:val="32"/>
          <w:szCs w:val="32"/>
        </w:rPr>
        <w:t>万元,减少</w:t>
      </w:r>
      <w:r>
        <w:rPr>
          <w:rFonts w:hint="eastAsia" w:asciiTheme="minorEastAsia" w:hAnsiTheme="minorEastAsia" w:eastAsiaTheme="minorEastAsia"/>
          <w:color w:val="auto"/>
          <w:sz w:val="32"/>
          <w:szCs w:val="32"/>
          <w:lang w:val="en-US" w:eastAsia="zh-CN"/>
        </w:rPr>
        <w:t>2.87</w:t>
      </w:r>
      <w:r>
        <w:rPr>
          <w:rFonts w:hint="eastAsia" w:asciiTheme="minorEastAsia" w:hAnsiTheme="minorEastAsia" w:eastAsiaTheme="minorEastAsia"/>
          <w:color w:val="auto"/>
          <w:sz w:val="32"/>
          <w:szCs w:val="32"/>
        </w:rPr>
        <w:t>%，主要是因为</w:t>
      </w:r>
      <w:r>
        <w:rPr>
          <w:rFonts w:hint="eastAsia" w:ascii="宋体" w:hAnsi="宋体"/>
          <w:color w:val="auto"/>
          <w:kern w:val="0"/>
          <w:sz w:val="30"/>
          <w:szCs w:val="30"/>
        </w:rPr>
        <w:t>2</w:t>
      </w:r>
      <w:r>
        <w:rPr>
          <w:rFonts w:hint="eastAsia" w:asciiTheme="minorEastAsia" w:hAnsiTheme="minorEastAsia" w:eastAsiaTheme="minorEastAsia"/>
          <w:color w:val="auto"/>
          <w:sz w:val="32"/>
          <w:szCs w:val="32"/>
          <w:lang w:val="en-US" w:eastAsia="zh-CN"/>
        </w:rPr>
        <w:t>019年人员工资人员减少2人</w:t>
      </w:r>
      <w:r>
        <w:rPr>
          <w:rFonts w:hint="eastAsia" w:ascii="宋体" w:hAnsi="宋体"/>
          <w:color w:val="auto"/>
          <w:kern w:val="0"/>
          <w:sz w:val="30"/>
          <w:szCs w:val="30"/>
          <w:lang w:val="en-US" w:eastAsia="zh-CN"/>
        </w:rPr>
        <w:t>；20</w:t>
      </w:r>
      <w:r>
        <w:rPr>
          <w:rFonts w:hint="eastAsia" w:asciiTheme="minorEastAsia" w:hAnsiTheme="minorEastAsia" w:eastAsiaTheme="minorEastAsia"/>
          <w:color w:val="auto"/>
          <w:sz w:val="32"/>
          <w:szCs w:val="32"/>
        </w:rPr>
        <w:t>19年度财政拨款支出</w:t>
      </w:r>
      <w:r>
        <w:rPr>
          <w:rFonts w:hint="eastAsia" w:asciiTheme="minorEastAsia" w:hAnsiTheme="minorEastAsia" w:eastAsiaTheme="minorEastAsia"/>
          <w:color w:val="auto"/>
          <w:sz w:val="32"/>
          <w:szCs w:val="32"/>
          <w:lang w:val="en-US" w:eastAsia="zh-CN"/>
        </w:rPr>
        <w:t>229.34</w:t>
      </w:r>
      <w:r>
        <w:rPr>
          <w:rFonts w:hint="eastAsia" w:asciiTheme="minorEastAsia" w:hAnsiTheme="minorEastAsia" w:eastAsiaTheme="minorEastAsia"/>
          <w:color w:val="auto"/>
          <w:sz w:val="32"/>
          <w:szCs w:val="32"/>
        </w:rPr>
        <w:t>万元，占本年支出合计的</w:t>
      </w:r>
      <w:r>
        <w:rPr>
          <w:rFonts w:hint="eastAsia" w:asciiTheme="minorEastAsia" w:hAnsiTheme="minorEastAsia" w:eastAsiaTheme="minorEastAsia"/>
          <w:color w:val="auto"/>
          <w:sz w:val="32"/>
          <w:szCs w:val="32"/>
          <w:lang w:val="en-US" w:eastAsia="zh-CN"/>
        </w:rPr>
        <w:t>65.44</w:t>
      </w:r>
      <w:r>
        <w:rPr>
          <w:rFonts w:hint="eastAsia" w:asciiTheme="minorEastAsia" w:hAnsiTheme="minorEastAsia" w:eastAsiaTheme="minorEastAsia"/>
          <w:color w:val="auto"/>
          <w:sz w:val="32"/>
          <w:szCs w:val="32"/>
        </w:rPr>
        <w:t>%，与2018年相比，财政拨款支出</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14.57</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6.78</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pPr>
        <w:pStyle w:val="9"/>
        <w:ind w:firstLine="640"/>
        <w:rPr>
          <w:rFonts w:hAnsi="黑体"/>
          <w:b/>
          <w:color w:val="auto"/>
          <w:sz w:val="32"/>
          <w:szCs w:val="32"/>
        </w:rPr>
      </w:pPr>
      <w:r>
        <w:rPr>
          <w:rFonts w:hint="eastAsia" w:hAnsi="黑体"/>
          <w:b/>
          <w:color w:val="auto"/>
          <w:sz w:val="32"/>
          <w:szCs w:val="32"/>
        </w:rPr>
        <w:t>五、一般公共预算财政拨款支出决算情况说明</w:t>
      </w:r>
    </w:p>
    <w:p>
      <w:pPr>
        <w:pStyle w:val="9"/>
        <w:ind w:firstLine="644" w:firstLineChars="20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（一）财政拨款支出决算总体情况</w:t>
      </w:r>
    </w:p>
    <w:p>
      <w:pPr>
        <w:pStyle w:val="9"/>
        <w:ind w:firstLine="805"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2019年度财政拨款支出</w:t>
      </w:r>
      <w:r>
        <w:rPr>
          <w:rFonts w:hint="eastAsia" w:asciiTheme="minorEastAsia" w:hAnsiTheme="minorEastAsia" w:eastAsiaTheme="minorEastAsia"/>
          <w:color w:val="auto"/>
          <w:sz w:val="32"/>
          <w:szCs w:val="32"/>
          <w:lang w:val="en-US" w:eastAsia="zh-CN"/>
        </w:rPr>
        <w:t>229.34</w:t>
      </w:r>
      <w:r>
        <w:rPr>
          <w:rFonts w:hint="eastAsia" w:asciiTheme="minorEastAsia" w:hAnsiTheme="minorEastAsia" w:eastAsiaTheme="minorEastAsia"/>
          <w:color w:val="auto"/>
          <w:sz w:val="32"/>
          <w:szCs w:val="32"/>
        </w:rPr>
        <w:t>万元，占本年支出合计的</w:t>
      </w:r>
      <w:r>
        <w:rPr>
          <w:rFonts w:hint="eastAsia" w:asciiTheme="minorEastAsia" w:hAnsiTheme="minorEastAsia" w:eastAsiaTheme="minorEastAsia"/>
          <w:color w:val="auto"/>
          <w:sz w:val="32"/>
          <w:szCs w:val="32"/>
          <w:lang w:val="en-US" w:eastAsia="zh-CN"/>
        </w:rPr>
        <w:t>65.44</w:t>
      </w:r>
      <w:r>
        <w:rPr>
          <w:rFonts w:hint="eastAsia" w:asciiTheme="minorEastAsia" w:hAnsiTheme="minorEastAsia" w:eastAsiaTheme="minorEastAsia"/>
          <w:color w:val="auto"/>
          <w:sz w:val="32"/>
          <w:szCs w:val="32"/>
        </w:rPr>
        <w:t>%，与2018年相比，财政拨款支出</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14.57</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6.78</w:t>
      </w:r>
      <w:r>
        <w:rPr>
          <w:rFonts w:hint="eastAsia" w:asciiTheme="minorEastAsia" w:hAnsiTheme="minorEastAsia" w:eastAsiaTheme="minorEastAsia"/>
          <w:color w:val="auto"/>
          <w:sz w:val="32"/>
          <w:szCs w:val="32"/>
        </w:rPr>
        <w:t>%，主要是因为201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年人员工资调资、住房公积金、社会保障费等</w:t>
      </w:r>
      <w:r>
        <w:rPr>
          <w:rFonts w:hint="eastAsia" w:asciiTheme="minorEastAsia" w:hAnsiTheme="minorEastAsia" w:eastAsiaTheme="minorEastAsia"/>
          <w:color w:val="auto"/>
          <w:sz w:val="32"/>
          <w:szCs w:val="32"/>
          <w:lang w:eastAsia="zh-CN"/>
        </w:rPr>
        <w:t>。</w:t>
      </w:r>
    </w:p>
    <w:p>
      <w:pPr>
        <w:pStyle w:val="9"/>
        <w:ind w:firstLine="483" w:firstLineChars="1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（二）财政拨款支出决算结构情况</w:t>
      </w:r>
    </w:p>
    <w:p>
      <w:pPr>
        <w:pStyle w:val="9"/>
        <w:ind w:firstLine="644"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2019年度财政拨款支出</w:t>
      </w:r>
      <w:r>
        <w:rPr>
          <w:rFonts w:hint="eastAsia" w:asciiTheme="minorEastAsia" w:hAnsiTheme="minorEastAsia" w:eastAsiaTheme="minorEastAsia"/>
          <w:color w:val="auto"/>
          <w:sz w:val="32"/>
          <w:szCs w:val="32"/>
          <w:lang w:val="en-US" w:eastAsia="zh-CN"/>
        </w:rPr>
        <w:t>229.34</w:t>
      </w:r>
      <w:r>
        <w:rPr>
          <w:rFonts w:hint="eastAsia" w:asciiTheme="minorEastAsia" w:hAnsiTheme="minorEastAsia" w:eastAsiaTheme="minorEastAsia"/>
          <w:color w:val="auto"/>
          <w:sz w:val="32"/>
          <w:szCs w:val="32"/>
        </w:rPr>
        <w:t>万元，主要用于以下方面：</w:t>
      </w:r>
      <w:r>
        <w:rPr>
          <w:rFonts w:hint="eastAsia" w:asciiTheme="minorEastAsia" w:hAnsiTheme="minorEastAsia" w:eastAsiaTheme="minorEastAsia"/>
          <w:color w:val="auto"/>
          <w:sz w:val="32"/>
          <w:szCs w:val="32"/>
          <w:lang w:eastAsia="zh-CN"/>
        </w:rPr>
        <w:t>社会保障和就业支出：</w:t>
      </w:r>
      <w:r>
        <w:rPr>
          <w:rFonts w:hint="eastAsia" w:asciiTheme="minorEastAsia" w:hAnsiTheme="minorEastAsia" w:eastAsiaTheme="minorEastAsia"/>
          <w:color w:val="auto"/>
          <w:sz w:val="32"/>
          <w:szCs w:val="32"/>
          <w:lang w:val="en-US" w:eastAsia="zh-CN"/>
        </w:rPr>
        <w:t>42.33万，占总支出18.46%；卫生健康支出：45.84万，占总支出19.99%；住房保障支出：21.21万，占总支出9.25%；城乡社区支出：119.97万，占总支出52.3%。</w:t>
      </w:r>
    </w:p>
    <w:p>
      <w:pPr>
        <w:pStyle w:val="9"/>
        <w:ind w:firstLine="805"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（三）财政拨款支出决算具体情况</w:t>
      </w:r>
    </w:p>
    <w:p>
      <w:pPr>
        <w:pStyle w:val="9"/>
        <w:ind w:firstLine="805"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2019年度财政拨款支出年初预算数为</w:t>
      </w:r>
      <w:r>
        <w:rPr>
          <w:rFonts w:hint="eastAsia" w:asciiTheme="minorEastAsia" w:hAnsiTheme="minorEastAsia" w:eastAsiaTheme="minorEastAsia"/>
          <w:color w:val="auto"/>
          <w:sz w:val="32"/>
          <w:szCs w:val="32"/>
          <w:lang w:val="en-US" w:eastAsia="zh-CN"/>
        </w:rPr>
        <w:t>153.96</w:t>
      </w:r>
      <w:r>
        <w:rPr>
          <w:rFonts w:hint="eastAsia" w:asciiTheme="minorEastAsia" w:hAnsiTheme="minorEastAsia" w:eastAsiaTheme="minorEastAsia"/>
          <w:color w:val="auto"/>
          <w:sz w:val="32"/>
          <w:szCs w:val="32"/>
        </w:rPr>
        <w:t>万元，支出决算数为</w:t>
      </w:r>
      <w:r>
        <w:rPr>
          <w:rFonts w:hint="eastAsia" w:asciiTheme="minorEastAsia" w:hAnsiTheme="minorEastAsia" w:eastAsiaTheme="minorEastAsia"/>
          <w:color w:val="auto"/>
          <w:sz w:val="32"/>
          <w:szCs w:val="32"/>
          <w:lang w:val="en-US" w:eastAsia="zh-CN"/>
        </w:rPr>
        <w:t>229.34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149</w:t>
      </w:r>
      <w:r>
        <w:rPr>
          <w:rFonts w:hint="eastAsia" w:asciiTheme="minorEastAsia" w:hAnsiTheme="minorEastAsia" w:eastAsiaTheme="minorEastAsia"/>
          <w:color w:val="auto"/>
          <w:sz w:val="32"/>
          <w:szCs w:val="32"/>
        </w:rPr>
        <w:t>%，其中：</w:t>
      </w:r>
    </w:p>
    <w:p>
      <w:pPr>
        <w:pStyle w:val="9"/>
        <w:numPr>
          <w:ilvl w:val="0"/>
          <w:numId w:val="1"/>
        </w:numPr>
        <w:ind w:firstLine="805"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eastAsia="zh-CN"/>
        </w:rPr>
        <w:t>社会保障和就业支出（</w:t>
      </w:r>
      <w:r>
        <w:rPr>
          <w:rFonts w:hint="eastAsia" w:asciiTheme="minorEastAsia" w:hAnsiTheme="minorEastAsia" w:eastAsiaTheme="minorEastAsia"/>
          <w:color w:val="auto"/>
          <w:sz w:val="32"/>
          <w:szCs w:val="32"/>
          <w:lang w:val="en-US" w:eastAsia="zh-CN"/>
        </w:rPr>
        <w:t>208）42.33万；其中05</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val="en-US" w:eastAsia="zh-CN"/>
        </w:rPr>
        <w:t>05</w:t>
      </w:r>
      <w:r>
        <w:rPr>
          <w:rFonts w:hint="eastAsia" w:asciiTheme="minorEastAsia" w:hAnsiTheme="minorEastAsia" w:eastAsiaTheme="minorEastAsia"/>
          <w:color w:val="auto"/>
          <w:sz w:val="32"/>
          <w:szCs w:val="32"/>
        </w:rPr>
        <w:t>（项）</w:t>
      </w:r>
      <w:r>
        <w:rPr>
          <w:rFonts w:hint="eastAsia" w:asciiTheme="minorEastAsia" w:hAnsiTheme="minorEastAsia" w:eastAsiaTheme="minorEastAsia"/>
          <w:color w:val="auto"/>
          <w:sz w:val="32"/>
          <w:szCs w:val="32"/>
          <w:lang w:eastAsia="zh-CN"/>
        </w:rPr>
        <w:t>机关事业单位基本养老保险缴费支出</w:t>
      </w:r>
      <w:r>
        <w:rPr>
          <w:rFonts w:hint="eastAsia" w:asciiTheme="minorEastAsia" w:hAnsiTheme="minorEastAsia" w:eastAsiaTheme="minorEastAsia"/>
          <w:color w:val="auto"/>
          <w:sz w:val="32"/>
          <w:szCs w:val="32"/>
          <w:lang w:val="en-US" w:eastAsia="zh-CN"/>
        </w:rPr>
        <w:t>38.43万</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val="en-US" w:eastAsia="zh-CN"/>
        </w:rPr>
        <w:t>2、财政对其他社会保险基金的补助（208）（27）(01）+（02）失业+工伤保险基金补助3.9万；</w:t>
      </w:r>
    </w:p>
    <w:p>
      <w:pPr>
        <w:pStyle w:val="9"/>
        <w:numPr>
          <w:ilvl w:val="0"/>
          <w:numId w:val="1"/>
        </w:numPr>
        <w:ind w:firstLine="805"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卫生健康支出（210）45.84万；其中：11（款）02(项）事业单位医疗45.84万；</w:t>
      </w:r>
    </w:p>
    <w:p>
      <w:pPr>
        <w:pStyle w:val="9"/>
        <w:numPr>
          <w:ilvl w:val="0"/>
          <w:numId w:val="1"/>
        </w:numPr>
        <w:ind w:firstLine="805"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城乡社区支出（212）119.97万；基中06（款）01（项）建设市场管理与监督107.97万；01（款）06（项）工程建设管理12万；</w:t>
      </w:r>
    </w:p>
    <w:p>
      <w:pPr>
        <w:pStyle w:val="9"/>
        <w:numPr>
          <w:ilvl w:val="0"/>
          <w:numId w:val="1"/>
        </w:numPr>
        <w:ind w:firstLine="805"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住房保障支出（221）21.21万；其中02（款）01（项）住房公积金21.21万；</w:t>
      </w:r>
    </w:p>
    <w:p>
      <w:pPr>
        <w:pStyle w:val="9"/>
        <w:ind w:firstLine="805"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val="en-US" w:eastAsia="zh-CN"/>
        </w:rPr>
        <w:t>2019年人员工资调资、住房公积金、社会保障费等。</w:t>
      </w:r>
    </w:p>
    <w:p>
      <w:pPr>
        <w:pStyle w:val="9"/>
        <w:rPr>
          <w:rFonts w:hAnsi="黑体"/>
          <w:b/>
          <w:color w:val="auto"/>
          <w:sz w:val="32"/>
          <w:szCs w:val="32"/>
        </w:rPr>
      </w:pPr>
      <w:r>
        <w:rPr>
          <w:rFonts w:hint="eastAsia" w:hAnsi="黑体"/>
          <w:b/>
          <w:color w:val="auto"/>
          <w:sz w:val="32"/>
          <w:szCs w:val="32"/>
        </w:rPr>
        <w:t>六、一般公共预算财政拨款基本支出决算情况说明</w:t>
      </w:r>
    </w:p>
    <w:p>
      <w:pPr>
        <w:pStyle w:val="9"/>
        <w:ind w:firstLine="644"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2019年度财政拨款基本支出</w:t>
      </w:r>
      <w:r>
        <w:rPr>
          <w:rFonts w:hint="eastAsia" w:asciiTheme="minorEastAsia" w:hAnsiTheme="minorEastAsia" w:eastAsiaTheme="minorEastAsia"/>
          <w:color w:val="auto"/>
          <w:sz w:val="32"/>
          <w:szCs w:val="32"/>
          <w:lang w:val="en-US" w:eastAsia="zh-CN"/>
        </w:rPr>
        <w:t>229.34</w:t>
      </w:r>
      <w:r>
        <w:rPr>
          <w:rFonts w:hint="eastAsia" w:asciiTheme="minorEastAsia" w:hAnsiTheme="minorEastAsia" w:eastAsiaTheme="minorEastAsia"/>
          <w:color w:val="auto"/>
          <w:sz w:val="32"/>
          <w:szCs w:val="32"/>
        </w:rPr>
        <w:t>万元，其中：人员经费</w:t>
      </w:r>
      <w:r>
        <w:rPr>
          <w:rFonts w:hint="eastAsia" w:asciiTheme="minorEastAsia" w:hAnsiTheme="minorEastAsia" w:eastAsiaTheme="minorEastAsia"/>
          <w:color w:val="auto"/>
          <w:sz w:val="32"/>
          <w:szCs w:val="32"/>
          <w:lang w:val="en-US" w:eastAsia="zh-CN"/>
        </w:rPr>
        <w:t>109.37</w:t>
      </w:r>
      <w:r>
        <w:rPr>
          <w:rFonts w:hint="eastAsia" w:asciiTheme="minorEastAsia" w:hAnsiTheme="minorEastAsia" w:eastAsiaTheme="minorEastAsia"/>
          <w:color w:val="auto"/>
          <w:sz w:val="32"/>
          <w:szCs w:val="32"/>
        </w:rPr>
        <w:t>万元，占基本支出的</w:t>
      </w:r>
      <w:r>
        <w:rPr>
          <w:rFonts w:hint="eastAsia" w:asciiTheme="minorEastAsia" w:hAnsiTheme="minorEastAsia" w:eastAsiaTheme="minorEastAsia"/>
          <w:color w:val="auto"/>
          <w:sz w:val="32"/>
          <w:szCs w:val="32"/>
          <w:lang w:val="en-US" w:eastAsia="zh-CN"/>
        </w:rPr>
        <w:t>47.7</w:t>
      </w:r>
      <w:r>
        <w:rPr>
          <w:rFonts w:hint="eastAsia" w:asciiTheme="minorEastAsia" w:hAnsiTheme="minorEastAsia" w:eastAsiaTheme="minorEastAsia"/>
          <w:color w:val="auto"/>
          <w:sz w:val="32"/>
          <w:szCs w:val="32"/>
        </w:rPr>
        <w:t>%,主要包括基本工资、</w:t>
      </w:r>
      <w:r>
        <w:rPr>
          <w:rFonts w:hint="eastAsia" w:asciiTheme="minorEastAsia" w:hAnsiTheme="minorEastAsia" w:eastAsiaTheme="minorEastAsia"/>
          <w:color w:val="auto"/>
          <w:sz w:val="32"/>
          <w:szCs w:val="32"/>
          <w:lang w:eastAsia="zh-CN"/>
        </w:rPr>
        <w:t>社保费等；</w:t>
      </w:r>
      <w:r>
        <w:rPr>
          <w:rFonts w:hint="eastAsia" w:asciiTheme="minorEastAsia" w:hAnsiTheme="minorEastAsia" w:eastAsiaTheme="minorEastAsia"/>
          <w:color w:val="auto"/>
          <w:sz w:val="32"/>
          <w:szCs w:val="32"/>
        </w:rPr>
        <w:t>公用经费</w:t>
      </w:r>
      <w:r>
        <w:rPr>
          <w:rFonts w:hint="eastAsia" w:asciiTheme="minorEastAsia" w:hAnsiTheme="minorEastAsia" w:eastAsiaTheme="minorEastAsia"/>
          <w:color w:val="auto"/>
          <w:sz w:val="32"/>
          <w:szCs w:val="32"/>
          <w:lang w:val="en-US" w:eastAsia="zh-CN"/>
        </w:rPr>
        <w:t>119.97</w:t>
      </w:r>
      <w:r>
        <w:rPr>
          <w:rFonts w:hint="eastAsia" w:asciiTheme="minorEastAsia" w:hAnsiTheme="minorEastAsia" w:eastAsiaTheme="minorEastAsia"/>
          <w:color w:val="auto"/>
          <w:sz w:val="32"/>
          <w:szCs w:val="32"/>
        </w:rPr>
        <w:t>万元，占基本支出的</w:t>
      </w:r>
      <w:r>
        <w:rPr>
          <w:rFonts w:hint="eastAsia" w:asciiTheme="minorEastAsia" w:hAnsiTheme="minorEastAsia" w:eastAsiaTheme="minorEastAsia"/>
          <w:color w:val="auto"/>
          <w:sz w:val="32"/>
          <w:szCs w:val="32"/>
          <w:lang w:val="en-US" w:eastAsia="zh-CN"/>
        </w:rPr>
        <w:t>52.3</w:t>
      </w:r>
      <w:r>
        <w:rPr>
          <w:rFonts w:hint="eastAsia" w:asciiTheme="minorEastAsia" w:hAnsiTheme="minorEastAsia" w:eastAsiaTheme="minorEastAsia"/>
          <w:color w:val="auto"/>
          <w:sz w:val="32"/>
          <w:szCs w:val="32"/>
        </w:rPr>
        <w:t>%，主要包括办公费、印刷费、</w:t>
      </w:r>
      <w:r>
        <w:rPr>
          <w:rFonts w:hint="eastAsia" w:asciiTheme="minorEastAsia" w:hAnsiTheme="minorEastAsia" w:eastAsiaTheme="minorEastAsia"/>
          <w:color w:val="auto"/>
          <w:sz w:val="32"/>
          <w:szCs w:val="32"/>
          <w:lang w:eastAsia="zh-CN"/>
        </w:rPr>
        <w:t>水电</w:t>
      </w:r>
      <w:r>
        <w:rPr>
          <w:rFonts w:hint="eastAsia" w:asciiTheme="minorEastAsia" w:hAnsiTheme="minorEastAsia" w:eastAsiaTheme="minorEastAsia"/>
          <w:color w:val="auto"/>
          <w:sz w:val="32"/>
          <w:szCs w:val="32"/>
        </w:rPr>
        <w:t>费</w:t>
      </w:r>
      <w:r>
        <w:rPr>
          <w:rFonts w:hint="eastAsia" w:asciiTheme="minorEastAsia" w:hAnsiTheme="minorEastAsia" w:eastAsiaTheme="minorEastAsia"/>
          <w:color w:val="auto"/>
          <w:sz w:val="32"/>
          <w:szCs w:val="32"/>
          <w:lang w:eastAsia="zh-CN"/>
        </w:rPr>
        <w:t>、工会费、委托业务费等</w:t>
      </w:r>
      <w:r>
        <w:rPr>
          <w:rFonts w:hint="eastAsia" w:asciiTheme="minorEastAsia" w:hAnsiTheme="minorEastAsia" w:eastAsiaTheme="minorEastAsia"/>
          <w:color w:val="auto"/>
          <w:sz w:val="32"/>
          <w:szCs w:val="32"/>
        </w:rPr>
        <w:t>。</w:t>
      </w:r>
    </w:p>
    <w:p>
      <w:pPr>
        <w:pStyle w:val="9"/>
        <w:rPr>
          <w:rFonts w:hAnsi="黑体"/>
          <w:b/>
          <w:color w:val="auto"/>
          <w:sz w:val="32"/>
          <w:szCs w:val="32"/>
        </w:rPr>
      </w:pPr>
      <w:r>
        <w:rPr>
          <w:rFonts w:hint="eastAsia" w:hAnsi="黑体"/>
          <w:b/>
          <w:color w:val="auto"/>
          <w:sz w:val="32"/>
          <w:szCs w:val="32"/>
        </w:rPr>
        <w:t>七、一般公共预算财政拨款三公经费支出决算情况说明</w:t>
      </w:r>
    </w:p>
    <w:p>
      <w:pPr>
        <w:pStyle w:val="9"/>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（一）“三公”经费财政拨款支出决算总体情况说明</w:t>
      </w:r>
    </w:p>
    <w:p>
      <w:pPr>
        <w:pStyle w:val="9"/>
        <w:ind w:firstLine="805"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“三公”经费财政拨款支出预算为</w:t>
      </w: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%，其中：</w:t>
      </w:r>
    </w:p>
    <w:p>
      <w:pPr>
        <w:pStyle w:val="9"/>
        <w:ind w:firstLine="805"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因公出国（境）费支出预算为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9"/>
        <w:ind w:firstLine="805"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公务接待费支出预算为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9"/>
        <w:ind w:firstLine="644"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公务用车购置费及运行维护费支出预算为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9"/>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（二）“三公”经费财政拨款支出决算具体情况说明</w:t>
      </w:r>
    </w:p>
    <w:p>
      <w:pPr>
        <w:pStyle w:val="9"/>
        <w:ind w:firstLine="644"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2019年度“三公”经费财政拨款支出决算中，公务接待费支出决算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%,因公出国（境）费支出决算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%,公务用车购置费及运行维护费支出决算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%。其中：</w:t>
      </w:r>
    </w:p>
    <w:p>
      <w:pPr>
        <w:pStyle w:val="9"/>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1、因公出国（境）费支出决算为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万元，全年安排因公出国（境）团组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个，累计</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人次</w:t>
      </w:r>
      <w:r>
        <w:rPr>
          <w:rFonts w:hint="eastAsia" w:asciiTheme="minorEastAsia" w:hAnsiTheme="minorEastAsia" w:eastAsiaTheme="minorEastAsia"/>
          <w:color w:val="auto"/>
          <w:sz w:val="32"/>
          <w:szCs w:val="32"/>
          <w:lang w:eastAsia="zh-CN"/>
        </w:rPr>
        <w:t>。</w:t>
      </w:r>
    </w:p>
    <w:p>
      <w:pPr>
        <w:pStyle w:val="9"/>
        <w:ind w:firstLine="805"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2、公务接待费支出决算为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p>
    <w:p>
      <w:pPr>
        <w:ind w:firstLine="805" w:firstLineChars="250"/>
        <w:rPr>
          <w:rFonts w:hint="default" w:cs="黑体" w:asciiTheme="minorEastAsia" w:hAnsiTheme="minorEastAsia" w:eastAsiaTheme="minorEastAsia"/>
          <w:color w:val="auto"/>
          <w:kern w:val="0"/>
          <w:sz w:val="32"/>
          <w:szCs w:val="32"/>
          <w:lang w:val="en-US" w:eastAsia="zh-CN"/>
        </w:rPr>
      </w:pPr>
      <w:r>
        <w:rPr>
          <w:rFonts w:hint="eastAsia" w:asciiTheme="minorEastAsia" w:hAnsiTheme="minorEastAsia"/>
          <w:color w:val="auto"/>
          <w:sz w:val="32"/>
          <w:szCs w:val="32"/>
        </w:rPr>
        <w:t>3、公务用车购置费及运行维护费支出决算为</w:t>
      </w:r>
      <w:r>
        <w:rPr>
          <w:rFonts w:hint="eastAsia" w:asciiTheme="minorEastAsia" w:hAnsiTheme="minorEastAsia"/>
          <w:color w:val="auto"/>
          <w:sz w:val="32"/>
          <w:szCs w:val="32"/>
          <w:lang w:val="en-US" w:eastAsia="zh-CN"/>
        </w:rPr>
        <w:t>0</w:t>
      </w:r>
      <w:r>
        <w:rPr>
          <w:rFonts w:hint="eastAsia" w:asciiTheme="minorEastAsia" w:hAnsiTheme="minorEastAsia"/>
          <w:color w:val="auto"/>
          <w:sz w:val="32"/>
          <w:szCs w:val="32"/>
        </w:rPr>
        <w:t>万元</w:t>
      </w:r>
      <w:r>
        <w:rPr>
          <w:rFonts w:hint="eastAsia" w:asciiTheme="minorEastAsia" w:hAnsiTheme="minorEastAsia"/>
          <w:color w:val="auto"/>
          <w:sz w:val="32"/>
          <w:szCs w:val="32"/>
          <w:lang w:val="en-US" w:eastAsia="zh-CN"/>
        </w:rPr>
        <w:t>.</w:t>
      </w:r>
    </w:p>
    <w:p>
      <w:pPr>
        <w:pStyle w:val="9"/>
        <w:rPr>
          <w:rFonts w:hAnsi="黑体"/>
          <w:b/>
          <w:color w:val="auto"/>
          <w:sz w:val="32"/>
          <w:szCs w:val="32"/>
        </w:rPr>
      </w:pPr>
      <w:r>
        <w:rPr>
          <w:rFonts w:hint="eastAsia" w:hAnsi="黑体"/>
          <w:b/>
          <w:color w:val="auto"/>
          <w:sz w:val="32"/>
          <w:szCs w:val="32"/>
        </w:rPr>
        <w:t>八、政府性基金预算收入支出决算情况</w:t>
      </w:r>
    </w:p>
    <w:p>
      <w:pPr>
        <w:pStyle w:val="9"/>
        <w:rPr>
          <w:rFonts w:hint="eastAsia" w:asciiTheme="minorEastAsia" w:hAnsiTheme="minorEastAsia" w:eastAsiaTheme="minorEastAsia"/>
          <w:i/>
          <w:color w:val="auto"/>
          <w:sz w:val="32"/>
          <w:szCs w:val="32"/>
          <w:lang w:eastAsia="zh-CN"/>
        </w:rPr>
      </w:pPr>
      <w:r>
        <w:rPr>
          <w:rFonts w:hint="eastAsia" w:asciiTheme="minorEastAsia" w:hAnsiTheme="minorEastAsia" w:eastAsiaTheme="minorEastAsia"/>
          <w:color w:val="auto"/>
          <w:sz w:val="32"/>
          <w:szCs w:val="32"/>
        </w:rPr>
        <w:t xml:space="preserve">     2019年度政府性基金预算财政拨款收入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万元；年初结转和结余</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万元，其中基本支出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万元，项目支出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万元；年末结转和结余</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说明：</w:t>
      </w:r>
      <w:r>
        <w:rPr>
          <w:rFonts w:hint="eastAsia" w:asciiTheme="minorEastAsia" w:hAnsiTheme="minorEastAsia" w:eastAsiaTheme="minorEastAsia"/>
          <w:color w:val="auto"/>
          <w:sz w:val="32"/>
          <w:szCs w:val="32"/>
        </w:rPr>
        <w:t>本单位无政府性基金收支</w:t>
      </w:r>
      <w:r>
        <w:rPr>
          <w:rFonts w:hint="eastAsia" w:asciiTheme="minorEastAsia" w:hAnsiTheme="minorEastAsia" w:eastAsiaTheme="minorEastAsia"/>
          <w:color w:val="auto"/>
          <w:sz w:val="32"/>
          <w:szCs w:val="32"/>
          <w:lang w:eastAsia="zh-CN"/>
        </w:rPr>
        <w:t>。</w:t>
      </w:r>
    </w:p>
    <w:p>
      <w:pPr>
        <w:pStyle w:val="9"/>
        <w:numPr>
          <w:ilvl w:val="0"/>
          <w:numId w:val="2"/>
        </w:numPr>
        <w:rPr>
          <w:rFonts w:hint="eastAsia" w:hAnsi="黑体"/>
          <w:b/>
          <w:color w:val="auto"/>
          <w:sz w:val="32"/>
          <w:szCs w:val="32"/>
        </w:rPr>
      </w:pPr>
      <w:r>
        <w:rPr>
          <w:rFonts w:hint="eastAsia" w:hAnsi="黑体"/>
          <w:b/>
          <w:color w:val="auto"/>
          <w:sz w:val="32"/>
          <w:szCs w:val="32"/>
        </w:rPr>
        <w:t>关于2019年度预算绩效情况说明</w:t>
      </w:r>
    </w:p>
    <w:p>
      <w:pPr>
        <w:widowControl/>
        <w:spacing w:line="600" w:lineRule="exact"/>
        <w:ind w:firstLine="644" w:firstLineChars="200"/>
        <w:jc w:val="left"/>
        <w:rPr>
          <w:rFonts w:hint="eastAsia" w:ascii="宋体" w:hAnsi="宋体"/>
          <w:color w:val="auto"/>
          <w:sz w:val="32"/>
          <w:szCs w:val="32"/>
        </w:rPr>
      </w:pPr>
      <w:r>
        <w:rPr>
          <w:rFonts w:ascii="宋体" w:hAnsi="宋体" w:cs="宋体"/>
          <w:color w:val="auto"/>
          <w:sz w:val="32"/>
          <w:szCs w:val="32"/>
        </w:rPr>
        <w:t>201</w:t>
      </w:r>
      <w:r>
        <w:rPr>
          <w:rFonts w:hint="eastAsia" w:ascii="宋体" w:hAnsi="宋体" w:cs="宋体"/>
          <w:color w:val="auto"/>
          <w:sz w:val="32"/>
          <w:szCs w:val="32"/>
          <w:lang w:val="en-US" w:eastAsia="zh-CN"/>
        </w:rPr>
        <w:t>9</w:t>
      </w:r>
      <w:r>
        <w:rPr>
          <w:rFonts w:hint="eastAsia" w:ascii="宋体" w:hAnsi="宋体" w:cs="宋体"/>
          <w:color w:val="auto"/>
          <w:sz w:val="32"/>
          <w:szCs w:val="32"/>
        </w:rPr>
        <w:t>年</w:t>
      </w:r>
      <w:r>
        <w:rPr>
          <w:rFonts w:hint="eastAsia" w:ascii="宋体" w:hAnsi="宋体"/>
          <w:color w:val="auto"/>
          <w:sz w:val="32"/>
          <w:szCs w:val="32"/>
        </w:rPr>
        <w:t>没有</w:t>
      </w:r>
      <w:r>
        <w:rPr>
          <w:rFonts w:hint="eastAsia" w:ascii="宋体" w:hAnsi="宋体" w:cs="宋体"/>
          <w:color w:val="auto"/>
          <w:sz w:val="32"/>
          <w:szCs w:val="32"/>
        </w:rPr>
        <w:t>项目支出纳入了财政绩效评价，无财政绩效评价结果。</w:t>
      </w:r>
    </w:p>
    <w:p>
      <w:pPr>
        <w:pStyle w:val="9"/>
        <w:numPr>
          <w:ilvl w:val="0"/>
          <w:numId w:val="0"/>
        </w:numPr>
        <w:rPr>
          <w:rFonts w:hint="eastAsia" w:hAnsi="黑体"/>
          <w:b/>
          <w:color w:val="auto"/>
          <w:sz w:val="32"/>
          <w:szCs w:val="32"/>
        </w:rPr>
      </w:pPr>
    </w:p>
    <w:p>
      <w:pPr>
        <w:pStyle w:val="9"/>
        <w:rPr>
          <w:rFonts w:hAnsi="黑体"/>
          <w:b/>
          <w:color w:val="auto"/>
          <w:sz w:val="32"/>
          <w:szCs w:val="32"/>
        </w:rPr>
      </w:pPr>
      <w:r>
        <w:rPr>
          <w:rFonts w:hint="eastAsia" w:hAnsi="黑体"/>
          <w:b/>
          <w:color w:val="auto"/>
          <w:sz w:val="32"/>
          <w:szCs w:val="32"/>
        </w:rPr>
        <w:t>十、其他重要事项情况说明</w:t>
      </w:r>
    </w:p>
    <w:p>
      <w:pPr>
        <w:ind w:firstLine="483" w:firstLineChars="150"/>
        <w:rPr>
          <w:rFonts w:cs="黑体" w:asciiTheme="minorEastAsia" w:hAnsiTheme="minorEastAsia"/>
          <w:b/>
          <w:color w:val="auto"/>
          <w:kern w:val="0"/>
          <w:sz w:val="32"/>
          <w:szCs w:val="32"/>
        </w:rPr>
      </w:pPr>
      <w:r>
        <w:rPr>
          <w:rFonts w:hint="eastAsia" w:cs="黑体" w:asciiTheme="minorEastAsia" w:hAnsiTheme="minorEastAsia"/>
          <w:b/>
          <w:color w:val="auto"/>
          <w:kern w:val="0"/>
          <w:sz w:val="32"/>
          <w:szCs w:val="32"/>
        </w:rPr>
        <w:t>（一）机关运行经费支出情况</w:t>
      </w:r>
    </w:p>
    <w:p>
      <w:pPr>
        <w:pStyle w:val="9"/>
        <w:ind w:firstLine="805" w:firstLineChars="250"/>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本部门2019 年度机关运行经费支出200.93万元，比年初预算数增加46.97万元，增长30.51%。主要原因是：2019年人员工资调资、住房公积金、社会保障费等</w:t>
      </w:r>
    </w:p>
    <w:p>
      <w:pPr>
        <w:ind w:firstLine="644" w:firstLineChars="200"/>
        <w:rPr>
          <w:rFonts w:hint="eastAsia" w:cs="黑体" w:asciiTheme="minorEastAsia" w:hAnsiTheme="minorEastAsia"/>
          <w:b/>
          <w:color w:val="auto"/>
          <w:kern w:val="0"/>
          <w:sz w:val="32"/>
          <w:szCs w:val="32"/>
        </w:rPr>
      </w:pPr>
      <w:r>
        <w:rPr>
          <w:rFonts w:hint="eastAsia" w:cs="黑体" w:asciiTheme="minorEastAsia" w:hAnsiTheme="minorEastAsia"/>
          <w:b/>
          <w:color w:val="auto"/>
          <w:kern w:val="0"/>
          <w:sz w:val="32"/>
          <w:szCs w:val="32"/>
        </w:rPr>
        <w:t>（二）一般性支出情况</w:t>
      </w:r>
    </w:p>
    <w:p>
      <w:pPr>
        <w:ind w:firstLine="644" w:firstLineChars="200"/>
        <w:rPr>
          <w:rFonts w:hint="eastAsia" w:cs="黑体" w:asciiTheme="minorEastAsia" w:hAnsiTheme="minorEastAsia"/>
          <w:color w:val="auto"/>
          <w:kern w:val="0"/>
          <w:sz w:val="32"/>
          <w:szCs w:val="32"/>
        </w:rPr>
      </w:pPr>
      <w:r>
        <w:rPr>
          <w:rFonts w:hint="eastAsia" w:cs="黑体" w:asciiTheme="minorEastAsia" w:hAnsiTheme="minorEastAsia"/>
          <w:color w:val="auto"/>
          <w:kern w:val="0"/>
          <w:sz w:val="32"/>
          <w:szCs w:val="32"/>
        </w:rPr>
        <w:t>2019年本部门开支会开支培训费</w:t>
      </w:r>
      <w:r>
        <w:rPr>
          <w:rFonts w:hint="eastAsia" w:cs="黑体" w:asciiTheme="minorEastAsia" w:hAnsiTheme="minorEastAsia"/>
          <w:color w:val="auto"/>
          <w:kern w:val="0"/>
          <w:sz w:val="32"/>
          <w:szCs w:val="32"/>
          <w:lang w:val="en-US" w:eastAsia="zh-CN"/>
        </w:rPr>
        <w:t>0.73</w:t>
      </w:r>
      <w:r>
        <w:rPr>
          <w:rFonts w:hint="eastAsia" w:cs="黑体" w:asciiTheme="minorEastAsia" w:hAnsiTheme="minorEastAsia"/>
          <w:color w:val="auto"/>
          <w:kern w:val="0"/>
          <w:sz w:val="32"/>
          <w:szCs w:val="32"/>
        </w:rPr>
        <w:t>万元，用于开展</w:t>
      </w:r>
      <w:r>
        <w:rPr>
          <w:rFonts w:hint="eastAsia" w:cs="黑体" w:asciiTheme="minorEastAsia" w:hAnsiTheme="minorEastAsia"/>
          <w:color w:val="auto"/>
          <w:kern w:val="0"/>
          <w:sz w:val="32"/>
          <w:szCs w:val="32"/>
          <w:lang w:eastAsia="zh-CN"/>
        </w:rPr>
        <w:t>质量安全监督</w:t>
      </w:r>
      <w:r>
        <w:rPr>
          <w:rFonts w:hint="eastAsia" w:cs="黑体" w:asciiTheme="minorEastAsia" w:hAnsiTheme="minorEastAsia"/>
          <w:color w:val="auto"/>
          <w:kern w:val="0"/>
          <w:sz w:val="32"/>
          <w:szCs w:val="32"/>
        </w:rPr>
        <w:t>培训，人数</w:t>
      </w:r>
      <w:r>
        <w:rPr>
          <w:rFonts w:hint="eastAsia" w:cs="黑体" w:asciiTheme="minorEastAsia" w:hAnsiTheme="minorEastAsia"/>
          <w:color w:val="auto"/>
          <w:kern w:val="0"/>
          <w:sz w:val="32"/>
          <w:szCs w:val="32"/>
          <w:lang w:val="en-US" w:eastAsia="zh-CN"/>
        </w:rPr>
        <w:t>5</w:t>
      </w:r>
      <w:r>
        <w:rPr>
          <w:rFonts w:hint="eastAsia" w:cs="黑体" w:asciiTheme="minorEastAsia" w:hAnsiTheme="minorEastAsia"/>
          <w:color w:val="auto"/>
          <w:kern w:val="0"/>
          <w:sz w:val="32"/>
          <w:szCs w:val="32"/>
        </w:rPr>
        <w:t>人，内容</w:t>
      </w:r>
      <w:r>
        <w:rPr>
          <w:rFonts w:hint="eastAsia" w:cs="黑体" w:asciiTheme="minorEastAsia" w:hAnsiTheme="minorEastAsia"/>
          <w:color w:val="auto"/>
          <w:kern w:val="0"/>
          <w:sz w:val="32"/>
          <w:szCs w:val="32"/>
          <w:lang w:eastAsia="zh-CN"/>
        </w:rPr>
        <w:t>质量安全监督员培训。</w:t>
      </w:r>
    </w:p>
    <w:p>
      <w:pPr>
        <w:ind w:firstLine="644" w:firstLineChars="200"/>
        <w:rPr>
          <w:rFonts w:cs="黑体" w:asciiTheme="minorEastAsia" w:hAnsiTheme="minorEastAsia"/>
          <w:b/>
          <w:color w:val="auto"/>
          <w:kern w:val="0"/>
          <w:sz w:val="32"/>
          <w:szCs w:val="32"/>
        </w:rPr>
      </w:pPr>
      <w:r>
        <w:rPr>
          <w:rFonts w:hint="eastAsia" w:cs="黑体" w:asciiTheme="minorEastAsia" w:hAnsiTheme="minorEastAsia"/>
          <w:b/>
          <w:color w:val="auto"/>
          <w:kern w:val="0"/>
          <w:sz w:val="32"/>
          <w:szCs w:val="32"/>
        </w:rPr>
        <w:t>（三）政府采购支出情况</w:t>
      </w:r>
    </w:p>
    <w:p>
      <w:pPr>
        <w:ind w:firstLine="644" w:firstLineChars="200"/>
        <w:rPr>
          <w:rFonts w:cs="黑体" w:asciiTheme="minorEastAsia" w:hAnsiTheme="minorEastAsia"/>
          <w:i/>
          <w:color w:val="auto"/>
          <w:kern w:val="0"/>
          <w:sz w:val="32"/>
          <w:szCs w:val="32"/>
        </w:rPr>
      </w:pPr>
      <w:r>
        <w:rPr>
          <w:rFonts w:hint="eastAsia" w:cs="黑体" w:asciiTheme="minorEastAsia" w:hAnsiTheme="minorEastAsia"/>
          <w:color w:val="auto"/>
          <w:kern w:val="0"/>
          <w:sz w:val="32"/>
          <w:szCs w:val="32"/>
        </w:rPr>
        <w:t>本部门2019年度政府采购支出总额</w:t>
      </w:r>
      <w:r>
        <w:rPr>
          <w:rFonts w:hint="eastAsia" w:cs="黑体" w:asciiTheme="minorEastAsia" w:hAnsiTheme="minorEastAsia"/>
          <w:color w:val="auto"/>
          <w:kern w:val="0"/>
          <w:sz w:val="32"/>
          <w:szCs w:val="32"/>
          <w:lang w:val="en-US" w:eastAsia="zh-CN"/>
        </w:rPr>
        <w:t>4.5</w:t>
      </w:r>
      <w:r>
        <w:rPr>
          <w:rFonts w:hint="eastAsia" w:cs="黑体" w:asciiTheme="minorEastAsia" w:hAnsiTheme="minorEastAsia"/>
          <w:color w:val="auto"/>
          <w:kern w:val="0"/>
          <w:sz w:val="32"/>
          <w:szCs w:val="32"/>
        </w:rPr>
        <w:t>万元，其中：政府采购货物支出</w:t>
      </w:r>
      <w:r>
        <w:rPr>
          <w:rFonts w:hint="eastAsia" w:cs="黑体" w:asciiTheme="minorEastAsia" w:hAnsiTheme="minorEastAsia"/>
          <w:color w:val="auto"/>
          <w:kern w:val="0"/>
          <w:sz w:val="32"/>
          <w:szCs w:val="32"/>
          <w:lang w:val="en-US" w:eastAsia="zh-CN"/>
        </w:rPr>
        <w:t>4.5</w:t>
      </w:r>
      <w:r>
        <w:rPr>
          <w:rFonts w:hint="eastAsia" w:cs="黑体" w:asciiTheme="minorEastAsia" w:hAnsiTheme="minorEastAsia"/>
          <w:color w:val="auto"/>
          <w:kern w:val="0"/>
          <w:sz w:val="32"/>
          <w:szCs w:val="32"/>
        </w:rPr>
        <w:t>万元</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rPr>
        <w:t>占政府采购支出总额的</w:t>
      </w:r>
      <w:r>
        <w:rPr>
          <w:rFonts w:hint="eastAsia" w:cs="黑体" w:asciiTheme="minorEastAsia" w:hAnsiTheme="minorEastAsia"/>
          <w:color w:val="auto"/>
          <w:kern w:val="0"/>
          <w:sz w:val="32"/>
          <w:szCs w:val="32"/>
          <w:lang w:val="en-US" w:eastAsia="zh-CN"/>
        </w:rPr>
        <w:t>100</w:t>
      </w:r>
      <w:r>
        <w:rPr>
          <w:rFonts w:hint="eastAsia" w:cs="黑体" w:asciiTheme="minorEastAsia" w:hAnsiTheme="minorEastAsia"/>
          <w:color w:val="auto"/>
          <w:kern w:val="0"/>
          <w:sz w:val="32"/>
          <w:szCs w:val="32"/>
        </w:rPr>
        <w:t>%。</w:t>
      </w:r>
    </w:p>
    <w:p>
      <w:pPr>
        <w:ind w:firstLine="483" w:firstLineChars="150"/>
        <w:rPr>
          <w:rFonts w:cs="黑体" w:asciiTheme="minorEastAsia" w:hAnsiTheme="minorEastAsia"/>
          <w:b/>
          <w:color w:val="auto"/>
          <w:kern w:val="0"/>
          <w:sz w:val="32"/>
          <w:szCs w:val="32"/>
        </w:rPr>
      </w:pPr>
      <w:r>
        <w:rPr>
          <w:rFonts w:hint="eastAsia" w:cs="黑体" w:asciiTheme="minorEastAsia" w:hAnsiTheme="minorEastAsia"/>
          <w:b/>
          <w:color w:val="auto"/>
          <w:kern w:val="0"/>
          <w:sz w:val="32"/>
          <w:szCs w:val="32"/>
        </w:rPr>
        <w:t>（四）国有资产占用情况</w:t>
      </w:r>
    </w:p>
    <w:p>
      <w:pPr>
        <w:ind w:firstLine="644" w:firstLineChars="200"/>
        <w:rPr>
          <w:rFonts w:hint="eastAsia" w:cs="黑体" w:asciiTheme="minorEastAsia" w:hAnsiTheme="minorEastAsia"/>
          <w:color w:val="auto"/>
          <w:kern w:val="0"/>
          <w:sz w:val="32"/>
          <w:szCs w:val="32"/>
          <w:lang w:eastAsia="zh-CN"/>
        </w:rPr>
      </w:pPr>
      <w:r>
        <w:rPr>
          <w:rFonts w:hint="eastAsia" w:cs="黑体" w:asciiTheme="minorEastAsia" w:hAnsiTheme="minorEastAsia"/>
          <w:color w:val="auto"/>
          <w:kern w:val="0"/>
          <w:sz w:val="32"/>
          <w:szCs w:val="32"/>
        </w:rPr>
        <w:t>截至2019年12月31日，本单位共有车辆</w:t>
      </w:r>
      <w:r>
        <w:rPr>
          <w:rFonts w:hint="eastAsia" w:cs="黑体" w:asciiTheme="minorEastAsia" w:hAnsiTheme="minorEastAsia"/>
          <w:color w:val="auto"/>
          <w:kern w:val="0"/>
          <w:sz w:val="32"/>
          <w:szCs w:val="32"/>
          <w:lang w:val="en-US" w:eastAsia="zh-CN"/>
        </w:rPr>
        <w:t>0</w:t>
      </w:r>
      <w:r>
        <w:rPr>
          <w:rFonts w:hint="eastAsia" w:cs="黑体" w:asciiTheme="minorEastAsia" w:hAnsiTheme="minorEastAsia"/>
          <w:color w:val="auto"/>
          <w:kern w:val="0"/>
          <w:sz w:val="32"/>
          <w:szCs w:val="32"/>
        </w:rPr>
        <w:t>辆</w:t>
      </w:r>
      <w:r>
        <w:rPr>
          <w:rFonts w:hint="eastAsia" w:cs="黑体" w:asciiTheme="minorEastAsia" w:hAnsiTheme="minorEastAsia"/>
          <w:color w:val="auto"/>
          <w:kern w:val="0"/>
          <w:sz w:val="32"/>
          <w:szCs w:val="32"/>
          <w:lang w:eastAsia="zh-CN"/>
        </w:rPr>
        <w:t>。</w:t>
      </w:r>
    </w:p>
    <w:p>
      <w:pPr>
        <w:ind w:firstLine="644" w:firstLineChars="200"/>
        <w:rPr>
          <w:rFonts w:hint="eastAsia" w:cs="黑体" w:asciiTheme="minorEastAsia" w:hAnsiTheme="minorEastAsia"/>
          <w:color w:val="auto"/>
          <w:kern w:val="0"/>
          <w:sz w:val="32"/>
          <w:szCs w:val="32"/>
          <w:lang w:val="en-US" w:eastAsia="zh-CN"/>
        </w:rPr>
      </w:pPr>
    </w:p>
    <w:p>
      <w:pPr>
        <w:pStyle w:val="9"/>
        <w:jc w:val="center"/>
        <w:rPr>
          <w:rFonts w:cs="黑体" w:asciiTheme="minorEastAsia" w:hAnsiTheme="minorEastAsia"/>
          <w:color w:val="auto"/>
          <w:kern w:val="0"/>
          <w:sz w:val="32"/>
          <w:szCs w:val="32"/>
        </w:rPr>
      </w:pPr>
      <w:r>
        <w:rPr>
          <w:rFonts w:cs="黑体" w:asciiTheme="minorEastAsia" w:hAnsiTheme="minorEastAsia"/>
          <w:color w:val="auto"/>
          <w:kern w:val="0"/>
          <w:sz w:val="32"/>
          <w:szCs w:val="32"/>
        </w:rPr>
        <w:br w:type="page"/>
      </w: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cs="黑体" w:asciiTheme="minorEastAsia" w:hAnsiTheme="minorEastAsia"/>
          <w:color w:val="auto"/>
          <w:kern w:val="0"/>
          <w:sz w:val="32"/>
          <w:szCs w:val="32"/>
        </w:rPr>
      </w:pPr>
    </w:p>
    <w:p>
      <w:pPr>
        <w:pStyle w:val="9"/>
        <w:jc w:val="center"/>
        <w:rPr>
          <w:rFonts w:hint="eastAsia"/>
          <w:color w:val="auto"/>
          <w:sz w:val="72"/>
          <w:szCs w:val="72"/>
          <w:lang w:val="en-US" w:eastAsia="zh-CN"/>
        </w:rPr>
      </w:pPr>
      <w:r>
        <w:rPr>
          <w:rFonts w:hint="eastAsia"/>
          <w:color w:val="auto"/>
          <w:sz w:val="72"/>
          <w:szCs w:val="72"/>
          <w:lang w:val="en-US" w:eastAsia="zh-CN"/>
        </w:rPr>
        <w:t>第四部分</w:t>
      </w:r>
    </w:p>
    <w:p>
      <w:pPr>
        <w:pStyle w:val="9"/>
        <w:jc w:val="center"/>
        <w:rPr>
          <w:rFonts w:hint="eastAsia"/>
          <w:color w:val="auto"/>
          <w:sz w:val="72"/>
          <w:szCs w:val="72"/>
          <w:lang w:val="en-US" w:eastAsia="zh-CN"/>
        </w:rPr>
      </w:pPr>
    </w:p>
    <w:p>
      <w:pPr>
        <w:pStyle w:val="9"/>
        <w:jc w:val="center"/>
        <w:rPr>
          <w:rFonts w:hint="eastAsia"/>
          <w:color w:val="auto"/>
          <w:sz w:val="72"/>
          <w:szCs w:val="72"/>
          <w:lang w:val="en-US" w:eastAsia="zh-CN"/>
        </w:rPr>
      </w:pPr>
      <w:r>
        <w:rPr>
          <w:rFonts w:hint="eastAsia"/>
          <w:color w:val="auto"/>
          <w:sz w:val="72"/>
          <w:szCs w:val="72"/>
          <w:lang w:val="en-US" w:eastAsia="zh-CN"/>
        </w:rPr>
        <w:t>名词解释</w:t>
      </w:r>
    </w:p>
    <w:p>
      <w:pPr>
        <w:widowControl/>
        <w:jc w:val="left"/>
        <w:rPr>
          <w:rFonts w:cs="黑体" w:asciiTheme="minorEastAsia" w:hAnsiTheme="minorEastAsia"/>
          <w:color w:val="auto"/>
          <w:kern w:val="0"/>
          <w:sz w:val="32"/>
          <w:szCs w:val="32"/>
        </w:rPr>
      </w:pPr>
    </w:p>
    <w:p>
      <w:pPr>
        <w:ind w:firstLine="644" w:firstLineChars="200"/>
        <w:rPr>
          <w:rFonts w:cs="黑体" w:asciiTheme="minorEastAsia" w:hAnsiTheme="minorEastAsia"/>
          <w:color w:val="auto"/>
          <w:kern w:val="0"/>
          <w:sz w:val="32"/>
          <w:szCs w:val="3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widowControl/>
        <w:ind w:firstLine="604" w:firstLineChars="200"/>
        <w:jc w:val="left"/>
        <w:rPr>
          <w:rFonts w:hint="eastAsia" w:ascii="宋体" w:hAnsi="宋体"/>
          <w:color w:val="auto"/>
          <w:sz w:val="30"/>
          <w:szCs w:val="30"/>
        </w:rPr>
      </w:pPr>
      <w:r>
        <w:rPr>
          <w:rFonts w:ascii="宋体" w:hAnsi="宋体"/>
          <w:color w:val="auto"/>
          <w:sz w:val="30"/>
          <w:szCs w:val="30"/>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r>
        <w:rPr>
          <w:rFonts w:ascii="宋体" w:hAnsi="宋体"/>
          <w:color w:val="auto"/>
          <w:sz w:val="30"/>
          <w:szCs w:val="30"/>
        </w:rPr>
        <w:br w:type="textWrapping"/>
      </w:r>
      <w:r>
        <w:rPr>
          <w:rFonts w:hint="eastAsia" w:ascii="宋体" w:hAnsi="宋体"/>
          <w:color w:val="auto"/>
          <w:sz w:val="30"/>
          <w:szCs w:val="30"/>
          <w:lang w:val="en-US" w:eastAsia="zh-CN"/>
        </w:rPr>
        <w:t xml:space="preserve">    </w:t>
      </w:r>
      <w:r>
        <w:rPr>
          <w:rFonts w:ascii="宋体" w:hAnsi="宋体"/>
          <w:color w:val="auto"/>
          <w:sz w:val="30"/>
          <w:szCs w:val="30"/>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w:t>
      </w:r>
      <w:r>
        <w:rPr>
          <w:rFonts w:hint="eastAsia" w:ascii="宋体" w:hAnsi="宋体"/>
          <w:color w:val="auto"/>
          <w:sz w:val="30"/>
          <w:szCs w:val="30"/>
        </w:rPr>
        <w:t>。</w:t>
      </w:r>
    </w:p>
    <w:p>
      <w:pPr>
        <w:widowControl/>
        <w:jc w:val="left"/>
        <w:rPr>
          <w:rFonts w:asciiTheme="minorEastAsia" w:hAnsiTheme="minorEastAsia"/>
          <w:i/>
          <w:color w:val="auto"/>
          <w:sz w:val="32"/>
          <w:szCs w:val="32"/>
        </w:rPr>
      </w:pPr>
      <w:r>
        <w:rPr>
          <w:rFonts w:asciiTheme="minorEastAsia" w:hAnsiTheme="minorEastAsia"/>
          <w:i/>
          <w:color w:val="auto"/>
          <w:sz w:val="32"/>
          <w:szCs w:val="32"/>
        </w:rPr>
        <w:br w:type="page"/>
      </w: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p>
    <w:p>
      <w:pPr>
        <w:pStyle w:val="9"/>
        <w:jc w:val="center"/>
        <w:rPr>
          <w:color w:val="auto"/>
          <w:sz w:val="72"/>
          <w:szCs w:val="72"/>
        </w:rPr>
      </w:pPr>
      <w:r>
        <w:rPr>
          <w:rFonts w:hint="eastAsia"/>
          <w:color w:val="auto"/>
          <w:sz w:val="72"/>
          <w:szCs w:val="72"/>
        </w:rPr>
        <w:t>第五部分</w:t>
      </w:r>
    </w:p>
    <w:p>
      <w:pPr>
        <w:jc w:val="center"/>
        <w:rPr>
          <w:rFonts w:ascii="黑体" w:eastAsia="黑体" w:cs="黑体"/>
          <w:color w:val="auto"/>
          <w:kern w:val="0"/>
          <w:sz w:val="70"/>
          <w:szCs w:val="70"/>
        </w:rPr>
      </w:pPr>
    </w:p>
    <w:p>
      <w:pPr>
        <w:jc w:val="center"/>
        <w:rPr>
          <w:rFonts w:ascii="黑体" w:eastAsia="黑体" w:cs="黑体"/>
          <w:color w:val="auto"/>
          <w:kern w:val="0"/>
          <w:sz w:val="70"/>
          <w:szCs w:val="70"/>
        </w:rPr>
      </w:pPr>
      <w:r>
        <w:rPr>
          <w:rFonts w:hint="eastAsia" w:ascii="黑体" w:eastAsia="黑体" w:cs="黑体"/>
          <w:color w:val="auto"/>
          <w:kern w:val="0"/>
          <w:sz w:val="70"/>
          <w:szCs w:val="70"/>
        </w:rPr>
        <w:t>附件</w:t>
      </w:r>
    </w:p>
    <w:p>
      <w:pPr>
        <w:widowControl/>
        <w:jc w:val="left"/>
        <w:rPr>
          <w:rFonts w:ascii="黑体" w:eastAsia="黑体" w:cs="黑体"/>
          <w:color w:val="auto"/>
          <w:kern w:val="0"/>
          <w:sz w:val="70"/>
          <w:szCs w:val="70"/>
        </w:rPr>
      </w:pPr>
      <w:r>
        <w:rPr>
          <w:rFonts w:ascii="黑体" w:eastAsia="黑体" w:cs="黑体"/>
          <w:color w:val="auto"/>
          <w:kern w:val="0"/>
          <w:sz w:val="70"/>
          <w:szCs w:val="70"/>
        </w:rPr>
        <w:br w:type="page"/>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lang w:eastAsia="zh-CN"/>
        </w:rPr>
        <w:t>一、</w:t>
      </w:r>
      <w:r>
        <w:rPr>
          <w:rFonts w:hint="eastAsia" w:ascii="方正小标宋简体" w:hAnsi="方正小标宋简体" w:eastAsia="方正小标宋简体" w:cs="方正小标宋简体"/>
          <w:b/>
          <w:bCs/>
          <w:color w:val="auto"/>
          <w:sz w:val="32"/>
          <w:szCs w:val="32"/>
        </w:rPr>
        <w:t>关于2019年度预算绩效情况说明</w:t>
      </w:r>
    </w:p>
    <w:p>
      <w:pPr>
        <w:numPr>
          <w:ilvl w:val="0"/>
          <w:numId w:val="0"/>
        </w:numPr>
        <w:ind w:leftChars="0" w:firstLine="906" w:firstLineChars="300"/>
        <w:jc w:val="both"/>
        <w:rPr>
          <w:rFonts w:ascii="黑体" w:eastAsia="黑体" w:cs="黑体"/>
          <w:color w:val="auto"/>
          <w:kern w:val="0"/>
          <w:sz w:val="70"/>
          <w:szCs w:val="70"/>
        </w:rPr>
      </w:pPr>
      <w:r>
        <w:rPr>
          <w:rFonts w:hint="eastAsia" w:ascii="仿宋" w:hAnsi="仿宋" w:eastAsia="仿宋" w:cs="仿宋"/>
          <w:color w:val="auto"/>
          <w:sz w:val="30"/>
          <w:szCs w:val="30"/>
          <w:lang w:eastAsia="zh-CN"/>
        </w:rPr>
        <w:t>我单位</w:t>
      </w:r>
      <w:r>
        <w:rPr>
          <w:rFonts w:hint="eastAsia" w:ascii="仿宋" w:hAnsi="仿宋" w:eastAsia="仿宋" w:cs="仿宋"/>
          <w:color w:val="auto"/>
          <w:sz w:val="30"/>
          <w:szCs w:val="30"/>
        </w:rPr>
        <w:t>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2019年整体支出绩效目标全部完成，自评整体评价为良好。</w:t>
      </w:r>
    </w:p>
    <w:p>
      <w:pPr>
        <w:numPr>
          <w:ilvl w:val="0"/>
          <w:numId w:val="3"/>
        </w:numPr>
        <w:ind w:firstLine="604" w:firstLineChars="200"/>
        <w:jc w:val="both"/>
        <w:rPr>
          <w:rFonts w:hint="eastAsia" w:ascii="方正小标宋简体" w:hAnsi="方正小标宋简体" w:eastAsia="方正小标宋简体" w:cs="方正小标宋简体"/>
          <w:b/>
          <w:color w:val="auto"/>
          <w:kern w:val="0"/>
          <w:sz w:val="30"/>
          <w:szCs w:val="30"/>
          <w:lang w:val="en-US" w:eastAsia="zh-CN"/>
        </w:rPr>
      </w:pPr>
      <w:r>
        <w:rPr>
          <w:rFonts w:hint="eastAsia" w:ascii="方正小标宋简体" w:hAnsi="方正小标宋简体" w:eastAsia="方正小标宋简体" w:cs="方正小标宋简体"/>
          <w:b/>
          <w:color w:val="auto"/>
          <w:kern w:val="0"/>
          <w:sz w:val="30"/>
          <w:szCs w:val="30"/>
          <w:lang w:val="en-US" w:eastAsia="zh-CN"/>
        </w:rPr>
        <w:t>附件2019年度部门整体支出绩效评价自评报告</w:t>
      </w:r>
    </w:p>
    <w:p>
      <w:pPr>
        <w:numPr>
          <w:ilvl w:val="0"/>
          <w:numId w:val="0"/>
        </w:numPr>
        <w:jc w:val="both"/>
        <w:rPr>
          <w:rFonts w:hint="default" w:ascii="方正小标宋简体" w:hAnsi="方正小标宋简体" w:eastAsia="方正小标宋简体" w:cs="方正小标宋简体"/>
          <w:b/>
          <w:color w:val="auto"/>
          <w:kern w:val="0"/>
          <w:sz w:val="30"/>
          <w:szCs w:val="30"/>
          <w:lang w:val="en-US" w:eastAsia="zh-CN"/>
        </w:rPr>
      </w:pPr>
      <w:r>
        <w:rPr>
          <w:rFonts w:hint="eastAsia" w:ascii="方正小标宋简体" w:hAnsi="方正小标宋简体" w:eastAsia="方正小标宋简体" w:cs="方正小标宋简体"/>
          <w:b/>
          <w:color w:val="auto"/>
          <w:kern w:val="0"/>
          <w:sz w:val="30"/>
          <w:szCs w:val="30"/>
          <w:lang w:val="en-US" w:eastAsia="zh-CN"/>
        </w:rPr>
        <w:t>附件1</w:t>
      </w:r>
    </w:p>
    <w:p>
      <w:pPr>
        <w:ind w:firstLine="964" w:firstLineChars="200"/>
        <w:jc w:val="center"/>
        <w:rPr>
          <w:rFonts w:hint="eastAsia" w:ascii="方正小标宋简体" w:hAnsi="方正小标宋简体" w:eastAsia="方正小标宋简体" w:cs="方正小标宋简体"/>
          <w:b/>
          <w:color w:val="auto"/>
          <w:kern w:val="0"/>
          <w:sz w:val="48"/>
          <w:szCs w:val="48"/>
        </w:rPr>
      </w:pPr>
      <w:r>
        <w:rPr>
          <w:rFonts w:hint="eastAsia" w:ascii="方正小标宋简体" w:hAnsi="方正小标宋简体" w:eastAsia="方正小标宋简体" w:cs="方正小标宋简体"/>
          <w:b/>
          <w:color w:val="auto"/>
          <w:kern w:val="0"/>
          <w:sz w:val="48"/>
          <w:szCs w:val="48"/>
        </w:rPr>
        <w:t>2019年度部门整体支出绩效评价</w:t>
      </w:r>
      <w:r>
        <w:rPr>
          <w:rFonts w:hint="eastAsia" w:ascii="方正小标宋简体" w:hAnsi="方正小标宋简体" w:eastAsia="方正小标宋简体" w:cs="方正小标宋简体"/>
          <w:b/>
          <w:color w:val="auto"/>
          <w:kern w:val="0"/>
          <w:sz w:val="48"/>
          <w:szCs w:val="48"/>
          <w:lang w:eastAsia="zh-CN"/>
        </w:rPr>
        <w:t>自评</w:t>
      </w:r>
      <w:r>
        <w:rPr>
          <w:rFonts w:hint="eastAsia" w:ascii="方正小标宋简体" w:hAnsi="方正小标宋简体" w:eastAsia="方正小标宋简体" w:cs="方正小标宋简体"/>
          <w:b/>
          <w:color w:val="auto"/>
          <w:kern w:val="0"/>
          <w:sz w:val="48"/>
          <w:szCs w:val="48"/>
        </w:rPr>
        <w:t>报告</w:t>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一、部门概况</w:t>
      </w:r>
    </w:p>
    <w:p>
      <w:pPr>
        <w:spacing w:line="600" w:lineRule="exact"/>
        <w:ind w:right="641" w:firstLine="604" w:firstLineChars="200"/>
        <w:rPr>
          <w:rFonts w:ascii="仿宋" w:hAnsi="仿宋" w:eastAsia="仿宋" w:cs="仿宋"/>
          <w:color w:val="auto"/>
          <w:sz w:val="30"/>
          <w:szCs w:val="30"/>
        </w:rPr>
      </w:pPr>
      <w:r>
        <w:rPr>
          <w:rFonts w:hint="eastAsia" w:ascii="仿宋" w:hAnsi="仿宋" w:eastAsia="仿宋" w:cs="仿宋"/>
          <w:color w:val="auto"/>
          <w:sz w:val="30"/>
          <w:szCs w:val="30"/>
        </w:rPr>
        <w:t>湘乡市建设工程质量安全监督站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程达标验收工作的监督；负责全市在建工程项目起重机械设备监管工作。</w:t>
      </w:r>
    </w:p>
    <w:p>
      <w:pPr>
        <w:widowControl/>
        <w:numPr>
          <w:ilvl w:val="0"/>
          <w:numId w:val="0"/>
        </w:numPr>
        <w:spacing w:line="600" w:lineRule="exact"/>
        <w:ind w:left="640" w:leftChars="0"/>
        <w:jc w:val="left"/>
        <w:rPr>
          <w:rFonts w:ascii="仿宋" w:hAnsi="仿宋" w:eastAsia="仿宋" w:cs="宋体"/>
          <w:b/>
          <w:bCs/>
          <w:color w:val="auto"/>
          <w:sz w:val="30"/>
          <w:szCs w:val="30"/>
        </w:rPr>
      </w:pPr>
      <w:r>
        <w:rPr>
          <w:rFonts w:hint="eastAsia" w:ascii="仿宋" w:hAnsi="仿宋" w:eastAsia="仿宋" w:cs="宋体"/>
          <w:b/>
          <w:bCs/>
          <w:color w:val="auto"/>
          <w:sz w:val="30"/>
          <w:szCs w:val="30"/>
          <w:lang w:eastAsia="zh-CN"/>
        </w:rPr>
        <w:t>（一）</w:t>
      </w:r>
      <w:r>
        <w:rPr>
          <w:rFonts w:hint="eastAsia" w:ascii="仿宋" w:hAnsi="仿宋" w:eastAsia="仿宋" w:cs="宋体"/>
          <w:b/>
          <w:bCs/>
          <w:color w:val="auto"/>
          <w:sz w:val="30"/>
          <w:szCs w:val="30"/>
        </w:rPr>
        <w:t>机构设置</w:t>
      </w:r>
    </w:p>
    <w:p>
      <w:pPr>
        <w:widowControl/>
        <w:spacing w:line="600" w:lineRule="exact"/>
        <w:ind w:firstLine="604" w:firstLineChars="200"/>
        <w:jc w:val="left"/>
        <w:rPr>
          <w:rFonts w:ascii="仿宋" w:hAnsi="仿宋" w:eastAsia="仿宋" w:cs="仿宋"/>
          <w:color w:val="auto"/>
          <w:sz w:val="30"/>
          <w:szCs w:val="30"/>
        </w:rPr>
      </w:pPr>
      <w:r>
        <w:rPr>
          <w:rFonts w:hint="eastAsia" w:ascii="仿宋" w:hAnsi="仿宋" w:eastAsia="仿宋" w:cs="仿宋"/>
          <w:color w:val="auto"/>
          <w:sz w:val="30"/>
          <w:szCs w:val="30"/>
        </w:rPr>
        <w:t>内设机构：综合办公室，质量投诉办公室，监督一组，监督二组，市政组，备案办公室，检测管理办公室等。</w:t>
      </w:r>
    </w:p>
    <w:p>
      <w:pPr>
        <w:widowControl/>
        <w:numPr>
          <w:ilvl w:val="0"/>
          <w:numId w:val="0"/>
        </w:numPr>
        <w:spacing w:line="600" w:lineRule="exact"/>
        <w:ind w:firstLine="604" w:firstLineChars="200"/>
        <w:jc w:val="left"/>
        <w:rPr>
          <w:rFonts w:hint="eastAsia" w:ascii="仿宋" w:hAnsi="仿宋" w:eastAsia="仿宋" w:cs="宋体"/>
          <w:b/>
          <w:bCs/>
          <w:color w:val="auto"/>
          <w:sz w:val="30"/>
          <w:szCs w:val="30"/>
        </w:rPr>
      </w:pPr>
      <w:r>
        <w:rPr>
          <w:rFonts w:hint="eastAsia" w:ascii="仿宋" w:hAnsi="仿宋" w:eastAsia="仿宋" w:cs="宋体"/>
          <w:b/>
          <w:bCs/>
          <w:color w:val="auto"/>
          <w:sz w:val="30"/>
          <w:szCs w:val="30"/>
          <w:lang w:val="en-US" w:eastAsia="zh-CN"/>
        </w:rPr>
        <w:t>（二）</w:t>
      </w:r>
      <w:r>
        <w:rPr>
          <w:rFonts w:hint="eastAsia" w:ascii="仿宋" w:hAnsi="仿宋" w:eastAsia="仿宋" w:cs="宋体"/>
          <w:b/>
          <w:bCs/>
          <w:color w:val="auto"/>
          <w:sz w:val="30"/>
          <w:szCs w:val="30"/>
        </w:rPr>
        <w:t>部门预算单位构成</w:t>
      </w:r>
    </w:p>
    <w:p>
      <w:pPr>
        <w:widowControl/>
        <w:spacing w:line="600" w:lineRule="exact"/>
        <w:ind w:firstLine="906" w:firstLineChars="300"/>
        <w:rPr>
          <w:rFonts w:ascii="仿宋" w:hAnsi="仿宋" w:eastAsia="仿宋" w:cs="仿宋"/>
          <w:color w:val="auto"/>
          <w:sz w:val="30"/>
          <w:szCs w:val="30"/>
        </w:rPr>
      </w:pPr>
      <w:r>
        <w:rPr>
          <w:rFonts w:hint="eastAsia" w:ascii="仿宋" w:hAnsi="仿宋" w:eastAsia="仿宋" w:cs="仿宋"/>
          <w:color w:val="auto"/>
          <w:sz w:val="30"/>
          <w:szCs w:val="30"/>
        </w:rPr>
        <w:t>湘乡市建设工程质量安全监督站是下辖于湘乡市住房和城乡建设局的二级机构，只有本级，没有其他二级预算单位，因此，纳入20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年部门预算编制范围的只有质安站本级。</w:t>
      </w:r>
    </w:p>
    <w:p>
      <w:pPr>
        <w:widowControl/>
        <w:spacing w:line="600" w:lineRule="exact"/>
        <w:ind w:firstLine="591" w:firstLineChars="196"/>
        <w:rPr>
          <w:rFonts w:ascii="仿宋" w:hAnsi="仿宋" w:eastAsia="仿宋" w:cs="仿宋"/>
          <w:color w:val="auto"/>
          <w:sz w:val="30"/>
          <w:szCs w:val="30"/>
        </w:rPr>
      </w:pPr>
      <w:r>
        <w:rPr>
          <w:rFonts w:hint="eastAsia" w:ascii="仿宋" w:hAnsi="仿宋" w:eastAsia="仿宋" w:cs="仿宋"/>
          <w:color w:val="auto"/>
          <w:sz w:val="30"/>
          <w:szCs w:val="30"/>
        </w:rPr>
        <w:t>本单位在职人员38人，离退休人员4人。本单位无公车，本单位拥有国有资产</w:t>
      </w:r>
      <w:r>
        <w:rPr>
          <w:rFonts w:hint="eastAsia" w:ascii="仿宋" w:hAnsi="仿宋" w:eastAsia="仿宋" w:cs="仿宋"/>
          <w:color w:val="auto"/>
          <w:sz w:val="30"/>
          <w:szCs w:val="30"/>
          <w:lang w:val="en-US" w:eastAsia="zh-CN"/>
        </w:rPr>
        <w:t>85.62</w:t>
      </w:r>
      <w:r>
        <w:rPr>
          <w:rFonts w:hint="eastAsia" w:ascii="仿宋" w:hAnsi="仿宋" w:eastAsia="仿宋" w:cs="仿宋"/>
          <w:color w:val="auto"/>
          <w:sz w:val="30"/>
          <w:szCs w:val="30"/>
        </w:rPr>
        <w:t>万元。</w:t>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二、部门整体支出管理及使用情况</w:t>
      </w:r>
    </w:p>
    <w:p>
      <w:pPr>
        <w:snapToGrid w:val="0"/>
        <w:spacing w:line="600" w:lineRule="exact"/>
        <w:ind w:firstLine="604" w:firstLineChars="200"/>
        <w:rPr>
          <w:rFonts w:ascii="仿宋" w:hAnsi="仿宋" w:eastAsia="仿宋"/>
          <w:b/>
          <w:color w:val="auto"/>
          <w:sz w:val="30"/>
          <w:szCs w:val="30"/>
        </w:rPr>
      </w:pPr>
      <w:r>
        <w:rPr>
          <w:rFonts w:ascii="仿宋" w:hAnsi="仿宋" w:eastAsia="仿宋"/>
          <w:b/>
          <w:color w:val="auto"/>
          <w:sz w:val="30"/>
          <w:szCs w:val="30"/>
        </w:rPr>
        <w:t>（一）预算情况</w:t>
      </w:r>
    </w:p>
    <w:p>
      <w:pPr>
        <w:snapToGrid w:val="0"/>
        <w:spacing w:line="600" w:lineRule="exact"/>
        <w:ind w:firstLine="604" w:firstLineChars="200"/>
        <w:rPr>
          <w:rFonts w:ascii="仿宋" w:hAnsi="仿宋" w:eastAsia="仿宋"/>
          <w:color w:val="auto"/>
          <w:sz w:val="30"/>
          <w:szCs w:val="30"/>
        </w:rPr>
      </w:pPr>
      <w:r>
        <w:rPr>
          <w:rFonts w:ascii="仿宋" w:hAnsi="仿宋" w:eastAsia="仿宋"/>
          <w:color w:val="auto"/>
          <w:sz w:val="30"/>
          <w:szCs w:val="30"/>
        </w:rPr>
        <w:t>1、年初预算情况</w:t>
      </w:r>
      <w:r>
        <w:rPr>
          <w:rFonts w:hint="eastAsia" w:ascii="仿宋" w:hAnsi="仿宋" w:eastAsia="仿宋"/>
          <w:color w:val="auto"/>
          <w:sz w:val="30"/>
          <w:szCs w:val="30"/>
        </w:rPr>
        <w:t>：我站年初预算为</w:t>
      </w:r>
      <w:r>
        <w:rPr>
          <w:rFonts w:hint="eastAsia" w:ascii="仿宋" w:hAnsi="仿宋" w:eastAsia="仿宋"/>
          <w:color w:val="auto"/>
          <w:sz w:val="30"/>
          <w:szCs w:val="30"/>
          <w:lang w:val="en-US" w:eastAsia="zh-CN"/>
        </w:rPr>
        <w:t>153.96</w:t>
      </w:r>
      <w:r>
        <w:rPr>
          <w:rFonts w:hint="eastAsia" w:ascii="仿宋" w:hAnsi="仿宋" w:eastAsia="仿宋"/>
          <w:color w:val="auto"/>
          <w:sz w:val="30"/>
          <w:szCs w:val="30"/>
        </w:rPr>
        <w:t>万元，含基本工资、基本支出、养老保险、医疗保险等支出。</w:t>
      </w:r>
    </w:p>
    <w:p>
      <w:pPr>
        <w:snapToGrid w:val="0"/>
        <w:spacing w:line="600" w:lineRule="exact"/>
        <w:ind w:firstLine="604" w:firstLineChars="200"/>
        <w:rPr>
          <w:rFonts w:ascii="仿宋" w:hAnsi="仿宋" w:eastAsia="仿宋"/>
          <w:color w:val="auto"/>
          <w:sz w:val="30"/>
          <w:szCs w:val="30"/>
        </w:rPr>
      </w:pPr>
      <w:r>
        <w:rPr>
          <w:rFonts w:ascii="仿宋" w:hAnsi="仿宋" w:eastAsia="仿宋"/>
          <w:color w:val="auto"/>
          <w:sz w:val="30"/>
          <w:szCs w:val="30"/>
        </w:rPr>
        <w:t>2、全年总预算情况</w:t>
      </w:r>
      <w:r>
        <w:rPr>
          <w:rFonts w:hint="eastAsia" w:ascii="仿宋" w:hAnsi="仿宋" w:eastAsia="仿宋"/>
          <w:color w:val="auto"/>
          <w:sz w:val="30"/>
          <w:szCs w:val="30"/>
        </w:rPr>
        <w:t>：201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年质安站总预算</w:t>
      </w:r>
      <w:r>
        <w:rPr>
          <w:rFonts w:hint="eastAsia" w:ascii="仿宋" w:hAnsi="仿宋" w:eastAsia="仿宋"/>
          <w:color w:val="auto"/>
          <w:sz w:val="30"/>
          <w:szCs w:val="30"/>
          <w:lang w:val="en-US" w:eastAsia="zh-CN"/>
        </w:rPr>
        <w:t>330.96</w:t>
      </w:r>
      <w:r>
        <w:rPr>
          <w:rFonts w:hint="eastAsia" w:ascii="仿宋" w:hAnsi="仿宋" w:eastAsia="仿宋"/>
          <w:color w:val="auto"/>
          <w:sz w:val="30"/>
          <w:szCs w:val="30"/>
        </w:rPr>
        <w:t>万元；年初预算</w:t>
      </w:r>
      <w:r>
        <w:rPr>
          <w:rFonts w:hint="eastAsia" w:ascii="仿宋" w:hAnsi="仿宋" w:eastAsia="仿宋"/>
          <w:color w:val="auto"/>
          <w:sz w:val="30"/>
          <w:szCs w:val="30"/>
          <w:lang w:val="en-US" w:eastAsia="zh-CN"/>
        </w:rPr>
        <w:t>153.96</w:t>
      </w:r>
      <w:r>
        <w:rPr>
          <w:rFonts w:hint="eastAsia" w:ascii="仿宋" w:hAnsi="仿宋" w:eastAsia="仿宋"/>
          <w:color w:val="auto"/>
          <w:sz w:val="30"/>
          <w:szCs w:val="30"/>
        </w:rPr>
        <w:t>万元，解决了20</w:t>
      </w:r>
      <w:r>
        <w:rPr>
          <w:rFonts w:hint="eastAsia" w:ascii="仿宋" w:hAnsi="仿宋" w:eastAsia="仿宋"/>
          <w:color w:val="auto"/>
          <w:sz w:val="30"/>
          <w:szCs w:val="30"/>
          <w:lang w:val="en-US" w:eastAsia="zh-CN"/>
        </w:rPr>
        <w:t>18</w:t>
      </w:r>
      <w:r>
        <w:rPr>
          <w:rFonts w:hint="eastAsia" w:ascii="仿宋" w:hAnsi="仿宋" w:eastAsia="仿宋"/>
          <w:color w:val="auto"/>
          <w:sz w:val="30"/>
          <w:szCs w:val="30"/>
        </w:rPr>
        <w:t>年</w:t>
      </w:r>
      <w:r>
        <w:rPr>
          <w:rFonts w:hint="eastAsia" w:ascii="仿宋" w:hAnsi="仿宋" w:eastAsia="仿宋"/>
          <w:color w:val="auto"/>
          <w:sz w:val="30"/>
          <w:szCs w:val="30"/>
          <w:lang w:eastAsia="zh-CN"/>
        </w:rPr>
        <w:t>综治奖</w:t>
      </w:r>
      <w:r>
        <w:rPr>
          <w:rFonts w:hint="eastAsia" w:ascii="仿宋" w:hAnsi="仿宋" w:eastAsia="仿宋"/>
          <w:color w:val="auto"/>
          <w:sz w:val="30"/>
          <w:szCs w:val="30"/>
          <w:lang w:val="en-US" w:eastAsia="zh-CN"/>
        </w:rPr>
        <w:t>27</w:t>
      </w:r>
      <w:r>
        <w:rPr>
          <w:rFonts w:hint="eastAsia" w:ascii="仿宋" w:hAnsi="仿宋" w:eastAsia="仿宋"/>
          <w:color w:val="auto"/>
          <w:sz w:val="30"/>
          <w:szCs w:val="30"/>
        </w:rPr>
        <w:t>万元</w:t>
      </w:r>
      <w:r>
        <w:rPr>
          <w:rFonts w:hint="eastAsia" w:ascii="仿宋" w:hAnsi="仿宋" w:eastAsia="仿宋"/>
          <w:color w:val="auto"/>
          <w:sz w:val="30"/>
          <w:szCs w:val="30"/>
          <w:lang w:eastAsia="zh-CN"/>
        </w:rPr>
        <w:t>，</w:t>
      </w:r>
      <w:r>
        <w:rPr>
          <w:rFonts w:hint="eastAsia" w:ascii="仿宋" w:hAnsi="仿宋" w:eastAsia="仿宋"/>
          <w:color w:val="auto"/>
          <w:sz w:val="30"/>
          <w:szCs w:val="30"/>
        </w:rPr>
        <w:t>城乡专项资金</w:t>
      </w:r>
      <w:r>
        <w:rPr>
          <w:rFonts w:hint="eastAsia" w:ascii="仿宋" w:hAnsi="仿宋" w:eastAsia="仿宋"/>
          <w:color w:val="auto"/>
          <w:sz w:val="30"/>
          <w:szCs w:val="30"/>
          <w:lang w:val="en-US" w:eastAsia="zh-CN"/>
        </w:rPr>
        <w:t>34</w:t>
      </w:r>
      <w:r>
        <w:rPr>
          <w:rFonts w:hint="eastAsia" w:ascii="仿宋" w:hAnsi="仿宋" w:eastAsia="仿宋"/>
          <w:color w:val="auto"/>
          <w:sz w:val="30"/>
          <w:szCs w:val="30"/>
        </w:rPr>
        <w:t>万元；解决</w:t>
      </w:r>
      <w:r>
        <w:rPr>
          <w:rFonts w:hint="eastAsia" w:ascii="仿宋" w:hAnsi="仿宋" w:eastAsia="仿宋"/>
          <w:color w:val="auto"/>
          <w:sz w:val="30"/>
          <w:szCs w:val="30"/>
          <w:lang w:val="en-US" w:eastAsia="zh-CN"/>
        </w:rPr>
        <w:t>2018年10月-2019年9月基本工资调标16万，</w:t>
      </w:r>
      <w:r>
        <w:rPr>
          <w:rFonts w:hint="eastAsia" w:ascii="仿宋" w:hAnsi="仿宋" w:eastAsia="仿宋"/>
          <w:color w:val="auto"/>
          <w:sz w:val="30"/>
          <w:szCs w:val="30"/>
        </w:rPr>
        <w:t>2018年</w:t>
      </w:r>
      <w:r>
        <w:rPr>
          <w:rFonts w:hint="eastAsia" w:ascii="仿宋" w:hAnsi="仿宋" w:eastAsia="仿宋"/>
          <w:color w:val="auto"/>
          <w:sz w:val="30"/>
          <w:szCs w:val="30"/>
          <w:lang w:eastAsia="zh-CN"/>
        </w:rPr>
        <w:t>绩效奖</w:t>
      </w:r>
      <w:r>
        <w:rPr>
          <w:rFonts w:hint="eastAsia" w:ascii="仿宋" w:hAnsi="仿宋" w:eastAsia="仿宋"/>
          <w:color w:val="auto"/>
          <w:sz w:val="30"/>
          <w:szCs w:val="30"/>
          <w:lang w:val="en-US" w:eastAsia="zh-CN"/>
        </w:rPr>
        <w:t>17.2万</w:t>
      </w:r>
      <w:r>
        <w:rPr>
          <w:rFonts w:hint="eastAsia" w:ascii="仿宋" w:hAnsi="仿宋" w:eastAsia="仿宋"/>
          <w:color w:val="auto"/>
          <w:sz w:val="30"/>
          <w:szCs w:val="30"/>
        </w:rPr>
        <w:t>元，解决201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年退休人员春节慰问</w:t>
      </w:r>
      <w:r>
        <w:rPr>
          <w:rFonts w:hint="eastAsia" w:ascii="仿宋" w:hAnsi="仿宋" w:eastAsia="仿宋"/>
          <w:color w:val="auto"/>
          <w:sz w:val="30"/>
          <w:szCs w:val="30"/>
          <w:lang w:val="en-US" w:eastAsia="zh-CN"/>
        </w:rPr>
        <w:t>1600</w:t>
      </w:r>
      <w:r>
        <w:rPr>
          <w:rFonts w:hint="eastAsia" w:ascii="仿宋" w:hAnsi="仿宋" w:eastAsia="仿宋"/>
          <w:color w:val="auto"/>
          <w:sz w:val="30"/>
          <w:szCs w:val="30"/>
        </w:rPr>
        <w:t>元。</w:t>
      </w:r>
    </w:p>
    <w:p>
      <w:pPr>
        <w:snapToGrid w:val="0"/>
        <w:spacing w:line="600" w:lineRule="exact"/>
        <w:ind w:firstLine="604" w:firstLineChars="200"/>
        <w:rPr>
          <w:rFonts w:ascii="仿宋" w:hAnsi="仿宋" w:eastAsia="仿宋"/>
          <w:b/>
          <w:color w:val="auto"/>
          <w:sz w:val="30"/>
          <w:szCs w:val="30"/>
        </w:rPr>
      </w:pPr>
      <w:r>
        <w:rPr>
          <w:rFonts w:ascii="仿宋" w:hAnsi="仿宋" w:eastAsia="仿宋"/>
          <w:b/>
          <w:color w:val="auto"/>
          <w:sz w:val="30"/>
          <w:szCs w:val="30"/>
        </w:rPr>
        <w:t>（二）预算执行情况</w:t>
      </w:r>
    </w:p>
    <w:p>
      <w:pPr>
        <w:snapToGrid w:val="0"/>
        <w:spacing w:line="600" w:lineRule="exact"/>
        <w:ind w:firstLine="604" w:firstLineChars="200"/>
        <w:rPr>
          <w:rFonts w:ascii="仿宋" w:hAnsi="仿宋" w:eastAsia="仿宋"/>
          <w:color w:val="auto"/>
          <w:sz w:val="30"/>
          <w:szCs w:val="30"/>
        </w:rPr>
      </w:pPr>
      <w:r>
        <w:rPr>
          <w:rFonts w:ascii="仿宋" w:hAnsi="仿宋" w:eastAsia="仿宋"/>
          <w:color w:val="auto"/>
          <w:sz w:val="30"/>
          <w:szCs w:val="30"/>
        </w:rPr>
        <w:t>1、基本支出执行情况</w:t>
      </w:r>
      <w:r>
        <w:rPr>
          <w:rFonts w:hint="eastAsia" w:ascii="仿宋" w:hAnsi="仿宋" w:eastAsia="仿宋"/>
          <w:color w:val="auto"/>
          <w:sz w:val="30"/>
          <w:szCs w:val="30"/>
        </w:rPr>
        <w:t>：201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年质安站基本支出为</w:t>
      </w:r>
      <w:r>
        <w:rPr>
          <w:rFonts w:hint="eastAsia" w:ascii="仿宋" w:hAnsi="仿宋" w:eastAsia="仿宋"/>
          <w:color w:val="auto"/>
          <w:sz w:val="30"/>
          <w:szCs w:val="30"/>
          <w:lang w:val="en-US" w:eastAsia="zh-CN"/>
        </w:rPr>
        <w:t>350</w:t>
      </w:r>
      <w:r>
        <w:rPr>
          <w:rFonts w:hint="eastAsia" w:ascii="仿宋" w:hAnsi="仿宋" w:eastAsia="仿宋"/>
          <w:color w:val="auto"/>
          <w:sz w:val="30"/>
          <w:szCs w:val="30"/>
        </w:rPr>
        <w:t>万元，其中工资福利支出</w:t>
      </w:r>
      <w:r>
        <w:rPr>
          <w:rFonts w:hint="eastAsia" w:ascii="仿宋" w:hAnsi="仿宋" w:eastAsia="仿宋"/>
          <w:color w:val="auto"/>
          <w:sz w:val="30"/>
          <w:szCs w:val="30"/>
          <w:lang w:val="en-US" w:eastAsia="zh-CN"/>
        </w:rPr>
        <w:t>271.9</w:t>
      </w:r>
      <w:r>
        <w:rPr>
          <w:rFonts w:hint="eastAsia" w:ascii="仿宋" w:hAnsi="仿宋" w:eastAsia="仿宋"/>
          <w:color w:val="auto"/>
          <w:sz w:val="30"/>
          <w:szCs w:val="30"/>
        </w:rPr>
        <w:t>万元；商品和服务支出为</w:t>
      </w:r>
      <w:r>
        <w:rPr>
          <w:rFonts w:hint="eastAsia" w:ascii="仿宋" w:hAnsi="仿宋" w:eastAsia="仿宋"/>
          <w:color w:val="auto"/>
          <w:sz w:val="30"/>
          <w:szCs w:val="30"/>
          <w:lang w:val="en-US" w:eastAsia="zh-CN"/>
        </w:rPr>
        <w:t>71.6</w:t>
      </w:r>
      <w:r>
        <w:rPr>
          <w:rFonts w:hint="eastAsia" w:ascii="仿宋" w:hAnsi="仿宋" w:eastAsia="仿宋"/>
          <w:color w:val="auto"/>
          <w:sz w:val="30"/>
          <w:szCs w:val="30"/>
        </w:rPr>
        <w:t>万元；对个人和家庭补助支出</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万元；其他资本性支出为</w:t>
      </w:r>
      <w:r>
        <w:rPr>
          <w:rFonts w:hint="eastAsia" w:ascii="仿宋" w:hAnsi="仿宋" w:eastAsia="仿宋"/>
          <w:color w:val="auto"/>
          <w:sz w:val="30"/>
          <w:szCs w:val="30"/>
          <w:lang w:val="en-US" w:eastAsia="zh-CN"/>
        </w:rPr>
        <w:t>4.5</w:t>
      </w:r>
      <w:r>
        <w:rPr>
          <w:rFonts w:hint="eastAsia" w:ascii="仿宋" w:hAnsi="仿宋" w:eastAsia="仿宋"/>
          <w:color w:val="auto"/>
          <w:sz w:val="30"/>
          <w:szCs w:val="30"/>
        </w:rPr>
        <w:t>万元。</w:t>
      </w:r>
    </w:p>
    <w:p>
      <w:pPr>
        <w:snapToGrid w:val="0"/>
        <w:spacing w:line="600" w:lineRule="exact"/>
        <w:ind w:firstLine="604" w:firstLineChars="200"/>
        <w:rPr>
          <w:rFonts w:ascii="仿宋" w:hAnsi="仿宋" w:eastAsia="仿宋"/>
          <w:color w:val="auto"/>
          <w:sz w:val="30"/>
          <w:szCs w:val="30"/>
        </w:rPr>
      </w:pPr>
      <w:r>
        <w:rPr>
          <w:rFonts w:ascii="仿宋" w:hAnsi="仿宋" w:eastAsia="仿宋"/>
          <w:color w:val="auto"/>
          <w:sz w:val="30"/>
          <w:szCs w:val="30"/>
        </w:rPr>
        <w:t>2、业务性专项执行情况</w:t>
      </w:r>
      <w:r>
        <w:rPr>
          <w:rFonts w:hint="eastAsia" w:ascii="仿宋" w:hAnsi="仿宋" w:eastAsia="仿宋"/>
          <w:color w:val="auto"/>
          <w:sz w:val="30"/>
          <w:szCs w:val="30"/>
        </w:rPr>
        <w:t>：201</w:t>
      </w:r>
      <w:r>
        <w:rPr>
          <w:rFonts w:hint="eastAsia" w:ascii="仿宋" w:hAnsi="仿宋" w:eastAsia="仿宋"/>
          <w:color w:val="auto"/>
          <w:sz w:val="30"/>
          <w:szCs w:val="30"/>
          <w:lang w:val="en-US" w:eastAsia="zh-CN"/>
        </w:rPr>
        <w:t>9</w:t>
      </w:r>
      <w:r>
        <w:rPr>
          <w:rFonts w:hint="eastAsia" w:ascii="仿宋" w:hAnsi="仿宋" w:eastAsia="仿宋"/>
          <w:color w:val="auto"/>
          <w:sz w:val="30"/>
          <w:szCs w:val="30"/>
        </w:rPr>
        <w:t>年质安站城乡专项资金为</w:t>
      </w:r>
      <w:r>
        <w:rPr>
          <w:rFonts w:hint="eastAsia" w:ascii="仿宋" w:hAnsi="仿宋" w:eastAsia="仿宋"/>
          <w:color w:val="auto"/>
          <w:sz w:val="30"/>
          <w:szCs w:val="30"/>
          <w:lang w:val="en-US" w:eastAsia="zh-CN"/>
        </w:rPr>
        <w:t>34</w:t>
      </w:r>
      <w:r>
        <w:rPr>
          <w:rFonts w:hint="eastAsia" w:ascii="仿宋" w:hAnsi="仿宋" w:eastAsia="仿宋"/>
          <w:color w:val="auto"/>
          <w:sz w:val="30"/>
          <w:szCs w:val="30"/>
        </w:rPr>
        <w:t>万元，其中《质安在线》栏目1</w:t>
      </w:r>
      <w:r>
        <w:rPr>
          <w:rFonts w:hint="eastAsia" w:ascii="仿宋" w:hAnsi="仿宋" w:eastAsia="仿宋"/>
          <w:color w:val="auto"/>
          <w:sz w:val="30"/>
          <w:szCs w:val="30"/>
          <w:lang w:val="en-US" w:eastAsia="zh-CN"/>
        </w:rPr>
        <w:t>2</w:t>
      </w:r>
      <w:r>
        <w:rPr>
          <w:rFonts w:hint="eastAsia" w:ascii="仿宋" w:hAnsi="仿宋" w:eastAsia="仿宋"/>
          <w:color w:val="auto"/>
          <w:sz w:val="30"/>
          <w:szCs w:val="30"/>
        </w:rPr>
        <w:t>万元；</w:t>
      </w:r>
      <w:r>
        <w:rPr>
          <w:rFonts w:hint="eastAsia" w:ascii="仿宋" w:hAnsi="仿宋" w:eastAsia="仿宋"/>
          <w:color w:val="auto"/>
          <w:sz w:val="30"/>
          <w:szCs w:val="30"/>
          <w:lang w:eastAsia="zh-CN"/>
        </w:rPr>
        <w:t>扬尘在线监控系统</w:t>
      </w:r>
      <w:r>
        <w:rPr>
          <w:rFonts w:hint="eastAsia" w:ascii="仿宋" w:hAnsi="仿宋" w:eastAsia="仿宋"/>
          <w:color w:val="auto"/>
          <w:sz w:val="30"/>
          <w:szCs w:val="30"/>
          <w:lang w:val="en-US" w:eastAsia="zh-CN"/>
        </w:rPr>
        <w:t>12万元；起重机械设备安全检测评估服务经费10万元，</w:t>
      </w:r>
      <w:r>
        <w:rPr>
          <w:rFonts w:hint="eastAsia" w:ascii="仿宋" w:hAnsi="仿宋" w:eastAsia="仿宋"/>
          <w:color w:val="auto"/>
          <w:sz w:val="30"/>
          <w:szCs w:val="30"/>
        </w:rPr>
        <w:t>已全部完成年初制定的工作任务。</w:t>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三、部门整体支出绩效情况</w:t>
      </w:r>
    </w:p>
    <w:p>
      <w:pPr>
        <w:snapToGrid w:val="0"/>
        <w:spacing w:line="600" w:lineRule="exact"/>
        <w:ind w:firstLine="604" w:firstLineChars="200"/>
        <w:rPr>
          <w:rFonts w:ascii="仿宋" w:hAnsi="仿宋" w:eastAsia="仿宋"/>
          <w:color w:val="auto"/>
          <w:sz w:val="30"/>
          <w:szCs w:val="30"/>
        </w:rPr>
      </w:pPr>
      <w:r>
        <w:rPr>
          <w:rFonts w:hint="eastAsia" w:ascii="仿宋" w:hAnsi="仿宋" w:eastAsia="仿宋"/>
          <w:color w:val="auto"/>
          <w:sz w:val="30"/>
          <w:szCs w:val="30"/>
        </w:rPr>
        <w:t>质量安全监督工作紧紧围绕“全面落实安全生产提升年”活动的宗旨，树立“安全发展”的理念，切实履行职责，主动为民服务，全面完成了局党委年初既定目标任务。我站自质安合并后实现了受监工地连续</w:t>
      </w:r>
      <w:r>
        <w:rPr>
          <w:rFonts w:hint="eastAsia" w:ascii="仿宋" w:hAnsi="仿宋" w:eastAsia="仿宋"/>
          <w:color w:val="auto"/>
          <w:sz w:val="30"/>
          <w:szCs w:val="30"/>
          <w:lang w:val="en-US" w:eastAsia="zh-CN"/>
        </w:rPr>
        <w:t>66</w:t>
      </w:r>
      <w:r>
        <w:rPr>
          <w:rFonts w:hint="eastAsia" w:ascii="仿宋" w:hAnsi="仿宋" w:eastAsia="仿宋"/>
          <w:color w:val="auto"/>
          <w:sz w:val="30"/>
          <w:szCs w:val="30"/>
        </w:rPr>
        <w:t>个月零死亡</w:t>
      </w:r>
      <w:r>
        <w:rPr>
          <w:rFonts w:hint="eastAsia" w:ascii="仿宋" w:hAnsi="仿宋" w:eastAsia="仿宋"/>
          <w:color w:val="auto"/>
          <w:sz w:val="30"/>
          <w:szCs w:val="30"/>
          <w:lang w:eastAsia="zh-CN"/>
        </w:rPr>
        <w:t>，</w:t>
      </w:r>
      <w:r>
        <w:rPr>
          <w:rFonts w:hint="eastAsia" w:ascii="仿宋" w:hAnsi="仿宋" w:eastAsia="仿宋"/>
          <w:color w:val="auto"/>
          <w:sz w:val="30"/>
          <w:szCs w:val="30"/>
        </w:rPr>
        <w:t>记录</w:t>
      </w:r>
      <w:r>
        <w:rPr>
          <w:rFonts w:hint="eastAsia" w:ascii="方正仿宋_GBK" w:hAnsi="方正仿宋_GBK" w:eastAsia="方正仿宋_GBK" w:cs="方正仿宋_GBK"/>
          <w:color w:val="auto"/>
          <w:sz w:val="32"/>
          <w:szCs w:val="32"/>
          <w:lang w:val="en-US" w:eastAsia="zh-CN"/>
        </w:rPr>
        <w:t>全市建筑业安全形势保持平稳可控</w:t>
      </w:r>
      <w:r>
        <w:rPr>
          <w:rFonts w:hint="eastAsia" w:ascii="仿宋" w:hAnsi="仿宋" w:eastAsia="仿宋"/>
          <w:color w:val="auto"/>
          <w:sz w:val="30"/>
          <w:szCs w:val="30"/>
        </w:rPr>
        <w:t>；</w:t>
      </w:r>
      <w:r>
        <w:rPr>
          <w:rFonts w:hint="eastAsia" w:ascii="方正仿宋_GBK" w:hAnsi="方正仿宋_GBK" w:eastAsia="方正仿宋_GBK" w:cs="方正仿宋_GBK"/>
          <w:color w:val="auto"/>
          <w:sz w:val="32"/>
          <w:szCs w:val="32"/>
          <w:lang w:val="en-US" w:eastAsia="zh-CN"/>
        </w:rPr>
        <w:t>严格扬尘治理，</w:t>
      </w:r>
      <w:r>
        <w:rPr>
          <w:rFonts w:hint="eastAsia" w:ascii="方正仿宋_GBK" w:hAnsi="方正仿宋_GBK" w:eastAsia="方正仿宋_GBK" w:cs="方正仿宋_GBK"/>
          <w:color w:val="auto"/>
          <w:kern w:val="0"/>
          <w:sz w:val="32"/>
          <w:szCs w:val="32"/>
          <w:lang w:val="en-US" w:eastAsia="zh-CN" w:bidi="ar-SA"/>
        </w:rPr>
        <w:t>建筑工地全面落实“八个100%”要求。</w:t>
      </w:r>
      <w:r>
        <w:rPr>
          <w:rFonts w:hint="eastAsia" w:ascii="方正仿宋_GBK" w:hAnsi="方正仿宋_GBK" w:eastAsia="方正仿宋_GBK" w:cs="方正仿宋_GBK"/>
          <w:color w:val="auto"/>
          <w:sz w:val="32"/>
          <w:szCs w:val="32"/>
          <w:lang w:val="en-US" w:eastAsia="zh-CN"/>
        </w:rPr>
        <w:t>全年受监工程45个、面积165万㎡；竣工验收项目29个、面积45万㎡；备案项目42个、面积88万㎡。质安监站下工地监督检查1320次，发现并处理一般问题355次。质安监站获评湘潭地区唯一一个省级建设工程质量安全文明监督机构，喻文峰同志、刘军同志分获省文明管理工作者、文明监督工作者。</w:t>
      </w:r>
      <w:r>
        <w:rPr>
          <w:rFonts w:hint="eastAsia" w:ascii="方正仿宋_GBK" w:hAnsi="方正仿宋_GBK" w:eastAsia="方正仿宋_GBK" w:cs="方正仿宋_GBK"/>
          <w:color w:val="auto"/>
          <w:kern w:val="0"/>
          <w:sz w:val="32"/>
          <w:szCs w:val="32"/>
          <w:lang w:val="en-US" w:eastAsia="zh-CN" w:bidi="ar-SA"/>
        </w:rPr>
        <w:t>在全省“守护一湖四水、建设生态强省”建设工程质量、安全监督技能竞赛中，质安监站选手刘军同志、李锦灿同志代表湘潭站参赛，取得安全监督团体二等奖、质量监督团体三等奖佳绩</w:t>
      </w:r>
      <w:r>
        <w:rPr>
          <w:rFonts w:hint="eastAsia" w:ascii="仿宋" w:hAnsi="仿宋" w:eastAsia="仿宋"/>
          <w:color w:val="auto"/>
          <w:sz w:val="30"/>
          <w:szCs w:val="30"/>
        </w:rPr>
        <w:t>；实现了所有建筑从业人员持证上岗；采用政府购买服务的形式成立了建筑起重机械设备专项管理小组，有效杜绝了安全事故的发生；</w:t>
      </w:r>
      <w:r>
        <w:rPr>
          <w:rFonts w:ascii="仿宋" w:hAnsi="仿宋" w:eastAsia="仿宋"/>
          <w:color w:val="auto"/>
          <w:sz w:val="30"/>
          <w:szCs w:val="30"/>
        </w:rPr>
        <w:t>克服资金困难，在</w:t>
      </w:r>
      <w:r>
        <w:rPr>
          <w:rFonts w:hint="eastAsia" w:ascii="仿宋" w:hAnsi="仿宋" w:eastAsia="仿宋"/>
          <w:color w:val="auto"/>
          <w:sz w:val="30"/>
          <w:szCs w:val="30"/>
        </w:rPr>
        <w:t>县级</w:t>
      </w:r>
      <w:r>
        <w:rPr>
          <w:rFonts w:ascii="仿宋" w:hAnsi="仿宋" w:eastAsia="仿宋"/>
          <w:color w:val="auto"/>
          <w:sz w:val="30"/>
          <w:szCs w:val="30"/>
        </w:rPr>
        <w:t>监管机构</w:t>
      </w:r>
      <w:r>
        <w:rPr>
          <w:rFonts w:hint="eastAsia" w:ascii="仿宋" w:hAnsi="仿宋" w:eastAsia="仿宋"/>
          <w:color w:val="auto"/>
          <w:sz w:val="30"/>
          <w:szCs w:val="30"/>
        </w:rPr>
        <w:t>中</w:t>
      </w:r>
      <w:r>
        <w:rPr>
          <w:rFonts w:ascii="仿宋" w:hAnsi="仿宋" w:eastAsia="仿宋"/>
          <w:color w:val="auto"/>
          <w:sz w:val="30"/>
          <w:szCs w:val="30"/>
        </w:rPr>
        <w:t>率先安装</w:t>
      </w:r>
      <w:r>
        <w:rPr>
          <w:rFonts w:hint="eastAsia" w:ascii="仿宋" w:hAnsi="仿宋" w:eastAsia="仿宋"/>
          <w:color w:val="auto"/>
          <w:sz w:val="30"/>
          <w:szCs w:val="30"/>
        </w:rPr>
        <w:t>扬尘治理在线监控终端，到目前为止，全市7家商品砼生产企业都已安装洗车平台和密闭物料棚，10多家企业已安装扬尘监控系，《质安在线》栏目创办</w:t>
      </w:r>
      <w:r>
        <w:rPr>
          <w:rFonts w:hint="eastAsia" w:ascii="仿宋" w:hAnsi="仿宋" w:eastAsia="仿宋"/>
          <w:color w:val="auto"/>
          <w:sz w:val="30"/>
          <w:szCs w:val="30"/>
          <w:lang w:eastAsia="zh-CN"/>
        </w:rPr>
        <w:t>十</w:t>
      </w:r>
      <w:r>
        <w:rPr>
          <w:rFonts w:hint="eastAsia" w:ascii="仿宋" w:hAnsi="仿宋" w:eastAsia="仿宋"/>
          <w:color w:val="auto"/>
          <w:sz w:val="30"/>
          <w:szCs w:val="30"/>
        </w:rPr>
        <w:t>年之久，共计已播放</w:t>
      </w:r>
      <w:r>
        <w:rPr>
          <w:rFonts w:hint="eastAsia" w:ascii="仿宋" w:hAnsi="仿宋" w:eastAsia="仿宋"/>
          <w:color w:val="auto"/>
          <w:sz w:val="30"/>
          <w:szCs w:val="30"/>
          <w:lang w:val="en-US" w:eastAsia="zh-CN"/>
        </w:rPr>
        <w:t>118</w:t>
      </w:r>
      <w:r>
        <w:rPr>
          <w:rFonts w:hint="eastAsia" w:ascii="仿宋" w:hAnsi="仿宋" w:eastAsia="仿宋"/>
          <w:color w:val="auto"/>
          <w:sz w:val="30"/>
          <w:szCs w:val="30"/>
        </w:rPr>
        <w:t>期，投入100万元，全省暂无先例。</w:t>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四、存在的主要问题</w:t>
      </w:r>
    </w:p>
    <w:p>
      <w:pPr>
        <w:snapToGrid w:val="0"/>
        <w:spacing w:line="600" w:lineRule="exact"/>
        <w:ind w:firstLine="604" w:firstLineChars="200"/>
        <w:rPr>
          <w:rFonts w:ascii="仿宋" w:hAnsi="仿宋" w:eastAsia="仿宋"/>
          <w:color w:val="auto"/>
          <w:sz w:val="30"/>
          <w:szCs w:val="30"/>
        </w:rPr>
      </w:pPr>
      <w:r>
        <w:rPr>
          <w:rFonts w:hint="eastAsia" w:ascii="仿宋" w:hAnsi="仿宋" w:eastAsia="仿宋"/>
          <w:color w:val="auto"/>
          <w:sz w:val="30"/>
          <w:szCs w:val="30"/>
        </w:rPr>
        <w:t>我站在机构编制委员会定为公益一类事业单位，但在拨付财政资金定为定额补助单位，因此资金缺口较大。</w:t>
      </w:r>
    </w:p>
    <w:p>
      <w:pPr>
        <w:spacing w:line="600" w:lineRule="exact"/>
        <w:ind w:right="641" w:firstLine="644"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五、改进措施和有关建议</w:t>
      </w:r>
    </w:p>
    <w:p>
      <w:pPr>
        <w:snapToGrid w:val="0"/>
        <w:spacing w:line="600" w:lineRule="exact"/>
        <w:rPr>
          <w:rFonts w:ascii="仿宋" w:hAnsi="仿宋" w:eastAsia="仿宋"/>
          <w:color w:val="auto"/>
          <w:sz w:val="30"/>
          <w:szCs w:val="30"/>
        </w:rPr>
      </w:pPr>
      <w:r>
        <w:rPr>
          <w:rFonts w:hint="eastAsia" w:ascii="仿宋" w:hAnsi="仿宋" w:eastAsia="仿宋"/>
          <w:color w:val="auto"/>
          <w:sz w:val="30"/>
          <w:szCs w:val="30"/>
        </w:rPr>
        <w:t>建议：请求财政局将我站在资金拨付定为公益一类事业单位。</w:t>
      </w:r>
    </w:p>
    <w:p>
      <w:pPr>
        <w:numPr>
          <w:ilvl w:val="0"/>
          <w:numId w:val="4"/>
        </w:numPr>
        <w:snapToGrid w:val="0"/>
        <w:spacing w:line="600" w:lineRule="exact"/>
        <w:ind w:firstLine="644" w:firstLineChars="200"/>
        <w:rPr>
          <w:rFonts w:hint="default" w:ascii="仿宋" w:hAnsi="仿宋" w:eastAsia="仿宋"/>
          <w:b/>
          <w:bCs/>
          <w:color w:val="auto"/>
          <w:sz w:val="30"/>
          <w:szCs w:val="30"/>
          <w:lang w:val="en-US" w:eastAsia="zh-CN"/>
        </w:rPr>
      </w:pPr>
      <w:r>
        <w:rPr>
          <w:rFonts w:hint="eastAsia" w:ascii="方正小标宋简体" w:hAnsi="方正小标宋简体" w:eastAsia="方正小标宋简体" w:cs="方正小标宋简体"/>
          <w:b/>
          <w:bCs/>
          <w:color w:val="auto"/>
          <w:sz w:val="32"/>
          <w:szCs w:val="32"/>
          <w:lang w:val="en-US" w:eastAsia="zh-CN"/>
        </w:rPr>
        <w:t>附附件2</w:t>
      </w:r>
      <w:r>
        <w:rPr>
          <w:rFonts w:hint="eastAsia" w:ascii="仿宋" w:hAnsi="仿宋" w:eastAsia="仿宋"/>
          <w:b/>
          <w:bCs/>
          <w:color w:val="auto"/>
          <w:sz w:val="30"/>
          <w:szCs w:val="30"/>
          <w:lang w:val="en-US" w:eastAsia="zh-CN"/>
        </w:rPr>
        <w:t>：部门整体支出绩效评价指标体系</w:t>
      </w:r>
    </w:p>
    <w:p>
      <w:pPr>
        <w:numPr>
          <w:ilvl w:val="0"/>
          <w:numId w:val="0"/>
        </w:numPr>
        <w:snapToGrid w:val="0"/>
        <w:spacing w:line="600" w:lineRule="exact"/>
        <w:jc w:val="right"/>
        <w:rPr>
          <w:rFonts w:hint="eastAsia" w:ascii="仿宋" w:hAnsi="仿宋" w:eastAsia="仿宋"/>
          <w:b/>
          <w:bCs/>
          <w:color w:val="auto"/>
          <w:sz w:val="30"/>
          <w:szCs w:val="30"/>
          <w:lang w:val="en-US" w:eastAsia="zh-CN"/>
        </w:rPr>
      </w:pPr>
    </w:p>
    <w:p>
      <w:pPr>
        <w:numPr>
          <w:ilvl w:val="0"/>
          <w:numId w:val="0"/>
        </w:numPr>
        <w:snapToGrid w:val="0"/>
        <w:spacing w:line="600" w:lineRule="exact"/>
        <w:jc w:val="right"/>
        <w:rPr>
          <w:rFonts w:hint="eastAsia" w:ascii="仿宋" w:hAnsi="仿宋" w:eastAsia="仿宋"/>
          <w:b/>
          <w:bCs/>
          <w:color w:val="auto"/>
          <w:sz w:val="30"/>
          <w:szCs w:val="30"/>
          <w:lang w:val="en-US" w:eastAsia="zh-CN"/>
        </w:rPr>
      </w:pPr>
    </w:p>
    <w:p>
      <w:pPr>
        <w:numPr>
          <w:ilvl w:val="0"/>
          <w:numId w:val="0"/>
        </w:numPr>
        <w:snapToGrid w:val="0"/>
        <w:spacing w:line="600" w:lineRule="exact"/>
        <w:jc w:val="right"/>
        <w:rPr>
          <w:rFonts w:hint="eastAsia"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t>湘乡市建设工程质量安全监督站</w:t>
      </w:r>
    </w:p>
    <w:p>
      <w:pPr>
        <w:numPr>
          <w:ilvl w:val="0"/>
          <w:numId w:val="0"/>
        </w:numPr>
        <w:snapToGrid w:val="0"/>
        <w:spacing w:line="600" w:lineRule="exact"/>
        <w:jc w:val="center"/>
        <w:rPr>
          <w:rFonts w:hint="eastAsia"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t xml:space="preserve">                                      2020年10月5日</w:t>
      </w:r>
    </w:p>
    <w:p>
      <w:pPr>
        <w:rPr>
          <w:rFonts w:hint="eastAsia"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br w:type="page"/>
      </w:r>
    </w:p>
    <w:p>
      <w:pPr>
        <w:numPr>
          <w:ilvl w:val="0"/>
          <w:numId w:val="0"/>
        </w:numPr>
        <w:snapToGrid w:val="0"/>
        <w:spacing w:line="600" w:lineRule="exact"/>
        <w:jc w:val="both"/>
        <w:rPr>
          <w:rFonts w:hint="default"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t>附件2：</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s="黑体" w:asciiTheme="minorEastAsia" w:hAnsiTheme="minorEastAsia" w:eastAsiaTheme="minorEastAsia"/>
          <w:b/>
          <w:color w:val="auto"/>
          <w:kern w:val="0"/>
          <w:sz w:val="32"/>
          <w:szCs w:val="32"/>
          <w:lang w:eastAsia="zh-CN"/>
        </w:rPr>
      </w:pPr>
      <w:r>
        <w:rPr>
          <w:rFonts w:hint="eastAsia" w:cs="黑体" w:asciiTheme="minorEastAsia" w:hAnsiTheme="minorEastAsia" w:eastAsiaTheme="minorEastAsia"/>
          <w:b/>
          <w:color w:val="auto"/>
          <w:kern w:val="0"/>
          <w:sz w:val="32"/>
          <w:szCs w:val="32"/>
          <w:lang w:eastAsia="zh-CN"/>
        </w:rPr>
        <w:drawing>
          <wp:inline distT="0" distB="0" distL="114300" distR="114300">
            <wp:extent cx="5399405" cy="7494905"/>
            <wp:effectExtent l="0" t="0" r="10795" b="3175"/>
            <wp:docPr id="2" name="图片 2" descr="a9017d4551b85be4d4fb795ff18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9017d4551b85be4d4fb795ff186248"/>
                    <pic:cNvPicPr>
                      <a:picLocks noChangeAspect="1"/>
                    </pic:cNvPicPr>
                  </pic:nvPicPr>
                  <pic:blipFill>
                    <a:blip r:embed="rId5"/>
                    <a:srcRect t="4728" r="8469"/>
                    <a:stretch>
                      <a:fillRect/>
                    </a:stretch>
                  </pic:blipFill>
                  <pic:spPr>
                    <a:xfrm>
                      <a:off x="0" y="0"/>
                      <a:ext cx="5399405" cy="7494905"/>
                    </a:xfrm>
                    <a:prstGeom prst="rect">
                      <a:avLst/>
                    </a:prstGeom>
                  </pic:spPr>
                </pic:pic>
              </a:graphicData>
            </a:graphic>
          </wp:inline>
        </w:drawing>
      </w:r>
      <w:r>
        <w:rPr>
          <w:rFonts w:hint="eastAsia" w:cs="黑体" w:asciiTheme="minorEastAsia" w:hAnsiTheme="minorEastAsia" w:eastAsiaTheme="minorEastAsia"/>
          <w:b/>
          <w:color w:val="auto"/>
          <w:kern w:val="0"/>
          <w:sz w:val="32"/>
          <w:szCs w:val="32"/>
          <w:lang w:eastAsia="zh-CN"/>
        </w:rPr>
        <w:drawing>
          <wp:inline distT="0" distB="0" distL="114300" distR="114300">
            <wp:extent cx="5539105" cy="7144385"/>
            <wp:effectExtent l="0" t="0" r="8255" b="3175"/>
            <wp:docPr id="3" name="图片 3" descr="a936596e0143ce5e6ad271049333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936596e0143ce5e6ad271049333e26"/>
                    <pic:cNvPicPr>
                      <a:picLocks noChangeAspect="1"/>
                    </pic:cNvPicPr>
                  </pic:nvPicPr>
                  <pic:blipFill>
                    <a:blip r:embed="rId6"/>
                    <a:srcRect b="3275"/>
                    <a:stretch>
                      <a:fillRect/>
                    </a:stretch>
                  </pic:blipFill>
                  <pic:spPr>
                    <a:xfrm>
                      <a:off x="0" y="0"/>
                      <a:ext cx="5539105" cy="7144385"/>
                    </a:xfrm>
                    <a:prstGeom prst="rect">
                      <a:avLst/>
                    </a:prstGeom>
                  </pic:spPr>
                </pic:pic>
              </a:graphicData>
            </a:graphic>
          </wp:inline>
        </w:drawing>
      </w:r>
    </w:p>
    <w:sectPr>
      <w:pgSz w:w="11906" w:h="16838"/>
      <w:pgMar w:top="1701" w:right="1701" w:bottom="1701" w:left="1701" w:header="851" w:footer="992" w:gutter="0"/>
      <w:cols w:space="0" w:num="1"/>
      <w:rtlGutter w:val="0"/>
      <w:docGrid w:type="linesAndChars" w:linePitch="312" w:charSpace="5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BCDA12-14B6-4916-BC57-CE9D565ACC5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EC09B81-C220-4429-B5D3-9E4A1BCE4460}"/>
  </w:font>
  <w:font w:name="仿宋_GB2312">
    <w:panose1 w:val="02010609030101010101"/>
    <w:charset w:val="86"/>
    <w:family w:val="modern"/>
    <w:pitch w:val="default"/>
    <w:sig w:usb0="00000000" w:usb1="00000000" w:usb2="00000000" w:usb3="00000000" w:csb0="00000000" w:csb1="00000000"/>
    <w:embedRegular r:id="rId3" w:fontKey="{DB04D30A-3B46-48A5-8259-A8C321E43558}"/>
  </w:font>
  <w:font w:name="方正小标宋_GBK">
    <w:panose1 w:val="02000000000000000000"/>
    <w:charset w:val="86"/>
    <w:family w:val="script"/>
    <w:pitch w:val="default"/>
    <w:sig w:usb0="A00002BF" w:usb1="38CF7CFA" w:usb2="00082016" w:usb3="00000000" w:csb0="00040001" w:csb1="00000000"/>
    <w:embedRegular r:id="rId4" w:fontKey="{F158871C-5C27-4716-BDA5-6D357F3E51E8}"/>
  </w:font>
  <w:font w:name="方正小标宋简体">
    <w:panose1 w:val="02000000000000000000"/>
    <w:charset w:val="86"/>
    <w:family w:val="auto"/>
    <w:pitch w:val="default"/>
    <w:sig w:usb0="00000001" w:usb1="08000000" w:usb2="00000000" w:usb3="00000000" w:csb0="00040000" w:csb1="00000000"/>
    <w:embedRegular r:id="rId5" w:fontKey="{8AD457E8-2805-4D50-B6F7-17A852BC47BA}"/>
  </w:font>
  <w:font w:name="仿宋">
    <w:panose1 w:val="02010609060101010101"/>
    <w:charset w:val="86"/>
    <w:family w:val="auto"/>
    <w:pitch w:val="default"/>
    <w:sig w:usb0="800002BF" w:usb1="38CF7CFA" w:usb2="00000016" w:usb3="00000000" w:csb0="00040001" w:csb1="00000000"/>
    <w:embedRegular r:id="rId6" w:fontKey="{4965F657-D187-4EEE-B930-A1394BC4963C}"/>
  </w:font>
  <w:font w:name="方正仿宋_GBK">
    <w:panose1 w:val="02000000000000000000"/>
    <w:charset w:val="86"/>
    <w:family w:val="auto"/>
    <w:pitch w:val="default"/>
    <w:sig w:usb0="A00002BF" w:usb1="38CF7CFA" w:usb2="00082016" w:usb3="00000000" w:csb0="00040001" w:csb1="00000000"/>
    <w:embedRegular r:id="rId7" w:fontKey="{A8DBD80F-02FA-4435-90EB-ED62658A66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CB5CFC"/>
    <w:multiLevelType w:val="singleLevel"/>
    <w:tmpl w:val="97CB5CFC"/>
    <w:lvl w:ilvl="0" w:tentative="0">
      <w:start w:val="5"/>
      <w:numFmt w:val="chineseCounting"/>
      <w:suff w:val="space"/>
      <w:lvlText w:val="第%1部分"/>
      <w:lvlJc w:val="left"/>
      <w:rPr>
        <w:rFonts w:hint="eastAsia"/>
      </w:rPr>
    </w:lvl>
  </w:abstractNum>
  <w:abstractNum w:abstractNumId="1">
    <w:nsid w:val="DBB8B594"/>
    <w:multiLevelType w:val="singleLevel"/>
    <w:tmpl w:val="DBB8B594"/>
    <w:lvl w:ilvl="0" w:tentative="0">
      <w:start w:val="9"/>
      <w:numFmt w:val="chineseCounting"/>
      <w:suff w:val="nothing"/>
      <w:lvlText w:val="%1、"/>
      <w:lvlJc w:val="left"/>
      <w:rPr>
        <w:rFonts w:hint="eastAsia"/>
      </w:rPr>
    </w:lvl>
  </w:abstractNum>
  <w:abstractNum w:abstractNumId="2">
    <w:nsid w:val="F536A427"/>
    <w:multiLevelType w:val="singleLevel"/>
    <w:tmpl w:val="F536A427"/>
    <w:lvl w:ilvl="0" w:tentative="0">
      <w:start w:val="1"/>
      <w:numFmt w:val="decimal"/>
      <w:suff w:val="nothing"/>
      <w:lvlText w:val="%1、"/>
      <w:lvlJc w:val="left"/>
    </w:lvl>
  </w:abstractNum>
  <w:abstractNum w:abstractNumId="3">
    <w:nsid w:val="37B71F7D"/>
    <w:multiLevelType w:val="singleLevel"/>
    <w:tmpl w:val="37B71F7D"/>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HorizontalSpacing w:val="106"/>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1CD77A26"/>
    <w:rsid w:val="20A06E69"/>
    <w:rsid w:val="23E84877"/>
    <w:rsid w:val="259F2941"/>
    <w:rsid w:val="269F498F"/>
    <w:rsid w:val="2A8E439D"/>
    <w:rsid w:val="2EFB2545"/>
    <w:rsid w:val="31854FFD"/>
    <w:rsid w:val="37F6097B"/>
    <w:rsid w:val="3F5273FF"/>
    <w:rsid w:val="50E540DE"/>
    <w:rsid w:val="589F72D8"/>
    <w:rsid w:val="5C1B31C7"/>
    <w:rsid w:val="5C546799"/>
    <w:rsid w:val="604174D7"/>
    <w:rsid w:val="68530076"/>
    <w:rsid w:val="6E724D78"/>
    <w:rsid w:val="7EC4260D"/>
    <w:rsid w:val="7F955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16</TotalTime>
  <ScaleCrop>false</ScaleCrop>
  <LinksUpToDate>false</LinksUpToDate>
  <CharactersWithSpaces>8418</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莫静</cp:lastModifiedBy>
  <cp:lastPrinted>2020-10-15T07:13:00Z</cp:lastPrinted>
  <dcterms:modified xsi:type="dcterms:W3CDTF">2020-10-16T07:29:34Z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