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黑体" w:hAnsi="黑体" w:eastAsia="黑体" w:cs="黑体"/>
          <w:sz w:val="84"/>
          <w:szCs w:val="84"/>
        </w:rPr>
      </w:pPr>
      <w:r>
        <w:rPr>
          <w:rFonts w:hint="eastAsia" w:ascii="黑体" w:hAnsi="黑体" w:eastAsia="黑体" w:cs="黑体"/>
          <w:sz w:val="84"/>
          <w:szCs w:val="84"/>
        </w:rPr>
        <w:t>2019年度</w:t>
      </w:r>
    </w:p>
    <w:p>
      <w:pPr>
        <w:pStyle w:val="10"/>
        <w:jc w:val="center"/>
        <w:rPr>
          <w:rFonts w:hint="eastAsia" w:ascii="黑体" w:hAnsi="黑体" w:eastAsia="黑体" w:cs="黑体"/>
          <w:sz w:val="72"/>
          <w:szCs w:val="72"/>
        </w:rPr>
      </w:pPr>
      <w:r>
        <w:rPr>
          <w:rFonts w:hint="eastAsia" w:ascii="黑体" w:hAnsi="黑体" w:eastAsia="黑体" w:cs="黑体"/>
          <w:b/>
          <w:bCs/>
          <w:kern w:val="0"/>
          <w:sz w:val="72"/>
          <w:szCs w:val="72"/>
        </w:rPr>
        <w:t>湘乡市墙体材料改革办公室</w:t>
      </w:r>
      <w:r>
        <w:rPr>
          <w:rFonts w:hint="eastAsia" w:ascii="黑体" w:hAnsi="黑体" w:eastAsia="黑体" w:cs="黑体"/>
          <w:sz w:val="72"/>
          <w:szCs w:val="72"/>
        </w:rPr>
        <w:t>单位部门决算</w:t>
      </w:r>
    </w:p>
    <w:p>
      <w:pPr>
        <w:pStyle w:val="10"/>
        <w:jc w:val="center"/>
        <w:rPr>
          <w:rFonts w:hint="eastAsia" w:ascii="黑体" w:hAnsi="黑体" w:eastAsia="黑体" w:cs="黑体"/>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ascii="黑体" w:hAnsi="黑体" w:eastAsia="黑体" w:cs="宋体"/>
          <w:b/>
          <w:kern w:val="0"/>
          <w:sz w:val="32"/>
          <w:szCs w:val="32"/>
        </w:rPr>
        <w:t>湘乡市墙体材料改革办公室</w:t>
      </w:r>
      <w:r>
        <w:rPr>
          <w:rFonts w:hint="eastAsia" w:ascii="黑体" w:hAnsi="黑体" w:eastAsia="黑体"/>
          <w:b/>
          <w:bCs/>
          <w:kern w:val="0"/>
          <w:sz w:val="32"/>
          <w:szCs w:val="32"/>
        </w:rPr>
        <w:t>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84"/>
          <w:szCs w:val="84"/>
        </w:rPr>
      </w:pPr>
      <w:r>
        <w:rPr>
          <w:rFonts w:hint="eastAsia"/>
          <w:sz w:val="84"/>
          <w:szCs w:val="84"/>
          <w:lang w:eastAsia="zh-CN"/>
        </w:rPr>
        <w:t>湘乡市墙体材料改革办公室</w:t>
      </w: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hint="eastAsia" w:ascii="仿宋_GB2312" w:eastAsia="仿宋_GB2312"/>
          <w:bCs/>
          <w:kern w:val="0"/>
          <w:sz w:val="32"/>
          <w:szCs w:val="32"/>
        </w:rPr>
      </w:pPr>
      <w:r>
        <w:rPr>
          <w:rFonts w:ascii="黑体" w:hAnsi="黑体" w:eastAsia="黑体"/>
          <w:sz w:val="32"/>
          <w:szCs w:val="32"/>
        </w:rPr>
        <w:t>部门职责</w:t>
      </w:r>
    </w:p>
    <w:p>
      <w:pPr>
        <w:widowControl/>
        <w:spacing w:line="600" w:lineRule="exact"/>
        <w:ind w:firstLine="640" w:firstLineChars="200"/>
        <w:jc w:val="left"/>
        <w:rPr>
          <w:rFonts w:asciiTheme="minorEastAsia" w:hAnsiTheme="minorEastAsia"/>
          <w:sz w:val="32"/>
          <w:szCs w:val="32"/>
        </w:rPr>
      </w:pPr>
      <w:r>
        <w:rPr>
          <w:rFonts w:hint="eastAsia" w:ascii="仿宋" w:hAnsi="仿宋" w:eastAsia="仿宋" w:cs="宋体"/>
          <w:kern w:val="0"/>
          <w:sz w:val="32"/>
          <w:szCs w:val="32"/>
        </w:rPr>
        <w:t>贯彻执行墙体</w:t>
      </w:r>
      <w:r>
        <w:rPr>
          <w:rFonts w:hint="eastAsia" w:ascii="仿宋" w:hAnsi="仿宋" w:eastAsia="仿宋" w:cs="宋体"/>
          <w:kern w:val="0"/>
          <w:sz w:val="32"/>
          <w:szCs w:val="32"/>
          <w:lang w:eastAsia="zh-CN"/>
        </w:rPr>
        <w:t>材料</w:t>
      </w:r>
      <w:r>
        <w:rPr>
          <w:rFonts w:hint="eastAsia" w:ascii="仿宋" w:hAnsi="仿宋" w:eastAsia="仿宋" w:cs="宋体"/>
          <w:kern w:val="0"/>
          <w:sz w:val="32"/>
          <w:szCs w:val="32"/>
        </w:rPr>
        <w:t>改革、</w:t>
      </w:r>
      <w:r>
        <w:rPr>
          <w:rFonts w:hint="eastAsia" w:ascii="仿宋" w:hAnsi="仿宋" w:eastAsia="仿宋" w:cs="宋体"/>
          <w:color w:val="000000"/>
          <w:kern w:val="0"/>
          <w:sz w:val="32"/>
          <w:szCs w:val="32"/>
        </w:rPr>
        <w:t>散装水泥推广应用方面的</w:t>
      </w:r>
      <w:r>
        <w:rPr>
          <w:rFonts w:hint="eastAsia" w:ascii="仿宋" w:hAnsi="仿宋" w:eastAsia="仿宋" w:cs="宋体"/>
          <w:kern w:val="0"/>
          <w:sz w:val="32"/>
          <w:szCs w:val="32"/>
        </w:rPr>
        <w:t>法律法规政策，并对违法行为进行处罚；负责对全市新墙材、散装水泥的推广应用实施监督管理，编制并组织实施我市推广应用新墙材、散装水泥的中长期规划和年度计划；按规定征收、管理和使用新型墙体材料专项基金、散装水泥专项资金；负责墙改和散装水泥推广应用方面的信息交流、职工培训、宣传教育和统计工作。</w:t>
      </w: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hint="eastAsia" w:ascii="仿宋" w:hAnsi="仿宋" w:eastAsia="仿宋" w:cs="宋体"/>
          <w:kern w:val="0"/>
          <w:sz w:val="32"/>
          <w:szCs w:val="32"/>
        </w:rPr>
      </w:pPr>
      <w:r>
        <w:rPr>
          <w:rFonts w:hint="eastAsia" w:eastAsia="仿宋_GB2312"/>
          <w:bCs/>
          <w:kern w:val="0"/>
          <w:sz w:val="32"/>
          <w:szCs w:val="32"/>
        </w:rPr>
        <w:t xml:space="preserve"> </w:t>
      </w:r>
      <w:r>
        <w:rPr>
          <w:rFonts w:hint="eastAsia" w:eastAsia="仿宋_GB2312"/>
          <w:bCs/>
          <w:kern w:val="0"/>
          <w:sz w:val="32"/>
          <w:szCs w:val="32"/>
          <w:lang w:val="en-US" w:eastAsia="zh-CN"/>
        </w:rPr>
        <w:t xml:space="preserve">  </w:t>
      </w:r>
      <w:r>
        <w:rPr>
          <w:rFonts w:hint="eastAsia" w:eastAsia="仿宋_GB2312"/>
          <w:bCs/>
          <w:kern w:val="0"/>
          <w:sz w:val="32"/>
          <w:szCs w:val="32"/>
        </w:rPr>
        <w:t>（一）内设机构设置。</w:t>
      </w:r>
      <w:r>
        <w:rPr>
          <w:rFonts w:hint="eastAsia" w:ascii="仿宋" w:hAnsi="仿宋" w:eastAsia="仿宋" w:cs="宋体"/>
          <w:kern w:val="0"/>
          <w:sz w:val="32"/>
          <w:szCs w:val="32"/>
        </w:rPr>
        <w:t>我办是湘乡市墙体材料改革办公室和湘乡市散装水泥管理办公室，两块牌子一套机构，是湘乡市住房和城乡建设局下属二级机构，</w:t>
      </w:r>
      <w:r>
        <w:rPr>
          <w:rFonts w:hint="eastAsia" w:ascii="仿宋" w:hAnsi="仿宋" w:eastAsia="仿宋"/>
          <w:bCs/>
          <w:kern w:val="0"/>
          <w:sz w:val="32"/>
          <w:szCs w:val="32"/>
        </w:rPr>
        <w:t>内设综合组、财务组、执法组、业务组。</w:t>
      </w:r>
    </w:p>
    <w:p>
      <w:pPr>
        <w:widowControl/>
        <w:spacing w:line="600" w:lineRule="exact"/>
        <w:rPr>
          <w:rFonts w:hint="eastAsia" w:eastAsia="仿宋_GB2312"/>
          <w:bCs/>
          <w:kern w:val="0"/>
          <w:sz w:val="32"/>
          <w:szCs w:val="32"/>
        </w:rPr>
      </w:pPr>
      <w:r>
        <w:rPr>
          <w:rFonts w:hint="eastAsia" w:eastAsia="仿宋_GB2312"/>
          <w:bCs/>
          <w:kern w:val="0"/>
          <w:sz w:val="32"/>
          <w:szCs w:val="32"/>
        </w:rPr>
        <w:t xml:space="preserve">   （二）决算单位构成。</w:t>
      </w:r>
    </w:p>
    <w:p>
      <w:pPr>
        <w:widowControl/>
        <w:spacing w:line="600" w:lineRule="exact"/>
        <w:ind w:firstLine="640" w:firstLineChars="200"/>
        <w:rPr>
          <w:rFonts w:hint="eastAsia" w:ascii="仿宋" w:hAnsi="仿宋" w:eastAsia="仿宋"/>
          <w:b/>
          <w:bCs/>
          <w:kern w:val="0"/>
          <w:sz w:val="32"/>
          <w:szCs w:val="32"/>
        </w:rPr>
      </w:pPr>
      <w:r>
        <w:rPr>
          <w:rFonts w:hint="eastAsia" w:ascii="仿宋" w:hAnsi="仿宋" w:eastAsia="仿宋" w:cs="宋体"/>
          <w:kern w:val="0"/>
          <w:sz w:val="32"/>
          <w:szCs w:val="32"/>
        </w:rPr>
        <w:t>湘乡市墙体材料改革办公室</w:t>
      </w:r>
      <w:r>
        <w:rPr>
          <w:rFonts w:hint="eastAsia" w:ascii="仿宋" w:hAnsi="仿宋" w:eastAsia="仿宋"/>
          <w:bCs/>
          <w:kern w:val="0"/>
          <w:sz w:val="32"/>
          <w:szCs w:val="32"/>
        </w:rPr>
        <w:t>201</w:t>
      </w:r>
      <w:r>
        <w:rPr>
          <w:rFonts w:hint="eastAsia" w:ascii="仿宋" w:hAnsi="仿宋" w:eastAsia="仿宋"/>
          <w:bCs/>
          <w:kern w:val="0"/>
          <w:sz w:val="32"/>
          <w:szCs w:val="32"/>
          <w:lang w:val="en-US" w:eastAsia="zh-CN"/>
        </w:rPr>
        <w:t>9</w:t>
      </w:r>
      <w:r>
        <w:rPr>
          <w:rFonts w:hint="eastAsia" w:ascii="仿宋" w:hAnsi="仿宋" w:eastAsia="仿宋"/>
          <w:bCs/>
          <w:kern w:val="0"/>
          <w:sz w:val="32"/>
          <w:szCs w:val="32"/>
        </w:rPr>
        <w:t>年部门决算公开</w:t>
      </w:r>
      <w:r>
        <w:rPr>
          <w:rFonts w:ascii="仿宋" w:hAnsi="仿宋" w:eastAsia="仿宋"/>
          <w:bCs/>
          <w:kern w:val="0"/>
          <w:sz w:val="32"/>
          <w:szCs w:val="32"/>
        </w:rPr>
        <w:t>单位</w:t>
      </w:r>
      <w:r>
        <w:rPr>
          <w:rFonts w:hint="eastAsia" w:ascii="仿宋" w:hAnsi="仿宋" w:eastAsia="仿宋"/>
          <w:bCs/>
          <w:kern w:val="0"/>
          <w:sz w:val="32"/>
          <w:szCs w:val="32"/>
        </w:rPr>
        <w:t>本级。</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p>
      <w:pPr>
        <w:jc w:val="center"/>
        <w:rPr>
          <w:rFonts w:ascii="黑体" w:hAnsi="黑体" w:eastAsia="黑体"/>
          <w:sz w:val="36"/>
          <w:szCs w:val="32"/>
        </w:rPr>
      </w:pPr>
      <w:r>
        <w:rPr>
          <w:rFonts w:hint="eastAsia" w:ascii="黑体" w:hAnsi="黑体" w:eastAsia="黑体"/>
          <w:sz w:val="36"/>
          <w:szCs w:val="32"/>
        </w:rPr>
        <w:t>收入支出决算总表</w:t>
      </w:r>
    </w:p>
    <w:tbl>
      <w:tblPr>
        <w:tblStyle w:val="7"/>
        <w:tblW w:w="140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864"/>
        <w:gridCol w:w="540"/>
        <w:gridCol w:w="3883"/>
        <w:gridCol w:w="3864"/>
        <w:gridCol w:w="540"/>
        <w:gridCol w:w="13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3864" w:type="dxa"/>
            <w:shd w:val="clear" w:color="auto" w:fill="auto"/>
            <w:vAlign w:val="bottom"/>
          </w:tcPr>
          <w:p>
            <w:pPr>
              <w:rPr>
                <w:rFonts w:hint="eastAsia" w:ascii="Arial" w:hAnsi="Arial" w:cs="Arial"/>
                <w:i w:val="0"/>
                <w:color w:val="000000"/>
                <w:sz w:val="20"/>
                <w:szCs w:val="20"/>
                <w:u w:val="none"/>
              </w:rPr>
            </w:pPr>
          </w:p>
        </w:tc>
        <w:tc>
          <w:tcPr>
            <w:tcW w:w="540" w:type="dxa"/>
            <w:shd w:val="clear" w:color="auto" w:fill="auto"/>
            <w:vAlign w:val="bottom"/>
          </w:tcPr>
          <w:p>
            <w:pPr>
              <w:rPr>
                <w:rFonts w:hint="default" w:ascii="Arial" w:hAnsi="Arial" w:cs="Arial"/>
                <w:i w:val="0"/>
                <w:color w:val="000000"/>
                <w:sz w:val="20"/>
                <w:szCs w:val="20"/>
                <w:u w:val="none"/>
              </w:rPr>
            </w:pPr>
          </w:p>
        </w:tc>
        <w:tc>
          <w:tcPr>
            <w:tcW w:w="3883" w:type="dxa"/>
            <w:shd w:val="clear" w:color="auto" w:fill="auto"/>
            <w:vAlign w:val="bottom"/>
          </w:tcPr>
          <w:p>
            <w:pPr>
              <w:rPr>
                <w:rFonts w:hint="default" w:ascii="Arial" w:hAnsi="Arial" w:cs="Arial"/>
                <w:i w:val="0"/>
                <w:color w:val="000000"/>
                <w:sz w:val="20"/>
                <w:szCs w:val="20"/>
                <w:u w:val="none"/>
              </w:rPr>
            </w:pPr>
          </w:p>
        </w:tc>
        <w:tc>
          <w:tcPr>
            <w:tcW w:w="3864" w:type="dxa"/>
            <w:shd w:val="clear" w:color="auto" w:fill="auto"/>
            <w:vAlign w:val="bottom"/>
          </w:tcPr>
          <w:p>
            <w:pPr>
              <w:rPr>
                <w:rFonts w:hint="default" w:ascii="Arial" w:hAnsi="Arial" w:cs="Arial"/>
                <w:i w:val="0"/>
                <w:color w:val="000000"/>
                <w:sz w:val="20"/>
                <w:szCs w:val="20"/>
                <w:u w:val="none"/>
              </w:rPr>
            </w:pPr>
          </w:p>
        </w:tc>
        <w:tc>
          <w:tcPr>
            <w:tcW w:w="540" w:type="dxa"/>
            <w:shd w:val="clear" w:color="auto" w:fill="auto"/>
            <w:vAlign w:val="bottom"/>
          </w:tcPr>
          <w:p>
            <w:pPr>
              <w:rPr>
                <w:rFonts w:hint="default" w:ascii="Arial" w:hAnsi="Arial" w:cs="Arial"/>
                <w:i w:val="0"/>
                <w:color w:val="000000"/>
                <w:sz w:val="20"/>
                <w:szCs w:val="20"/>
                <w:u w:val="none"/>
              </w:rPr>
            </w:pPr>
          </w:p>
        </w:tc>
        <w:tc>
          <w:tcPr>
            <w:tcW w:w="1379"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3864"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部门：湘乡市墙体材料改革办公室</w:t>
            </w:r>
          </w:p>
        </w:tc>
        <w:tc>
          <w:tcPr>
            <w:tcW w:w="540" w:type="dxa"/>
            <w:shd w:val="clear" w:color="auto" w:fill="auto"/>
            <w:vAlign w:val="bottom"/>
          </w:tcPr>
          <w:p>
            <w:pPr>
              <w:rPr>
                <w:rFonts w:hint="default" w:ascii="Arial" w:hAnsi="Arial" w:cs="Arial"/>
                <w:i w:val="0"/>
                <w:color w:val="000000"/>
                <w:sz w:val="20"/>
                <w:szCs w:val="20"/>
                <w:u w:val="none"/>
              </w:rPr>
            </w:pPr>
          </w:p>
        </w:tc>
        <w:tc>
          <w:tcPr>
            <w:tcW w:w="3883" w:type="dxa"/>
            <w:shd w:val="clear" w:color="auto" w:fill="auto"/>
            <w:vAlign w:val="bottom"/>
          </w:tcPr>
          <w:p>
            <w:pPr>
              <w:rPr>
                <w:rFonts w:hint="default" w:ascii="Arial" w:hAnsi="Arial" w:cs="Arial"/>
                <w:i w:val="0"/>
                <w:color w:val="000000"/>
                <w:sz w:val="20"/>
                <w:szCs w:val="20"/>
                <w:u w:val="none"/>
              </w:rPr>
            </w:pPr>
          </w:p>
        </w:tc>
        <w:tc>
          <w:tcPr>
            <w:tcW w:w="3864" w:type="dxa"/>
            <w:shd w:val="clear" w:color="auto" w:fill="auto"/>
            <w:vAlign w:val="bottom"/>
          </w:tcPr>
          <w:p>
            <w:pPr>
              <w:rPr>
                <w:rFonts w:hint="default" w:ascii="Arial" w:hAnsi="Arial" w:cs="Arial"/>
                <w:i w:val="0"/>
                <w:color w:val="000000"/>
                <w:sz w:val="20"/>
                <w:szCs w:val="20"/>
                <w:u w:val="none"/>
              </w:rPr>
            </w:pPr>
          </w:p>
        </w:tc>
        <w:tc>
          <w:tcPr>
            <w:tcW w:w="540" w:type="dxa"/>
            <w:shd w:val="clear" w:color="auto" w:fill="auto"/>
            <w:vAlign w:val="bottom"/>
          </w:tcPr>
          <w:p>
            <w:pPr>
              <w:rPr>
                <w:rFonts w:hint="default" w:ascii="Arial" w:hAnsi="Arial" w:cs="Arial"/>
                <w:i w:val="0"/>
                <w:color w:val="000000"/>
                <w:sz w:val="20"/>
                <w:szCs w:val="20"/>
                <w:u w:val="none"/>
              </w:rPr>
            </w:pPr>
          </w:p>
        </w:tc>
        <w:tc>
          <w:tcPr>
            <w:tcW w:w="1379"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8287"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收入</w:t>
            </w:r>
          </w:p>
        </w:tc>
        <w:tc>
          <w:tcPr>
            <w:tcW w:w="5783" w:type="dxa"/>
            <w:gridSpan w:val="3"/>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388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7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540"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883"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540"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7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150.26</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三、上级补助收入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四、事业收入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五、经营收入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六、附属单位上缴收入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七、其他收入</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二十一、灾害防治及应急管理支出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二十二、其他支出</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379"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283.96</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用事业基金弥补收支差额</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263.95</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3883"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3864"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379" w:type="dxa"/>
            <w:tcBorders>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1" w:hRule="atLeast"/>
        </w:trPr>
        <w:tc>
          <w:tcPr>
            <w:tcW w:w="3864"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3883"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547.91</w:t>
            </w:r>
          </w:p>
        </w:tc>
        <w:tc>
          <w:tcPr>
            <w:tcW w:w="386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4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37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070" w:type="dxa"/>
            <w:gridSpan w:val="6"/>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注：本表反映部门本年度的总收支和年末结转结余情况。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收入决算表</w:t>
      </w:r>
    </w:p>
    <w:tbl>
      <w:tblPr>
        <w:tblStyle w:val="7"/>
        <w:tblW w:w="149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455"/>
        <w:gridCol w:w="122"/>
        <w:gridCol w:w="122"/>
        <w:gridCol w:w="4118"/>
        <w:gridCol w:w="1888"/>
        <w:gridCol w:w="1224"/>
        <w:gridCol w:w="1095"/>
        <w:gridCol w:w="915"/>
        <w:gridCol w:w="1050"/>
        <w:gridCol w:w="1095"/>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455" w:type="dxa"/>
            <w:shd w:val="clear" w:color="auto" w:fill="auto"/>
            <w:vAlign w:val="bottom"/>
          </w:tcPr>
          <w:p>
            <w:pPr>
              <w:rPr>
                <w:rFonts w:hint="eastAsia" w:ascii="Arial" w:hAnsi="Arial" w:cs="Arial"/>
                <w:i w:val="0"/>
                <w:color w:val="000000"/>
                <w:sz w:val="20"/>
                <w:szCs w:val="20"/>
                <w:u w:val="none"/>
              </w:rPr>
            </w:pPr>
          </w:p>
        </w:tc>
        <w:tc>
          <w:tcPr>
            <w:tcW w:w="122" w:type="dxa"/>
            <w:shd w:val="clear" w:color="auto" w:fill="auto"/>
            <w:vAlign w:val="bottom"/>
          </w:tcPr>
          <w:p>
            <w:pPr>
              <w:rPr>
                <w:rFonts w:hint="default" w:ascii="Arial" w:hAnsi="Arial" w:cs="Arial"/>
                <w:i w:val="0"/>
                <w:color w:val="000000"/>
                <w:sz w:val="20"/>
                <w:szCs w:val="20"/>
                <w:u w:val="none"/>
              </w:rPr>
            </w:pPr>
          </w:p>
        </w:tc>
        <w:tc>
          <w:tcPr>
            <w:tcW w:w="122" w:type="dxa"/>
            <w:shd w:val="clear" w:color="auto" w:fill="auto"/>
            <w:vAlign w:val="bottom"/>
          </w:tcPr>
          <w:p>
            <w:pPr>
              <w:rPr>
                <w:rFonts w:hint="default" w:ascii="Arial" w:hAnsi="Arial" w:cs="Arial"/>
                <w:i w:val="0"/>
                <w:color w:val="000000"/>
                <w:sz w:val="20"/>
                <w:szCs w:val="20"/>
                <w:u w:val="none"/>
              </w:rPr>
            </w:pPr>
          </w:p>
        </w:tc>
        <w:tc>
          <w:tcPr>
            <w:tcW w:w="4118" w:type="dxa"/>
            <w:shd w:val="clear" w:color="auto" w:fill="auto"/>
            <w:vAlign w:val="bottom"/>
          </w:tcPr>
          <w:p>
            <w:pPr>
              <w:rPr>
                <w:rFonts w:hint="default" w:ascii="Arial" w:hAnsi="Arial" w:cs="Arial"/>
                <w:i w:val="0"/>
                <w:color w:val="000000"/>
                <w:sz w:val="20"/>
                <w:szCs w:val="20"/>
                <w:u w:val="none"/>
              </w:rPr>
            </w:pPr>
          </w:p>
        </w:tc>
        <w:tc>
          <w:tcPr>
            <w:tcW w:w="1888" w:type="dxa"/>
            <w:shd w:val="clear" w:color="auto" w:fill="auto"/>
            <w:vAlign w:val="bottom"/>
          </w:tcPr>
          <w:p>
            <w:pPr>
              <w:rPr>
                <w:rFonts w:hint="default" w:ascii="Arial" w:hAnsi="Arial" w:cs="Arial"/>
                <w:i w:val="0"/>
                <w:color w:val="000000"/>
                <w:sz w:val="20"/>
                <w:szCs w:val="20"/>
                <w:u w:val="none"/>
              </w:rPr>
            </w:pPr>
          </w:p>
        </w:tc>
        <w:tc>
          <w:tcPr>
            <w:tcW w:w="1224" w:type="dxa"/>
            <w:shd w:val="clear" w:color="auto" w:fill="auto"/>
            <w:vAlign w:val="bottom"/>
          </w:tcPr>
          <w:p>
            <w:pPr>
              <w:rPr>
                <w:rFonts w:hint="default" w:ascii="Arial" w:hAnsi="Arial" w:cs="Arial"/>
                <w:i w:val="0"/>
                <w:color w:val="000000"/>
                <w:sz w:val="20"/>
                <w:szCs w:val="20"/>
                <w:u w:val="none"/>
              </w:rPr>
            </w:pPr>
          </w:p>
        </w:tc>
        <w:tc>
          <w:tcPr>
            <w:tcW w:w="1095" w:type="dxa"/>
            <w:shd w:val="clear" w:color="auto" w:fill="auto"/>
            <w:vAlign w:val="bottom"/>
          </w:tcPr>
          <w:p>
            <w:pPr>
              <w:rPr>
                <w:rFonts w:hint="default" w:ascii="Arial" w:hAnsi="Arial" w:cs="Arial"/>
                <w:i w:val="0"/>
                <w:color w:val="000000"/>
                <w:sz w:val="20"/>
                <w:szCs w:val="20"/>
                <w:u w:val="none"/>
              </w:rPr>
            </w:pPr>
          </w:p>
        </w:tc>
        <w:tc>
          <w:tcPr>
            <w:tcW w:w="915" w:type="dxa"/>
            <w:shd w:val="clear" w:color="auto" w:fill="auto"/>
            <w:vAlign w:val="bottom"/>
          </w:tcPr>
          <w:p>
            <w:pPr>
              <w:rPr>
                <w:rFonts w:hint="default" w:ascii="Arial" w:hAnsi="Arial" w:cs="Arial"/>
                <w:i w:val="0"/>
                <w:color w:val="000000"/>
                <w:sz w:val="20"/>
                <w:szCs w:val="20"/>
                <w:u w:val="none"/>
              </w:rPr>
            </w:pPr>
          </w:p>
        </w:tc>
        <w:tc>
          <w:tcPr>
            <w:tcW w:w="1050" w:type="dxa"/>
            <w:shd w:val="clear" w:color="auto" w:fill="auto"/>
            <w:vAlign w:val="bottom"/>
          </w:tcPr>
          <w:p>
            <w:pPr>
              <w:rPr>
                <w:rFonts w:hint="default" w:ascii="Arial" w:hAnsi="Arial" w:cs="Arial"/>
                <w:i w:val="0"/>
                <w:color w:val="000000"/>
                <w:sz w:val="20"/>
                <w:szCs w:val="20"/>
                <w:u w:val="none"/>
              </w:rPr>
            </w:pPr>
          </w:p>
        </w:tc>
        <w:tc>
          <w:tcPr>
            <w:tcW w:w="1095" w:type="dxa"/>
            <w:shd w:val="clear" w:color="auto" w:fill="auto"/>
            <w:vAlign w:val="bottom"/>
          </w:tcPr>
          <w:p>
            <w:pPr>
              <w:rPr>
                <w:rFonts w:hint="default" w:ascii="Arial" w:hAnsi="Arial" w:cs="Arial"/>
                <w:i w:val="0"/>
                <w:color w:val="000000"/>
                <w:sz w:val="20"/>
                <w:szCs w:val="20"/>
                <w:u w:val="none"/>
              </w:rPr>
            </w:pPr>
          </w:p>
        </w:tc>
        <w:tc>
          <w:tcPr>
            <w:tcW w:w="183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455"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部门：湘乡市墙体材料改革办公室</w:t>
            </w:r>
          </w:p>
        </w:tc>
        <w:tc>
          <w:tcPr>
            <w:tcW w:w="122" w:type="dxa"/>
            <w:shd w:val="clear" w:color="auto" w:fill="auto"/>
            <w:vAlign w:val="bottom"/>
          </w:tcPr>
          <w:p>
            <w:pPr>
              <w:rPr>
                <w:rFonts w:hint="default" w:ascii="Arial" w:hAnsi="Arial" w:cs="Arial"/>
                <w:i w:val="0"/>
                <w:color w:val="000000"/>
                <w:sz w:val="20"/>
                <w:szCs w:val="20"/>
                <w:u w:val="none"/>
              </w:rPr>
            </w:pPr>
          </w:p>
        </w:tc>
        <w:tc>
          <w:tcPr>
            <w:tcW w:w="122" w:type="dxa"/>
            <w:shd w:val="clear" w:color="auto" w:fill="auto"/>
            <w:vAlign w:val="bottom"/>
          </w:tcPr>
          <w:p>
            <w:pPr>
              <w:rPr>
                <w:rFonts w:hint="default" w:ascii="Arial" w:hAnsi="Arial" w:cs="Arial"/>
                <w:i w:val="0"/>
                <w:color w:val="000000"/>
                <w:sz w:val="20"/>
                <w:szCs w:val="20"/>
                <w:u w:val="none"/>
              </w:rPr>
            </w:pPr>
          </w:p>
        </w:tc>
        <w:tc>
          <w:tcPr>
            <w:tcW w:w="4118" w:type="dxa"/>
            <w:shd w:val="clear" w:color="auto" w:fill="auto"/>
            <w:vAlign w:val="bottom"/>
          </w:tcPr>
          <w:p>
            <w:pPr>
              <w:rPr>
                <w:rFonts w:hint="default" w:ascii="Arial" w:hAnsi="Arial" w:cs="Arial"/>
                <w:i w:val="0"/>
                <w:color w:val="000000"/>
                <w:sz w:val="20"/>
                <w:szCs w:val="20"/>
                <w:u w:val="none"/>
              </w:rPr>
            </w:pPr>
          </w:p>
        </w:tc>
        <w:tc>
          <w:tcPr>
            <w:tcW w:w="1888" w:type="dxa"/>
            <w:shd w:val="clear" w:color="auto" w:fill="auto"/>
            <w:vAlign w:val="bottom"/>
          </w:tcPr>
          <w:p>
            <w:pPr>
              <w:rPr>
                <w:rFonts w:hint="default" w:ascii="Arial" w:hAnsi="Arial" w:cs="Arial"/>
                <w:i w:val="0"/>
                <w:color w:val="000000"/>
                <w:sz w:val="20"/>
                <w:szCs w:val="20"/>
                <w:u w:val="none"/>
              </w:rPr>
            </w:pPr>
          </w:p>
        </w:tc>
        <w:tc>
          <w:tcPr>
            <w:tcW w:w="1224" w:type="dxa"/>
            <w:shd w:val="clear" w:color="auto" w:fill="auto"/>
            <w:vAlign w:val="bottom"/>
          </w:tcPr>
          <w:p>
            <w:pPr>
              <w:rPr>
                <w:rFonts w:hint="default" w:ascii="Arial" w:hAnsi="Arial" w:cs="Arial"/>
                <w:i w:val="0"/>
                <w:color w:val="000000"/>
                <w:sz w:val="20"/>
                <w:szCs w:val="20"/>
                <w:u w:val="none"/>
              </w:rPr>
            </w:pPr>
          </w:p>
        </w:tc>
        <w:tc>
          <w:tcPr>
            <w:tcW w:w="1095" w:type="dxa"/>
            <w:shd w:val="clear" w:color="auto" w:fill="auto"/>
            <w:vAlign w:val="bottom"/>
          </w:tcPr>
          <w:p>
            <w:pPr>
              <w:rPr>
                <w:rFonts w:hint="default" w:ascii="Arial" w:hAnsi="Arial" w:cs="Arial"/>
                <w:i w:val="0"/>
                <w:color w:val="000000"/>
                <w:sz w:val="20"/>
                <w:szCs w:val="20"/>
                <w:u w:val="none"/>
              </w:rPr>
            </w:pPr>
          </w:p>
        </w:tc>
        <w:tc>
          <w:tcPr>
            <w:tcW w:w="915" w:type="dxa"/>
            <w:shd w:val="clear" w:color="auto" w:fill="auto"/>
            <w:vAlign w:val="bottom"/>
          </w:tcPr>
          <w:p>
            <w:pPr>
              <w:rPr>
                <w:rFonts w:hint="default" w:ascii="Arial" w:hAnsi="Arial" w:cs="Arial"/>
                <w:i w:val="0"/>
                <w:color w:val="000000"/>
                <w:sz w:val="20"/>
                <w:szCs w:val="20"/>
                <w:u w:val="none"/>
              </w:rPr>
            </w:pPr>
          </w:p>
        </w:tc>
        <w:tc>
          <w:tcPr>
            <w:tcW w:w="1050" w:type="dxa"/>
            <w:shd w:val="clear" w:color="auto" w:fill="auto"/>
            <w:vAlign w:val="bottom"/>
          </w:tcPr>
          <w:p>
            <w:pPr>
              <w:rPr>
                <w:rFonts w:hint="default" w:ascii="Arial" w:hAnsi="Arial" w:cs="Arial"/>
                <w:i w:val="0"/>
                <w:color w:val="000000"/>
                <w:sz w:val="20"/>
                <w:szCs w:val="20"/>
                <w:u w:val="none"/>
              </w:rPr>
            </w:pPr>
          </w:p>
        </w:tc>
        <w:tc>
          <w:tcPr>
            <w:tcW w:w="1095" w:type="dxa"/>
            <w:shd w:val="clear" w:color="auto" w:fill="auto"/>
            <w:vAlign w:val="bottom"/>
          </w:tcPr>
          <w:p>
            <w:pPr>
              <w:rPr>
                <w:rFonts w:hint="default" w:ascii="Arial" w:hAnsi="Arial" w:cs="Arial"/>
                <w:i w:val="0"/>
                <w:color w:val="000000"/>
                <w:sz w:val="20"/>
                <w:szCs w:val="20"/>
                <w:u w:val="none"/>
              </w:rPr>
            </w:pPr>
          </w:p>
        </w:tc>
        <w:tc>
          <w:tcPr>
            <w:tcW w:w="183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817"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888"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本年收入合计</w:t>
            </w:r>
          </w:p>
        </w:tc>
        <w:tc>
          <w:tcPr>
            <w:tcW w:w="1224"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财政拨款收入</w:t>
            </w:r>
          </w:p>
        </w:tc>
        <w:tc>
          <w:tcPr>
            <w:tcW w:w="109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上级补助收入</w:t>
            </w:r>
          </w:p>
        </w:tc>
        <w:tc>
          <w:tcPr>
            <w:tcW w:w="91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事业收入</w:t>
            </w:r>
          </w:p>
        </w:tc>
        <w:tc>
          <w:tcPr>
            <w:tcW w:w="105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经营收入</w:t>
            </w:r>
          </w:p>
        </w:tc>
        <w:tc>
          <w:tcPr>
            <w:tcW w:w="1095"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附属单位上缴收入</w:t>
            </w:r>
          </w:p>
        </w:tc>
        <w:tc>
          <w:tcPr>
            <w:tcW w:w="183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699"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411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8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2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3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699"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11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8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2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3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699"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11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88"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24"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1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5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95"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3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817"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8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2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9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1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5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9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83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817"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283.96</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283.96</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财政对失业保险基金的补助</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2082702</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财政对工伤保险基金的补助</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2101102</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事业单位医疗</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119.09</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119.09</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119.09</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119.09</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93.65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93.65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2120199</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其他城乡社区管理事务支出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20.44</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20.44</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22904</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其他政府性基金及对应专项债务收入安排的支出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699"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2290401</w:t>
            </w:r>
          </w:p>
        </w:tc>
        <w:tc>
          <w:tcPr>
            <w:tcW w:w="4118"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其他政府性基金安排的支出</w:t>
            </w:r>
          </w:p>
        </w:tc>
        <w:tc>
          <w:tcPr>
            <w:tcW w:w="1888"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224"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91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5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9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3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14" w:type="dxa"/>
            <w:gridSpan w:val="11"/>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p>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p>
      <w:pPr>
        <w:widowControl/>
        <w:jc w:val="center"/>
        <w:rPr>
          <w:rFonts w:ascii="Times New Roman" w:hAnsi="Times New Roman" w:eastAsia="方正小标宋_GBK" w:cs="Times New Roman"/>
          <w:color w:val="000000"/>
          <w:kern w:val="0"/>
          <w:sz w:val="36"/>
          <w:szCs w:val="36"/>
        </w:rPr>
      </w:pPr>
      <w:r>
        <w:rPr>
          <w:rFonts w:ascii="Times New Roman" w:hAnsi="Times New Roman" w:eastAsia="方正小标宋_GBK" w:cs="Times New Roman"/>
          <w:color w:val="000000"/>
          <w:kern w:val="0"/>
          <w:sz w:val="36"/>
          <w:szCs w:val="36"/>
        </w:rPr>
        <w:t>支出决算表</w:t>
      </w:r>
    </w:p>
    <w:tbl>
      <w:tblPr>
        <w:tblStyle w:val="7"/>
        <w:tblW w:w="140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88"/>
        <w:gridCol w:w="430"/>
        <w:gridCol w:w="430"/>
        <w:gridCol w:w="3931"/>
        <w:gridCol w:w="1801"/>
        <w:gridCol w:w="1459"/>
        <w:gridCol w:w="1080"/>
        <w:gridCol w:w="1080"/>
        <w:gridCol w:w="1170"/>
        <w:gridCol w:w="12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388" w:type="dxa"/>
            <w:shd w:val="clear" w:color="auto" w:fill="auto"/>
            <w:vAlign w:val="bottom"/>
          </w:tcPr>
          <w:p>
            <w:pPr>
              <w:rPr>
                <w:rFonts w:hint="eastAsia" w:ascii="Arial" w:hAnsi="Arial" w:cs="Arial"/>
                <w:i w:val="0"/>
                <w:color w:val="000000"/>
                <w:sz w:val="20"/>
                <w:szCs w:val="20"/>
                <w:u w:val="none"/>
              </w:rPr>
            </w:pPr>
          </w:p>
        </w:tc>
        <w:tc>
          <w:tcPr>
            <w:tcW w:w="430" w:type="dxa"/>
            <w:shd w:val="clear" w:color="auto" w:fill="auto"/>
            <w:vAlign w:val="bottom"/>
          </w:tcPr>
          <w:p>
            <w:pPr>
              <w:rPr>
                <w:rFonts w:hint="default" w:ascii="Arial" w:hAnsi="Arial" w:cs="Arial"/>
                <w:i w:val="0"/>
                <w:color w:val="000000"/>
                <w:sz w:val="20"/>
                <w:szCs w:val="20"/>
                <w:u w:val="none"/>
              </w:rPr>
            </w:pPr>
          </w:p>
        </w:tc>
        <w:tc>
          <w:tcPr>
            <w:tcW w:w="430" w:type="dxa"/>
            <w:shd w:val="clear" w:color="auto" w:fill="auto"/>
            <w:vAlign w:val="bottom"/>
          </w:tcPr>
          <w:p>
            <w:pPr>
              <w:rPr>
                <w:rFonts w:hint="default" w:ascii="Arial" w:hAnsi="Arial" w:cs="Arial"/>
                <w:i w:val="0"/>
                <w:color w:val="000000"/>
                <w:sz w:val="20"/>
                <w:szCs w:val="20"/>
                <w:u w:val="none"/>
              </w:rPr>
            </w:pPr>
          </w:p>
        </w:tc>
        <w:tc>
          <w:tcPr>
            <w:tcW w:w="3931" w:type="dxa"/>
            <w:shd w:val="clear" w:color="auto" w:fill="auto"/>
            <w:vAlign w:val="bottom"/>
          </w:tcPr>
          <w:p>
            <w:pPr>
              <w:rPr>
                <w:rFonts w:hint="default" w:ascii="Arial" w:hAnsi="Arial" w:cs="Arial"/>
                <w:i w:val="0"/>
                <w:color w:val="000000"/>
                <w:sz w:val="20"/>
                <w:szCs w:val="20"/>
                <w:u w:val="none"/>
              </w:rPr>
            </w:pPr>
          </w:p>
        </w:tc>
        <w:tc>
          <w:tcPr>
            <w:tcW w:w="1801" w:type="dxa"/>
            <w:shd w:val="clear" w:color="auto" w:fill="auto"/>
            <w:vAlign w:val="bottom"/>
          </w:tcPr>
          <w:p>
            <w:pPr>
              <w:rPr>
                <w:rFonts w:hint="default" w:ascii="Arial" w:hAnsi="Arial" w:cs="Arial"/>
                <w:i w:val="0"/>
                <w:color w:val="000000"/>
                <w:sz w:val="20"/>
                <w:szCs w:val="20"/>
                <w:u w:val="none"/>
              </w:rPr>
            </w:pPr>
          </w:p>
        </w:tc>
        <w:tc>
          <w:tcPr>
            <w:tcW w:w="1459" w:type="dxa"/>
            <w:shd w:val="clear" w:color="auto" w:fill="auto"/>
            <w:vAlign w:val="bottom"/>
          </w:tcPr>
          <w:p>
            <w:pPr>
              <w:rPr>
                <w:rFonts w:hint="default" w:ascii="Arial" w:hAnsi="Arial" w:cs="Arial"/>
                <w:i w:val="0"/>
                <w:color w:val="000000"/>
                <w:sz w:val="20"/>
                <w:szCs w:val="20"/>
                <w:u w:val="none"/>
              </w:rPr>
            </w:pPr>
          </w:p>
        </w:tc>
        <w:tc>
          <w:tcPr>
            <w:tcW w:w="1080" w:type="dxa"/>
            <w:shd w:val="clear" w:color="auto" w:fill="auto"/>
            <w:vAlign w:val="bottom"/>
          </w:tcPr>
          <w:p>
            <w:pPr>
              <w:rPr>
                <w:rFonts w:hint="default" w:ascii="Arial" w:hAnsi="Arial" w:cs="Arial"/>
                <w:i w:val="0"/>
                <w:color w:val="000000"/>
                <w:sz w:val="20"/>
                <w:szCs w:val="20"/>
                <w:u w:val="none"/>
              </w:rPr>
            </w:pPr>
          </w:p>
        </w:tc>
        <w:tc>
          <w:tcPr>
            <w:tcW w:w="1080" w:type="dxa"/>
            <w:shd w:val="clear" w:color="auto" w:fill="auto"/>
            <w:vAlign w:val="bottom"/>
          </w:tcPr>
          <w:p>
            <w:pPr>
              <w:rPr>
                <w:rFonts w:hint="default" w:ascii="Arial" w:hAnsi="Arial" w:cs="Arial"/>
                <w:i w:val="0"/>
                <w:color w:val="000000"/>
                <w:sz w:val="20"/>
                <w:szCs w:val="20"/>
                <w:u w:val="none"/>
              </w:rPr>
            </w:pPr>
          </w:p>
        </w:tc>
        <w:tc>
          <w:tcPr>
            <w:tcW w:w="1170" w:type="dxa"/>
            <w:shd w:val="clear" w:color="auto" w:fill="auto"/>
            <w:vAlign w:val="bottom"/>
          </w:tcPr>
          <w:p>
            <w:pPr>
              <w:rPr>
                <w:rFonts w:hint="default" w:ascii="Arial" w:hAnsi="Arial" w:cs="Arial"/>
                <w:i w:val="0"/>
                <w:color w:val="000000"/>
                <w:sz w:val="20"/>
                <w:szCs w:val="20"/>
                <w:u w:val="none"/>
              </w:rPr>
            </w:pPr>
          </w:p>
        </w:tc>
        <w:tc>
          <w:tcPr>
            <w:tcW w:w="126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88"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部门：湘乡市墙体材料改革办公室</w:t>
            </w:r>
          </w:p>
        </w:tc>
        <w:tc>
          <w:tcPr>
            <w:tcW w:w="430" w:type="dxa"/>
            <w:shd w:val="clear" w:color="auto" w:fill="auto"/>
            <w:vAlign w:val="bottom"/>
          </w:tcPr>
          <w:p>
            <w:pPr>
              <w:rPr>
                <w:rFonts w:hint="default" w:ascii="Arial" w:hAnsi="Arial" w:cs="Arial"/>
                <w:i w:val="0"/>
                <w:color w:val="000000"/>
                <w:sz w:val="20"/>
                <w:szCs w:val="20"/>
                <w:u w:val="none"/>
              </w:rPr>
            </w:pPr>
          </w:p>
        </w:tc>
        <w:tc>
          <w:tcPr>
            <w:tcW w:w="430" w:type="dxa"/>
            <w:shd w:val="clear" w:color="auto" w:fill="auto"/>
            <w:vAlign w:val="bottom"/>
          </w:tcPr>
          <w:p>
            <w:pPr>
              <w:rPr>
                <w:rFonts w:hint="default" w:ascii="Arial" w:hAnsi="Arial" w:cs="Arial"/>
                <w:i w:val="0"/>
                <w:color w:val="000000"/>
                <w:sz w:val="20"/>
                <w:szCs w:val="20"/>
                <w:u w:val="none"/>
              </w:rPr>
            </w:pPr>
          </w:p>
        </w:tc>
        <w:tc>
          <w:tcPr>
            <w:tcW w:w="3931" w:type="dxa"/>
            <w:shd w:val="clear" w:color="auto" w:fill="auto"/>
            <w:vAlign w:val="bottom"/>
          </w:tcPr>
          <w:p>
            <w:pPr>
              <w:rPr>
                <w:rFonts w:hint="default" w:ascii="Arial" w:hAnsi="Arial" w:cs="Arial"/>
                <w:i w:val="0"/>
                <w:color w:val="000000"/>
                <w:sz w:val="20"/>
                <w:szCs w:val="20"/>
                <w:u w:val="none"/>
              </w:rPr>
            </w:pPr>
          </w:p>
        </w:tc>
        <w:tc>
          <w:tcPr>
            <w:tcW w:w="1801" w:type="dxa"/>
            <w:shd w:val="clear" w:color="auto" w:fill="auto"/>
            <w:vAlign w:val="bottom"/>
          </w:tcPr>
          <w:p>
            <w:pPr>
              <w:rPr>
                <w:rFonts w:hint="default" w:ascii="Arial" w:hAnsi="Arial" w:cs="Arial"/>
                <w:i w:val="0"/>
                <w:color w:val="000000"/>
                <w:sz w:val="20"/>
                <w:szCs w:val="20"/>
                <w:u w:val="none"/>
              </w:rPr>
            </w:pPr>
          </w:p>
        </w:tc>
        <w:tc>
          <w:tcPr>
            <w:tcW w:w="1459" w:type="dxa"/>
            <w:shd w:val="clear" w:color="auto" w:fill="auto"/>
            <w:vAlign w:val="bottom"/>
          </w:tcPr>
          <w:p>
            <w:pPr>
              <w:rPr>
                <w:rFonts w:hint="default" w:ascii="Arial" w:hAnsi="Arial" w:cs="Arial"/>
                <w:i w:val="0"/>
                <w:color w:val="000000"/>
                <w:sz w:val="20"/>
                <w:szCs w:val="20"/>
                <w:u w:val="none"/>
              </w:rPr>
            </w:pPr>
          </w:p>
        </w:tc>
        <w:tc>
          <w:tcPr>
            <w:tcW w:w="1080" w:type="dxa"/>
            <w:shd w:val="clear" w:color="auto" w:fill="auto"/>
            <w:vAlign w:val="bottom"/>
          </w:tcPr>
          <w:p>
            <w:pPr>
              <w:rPr>
                <w:rFonts w:hint="default" w:ascii="Arial" w:hAnsi="Arial" w:cs="Arial"/>
                <w:i w:val="0"/>
                <w:color w:val="000000"/>
                <w:sz w:val="20"/>
                <w:szCs w:val="20"/>
                <w:u w:val="none"/>
              </w:rPr>
            </w:pPr>
          </w:p>
        </w:tc>
        <w:tc>
          <w:tcPr>
            <w:tcW w:w="1080" w:type="dxa"/>
            <w:shd w:val="clear" w:color="auto" w:fill="auto"/>
            <w:vAlign w:val="bottom"/>
          </w:tcPr>
          <w:p>
            <w:pPr>
              <w:rPr>
                <w:rFonts w:hint="default" w:ascii="Arial" w:hAnsi="Arial" w:cs="Arial"/>
                <w:i w:val="0"/>
                <w:color w:val="000000"/>
                <w:sz w:val="20"/>
                <w:szCs w:val="20"/>
                <w:u w:val="none"/>
              </w:rPr>
            </w:pPr>
          </w:p>
        </w:tc>
        <w:tc>
          <w:tcPr>
            <w:tcW w:w="1170" w:type="dxa"/>
            <w:shd w:val="clear" w:color="auto" w:fill="auto"/>
            <w:vAlign w:val="bottom"/>
          </w:tcPr>
          <w:p>
            <w:pPr>
              <w:rPr>
                <w:rFonts w:hint="default" w:ascii="Arial" w:hAnsi="Arial" w:cs="Arial"/>
                <w:i w:val="0"/>
                <w:color w:val="000000"/>
                <w:sz w:val="20"/>
                <w:szCs w:val="20"/>
                <w:u w:val="none"/>
              </w:rPr>
            </w:pPr>
          </w:p>
        </w:tc>
        <w:tc>
          <w:tcPr>
            <w:tcW w:w="126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6179"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1801"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本年支出合计</w:t>
            </w:r>
          </w:p>
        </w:tc>
        <w:tc>
          <w:tcPr>
            <w:tcW w:w="1459"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08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c>
          <w:tcPr>
            <w:tcW w:w="108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上缴上级支出</w:t>
            </w:r>
          </w:p>
        </w:tc>
        <w:tc>
          <w:tcPr>
            <w:tcW w:w="117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经营支出</w:t>
            </w:r>
          </w:p>
        </w:tc>
        <w:tc>
          <w:tcPr>
            <w:tcW w:w="1260" w:type="dxa"/>
            <w:vMerge w:val="restart"/>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48"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3931"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180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48"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93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0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2248"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93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01"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459"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08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7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260" w:type="dxa"/>
            <w:vMerge w:val="continue"/>
            <w:tcBorders>
              <w:top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6179"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180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45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0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08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7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6179"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455.35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184.84</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270.51</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财政对失业保险基金的补助</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2082702</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财政对工伤保险基金的补助</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2101102</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事业单位医疗</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153.67</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42.60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153.67</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42.60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行政运行</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140.23</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140.23</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36.60</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13.44</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23.16</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2120199</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其他城乡社区管理事务支出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19.44</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19.44</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22904</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其他政府性基金及对应专项债务收入安排的支出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248"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2290401</w:t>
            </w:r>
          </w:p>
        </w:tc>
        <w:tc>
          <w:tcPr>
            <w:tcW w:w="3931" w:type="dxa"/>
            <w:tcBorders>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其他政府性基金安排的支出</w:t>
            </w:r>
          </w:p>
        </w:tc>
        <w:tc>
          <w:tcPr>
            <w:tcW w:w="1801"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45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08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7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26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029" w:type="dxa"/>
            <w:gridSpan w:val="10"/>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t>财政拨款收入支出决算总表</w:t>
      </w:r>
    </w:p>
    <w:p>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kern w:val="0"/>
          <w:szCs w:val="21"/>
        </w:rPr>
      </w:pPr>
      <w:r>
        <w:rPr>
          <w:rFonts w:ascii="Times New Roman" w:hAnsi="Times New Roman" w:eastAsia="宋体" w:cs="Times New Roman"/>
          <w:color w:val="000000"/>
          <w:kern w:val="0"/>
          <w:szCs w:val="21"/>
        </w:rPr>
        <w:t>公开04表</w:t>
      </w:r>
    </w:p>
    <w:tbl>
      <w:tblPr>
        <w:tblStyle w:val="7"/>
        <w:tblW w:w="1359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376"/>
        <w:gridCol w:w="468"/>
        <w:gridCol w:w="2446"/>
        <w:gridCol w:w="2642"/>
        <w:gridCol w:w="468"/>
        <w:gridCol w:w="1365"/>
        <w:gridCol w:w="1129"/>
        <w:gridCol w:w="27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2376" w:type="dxa"/>
            <w:shd w:val="clear" w:color="auto" w:fill="auto"/>
            <w:vAlign w:val="bottom"/>
          </w:tcPr>
          <w:p>
            <w:pPr>
              <w:rPr>
                <w:rFonts w:hint="eastAsia" w:ascii="Arial" w:hAnsi="Arial" w:cs="Arial"/>
                <w:i w:val="0"/>
                <w:color w:val="000000"/>
                <w:sz w:val="20"/>
                <w:szCs w:val="20"/>
                <w:u w:val="none"/>
              </w:rPr>
            </w:pPr>
            <w:bookmarkStart w:id="0" w:name="RANGE!A1:F16"/>
          </w:p>
        </w:tc>
        <w:tc>
          <w:tcPr>
            <w:tcW w:w="468" w:type="dxa"/>
            <w:shd w:val="clear" w:color="auto" w:fill="auto"/>
            <w:vAlign w:val="bottom"/>
          </w:tcPr>
          <w:p>
            <w:pPr>
              <w:rPr>
                <w:rFonts w:hint="default" w:ascii="Arial" w:hAnsi="Arial" w:cs="Arial"/>
                <w:i w:val="0"/>
                <w:color w:val="000000"/>
                <w:sz w:val="20"/>
                <w:szCs w:val="20"/>
                <w:u w:val="none"/>
              </w:rPr>
            </w:pPr>
          </w:p>
        </w:tc>
        <w:tc>
          <w:tcPr>
            <w:tcW w:w="2446" w:type="dxa"/>
            <w:shd w:val="clear" w:color="auto" w:fill="auto"/>
            <w:vAlign w:val="bottom"/>
          </w:tcPr>
          <w:p>
            <w:pPr>
              <w:rPr>
                <w:rFonts w:hint="default" w:ascii="Arial" w:hAnsi="Arial" w:cs="Arial"/>
                <w:i w:val="0"/>
                <w:color w:val="000000"/>
                <w:sz w:val="20"/>
                <w:szCs w:val="20"/>
                <w:u w:val="none"/>
              </w:rPr>
            </w:pPr>
          </w:p>
        </w:tc>
        <w:tc>
          <w:tcPr>
            <w:tcW w:w="2642" w:type="dxa"/>
            <w:shd w:val="clear" w:color="auto" w:fill="auto"/>
            <w:vAlign w:val="bottom"/>
          </w:tcPr>
          <w:p>
            <w:pPr>
              <w:rPr>
                <w:rFonts w:hint="default" w:ascii="Arial" w:hAnsi="Arial" w:cs="Arial"/>
                <w:i w:val="0"/>
                <w:color w:val="000000"/>
                <w:sz w:val="20"/>
                <w:szCs w:val="20"/>
                <w:u w:val="none"/>
              </w:rPr>
            </w:pPr>
          </w:p>
        </w:tc>
        <w:tc>
          <w:tcPr>
            <w:tcW w:w="468" w:type="dxa"/>
            <w:shd w:val="clear" w:color="auto" w:fill="auto"/>
            <w:vAlign w:val="bottom"/>
          </w:tcPr>
          <w:p>
            <w:pPr>
              <w:rPr>
                <w:rFonts w:hint="default" w:ascii="Arial" w:hAnsi="Arial" w:cs="Arial"/>
                <w:i w:val="0"/>
                <w:color w:val="000000"/>
                <w:sz w:val="20"/>
                <w:szCs w:val="20"/>
                <w:u w:val="none"/>
              </w:rPr>
            </w:pPr>
          </w:p>
        </w:tc>
        <w:tc>
          <w:tcPr>
            <w:tcW w:w="1365" w:type="dxa"/>
            <w:shd w:val="clear" w:color="auto" w:fill="auto"/>
            <w:vAlign w:val="bottom"/>
          </w:tcPr>
          <w:p>
            <w:pPr>
              <w:rPr>
                <w:rFonts w:hint="default" w:ascii="Arial" w:hAnsi="Arial" w:cs="Arial"/>
                <w:i w:val="0"/>
                <w:color w:val="000000"/>
                <w:sz w:val="20"/>
                <w:szCs w:val="20"/>
                <w:u w:val="none"/>
              </w:rPr>
            </w:pPr>
          </w:p>
        </w:tc>
        <w:tc>
          <w:tcPr>
            <w:tcW w:w="1129" w:type="dxa"/>
            <w:shd w:val="clear" w:color="auto" w:fill="auto"/>
            <w:vAlign w:val="bottom"/>
          </w:tcPr>
          <w:p>
            <w:pPr>
              <w:rPr>
                <w:rFonts w:hint="default" w:ascii="Arial" w:hAnsi="Arial" w:cs="Arial"/>
                <w:i w:val="0"/>
                <w:color w:val="000000"/>
                <w:sz w:val="20"/>
                <w:szCs w:val="20"/>
                <w:u w:val="none"/>
              </w:rPr>
            </w:pPr>
          </w:p>
        </w:tc>
        <w:tc>
          <w:tcPr>
            <w:tcW w:w="270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2376" w:type="dxa"/>
            <w:shd w:val="clear" w:color="auto" w:fill="auto"/>
            <w:vAlign w:val="bottom"/>
          </w:tcPr>
          <w:p>
            <w:pPr>
              <w:keepNext w:val="0"/>
              <w:keepLines w:val="0"/>
              <w:widowControl/>
              <w:suppressLineNumbers w:val="0"/>
              <w:jc w:val="lef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部门：湘乡市墙体材料改革办公室</w:t>
            </w:r>
          </w:p>
        </w:tc>
        <w:tc>
          <w:tcPr>
            <w:tcW w:w="468" w:type="dxa"/>
            <w:shd w:val="clear" w:color="auto" w:fill="auto"/>
            <w:vAlign w:val="bottom"/>
          </w:tcPr>
          <w:p>
            <w:pPr>
              <w:rPr>
                <w:rFonts w:hint="default" w:ascii="Arial" w:hAnsi="Arial" w:cs="Arial"/>
                <w:i w:val="0"/>
                <w:color w:val="000000"/>
                <w:sz w:val="20"/>
                <w:szCs w:val="20"/>
                <w:u w:val="none"/>
              </w:rPr>
            </w:pPr>
          </w:p>
        </w:tc>
        <w:tc>
          <w:tcPr>
            <w:tcW w:w="2446" w:type="dxa"/>
            <w:shd w:val="clear" w:color="auto" w:fill="auto"/>
            <w:vAlign w:val="bottom"/>
          </w:tcPr>
          <w:p>
            <w:pPr>
              <w:rPr>
                <w:rFonts w:hint="default" w:ascii="Arial" w:hAnsi="Arial" w:cs="Arial"/>
                <w:i w:val="0"/>
                <w:color w:val="000000"/>
                <w:sz w:val="20"/>
                <w:szCs w:val="20"/>
                <w:u w:val="none"/>
              </w:rPr>
            </w:pPr>
          </w:p>
        </w:tc>
        <w:tc>
          <w:tcPr>
            <w:tcW w:w="2642" w:type="dxa"/>
            <w:shd w:val="clear" w:color="auto" w:fill="auto"/>
            <w:vAlign w:val="bottom"/>
          </w:tcPr>
          <w:p>
            <w:pPr>
              <w:rPr>
                <w:rFonts w:hint="default" w:ascii="Arial" w:hAnsi="Arial" w:cs="Arial"/>
                <w:i w:val="0"/>
                <w:color w:val="000000"/>
                <w:sz w:val="20"/>
                <w:szCs w:val="20"/>
                <w:u w:val="none"/>
              </w:rPr>
            </w:pPr>
          </w:p>
        </w:tc>
        <w:tc>
          <w:tcPr>
            <w:tcW w:w="468" w:type="dxa"/>
            <w:shd w:val="clear" w:color="auto" w:fill="auto"/>
            <w:vAlign w:val="bottom"/>
          </w:tcPr>
          <w:p>
            <w:pPr>
              <w:rPr>
                <w:rFonts w:hint="default" w:ascii="Arial" w:hAnsi="Arial" w:cs="Arial"/>
                <w:i w:val="0"/>
                <w:color w:val="000000"/>
                <w:sz w:val="20"/>
                <w:szCs w:val="20"/>
                <w:u w:val="none"/>
              </w:rPr>
            </w:pPr>
          </w:p>
        </w:tc>
        <w:tc>
          <w:tcPr>
            <w:tcW w:w="1365" w:type="dxa"/>
            <w:shd w:val="clear" w:color="auto" w:fill="auto"/>
            <w:vAlign w:val="bottom"/>
          </w:tcPr>
          <w:p>
            <w:pPr>
              <w:rPr>
                <w:rFonts w:hint="default" w:ascii="Arial" w:hAnsi="Arial" w:cs="Arial"/>
                <w:i w:val="0"/>
                <w:color w:val="000000"/>
                <w:sz w:val="20"/>
                <w:szCs w:val="20"/>
                <w:u w:val="none"/>
              </w:rPr>
            </w:pPr>
          </w:p>
        </w:tc>
        <w:tc>
          <w:tcPr>
            <w:tcW w:w="1129" w:type="dxa"/>
            <w:shd w:val="clear" w:color="auto" w:fill="auto"/>
            <w:vAlign w:val="bottom"/>
          </w:tcPr>
          <w:p>
            <w:pPr>
              <w:rPr>
                <w:rFonts w:hint="default" w:ascii="Arial" w:hAnsi="Arial" w:cs="Arial"/>
                <w:i w:val="0"/>
                <w:color w:val="000000"/>
                <w:sz w:val="20"/>
                <w:szCs w:val="20"/>
                <w:u w:val="none"/>
              </w:rPr>
            </w:pPr>
          </w:p>
        </w:tc>
        <w:tc>
          <w:tcPr>
            <w:tcW w:w="2700" w:type="dxa"/>
            <w:shd w:val="clear" w:color="auto" w:fill="auto"/>
            <w:vAlign w:val="bottom"/>
          </w:tcPr>
          <w:p>
            <w:pPr>
              <w:keepNext w:val="0"/>
              <w:keepLines w:val="0"/>
              <w:widowControl/>
              <w:suppressLineNumbers w:val="0"/>
              <w:jc w:val="right"/>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290"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     入</w:t>
            </w:r>
          </w:p>
        </w:tc>
        <w:tc>
          <w:tcPr>
            <w:tcW w:w="8304" w:type="dxa"/>
            <w:gridSpan w:val="5"/>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5" w:hRule="atLeast"/>
        </w:trPr>
        <w:tc>
          <w:tcPr>
            <w:tcW w:w="2376" w:type="dxa"/>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6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2446"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金额</w:t>
            </w:r>
          </w:p>
        </w:tc>
        <w:tc>
          <w:tcPr>
            <w:tcW w:w="2642"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68"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行次</w:t>
            </w:r>
          </w:p>
        </w:tc>
        <w:tc>
          <w:tcPr>
            <w:tcW w:w="1365"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129"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一般公共预算财政拨款</w:t>
            </w:r>
          </w:p>
        </w:tc>
        <w:tc>
          <w:tcPr>
            <w:tcW w:w="2700"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政府性基金预算财政拨款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2376" w:type="dxa"/>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446"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642"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468"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65"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129"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700"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68"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446"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468" w:type="dxa"/>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36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29"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700"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150.26</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133.71</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十四、资源勘探信息等支出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二十一、灾害防治及应急管理支出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二十二、其他支出</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36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29"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70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283.96</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455.35</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227.43</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262.80</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91.42</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91.42</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168.60</w:t>
            </w:r>
          </w:p>
        </w:tc>
        <w:tc>
          <w:tcPr>
            <w:tcW w:w="26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36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29"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70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94.20</w:t>
            </w:r>
          </w:p>
        </w:tc>
        <w:tc>
          <w:tcPr>
            <w:tcW w:w="26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36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29"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70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2446"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642" w:type="dxa"/>
            <w:tcBorders>
              <w:bottom w:val="single" w:color="000000" w:sz="4" w:space="0"/>
              <w:right w:val="single" w:color="000000" w:sz="4" w:space="0"/>
            </w:tcBorders>
            <w:shd w:val="clear" w:color="FFFFFF" w:fill="C0C0C0"/>
            <w:vAlign w:val="center"/>
          </w:tcPr>
          <w:p>
            <w:pPr>
              <w:jc w:val="left"/>
              <w:rPr>
                <w:rFonts w:hint="eastAsia" w:ascii="宋体" w:hAnsi="宋体" w:eastAsia="宋体" w:cs="宋体"/>
                <w:i w:val="0"/>
                <w:color w:val="000000"/>
                <w:sz w:val="22"/>
                <w:szCs w:val="22"/>
                <w:u w:val="none"/>
              </w:rPr>
            </w:pP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365"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1129"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c>
          <w:tcPr>
            <w:tcW w:w="2700" w:type="dxa"/>
            <w:tcBorders>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2376" w:type="dxa"/>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2446"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546.77</w:t>
            </w:r>
          </w:p>
        </w:tc>
        <w:tc>
          <w:tcPr>
            <w:tcW w:w="2642"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68"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365"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546.77</w:t>
            </w:r>
          </w:p>
        </w:tc>
        <w:tc>
          <w:tcPr>
            <w:tcW w:w="1129"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318.86</w:t>
            </w:r>
          </w:p>
        </w:tc>
        <w:tc>
          <w:tcPr>
            <w:tcW w:w="2700" w:type="dxa"/>
            <w:tcBorders>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3594" w:type="dxa"/>
            <w:gridSpan w:val="8"/>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注：本表反映部门本年度一般公共预算财政拨款和政府性基金预算财政拨款的总收支和年末结转结余情况。</w:t>
            </w:r>
          </w:p>
        </w:tc>
      </w:tr>
    </w:tbl>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0"/>
    </w:p>
    <w:p>
      <w:pPr>
        <w:widowControl/>
        <w:jc w:val="left"/>
        <w:rPr>
          <w:rFonts w:hint="eastAsia"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p>
    <w:tbl>
      <w:tblPr>
        <w:tblStyle w:val="7"/>
        <w:tblW w:w="103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377"/>
        <w:gridCol w:w="58"/>
        <w:gridCol w:w="58"/>
        <w:gridCol w:w="3867"/>
        <w:gridCol w:w="2224"/>
        <w:gridCol w:w="955"/>
        <w:gridCol w:w="1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6" w:hRule="atLeast"/>
        </w:trPr>
        <w:tc>
          <w:tcPr>
            <w:tcW w:w="1377" w:type="dxa"/>
            <w:shd w:val="clear" w:color="auto" w:fill="auto"/>
            <w:vAlign w:val="bottom"/>
          </w:tcPr>
          <w:p>
            <w:pPr>
              <w:jc w:val="center"/>
              <w:rPr>
                <w:rFonts w:hint="eastAsia" w:ascii="Arial" w:hAnsi="Arial" w:cs="Arial"/>
                <w:i w:val="0"/>
                <w:color w:val="000000"/>
                <w:sz w:val="20"/>
                <w:szCs w:val="20"/>
                <w:u w:val="none"/>
              </w:rPr>
            </w:pPr>
          </w:p>
        </w:tc>
        <w:tc>
          <w:tcPr>
            <w:tcW w:w="58" w:type="dxa"/>
            <w:shd w:val="clear" w:color="auto" w:fill="auto"/>
            <w:vAlign w:val="bottom"/>
          </w:tcPr>
          <w:p>
            <w:pPr>
              <w:jc w:val="center"/>
              <w:rPr>
                <w:rFonts w:hint="default" w:ascii="Arial" w:hAnsi="Arial" w:cs="Arial"/>
                <w:i w:val="0"/>
                <w:color w:val="000000"/>
                <w:sz w:val="20"/>
                <w:szCs w:val="20"/>
                <w:u w:val="none"/>
              </w:rPr>
            </w:pPr>
          </w:p>
        </w:tc>
        <w:tc>
          <w:tcPr>
            <w:tcW w:w="58" w:type="dxa"/>
            <w:shd w:val="clear" w:color="auto" w:fill="auto"/>
            <w:vAlign w:val="bottom"/>
          </w:tcPr>
          <w:p>
            <w:pPr>
              <w:jc w:val="center"/>
              <w:rPr>
                <w:rFonts w:hint="default" w:ascii="Arial" w:hAnsi="Arial" w:cs="Arial"/>
                <w:i w:val="0"/>
                <w:color w:val="000000"/>
                <w:sz w:val="20"/>
                <w:szCs w:val="20"/>
                <w:u w:val="none"/>
              </w:rPr>
            </w:pPr>
          </w:p>
        </w:tc>
        <w:tc>
          <w:tcPr>
            <w:tcW w:w="3867" w:type="dxa"/>
            <w:shd w:val="clear" w:color="auto" w:fill="auto"/>
            <w:vAlign w:val="bottom"/>
          </w:tcPr>
          <w:p>
            <w:pPr>
              <w:jc w:val="center"/>
              <w:rPr>
                <w:rFonts w:hint="default" w:ascii="Arial" w:hAnsi="Arial" w:cs="Arial"/>
                <w:i w:val="0"/>
                <w:color w:val="000000"/>
                <w:sz w:val="20"/>
                <w:szCs w:val="20"/>
                <w:u w:val="none"/>
              </w:rPr>
            </w:pPr>
          </w:p>
        </w:tc>
        <w:tc>
          <w:tcPr>
            <w:tcW w:w="2224" w:type="dxa"/>
            <w:shd w:val="clear" w:color="auto" w:fill="auto"/>
            <w:vAlign w:val="bottom"/>
          </w:tcPr>
          <w:p>
            <w:pPr>
              <w:jc w:val="center"/>
              <w:rPr>
                <w:rFonts w:hint="default" w:ascii="Arial" w:hAnsi="Arial" w:cs="Arial"/>
                <w:i w:val="0"/>
                <w:color w:val="000000"/>
                <w:sz w:val="20"/>
                <w:szCs w:val="20"/>
                <w:u w:val="none"/>
              </w:rPr>
            </w:pPr>
          </w:p>
        </w:tc>
        <w:tc>
          <w:tcPr>
            <w:tcW w:w="955" w:type="dxa"/>
            <w:shd w:val="clear" w:color="auto" w:fill="auto"/>
            <w:vAlign w:val="bottom"/>
          </w:tcPr>
          <w:p>
            <w:pPr>
              <w:jc w:val="center"/>
              <w:rPr>
                <w:rFonts w:hint="default" w:ascii="Arial" w:hAnsi="Arial" w:cs="Arial"/>
                <w:i w:val="0"/>
                <w:color w:val="000000"/>
                <w:sz w:val="20"/>
                <w:szCs w:val="20"/>
                <w:u w:val="none"/>
              </w:rPr>
            </w:pPr>
          </w:p>
        </w:tc>
        <w:tc>
          <w:tcPr>
            <w:tcW w:w="1811"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1377"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部门：湘乡市墙体材料改革办公室</w:t>
            </w:r>
          </w:p>
        </w:tc>
        <w:tc>
          <w:tcPr>
            <w:tcW w:w="58" w:type="dxa"/>
            <w:shd w:val="clear" w:color="auto" w:fill="auto"/>
            <w:vAlign w:val="bottom"/>
          </w:tcPr>
          <w:p>
            <w:pPr>
              <w:jc w:val="center"/>
              <w:rPr>
                <w:rFonts w:hint="default" w:ascii="Arial" w:hAnsi="Arial" w:cs="Arial"/>
                <w:i w:val="0"/>
                <w:color w:val="000000"/>
                <w:sz w:val="20"/>
                <w:szCs w:val="20"/>
                <w:u w:val="none"/>
              </w:rPr>
            </w:pPr>
          </w:p>
        </w:tc>
        <w:tc>
          <w:tcPr>
            <w:tcW w:w="58" w:type="dxa"/>
            <w:shd w:val="clear" w:color="auto" w:fill="auto"/>
            <w:vAlign w:val="bottom"/>
          </w:tcPr>
          <w:p>
            <w:pPr>
              <w:jc w:val="center"/>
              <w:rPr>
                <w:rFonts w:hint="default" w:ascii="Arial" w:hAnsi="Arial" w:cs="Arial"/>
                <w:i w:val="0"/>
                <w:color w:val="000000"/>
                <w:sz w:val="20"/>
                <w:szCs w:val="20"/>
                <w:u w:val="none"/>
              </w:rPr>
            </w:pPr>
          </w:p>
        </w:tc>
        <w:tc>
          <w:tcPr>
            <w:tcW w:w="3867" w:type="dxa"/>
            <w:shd w:val="clear" w:color="auto" w:fill="auto"/>
            <w:vAlign w:val="bottom"/>
          </w:tcPr>
          <w:p>
            <w:pPr>
              <w:jc w:val="center"/>
              <w:rPr>
                <w:rFonts w:hint="default" w:ascii="Arial" w:hAnsi="Arial" w:cs="Arial"/>
                <w:i w:val="0"/>
                <w:color w:val="000000"/>
                <w:sz w:val="20"/>
                <w:szCs w:val="20"/>
                <w:u w:val="none"/>
              </w:rPr>
            </w:pPr>
          </w:p>
        </w:tc>
        <w:tc>
          <w:tcPr>
            <w:tcW w:w="2224" w:type="dxa"/>
            <w:shd w:val="clear" w:color="auto" w:fill="auto"/>
            <w:vAlign w:val="bottom"/>
          </w:tcPr>
          <w:p>
            <w:pPr>
              <w:jc w:val="center"/>
              <w:rPr>
                <w:rFonts w:hint="default" w:ascii="Arial" w:hAnsi="Arial" w:cs="Arial"/>
                <w:i w:val="0"/>
                <w:color w:val="000000"/>
                <w:sz w:val="20"/>
                <w:szCs w:val="20"/>
                <w:u w:val="none"/>
              </w:rPr>
            </w:pPr>
          </w:p>
        </w:tc>
        <w:tc>
          <w:tcPr>
            <w:tcW w:w="955" w:type="dxa"/>
            <w:shd w:val="clear" w:color="auto" w:fill="auto"/>
            <w:vAlign w:val="bottom"/>
          </w:tcPr>
          <w:p>
            <w:pPr>
              <w:jc w:val="center"/>
              <w:rPr>
                <w:rFonts w:hint="default" w:ascii="Arial" w:hAnsi="Arial" w:cs="Arial"/>
                <w:i w:val="0"/>
                <w:color w:val="000000"/>
                <w:sz w:val="20"/>
                <w:szCs w:val="20"/>
                <w:u w:val="none"/>
              </w:rPr>
            </w:pPr>
          </w:p>
        </w:tc>
        <w:tc>
          <w:tcPr>
            <w:tcW w:w="1811" w:type="dxa"/>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360"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w:t>
            </w:r>
          </w:p>
        </w:tc>
        <w:tc>
          <w:tcPr>
            <w:tcW w:w="4990" w:type="dxa"/>
            <w:gridSpan w:val="3"/>
            <w:tcBorders>
              <w:top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493" w:type="dxa"/>
            <w:gridSpan w:val="3"/>
            <w:vMerge w:val="restart"/>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功能分类科目编码</w:t>
            </w:r>
          </w:p>
        </w:tc>
        <w:tc>
          <w:tcPr>
            <w:tcW w:w="3867"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科目名称</w:t>
            </w:r>
          </w:p>
        </w:tc>
        <w:tc>
          <w:tcPr>
            <w:tcW w:w="2224"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955"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基本支出</w:t>
            </w:r>
          </w:p>
        </w:tc>
        <w:tc>
          <w:tcPr>
            <w:tcW w:w="1811" w:type="dxa"/>
            <w:vMerge w:val="restart"/>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70" w:hRule="atLeast"/>
        </w:trPr>
        <w:tc>
          <w:tcPr>
            <w:tcW w:w="149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86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2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5"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1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493" w:type="dxa"/>
            <w:gridSpan w:val="3"/>
            <w:vMerge w:val="continue"/>
            <w:tcBorders>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3867"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2224"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955"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c>
          <w:tcPr>
            <w:tcW w:w="1811" w:type="dxa"/>
            <w:vMerge w:val="continue"/>
            <w:tcBorders>
              <w:bottom w:val="single" w:color="000000" w:sz="4" w:space="0"/>
              <w:right w:val="single" w:color="000000" w:sz="4" w:space="0"/>
            </w:tcBorders>
            <w:shd w:val="clear" w:color="FFFFFF" w:fill="C0C0C0"/>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36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栏次</w:t>
            </w:r>
          </w:p>
        </w:tc>
        <w:tc>
          <w:tcPr>
            <w:tcW w:w="2224"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55"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811" w:type="dxa"/>
            <w:tcBorders>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5360" w:type="dxa"/>
            <w:gridSpan w:val="4"/>
            <w:tcBorders>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227.43</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184.84</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社会保障和就业支出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15.67</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行政事业单位离退休</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2080505</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14.37</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财政对失业保险基金的补助</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0.68</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2082702</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财政对工伤保险基金的补助</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0.62</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卫生健康支出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行政事业单位医疗</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2101102</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事业单位医疗</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153.67</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城乡社区管理事务</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196.27</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153.67</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行政运行</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140.23</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140.23</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2120102</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一般行政管理事务</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36.60</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13.44</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2120199</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其他城乡社区管理事务支出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19.44</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住房保障支出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住房改革支出</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493" w:type="dxa"/>
            <w:gridSpan w:val="3"/>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2210201</w:t>
            </w:r>
          </w:p>
        </w:tc>
        <w:tc>
          <w:tcPr>
            <w:tcW w:w="3867"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住房公积金</w:t>
            </w:r>
          </w:p>
        </w:tc>
        <w:tc>
          <w:tcPr>
            <w:tcW w:w="2224"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955"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8.45</w:t>
            </w:r>
          </w:p>
        </w:tc>
        <w:tc>
          <w:tcPr>
            <w:tcW w:w="1811"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1" w:hRule="atLeast"/>
        </w:trPr>
        <w:tc>
          <w:tcPr>
            <w:tcW w:w="10350" w:type="dxa"/>
            <w:gridSpan w:val="7"/>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ascii="Times New Roman" w:hAnsi="Times New Roman" w:eastAsia="方正小标宋_GBK" w:cs="Times New Roman"/>
          <w:color w:val="000000"/>
          <w:kern w:val="0"/>
          <w:sz w:val="28"/>
          <w:szCs w:val="36"/>
        </w:rPr>
      </w:pPr>
      <w:bookmarkStart w:id="1" w:name="RANGE!A1:I39"/>
      <w:r>
        <w:rPr>
          <w:rFonts w:ascii="Times New Roman" w:hAnsi="Times New Roman" w:eastAsia="方正小标宋_GBK" w:cs="Times New Roman"/>
          <w:color w:val="000000"/>
          <w:kern w:val="0"/>
          <w:sz w:val="28"/>
          <w:szCs w:val="36"/>
        </w:rPr>
        <w:t>一般公共预算财政拨款基本支出决算表</w:t>
      </w:r>
      <w:bookmarkEnd w:id="1"/>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公开06表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5900" w:type="dxa"/>
        <w:tblInd w:w="93" w:type="dxa"/>
        <w:tblLayout w:type="fixed"/>
        <w:tblCellMar>
          <w:top w:w="0" w:type="dxa"/>
          <w:left w:w="108" w:type="dxa"/>
          <w:bottom w:w="0" w:type="dxa"/>
          <w:right w:w="108" w:type="dxa"/>
        </w:tblCellMar>
      </w:tblPr>
      <w:tblGrid>
        <w:gridCol w:w="1149"/>
        <w:gridCol w:w="3306"/>
        <w:gridCol w:w="856"/>
        <w:gridCol w:w="1110"/>
        <w:gridCol w:w="2297"/>
        <w:gridCol w:w="856"/>
        <w:gridCol w:w="1076"/>
        <w:gridCol w:w="4394"/>
        <w:gridCol w:w="856"/>
      </w:tblGrid>
      <w:tr>
        <w:tblPrEx>
          <w:tblLayout w:type="fixed"/>
          <w:tblCellMar>
            <w:top w:w="0" w:type="dxa"/>
            <w:left w:w="108" w:type="dxa"/>
            <w:bottom w:w="0" w:type="dxa"/>
            <w:right w:w="108" w:type="dxa"/>
          </w:tblCellMar>
        </w:tblPrEx>
        <w:trPr>
          <w:trHeight w:val="585" w:hRule="atLeast"/>
        </w:trPr>
        <w:tc>
          <w:tcPr>
            <w:tcW w:w="1149"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330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110"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2297"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c>
          <w:tcPr>
            <w:tcW w:w="107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经济分类科目编码</w:t>
            </w:r>
          </w:p>
        </w:tc>
        <w:tc>
          <w:tcPr>
            <w:tcW w:w="439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科目名称</w:t>
            </w:r>
          </w:p>
        </w:tc>
        <w:tc>
          <w:tcPr>
            <w:tcW w:w="856"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决算数</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工资福利支出</w:t>
            </w:r>
          </w:p>
        </w:tc>
        <w:tc>
          <w:tcPr>
            <w:tcW w:w="85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lang w:val="en-US" w:eastAsia="zh-CN"/>
              </w:rPr>
              <w:t>164.50</w:t>
            </w:r>
            <w:r>
              <w:rPr>
                <w:rFonts w:hint="eastAsia" w:ascii="仿宋_GB2312" w:hAnsi="宋体" w:eastAsia="仿宋_GB2312" w:cs="宋体"/>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商品和服务支出</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19.9</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债务利息及费用支出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基本工资</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52.73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2.04</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国内债务付息</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津贴补贴</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20.93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印刷费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30702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国外债务付息</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奖金</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19.52</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咨询费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资本性支出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伙食补助费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8.94</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手续费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房屋建筑物购建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绩效工资</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16.01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水费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 xml:space="preserve">  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办公设备购置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机关事业单位基本养老保险费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17.85</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电费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1.20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31003</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专用设备购置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职业年金缴费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邮电费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 xml:space="preserve">  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31005</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基础设施建设</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职工基本医疗保险缴费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15.88</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取暖费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 xml:space="preserve">  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31006</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大型修缮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公务员医疗补助缴费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30209</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物业管理费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31007</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信息网络及软件购置更新</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其他社会保障缴费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0.99</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30211</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差旅费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31008</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物资储备</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住房公积金</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10.91</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30212</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因公出国（境）费用</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31009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土地补偿</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30114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30213</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维修（护）费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0.83</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31010</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安置补助</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30199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其他工资福利支出</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0.75</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租赁费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地上附着物和青苗补偿</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w:t>
            </w:r>
          </w:p>
        </w:tc>
        <w:tc>
          <w:tcPr>
            <w:tcW w:w="3306"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对个人和家庭的补助</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0.43</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会议费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0.04</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拆迁补偿</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30301</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离休费</w:t>
            </w:r>
          </w:p>
        </w:tc>
        <w:tc>
          <w:tcPr>
            <w:tcW w:w="856" w:type="dxa"/>
            <w:tcBorders>
              <w:top w:val="nil"/>
              <w:left w:val="nil"/>
              <w:bottom w:val="single" w:color="auto" w:sz="8" w:space="0"/>
              <w:right w:val="single" w:color="auto" w:sz="8" w:space="0"/>
            </w:tcBorders>
            <w:shd w:val="clear" w:color="auto" w:fill="auto"/>
            <w:noWrap/>
          </w:tcPr>
          <w:p>
            <w:pPr>
              <w:widowControl/>
              <w:ind w:firstLine="180" w:firstLineChars="100"/>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培训费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31013</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公务用车购置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30302</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退休费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0.30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公务接待费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31019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其他交通工具购置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30303</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退职（役）费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30218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专用材料费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31021</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文物和陈列品购置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30304</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抚恤金</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30224</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被装购置费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31022</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无形资产购置</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30305</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生活补助</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30225</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专用燃料费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31099</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其他资本性支出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30306</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救济费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30226</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劳务费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其他支出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30307</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医疗费补助</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30227</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委托业务费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39906</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赠与</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30308</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助学金</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30228</w:t>
            </w:r>
          </w:p>
        </w:tc>
        <w:tc>
          <w:tcPr>
            <w:tcW w:w="2297"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工会经费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7.44</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39907</w:t>
            </w:r>
          </w:p>
        </w:tc>
        <w:tc>
          <w:tcPr>
            <w:tcW w:w="4394"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国家赔偿费用支出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30309</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奖励金</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0.13</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30229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福利费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2.00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39908</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对民间非营利组织和群众性自治组织补贴</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30310</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个人农业生产补贴</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30231</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公务用车运行维护费</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1.64</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39999</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其他支出</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rPr>
              <w:t>　</w:t>
            </w:r>
            <w:r>
              <w:rPr>
                <w:rFonts w:hint="eastAsia" w:ascii="仿宋_GB2312" w:hAnsi="宋体" w:eastAsia="仿宋_GB2312" w:cs="宋体"/>
                <w:color w:val="000000"/>
                <w:kern w:val="0"/>
                <w:sz w:val="18"/>
                <w:szCs w:val="18"/>
                <w:lang w:val="en-US" w:eastAsia="zh-CN"/>
              </w:rPr>
              <w:t>0.00</w:t>
            </w:r>
          </w:p>
        </w:tc>
      </w:tr>
      <w:tr>
        <w:tblPrEx>
          <w:tblLayout w:type="fixed"/>
          <w:tblCellMar>
            <w:top w:w="0" w:type="dxa"/>
            <w:left w:w="108" w:type="dxa"/>
            <w:bottom w:w="0" w:type="dxa"/>
            <w:right w:w="108" w:type="dxa"/>
          </w:tblCellMar>
        </w:tblPrEx>
        <w:trPr>
          <w:trHeight w:val="255" w:hRule="exact"/>
        </w:trPr>
        <w:tc>
          <w:tcPr>
            <w:tcW w:w="1149" w:type="dxa"/>
            <w:tcBorders>
              <w:top w:val="single" w:color="auto" w:sz="8" w:space="0"/>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30399</w:t>
            </w:r>
          </w:p>
        </w:tc>
        <w:tc>
          <w:tcPr>
            <w:tcW w:w="330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xml:space="preserve">  </w:t>
            </w:r>
            <w:r>
              <w:rPr>
                <w:rFonts w:hint="eastAsia" w:ascii="仿宋_GB2312" w:hAnsi="Times New Roman" w:eastAsia="仿宋_GB2312" w:cs="Times New Roman"/>
                <w:color w:val="000000"/>
                <w:kern w:val="0"/>
                <w:sz w:val="18"/>
                <w:szCs w:val="18"/>
              </w:rPr>
              <w:t>对其他个人和家庭的补助支出</w:t>
            </w:r>
          </w:p>
        </w:tc>
        <w:tc>
          <w:tcPr>
            <w:tcW w:w="856" w:type="dxa"/>
            <w:tcBorders>
              <w:top w:val="single" w:color="auto" w:sz="8" w:space="0"/>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1110"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30239</w:t>
            </w:r>
          </w:p>
        </w:tc>
        <w:tc>
          <w:tcPr>
            <w:tcW w:w="2297"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其他交通费用</w:t>
            </w:r>
          </w:p>
        </w:tc>
        <w:tc>
          <w:tcPr>
            <w:tcW w:w="856" w:type="dxa"/>
            <w:tcBorders>
              <w:top w:val="single" w:color="auto" w:sz="8" w:space="0"/>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0.70</w:t>
            </w:r>
          </w:p>
        </w:tc>
        <w:tc>
          <w:tcPr>
            <w:tcW w:w="1076" w:type="dxa"/>
            <w:tcBorders>
              <w:top w:val="single" w:color="auto" w:sz="8" w:space="0"/>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single" w:color="auto" w:sz="8" w:space="0"/>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single" w:color="auto" w:sz="8" w:space="0"/>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30240</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税金及附加费用</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0.00</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Layout w:type="fixed"/>
          <w:tblCellMar>
            <w:top w:w="0" w:type="dxa"/>
            <w:left w:w="108" w:type="dxa"/>
            <w:bottom w:w="0" w:type="dxa"/>
            <w:right w:w="108" w:type="dxa"/>
          </w:tblCellMar>
        </w:tblPrEx>
        <w:trPr>
          <w:trHeight w:val="255" w:hRule="exact"/>
        </w:trPr>
        <w:tc>
          <w:tcPr>
            <w:tcW w:w="1149" w:type="dxa"/>
            <w:tcBorders>
              <w:top w:val="nil"/>
              <w:left w:val="single" w:color="auto" w:sz="8" w:space="0"/>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330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1110"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30299</w:t>
            </w:r>
          </w:p>
        </w:tc>
        <w:tc>
          <w:tcPr>
            <w:tcW w:w="2297"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xml:space="preserve">  其他商品和服务支出</w:t>
            </w:r>
          </w:p>
        </w:tc>
        <w:tc>
          <w:tcPr>
            <w:tcW w:w="856" w:type="dxa"/>
            <w:tcBorders>
              <w:top w:val="nil"/>
              <w:left w:val="nil"/>
              <w:bottom w:val="single" w:color="auto" w:sz="8" w:space="0"/>
              <w:right w:val="single" w:color="auto" w:sz="8" w:space="0"/>
            </w:tcBorders>
            <w:shd w:val="clear" w:color="auto" w:fill="auto"/>
            <w:noWrap/>
          </w:tcPr>
          <w:p>
            <w:pPr>
              <w:widowControl/>
              <w:rPr>
                <w:rFonts w:hint="eastAsia" w:ascii="Times New Roman" w:hAnsi="Times New Roman" w:eastAsia="宋体" w:cs="Times New Roman"/>
                <w:color w:val="000000"/>
                <w:kern w:val="0"/>
                <w:sz w:val="18"/>
                <w:szCs w:val="18"/>
                <w:lang w:val="en-US" w:eastAsia="zh-CN"/>
              </w:rPr>
            </w:pPr>
            <w:r>
              <w:rPr>
                <w:rFonts w:ascii="Times New Roman" w:hAnsi="Times New Roman" w:eastAsia="宋体" w:cs="Times New Roman"/>
                <w:color w:val="000000"/>
                <w:kern w:val="0"/>
                <w:sz w:val="18"/>
                <w:szCs w:val="18"/>
              </w:rPr>
              <w:t>　</w:t>
            </w:r>
            <w:r>
              <w:rPr>
                <w:rFonts w:hint="eastAsia" w:ascii="Times New Roman" w:hAnsi="Times New Roman" w:eastAsia="宋体" w:cs="Times New Roman"/>
                <w:color w:val="000000"/>
                <w:kern w:val="0"/>
                <w:sz w:val="18"/>
                <w:szCs w:val="18"/>
                <w:lang w:val="en-US" w:eastAsia="zh-CN"/>
              </w:rPr>
              <w:t>1.96</w:t>
            </w:r>
          </w:p>
        </w:tc>
        <w:tc>
          <w:tcPr>
            <w:tcW w:w="1076" w:type="dxa"/>
            <w:tcBorders>
              <w:top w:val="nil"/>
              <w:left w:val="nil"/>
              <w:bottom w:val="single" w:color="auto" w:sz="8" w:space="0"/>
              <w:right w:val="single" w:color="auto" w:sz="8" w:space="0"/>
            </w:tcBorders>
            <w:shd w:val="clear" w:color="auto" w:fill="auto"/>
            <w:noWrap/>
          </w:tcPr>
          <w:p>
            <w:pPr>
              <w:widowControl/>
              <w:rPr>
                <w:rFonts w:ascii="Times New Roman" w:hAnsi="Times New Roman" w:eastAsia="宋体" w:cs="Times New Roman"/>
                <w:color w:val="000000"/>
                <w:kern w:val="0"/>
                <w:sz w:val="18"/>
                <w:szCs w:val="18"/>
              </w:rPr>
            </w:pPr>
            <w:r>
              <w:rPr>
                <w:rFonts w:ascii="Times New Roman" w:hAnsi="Times New Roman" w:eastAsia="宋体" w:cs="Times New Roman"/>
                <w:color w:val="000000"/>
                <w:kern w:val="0"/>
                <w:sz w:val="18"/>
                <w:szCs w:val="18"/>
              </w:rPr>
              <w:t>　</w:t>
            </w:r>
          </w:p>
        </w:tc>
        <w:tc>
          <w:tcPr>
            <w:tcW w:w="4394" w:type="dxa"/>
            <w:tcBorders>
              <w:top w:val="nil"/>
              <w:left w:val="nil"/>
              <w:bottom w:val="single" w:color="auto" w:sz="8" w:space="0"/>
              <w:right w:val="single" w:color="auto" w:sz="8" w:space="0"/>
            </w:tcBorders>
            <w:shd w:val="clear" w:color="auto" w:fill="auto"/>
            <w:noWrap/>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　</w:t>
            </w:r>
          </w:p>
        </w:tc>
      </w:tr>
      <w:tr>
        <w:tblPrEx>
          <w:tblLayout w:type="fixed"/>
          <w:tblCellMar>
            <w:top w:w="0" w:type="dxa"/>
            <w:left w:w="108" w:type="dxa"/>
            <w:bottom w:w="0" w:type="dxa"/>
            <w:right w:w="108" w:type="dxa"/>
          </w:tblCellMar>
        </w:tblPrEx>
        <w:trPr>
          <w:trHeight w:val="255" w:hRule="exact"/>
        </w:trPr>
        <w:tc>
          <w:tcPr>
            <w:tcW w:w="4455" w:type="dxa"/>
            <w:gridSpan w:val="2"/>
            <w:tcBorders>
              <w:top w:val="nil"/>
              <w:left w:val="single" w:color="auto" w:sz="8" w:space="0"/>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人员经费合计</w:t>
            </w:r>
          </w:p>
        </w:tc>
        <w:tc>
          <w:tcPr>
            <w:tcW w:w="856" w:type="dxa"/>
            <w:tcBorders>
              <w:top w:val="nil"/>
              <w:left w:val="nil"/>
              <w:bottom w:val="single" w:color="auto" w:sz="8" w:space="0"/>
              <w:right w:val="single" w:color="auto" w:sz="8" w:space="0"/>
            </w:tcBorders>
            <w:shd w:val="clear" w:color="auto" w:fill="auto"/>
            <w:noWrap/>
            <w:vAlign w:val="center"/>
          </w:tcPr>
          <w:p>
            <w:pPr>
              <w:widowControl/>
              <w:rPr>
                <w:rFonts w:hint="eastAsia" w:ascii="Times New Roman" w:hAnsi="Times New Roman" w:eastAsia="宋体" w:cs="Times New Roman"/>
                <w:color w:val="000000"/>
                <w:kern w:val="0"/>
                <w:sz w:val="18"/>
                <w:szCs w:val="18"/>
                <w:lang w:val="en-US" w:eastAsia="zh-CN"/>
              </w:rPr>
            </w:pPr>
            <w:r>
              <w:rPr>
                <w:rFonts w:hint="eastAsia" w:ascii="Times New Roman" w:hAnsi="Times New Roman" w:eastAsia="宋体" w:cs="Times New Roman"/>
                <w:color w:val="000000"/>
                <w:kern w:val="0"/>
                <w:sz w:val="18"/>
                <w:szCs w:val="18"/>
                <w:lang w:val="en-US" w:eastAsia="zh-CN"/>
              </w:rPr>
              <w:t>164.93</w:t>
            </w:r>
          </w:p>
        </w:tc>
        <w:tc>
          <w:tcPr>
            <w:tcW w:w="9733" w:type="dxa"/>
            <w:gridSpan w:val="5"/>
            <w:tcBorders>
              <w:top w:val="nil"/>
              <w:left w:val="nil"/>
              <w:bottom w:val="single" w:color="auto" w:sz="8" w:space="0"/>
              <w:right w:val="single" w:color="auto" w:sz="8" w:space="0"/>
            </w:tcBorders>
            <w:shd w:val="clear" w:color="auto" w:fill="auto"/>
            <w:noWrap/>
          </w:tcPr>
          <w:p>
            <w:pPr>
              <w:widowControl/>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公用经费合计</w:t>
            </w:r>
          </w:p>
        </w:tc>
        <w:tc>
          <w:tcPr>
            <w:tcW w:w="856" w:type="dxa"/>
            <w:tcBorders>
              <w:top w:val="nil"/>
              <w:left w:val="nil"/>
              <w:bottom w:val="single" w:color="auto" w:sz="8" w:space="0"/>
              <w:right w:val="single" w:color="auto" w:sz="8" w:space="0"/>
            </w:tcBorders>
            <w:shd w:val="clear" w:color="auto" w:fill="auto"/>
            <w:vAlign w:val="center"/>
          </w:tcPr>
          <w:p>
            <w:pPr>
              <w:widowControl/>
              <w:rPr>
                <w:rFonts w:hint="eastAsia" w:ascii="仿宋_GB2312" w:hAnsi="宋体" w:eastAsia="仿宋_GB2312" w:cs="宋体"/>
                <w:color w:val="000000"/>
                <w:kern w:val="0"/>
                <w:sz w:val="18"/>
                <w:szCs w:val="18"/>
                <w:lang w:val="en-US" w:eastAsia="zh-CN"/>
              </w:rPr>
            </w:pPr>
            <w:r>
              <w:rPr>
                <w:rFonts w:hint="eastAsia" w:ascii="仿宋_GB2312" w:hAnsi="宋体" w:eastAsia="仿宋_GB2312" w:cs="宋体"/>
                <w:color w:val="000000"/>
                <w:kern w:val="0"/>
                <w:sz w:val="18"/>
                <w:szCs w:val="18"/>
                <w:lang w:val="en-US" w:eastAsia="zh-CN"/>
              </w:rPr>
              <w:t>19.9</w:t>
            </w:r>
          </w:p>
        </w:tc>
      </w:tr>
    </w:tbl>
    <w:p>
      <w:pPr>
        <w:widowControl/>
        <w:jc w:val="left"/>
        <w:rPr>
          <w:rFonts w:ascii="黑体" w:hAnsi="黑体" w:eastAsia="黑体"/>
          <w:szCs w:val="21"/>
        </w:rPr>
      </w:pPr>
      <w:r>
        <w:rPr>
          <w:rFonts w:hint="eastAsia" w:ascii="黑体" w:hAnsi="黑体" w:eastAsia="黑体"/>
          <w:szCs w:val="21"/>
        </w:rPr>
        <w:t>注：本表反映部门年度一般公共预算财政拨款基本支出明细情况。</w:t>
      </w:r>
      <w:r>
        <w:rPr>
          <w:rFonts w:ascii="黑体" w:hAnsi="黑体" w:eastAsia="黑体"/>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Ind w:w="0" w:type="dxa"/>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Layout w:type="fixed"/>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Layout w:type="fixed"/>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Layout w:type="fixed"/>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Layout w:type="fixed"/>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0.00</w:t>
            </w:r>
          </w:p>
        </w:tc>
        <w:tc>
          <w:tcPr>
            <w:tcW w:w="1220" w:type="dxa"/>
            <w:tcBorders>
              <w:top w:val="nil"/>
              <w:left w:val="nil"/>
              <w:bottom w:val="single" w:color="auto" w:sz="8" w:space="0"/>
              <w:right w:val="single" w:color="auto" w:sz="4" w:space="0"/>
            </w:tcBorders>
            <w:shd w:val="clear" w:color="auto" w:fill="auto"/>
            <w:vAlign w:val="center"/>
          </w:tcPr>
          <w:p>
            <w:pPr>
              <w:widowControl/>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1.64</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1.64</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1.64</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bl>
    <w:p>
      <w:pPr>
        <w:autoSpaceDE w:val="0"/>
        <w:autoSpaceDN w:val="0"/>
        <w:adjustRightInd w:val="0"/>
        <w:ind w:left="315" w:leftChars="150"/>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ascii="宋体" w:eastAsia="宋体" w:cs="宋体"/>
          <w:kern w:val="0"/>
          <w:sz w:val="24"/>
          <w:szCs w:val="24"/>
        </w:rPr>
      </w:pP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440"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335"/>
        <w:gridCol w:w="1575"/>
        <w:gridCol w:w="141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455"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157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41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233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575" w:type="dxa"/>
            <w:vMerge w:val="continue"/>
            <w:vAlign w:val="center"/>
          </w:tcPr>
          <w:p>
            <w:pPr>
              <w:widowControl/>
              <w:jc w:val="left"/>
              <w:rPr>
                <w:rFonts w:ascii="Times New Roman" w:hAnsi="Times New Roman" w:eastAsia="仿宋_GB2312" w:cs="Times New Roman"/>
                <w:b/>
                <w:kern w:val="0"/>
                <w:szCs w:val="21"/>
              </w:rPr>
            </w:pPr>
          </w:p>
        </w:tc>
        <w:tc>
          <w:tcPr>
            <w:tcW w:w="141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2335" w:type="dxa"/>
            <w:vMerge w:val="continue"/>
            <w:vAlign w:val="center"/>
          </w:tcPr>
          <w:p>
            <w:pPr>
              <w:widowControl/>
              <w:jc w:val="left"/>
              <w:rPr>
                <w:rFonts w:ascii="Times New Roman" w:hAnsi="Times New Roman" w:eastAsia="仿宋_GB2312" w:cs="Times New Roman"/>
                <w:kern w:val="0"/>
                <w:szCs w:val="21"/>
              </w:rPr>
            </w:pPr>
          </w:p>
        </w:tc>
        <w:tc>
          <w:tcPr>
            <w:tcW w:w="1575" w:type="dxa"/>
            <w:vMerge w:val="continue"/>
            <w:vAlign w:val="center"/>
          </w:tcPr>
          <w:p>
            <w:pPr>
              <w:widowControl/>
              <w:jc w:val="left"/>
              <w:rPr>
                <w:rFonts w:ascii="Times New Roman" w:hAnsi="Times New Roman" w:eastAsia="仿宋_GB2312" w:cs="Times New Roman"/>
                <w:kern w:val="0"/>
                <w:szCs w:val="21"/>
              </w:rPr>
            </w:pPr>
          </w:p>
        </w:tc>
        <w:tc>
          <w:tcPr>
            <w:tcW w:w="141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2335" w:type="dxa"/>
            <w:vMerge w:val="continue"/>
            <w:vAlign w:val="center"/>
          </w:tcPr>
          <w:p>
            <w:pPr>
              <w:widowControl/>
              <w:jc w:val="left"/>
              <w:rPr>
                <w:rFonts w:ascii="Times New Roman" w:hAnsi="Times New Roman" w:eastAsia="仿宋_GB2312" w:cs="Times New Roman"/>
                <w:kern w:val="0"/>
                <w:szCs w:val="21"/>
              </w:rPr>
            </w:pPr>
          </w:p>
        </w:tc>
        <w:tc>
          <w:tcPr>
            <w:tcW w:w="1575" w:type="dxa"/>
            <w:vMerge w:val="continue"/>
            <w:vAlign w:val="center"/>
          </w:tcPr>
          <w:p>
            <w:pPr>
              <w:widowControl/>
              <w:jc w:val="left"/>
              <w:rPr>
                <w:rFonts w:ascii="Times New Roman" w:hAnsi="Times New Roman" w:eastAsia="仿宋_GB2312" w:cs="Times New Roman"/>
                <w:kern w:val="0"/>
                <w:szCs w:val="21"/>
              </w:rPr>
            </w:pPr>
          </w:p>
        </w:tc>
        <w:tc>
          <w:tcPr>
            <w:tcW w:w="141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455"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41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3455"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575"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94.20</w:t>
            </w:r>
            <w:r>
              <w:rPr>
                <w:rFonts w:ascii="Times New Roman" w:hAnsi="Times New Roman" w:eastAsia="仿宋_GB2312" w:cs="Times New Roman"/>
                <w:kern w:val="0"/>
                <w:szCs w:val="21"/>
              </w:rPr>
              <w:t>　</w:t>
            </w:r>
          </w:p>
        </w:tc>
        <w:tc>
          <w:tcPr>
            <w:tcW w:w="1410" w:type="dxa"/>
            <w:shd w:val="clear" w:color="auto" w:fill="auto"/>
            <w:vAlign w:val="center"/>
          </w:tcPr>
          <w:p>
            <w:pPr>
              <w:widowControl/>
              <w:tabs>
                <w:tab w:val="left" w:pos="417"/>
                <w:tab w:val="center" w:pos="762"/>
              </w:tabs>
              <w:ind w:firstLine="210" w:firstLineChars="100"/>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133.71</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227.91</w:t>
            </w: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2000" w:type="dxa"/>
            <w:shd w:val="clear" w:color="auto" w:fill="auto"/>
            <w:vAlign w:val="center"/>
          </w:tcPr>
          <w:p>
            <w:pPr>
              <w:widowControl/>
              <w:ind w:firstLine="210" w:firstLineChars="100"/>
              <w:jc w:val="both"/>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227.91</w:t>
            </w:r>
            <w:r>
              <w:rPr>
                <w:rFonts w:ascii="Times New Roman" w:hAnsi="Times New Roman" w:eastAsia="仿宋_GB2312" w:cs="Times New Roman"/>
                <w:kern w:val="0"/>
                <w:szCs w:val="21"/>
              </w:rPr>
              <w:t>　</w:t>
            </w:r>
          </w:p>
        </w:tc>
        <w:tc>
          <w:tcPr>
            <w:tcW w:w="2000" w:type="dxa"/>
            <w:shd w:val="clear" w:color="auto" w:fill="auto"/>
            <w:vAlign w:val="center"/>
          </w:tcPr>
          <w:p>
            <w:pPr>
              <w:widowControl/>
              <w:ind w:firstLine="210" w:firstLineChars="100"/>
              <w:jc w:val="both"/>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229</w:t>
            </w:r>
            <w:r>
              <w:rPr>
                <w:rFonts w:ascii="Times New Roman" w:hAnsi="Times New Roman" w:eastAsia="仿宋_GB2312" w:cs="Times New Roman"/>
                <w:kern w:val="0"/>
                <w:szCs w:val="21"/>
              </w:rPr>
              <w:t>　</w:t>
            </w:r>
          </w:p>
        </w:tc>
        <w:tc>
          <w:tcPr>
            <w:tcW w:w="2335"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其他支出</w:t>
            </w:r>
          </w:p>
        </w:tc>
        <w:tc>
          <w:tcPr>
            <w:tcW w:w="1575"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94.20</w:t>
            </w:r>
          </w:p>
        </w:tc>
        <w:tc>
          <w:tcPr>
            <w:tcW w:w="141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133.71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227.91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0.00</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227.91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22904</w:t>
            </w:r>
            <w:r>
              <w:rPr>
                <w:rFonts w:ascii="Times New Roman" w:hAnsi="Times New Roman" w:eastAsia="仿宋_GB2312" w:cs="Times New Roman"/>
                <w:kern w:val="0"/>
                <w:szCs w:val="21"/>
              </w:rPr>
              <w:t>　</w:t>
            </w:r>
          </w:p>
        </w:tc>
        <w:tc>
          <w:tcPr>
            <w:tcW w:w="2335"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10"/>
                <w:szCs w:val="10"/>
                <w:u w:val="none"/>
                <w:lang w:val="en-US" w:eastAsia="zh-CN" w:bidi="ar"/>
              </w:rPr>
              <w:t>其他政府性基金及对应专项债务收入安排的支出</w:t>
            </w:r>
          </w:p>
        </w:tc>
        <w:tc>
          <w:tcPr>
            <w:tcW w:w="1575" w:type="dxa"/>
            <w:shd w:val="clear" w:color="auto" w:fill="auto"/>
            <w:vAlign w:val="center"/>
          </w:tcPr>
          <w:p>
            <w:pPr>
              <w:widowControl/>
              <w:tabs>
                <w:tab w:val="left" w:pos="522"/>
              </w:tabs>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94.20</w:t>
            </w:r>
          </w:p>
        </w:tc>
        <w:tc>
          <w:tcPr>
            <w:tcW w:w="141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133.71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227.91</w:t>
            </w:r>
          </w:p>
        </w:tc>
        <w:tc>
          <w:tcPr>
            <w:tcW w:w="2000" w:type="dxa"/>
            <w:shd w:val="clear" w:color="auto" w:fill="auto"/>
            <w:vAlign w:val="center"/>
          </w:tcPr>
          <w:p>
            <w:pPr>
              <w:widowControl/>
              <w:ind w:firstLine="420" w:firstLineChars="200"/>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227.91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2290401</w:t>
            </w:r>
            <w:r>
              <w:rPr>
                <w:rFonts w:ascii="Times New Roman" w:hAnsi="Times New Roman" w:eastAsia="仿宋_GB2312" w:cs="Times New Roman"/>
                <w:kern w:val="0"/>
                <w:szCs w:val="21"/>
              </w:rPr>
              <w:t>　</w:t>
            </w:r>
          </w:p>
        </w:tc>
        <w:tc>
          <w:tcPr>
            <w:tcW w:w="2335"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16"/>
                <w:szCs w:val="16"/>
              </w:rPr>
            </w:pPr>
            <w:r>
              <w:rPr>
                <w:rFonts w:hint="eastAsia" w:ascii="宋体" w:hAnsi="宋体" w:eastAsia="宋体" w:cs="宋体"/>
                <w:i w:val="0"/>
                <w:color w:val="000000"/>
                <w:kern w:val="0"/>
                <w:sz w:val="16"/>
                <w:szCs w:val="16"/>
                <w:u w:val="none"/>
                <w:lang w:val="en-US" w:eastAsia="zh-CN" w:bidi="ar"/>
              </w:rPr>
              <w:t xml:space="preserve"> 其他政府性基金安排的支出</w:t>
            </w:r>
          </w:p>
        </w:tc>
        <w:tc>
          <w:tcPr>
            <w:tcW w:w="1575" w:type="dxa"/>
            <w:shd w:val="clear" w:color="auto" w:fill="auto"/>
            <w:vAlign w:val="center"/>
          </w:tcPr>
          <w:p>
            <w:pPr>
              <w:widowControl/>
              <w:tabs>
                <w:tab w:val="left" w:pos="447"/>
              </w:tabs>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ab/>
            </w:r>
            <w:r>
              <w:rPr>
                <w:rFonts w:hint="eastAsia" w:ascii="Times New Roman" w:hAnsi="Times New Roman" w:eastAsia="仿宋_GB2312" w:cs="Times New Roman"/>
                <w:kern w:val="0"/>
                <w:szCs w:val="21"/>
                <w:lang w:val="en-US" w:eastAsia="zh-CN"/>
              </w:rPr>
              <w:t>94.20</w:t>
            </w:r>
          </w:p>
        </w:tc>
        <w:tc>
          <w:tcPr>
            <w:tcW w:w="141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133.71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 xml:space="preserve">   227.91</w:t>
            </w:r>
          </w:p>
        </w:tc>
        <w:tc>
          <w:tcPr>
            <w:tcW w:w="2000" w:type="dxa"/>
            <w:shd w:val="clear" w:color="auto" w:fill="auto"/>
            <w:vAlign w:val="center"/>
          </w:tcPr>
          <w:p>
            <w:pPr>
              <w:widowControl/>
              <w:ind w:firstLine="420" w:firstLineChars="200"/>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227.91</w:t>
            </w:r>
          </w:p>
        </w:tc>
        <w:tc>
          <w:tcPr>
            <w:tcW w:w="2000" w:type="dxa"/>
            <w:shd w:val="clear" w:color="auto" w:fill="auto"/>
            <w:vAlign w:val="center"/>
          </w:tcPr>
          <w:p>
            <w:pPr>
              <w:widowControl/>
              <w:jc w:val="left"/>
              <w:rPr>
                <w:rFonts w:hint="eastAsia"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1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p>
      <w:pPr>
        <w:pStyle w:val="10"/>
        <w:rPr>
          <w:sz w:val="72"/>
          <w:szCs w:val="72"/>
        </w:rPr>
        <w:sectPr>
          <w:pgSz w:w="16838" w:h="11906" w:orient="landscape"/>
          <w:pgMar w:top="720" w:right="720" w:bottom="720" w:left="720" w:header="851" w:footer="992" w:gutter="0"/>
          <w:cols w:space="425" w:num="1"/>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hAnsi="黑体"/>
          <w:b/>
          <w:sz w:val="32"/>
          <w:szCs w:val="32"/>
        </w:rPr>
      </w:pPr>
      <w:r>
        <w:rPr>
          <w:sz w:val="70"/>
          <w:szCs w:val="70"/>
        </w:rPr>
        <w:br w:type="page"/>
      </w:r>
    </w:p>
    <w:p>
      <w:pPr>
        <w:widowControl/>
        <w:spacing w:line="600" w:lineRule="exact"/>
        <w:ind w:firstLine="480" w:firstLineChars="150"/>
        <w:rPr>
          <w:rFonts w:eastAsia="黑体"/>
          <w:bCs/>
          <w:kern w:val="0"/>
          <w:sz w:val="32"/>
          <w:szCs w:val="32"/>
        </w:rPr>
      </w:pPr>
      <w:r>
        <w:rPr>
          <w:rFonts w:hint="eastAsia" w:ascii="黑体" w:hAnsi="黑体" w:eastAsia="黑体" w:cs="黑体"/>
          <w:kern w:val="0"/>
          <w:sz w:val="32"/>
          <w:szCs w:val="32"/>
        </w:rPr>
        <w:t>一、收入支出决算总体情况说明</w:t>
      </w:r>
    </w:p>
    <w:p>
      <w:pPr>
        <w:widowControl/>
        <w:spacing w:line="600" w:lineRule="exact"/>
        <w:ind w:firstLine="640" w:firstLineChars="200"/>
        <w:rPr>
          <w:rFonts w:hint="eastAsia" w:ascii="仿宋" w:hAnsi="仿宋" w:eastAsia="仿宋"/>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w:t>
      </w:r>
      <w:r>
        <w:rPr>
          <w:rFonts w:hint="eastAsia" w:ascii="仿宋" w:hAnsi="仿宋" w:eastAsia="仿宋" w:cs="宋体"/>
          <w:kern w:val="0"/>
          <w:sz w:val="32"/>
          <w:szCs w:val="32"/>
        </w:rPr>
        <w:t>预算安排</w:t>
      </w:r>
      <w:r>
        <w:rPr>
          <w:rFonts w:hint="eastAsia" w:ascii="仿宋" w:hAnsi="仿宋" w:eastAsia="仿宋"/>
          <w:kern w:val="0"/>
          <w:sz w:val="32"/>
          <w:szCs w:val="32"/>
        </w:rPr>
        <w:t>收入为</w:t>
      </w:r>
      <w:r>
        <w:rPr>
          <w:rFonts w:hint="eastAsia" w:ascii="仿宋" w:hAnsi="仿宋" w:eastAsia="仿宋"/>
          <w:kern w:val="0"/>
          <w:sz w:val="32"/>
          <w:szCs w:val="32"/>
          <w:lang w:val="en-US" w:eastAsia="zh-CN"/>
        </w:rPr>
        <w:t>283.96</w:t>
      </w:r>
      <w:r>
        <w:rPr>
          <w:rFonts w:hint="eastAsia" w:ascii="仿宋" w:hAnsi="仿宋" w:eastAsia="仿宋"/>
          <w:kern w:val="0"/>
          <w:sz w:val="32"/>
          <w:szCs w:val="32"/>
        </w:rPr>
        <w:t>万元（较</w:t>
      </w:r>
      <w:r>
        <w:rPr>
          <w:rFonts w:hint="eastAsia" w:ascii="仿宋" w:hAnsi="仿宋" w:eastAsia="仿宋"/>
          <w:sz w:val="32"/>
          <w:szCs w:val="32"/>
        </w:rPr>
        <w:t>201</w:t>
      </w:r>
      <w:r>
        <w:rPr>
          <w:rFonts w:hint="eastAsia" w:ascii="仿宋" w:hAnsi="仿宋" w:eastAsia="仿宋"/>
          <w:sz w:val="32"/>
          <w:szCs w:val="32"/>
          <w:lang w:val="en-US" w:eastAsia="zh-CN"/>
        </w:rPr>
        <w:t>8</w:t>
      </w:r>
      <w:r>
        <w:rPr>
          <w:rFonts w:hint="eastAsia" w:ascii="仿宋" w:hAnsi="仿宋" w:eastAsia="仿宋"/>
          <w:sz w:val="32"/>
          <w:szCs w:val="32"/>
        </w:rPr>
        <w:t>年收入</w:t>
      </w:r>
      <w:r>
        <w:rPr>
          <w:rFonts w:hint="eastAsia" w:ascii="仿宋" w:hAnsi="仿宋" w:eastAsia="仿宋"/>
          <w:kern w:val="0"/>
          <w:sz w:val="32"/>
          <w:szCs w:val="32"/>
        </w:rPr>
        <w:t>327.24</w:t>
      </w:r>
      <w:r>
        <w:rPr>
          <w:rFonts w:hint="eastAsia" w:ascii="仿宋" w:hAnsi="仿宋" w:eastAsia="仿宋"/>
          <w:sz w:val="32"/>
          <w:szCs w:val="32"/>
        </w:rPr>
        <w:t>万元，减少了</w:t>
      </w:r>
      <w:r>
        <w:rPr>
          <w:rFonts w:hint="eastAsia" w:ascii="仿宋" w:hAnsi="仿宋" w:eastAsia="仿宋"/>
          <w:sz w:val="32"/>
          <w:szCs w:val="32"/>
          <w:lang w:val="en-US" w:eastAsia="zh-CN"/>
        </w:rPr>
        <w:t>43.28</w:t>
      </w:r>
      <w:r>
        <w:rPr>
          <w:rFonts w:hint="eastAsia" w:ascii="仿宋" w:hAnsi="仿宋" w:eastAsia="仿宋"/>
          <w:sz w:val="32"/>
          <w:szCs w:val="32"/>
        </w:rPr>
        <w:t>万元）、上年度结余结转</w:t>
      </w:r>
      <w:r>
        <w:rPr>
          <w:rFonts w:hint="eastAsia" w:ascii="仿宋" w:hAnsi="仿宋" w:eastAsia="仿宋"/>
          <w:sz w:val="32"/>
          <w:szCs w:val="32"/>
          <w:lang w:val="en-US" w:eastAsia="zh-CN"/>
        </w:rPr>
        <w:t>263.95</w:t>
      </w:r>
      <w:r>
        <w:rPr>
          <w:rFonts w:hint="eastAsia" w:ascii="仿宋" w:hAnsi="仿宋" w:eastAsia="仿宋"/>
          <w:sz w:val="32"/>
          <w:szCs w:val="32"/>
        </w:rPr>
        <w:t>万元，总收入为</w:t>
      </w:r>
      <w:r>
        <w:rPr>
          <w:rFonts w:hint="eastAsia" w:ascii="仿宋" w:hAnsi="仿宋" w:eastAsia="仿宋"/>
          <w:sz w:val="32"/>
          <w:szCs w:val="32"/>
          <w:lang w:val="en-US" w:eastAsia="zh-CN"/>
        </w:rPr>
        <w:t>547.91</w:t>
      </w:r>
      <w:r>
        <w:rPr>
          <w:rFonts w:hint="eastAsia" w:ascii="仿宋" w:hAnsi="仿宋" w:eastAsia="仿宋"/>
          <w:sz w:val="32"/>
          <w:szCs w:val="32"/>
        </w:rPr>
        <w:t>万元；201</w:t>
      </w:r>
      <w:r>
        <w:rPr>
          <w:rFonts w:hint="eastAsia" w:ascii="仿宋" w:hAnsi="仿宋" w:eastAsia="仿宋"/>
          <w:sz w:val="32"/>
          <w:szCs w:val="32"/>
          <w:lang w:val="en-US" w:eastAsia="zh-CN"/>
        </w:rPr>
        <w:t>9</w:t>
      </w:r>
      <w:r>
        <w:rPr>
          <w:rFonts w:hint="eastAsia" w:ascii="仿宋" w:hAnsi="仿宋" w:eastAsia="仿宋"/>
          <w:sz w:val="32"/>
          <w:szCs w:val="32"/>
        </w:rPr>
        <w:t>年</w:t>
      </w:r>
      <w:r>
        <w:rPr>
          <w:rFonts w:hint="eastAsia" w:ascii="仿宋" w:hAnsi="仿宋" w:eastAsia="仿宋"/>
          <w:kern w:val="0"/>
          <w:sz w:val="32"/>
          <w:szCs w:val="32"/>
        </w:rPr>
        <w:t>总支出为</w:t>
      </w:r>
      <w:r>
        <w:rPr>
          <w:rFonts w:hint="eastAsia" w:ascii="仿宋" w:hAnsi="仿宋" w:eastAsia="仿宋"/>
          <w:kern w:val="0"/>
          <w:sz w:val="32"/>
          <w:szCs w:val="32"/>
          <w:lang w:val="en-US" w:eastAsia="zh-CN"/>
        </w:rPr>
        <w:t>455.35</w:t>
      </w:r>
      <w:r>
        <w:rPr>
          <w:rFonts w:hint="eastAsia" w:ascii="仿宋" w:hAnsi="仿宋" w:eastAsia="仿宋"/>
          <w:kern w:val="0"/>
          <w:sz w:val="32"/>
          <w:szCs w:val="32"/>
        </w:rPr>
        <w:t>万元</w:t>
      </w:r>
      <w:r>
        <w:rPr>
          <w:rFonts w:ascii="仿宋" w:hAnsi="仿宋" w:eastAsia="仿宋"/>
          <w:kern w:val="0"/>
          <w:sz w:val="32"/>
          <w:szCs w:val="32"/>
        </w:rPr>
        <w:br w:type="textWrapping"/>
      </w:r>
      <w:r>
        <w:rPr>
          <w:rFonts w:hint="eastAsia" w:ascii="仿宋" w:hAnsi="仿宋" w:eastAsia="仿宋"/>
          <w:kern w:val="0"/>
          <w:sz w:val="32"/>
          <w:szCs w:val="32"/>
        </w:rPr>
        <w:t>（</w:t>
      </w:r>
      <w:r>
        <w:rPr>
          <w:rFonts w:hint="eastAsia" w:ascii="仿宋" w:hAnsi="仿宋" w:eastAsia="仿宋"/>
          <w:sz w:val="32"/>
          <w:szCs w:val="32"/>
        </w:rPr>
        <w:t xml:space="preserve"> 较201</w:t>
      </w:r>
      <w:r>
        <w:rPr>
          <w:rFonts w:hint="eastAsia" w:ascii="仿宋" w:hAnsi="仿宋" w:eastAsia="仿宋"/>
          <w:sz w:val="32"/>
          <w:szCs w:val="32"/>
          <w:lang w:val="en-US" w:eastAsia="zh-CN"/>
        </w:rPr>
        <w:t>8</w:t>
      </w:r>
      <w:r>
        <w:rPr>
          <w:rFonts w:hint="eastAsia" w:ascii="仿宋" w:hAnsi="仿宋" w:eastAsia="仿宋"/>
          <w:sz w:val="32"/>
          <w:szCs w:val="32"/>
        </w:rPr>
        <w:t>年支出</w:t>
      </w:r>
      <w:r>
        <w:rPr>
          <w:rFonts w:hint="eastAsia" w:ascii="仿宋" w:hAnsi="仿宋" w:eastAsia="仿宋"/>
          <w:kern w:val="0"/>
          <w:sz w:val="32"/>
          <w:szCs w:val="32"/>
        </w:rPr>
        <w:t>324.18</w:t>
      </w:r>
      <w:r>
        <w:rPr>
          <w:rFonts w:hint="eastAsia" w:ascii="仿宋" w:hAnsi="仿宋" w:eastAsia="仿宋"/>
          <w:sz w:val="32"/>
          <w:szCs w:val="32"/>
        </w:rPr>
        <w:t>万元，增加了</w:t>
      </w:r>
      <w:r>
        <w:rPr>
          <w:rFonts w:hint="eastAsia" w:ascii="仿宋" w:hAnsi="仿宋" w:eastAsia="仿宋"/>
          <w:sz w:val="32"/>
          <w:szCs w:val="32"/>
          <w:lang w:val="en-US" w:eastAsia="zh-CN"/>
        </w:rPr>
        <w:t>131.17</w:t>
      </w:r>
      <w:r>
        <w:rPr>
          <w:rFonts w:hint="eastAsia" w:ascii="仿宋" w:hAnsi="仿宋" w:eastAsia="仿宋"/>
          <w:sz w:val="32"/>
          <w:szCs w:val="32"/>
        </w:rPr>
        <w:t>万元）；年末结余结转</w:t>
      </w:r>
      <w:r>
        <w:rPr>
          <w:rFonts w:hint="eastAsia" w:ascii="仿宋" w:hAnsi="仿宋" w:eastAsia="仿宋"/>
          <w:sz w:val="32"/>
          <w:szCs w:val="32"/>
          <w:lang w:val="en-US" w:eastAsia="zh-CN"/>
        </w:rPr>
        <w:t>91.42</w:t>
      </w:r>
      <w:r>
        <w:rPr>
          <w:rFonts w:hint="eastAsia" w:ascii="仿宋" w:hAnsi="仿宋" w:eastAsia="仿宋"/>
          <w:sz w:val="32"/>
          <w:szCs w:val="32"/>
        </w:rPr>
        <w:t>万元。</w:t>
      </w:r>
    </w:p>
    <w:p>
      <w:pPr>
        <w:widowControl/>
        <w:spacing w:line="600" w:lineRule="exact"/>
        <w:ind w:firstLine="640" w:firstLineChars="200"/>
        <w:rPr>
          <w:rFonts w:hint="eastAsia" w:ascii="仿宋" w:hAnsi="仿宋" w:eastAsia="仿宋"/>
          <w:kern w:val="0"/>
          <w:sz w:val="32"/>
          <w:szCs w:val="32"/>
        </w:rPr>
      </w:pPr>
      <w:r>
        <w:rPr>
          <w:rFonts w:hint="eastAsia" w:ascii="仿宋" w:hAnsi="仿宋" w:eastAsia="仿宋" w:cs="宋体"/>
          <w:kern w:val="0"/>
          <w:sz w:val="32"/>
          <w:szCs w:val="32"/>
        </w:rPr>
        <w:t>201</w:t>
      </w:r>
      <w:r>
        <w:rPr>
          <w:rFonts w:hint="eastAsia" w:ascii="仿宋" w:hAnsi="仿宋" w:eastAsia="仿宋" w:cs="宋体"/>
          <w:kern w:val="0"/>
          <w:sz w:val="32"/>
          <w:szCs w:val="32"/>
          <w:lang w:val="en-US" w:eastAsia="zh-CN"/>
        </w:rPr>
        <w:t>9</w:t>
      </w:r>
      <w:r>
        <w:rPr>
          <w:rFonts w:hint="eastAsia" w:ascii="仿宋" w:hAnsi="仿宋" w:eastAsia="仿宋" w:cs="宋体"/>
          <w:kern w:val="0"/>
          <w:sz w:val="32"/>
          <w:szCs w:val="32"/>
        </w:rPr>
        <w:t>年收入较上年减少，而支出增加的原因为：部分拨付企业的基金返退款和扶持企业改造等款项在201</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列入收入中，但未能及时在201</w:t>
      </w:r>
      <w:r>
        <w:rPr>
          <w:rFonts w:hint="eastAsia" w:ascii="仿宋" w:hAnsi="仿宋" w:eastAsia="仿宋" w:cs="宋体"/>
          <w:kern w:val="0"/>
          <w:sz w:val="32"/>
          <w:szCs w:val="32"/>
          <w:lang w:val="en-US" w:eastAsia="zh-CN"/>
        </w:rPr>
        <w:t>8</w:t>
      </w:r>
      <w:r>
        <w:rPr>
          <w:rFonts w:hint="eastAsia" w:ascii="仿宋" w:hAnsi="仿宋" w:eastAsia="仿宋" w:cs="宋体"/>
          <w:kern w:val="0"/>
          <w:sz w:val="32"/>
          <w:szCs w:val="32"/>
        </w:rPr>
        <w:t>年度拨付到企业，推迟在201</w:t>
      </w:r>
      <w:r>
        <w:rPr>
          <w:rFonts w:hint="eastAsia" w:ascii="仿宋" w:hAnsi="仿宋" w:eastAsia="仿宋" w:cs="宋体"/>
          <w:kern w:val="0"/>
          <w:sz w:val="32"/>
          <w:szCs w:val="32"/>
          <w:lang w:val="en-US" w:eastAsia="zh-CN"/>
        </w:rPr>
        <w:t>9</w:t>
      </w:r>
      <w:r>
        <w:rPr>
          <w:rFonts w:hint="eastAsia" w:ascii="仿宋" w:hAnsi="仿宋" w:eastAsia="仿宋" w:cs="宋体"/>
          <w:kern w:val="0"/>
          <w:sz w:val="32"/>
          <w:szCs w:val="32"/>
        </w:rPr>
        <w:t>年度拨付，故出现了此现象。</w:t>
      </w:r>
    </w:p>
    <w:p>
      <w:pPr>
        <w:widowControl/>
        <w:spacing w:line="600" w:lineRule="exact"/>
        <w:ind w:firstLine="640" w:firstLineChars="200"/>
        <w:rPr>
          <w:rFonts w:hint="eastAsia" w:ascii="黑体" w:hAnsi="黑体" w:eastAsia="黑体" w:cs="黑体"/>
          <w:b/>
          <w:bCs/>
          <w:kern w:val="0"/>
          <w:sz w:val="32"/>
          <w:szCs w:val="32"/>
        </w:rPr>
      </w:pPr>
      <w:r>
        <w:rPr>
          <w:rFonts w:hint="eastAsia" w:ascii="黑体" w:hAnsi="黑体" w:eastAsia="黑体" w:cs="黑体"/>
          <w:kern w:val="0"/>
          <w:sz w:val="32"/>
          <w:szCs w:val="32"/>
        </w:rPr>
        <w:t>二、收入决算情况说明</w:t>
      </w:r>
    </w:p>
    <w:p>
      <w:pPr>
        <w:widowControl/>
        <w:spacing w:line="360" w:lineRule="auto"/>
        <w:ind w:firstLine="627" w:firstLineChars="196"/>
        <w:jc w:val="left"/>
        <w:rPr>
          <w:rFonts w:hint="eastAsia" w:ascii="仿宋" w:hAnsi="仿宋" w:eastAsia="仿宋"/>
          <w:kern w:val="0"/>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年收入为</w:t>
      </w:r>
      <w:r>
        <w:rPr>
          <w:rFonts w:hint="eastAsia" w:ascii="仿宋" w:hAnsi="仿宋" w:eastAsia="仿宋"/>
          <w:sz w:val="32"/>
          <w:szCs w:val="32"/>
          <w:lang w:val="en-US" w:eastAsia="zh-CN"/>
        </w:rPr>
        <w:t>283.96</w:t>
      </w:r>
      <w:r>
        <w:rPr>
          <w:rFonts w:hint="eastAsia" w:ascii="仿宋" w:hAnsi="仿宋" w:eastAsia="仿宋"/>
          <w:sz w:val="32"/>
          <w:szCs w:val="32"/>
        </w:rPr>
        <w:t>万元，其中行政事业单位离退休</w:t>
      </w:r>
      <w:r>
        <w:rPr>
          <w:rFonts w:hint="eastAsia" w:ascii="仿宋" w:hAnsi="仿宋" w:eastAsia="仿宋"/>
          <w:sz w:val="32"/>
          <w:szCs w:val="32"/>
          <w:lang w:val="en-US" w:eastAsia="zh-CN"/>
        </w:rPr>
        <w:t>14.37</w:t>
      </w:r>
      <w:r>
        <w:rPr>
          <w:rFonts w:hint="eastAsia" w:ascii="仿宋" w:hAnsi="仿宋" w:eastAsia="仿宋"/>
          <w:sz w:val="32"/>
          <w:szCs w:val="32"/>
        </w:rPr>
        <w:t>万元（</w:t>
      </w:r>
      <w:r>
        <w:rPr>
          <w:rFonts w:hint="eastAsia" w:ascii="仿宋" w:hAnsi="仿宋" w:eastAsia="仿宋"/>
          <w:kern w:val="0"/>
          <w:sz w:val="32"/>
          <w:szCs w:val="32"/>
        </w:rPr>
        <w:t>占本年收入比例为5</w:t>
      </w:r>
      <w:r>
        <w:rPr>
          <w:rFonts w:hint="eastAsia" w:ascii="仿宋" w:hAnsi="仿宋" w:eastAsia="仿宋"/>
          <w:kern w:val="0"/>
          <w:sz w:val="32"/>
          <w:szCs w:val="32"/>
          <w:lang w:val="en-US" w:eastAsia="zh-CN"/>
        </w:rPr>
        <w:t>.0</w:t>
      </w:r>
      <w:r>
        <w:rPr>
          <w:rFonts w:hint="eastAsia" w:ascii="仿宋" w:hAnsi="仿宋" w:eastAsia="仿宋"/>
          <w:kern w:val="0"/>
          <w:sz w:val="32"/>
          <w:szCs w:val="32"/>
        </w:rPr>
        <w:t>%）</w:t>
      </w:r>
      <w:r>
        <w:rPr>
          <w:rFonts w:hint="eastAsia" w:ascii="仿宋" w:hAnsi="仿宋" w:eastAsia="仿宋"/>
          <w:sz w:val="32"/>
          <w:szCs w:val="32"/>
        </w:rPr>
        <w:t>、行政事业单位医疗</w:t>
      </w:r>
      <w:r>
        <w:rPr>
          <w:rFonts w:hint="eastAsia" w:ascii="仿宋" w:hAnsi="仿宋" w:eastAsia="仿宋"/>
          <w:sz w:val="32"/>
          <w:szCs w:val="32"/>
          <w:lang w:val="en-US" w:eastAsia="zh-CN"/>
        </w:rPr>
        <w:t>7.05</w:t>
      </w:r>
      <w:r>
        <w:rPr>
          <w:rFonts w:hint="eastAsia" w:ascii="仿宋" w:hAnsi="仿宋" w:eastAsia="仿宋"/>
          <w:sz w:val="32"/>
          <w:szCs w:val="32"/>
        </w:rPr>
        <w:t>万元（</w:t>
      </w:r>
      <w:r>
        <w:rPr>
          <w:rFonts w:hint="eastAsia" w:ascii="仿宋" w:hAnsi="仿宋" w:eastAsia="仿宋"/>
          <w:kern w:val="0"/>
          <w:sz w:val="32"/>
          <w:szCs w:val="32"/>
        </w:rPr>
        <w:t>占本年收入比例为2.</w:t>
      </w:r>
      <w:r>
        <w:rPr>
          <w:rFonts w:hint="eastAsia" w:ascii="仿宋" w:hAnsi="仿宋" w:eastAsia="仿宋"/>
          <w:kern w:val="0"/>
          <w:sz w:val="32"/>
          <w:szCs w:val="32"/>
          <w:lang w:val="en-US" w:eastAsia="zh-CN"/>
        </w:rPr>
        <w:t>4</w:t>
      </w:r>
      <w:r>
        <w:rPr>
          <w:rFonts w:hint="eastAsia" w:ascii="仿宋" w:hAnsi="仿宋" w:eastAsia="仿宋"/>
          <w:kern w:val="0"/>
          <w:sz w:val="32"/>
          <w:szCs w:val="32"/>
        </w:rPr>
        <w:t>%）</w:t>
      </w:r>
      <w:r>
        <w:rPr>
          <w:rFonts w:hint="eastAsia" w:ascii="仿宋" w:hAnsi="仿宋" w:eastAsia="仿宋"/>
          <w:sz w:val="32"/>
          <w:szCs w:val="32"/>
        </w:rPr>
        <w:t>、城乡社区管理行政运行</w:t>
      </w:r>
      <w:r>
        <w:rPr>
          <w:rFonts w:hint="eastAsia" w:ascii="仿宋" w:hAnsi="仿宋" w:eastAsia="仿宋"/>
          <w:sz w:val="32"/>
          <w:szCs w:val="32"/>
          <w:lang w:val="en-US" w:eastAsia="zh-CN"/>
        </w:rPr>
        <w:t>119.09</w:t>
      </w:r>
      <w:r>
        <w:rPr>
          <w:rFonts w:hint="eastAsia" w:ascii="仿宋" w:hAnsi="仿宋" w:eastAsia="仿宋"/>
          <w:sz w:val="32"/>
          <w:szCs w:val="32"/>
        </w:rPr>
        <w:t>万元（</w:t>
      </w:r>
      <w:r>
        <w:rPr>
          <w:rFonts w:hint="eastAsia" w:ascii="仿宋" w:hAnsi="仿宋" w:eastAsia="仿宋"/>
          <w:kern w:val="0"/>
          <w:sz w:val="32"/>
          <w:szCs w:val="32"/>
        </w:rPr>
        <w:t>占本年收入比例为</w:t>
      </w:r>
      <w:r>
        <w:rPr>
          <w:rFonts w:hint="eastAsia" w:ascii="仿宋" w:hAnsi="仿宋" w:eastAsia="仿宋"/>
          <w:kern w:val="0"/>
          <w:sz w:val="32"/>
          <w:szCs w:val="32"/>
          <w:lang w:val="en-US" w:eastAsia="zh-CN"/>
        </w:rPr>
        <w:t>41.9</w:t>
      </w:r>
      <w:r>
        <w:rPr>
          <w:rFonts w:hint="eastAsia" w:ascii="仿宋" w:hAnsi="仿宋" w:eastAsia="仿宋"/>
          <w:kern w:val="0"/>
          <w:sz w:val="32"/>
          <w:szCs w:val="32"/>
        </w:rPr>
        <w:t>%）</w:t>
      </w:r>
      <w:r>
        <w:rPr>
          <w:rFonts w:hint="eastAsia" w:ascii="仿宋" w:hAnsi="仿宋" w:eastAsia="仿宋"/>
          <w:sz w:val="32"/>
          <w:szCs w:val="32"/>
        </w:rPr>
        <w:t>、一般行政管理事务5万元（</w:t>
      </w:r>
      <w:r>
        <w:rPr>
          <w:rFonts w:hint="eastAsia" w:ascii="仿宋" w:hAnsi="仿宋" w:eastAsia="仿宋"/>
          <w:kern w:val="0"/>
          <w:sz w:val="32"/>
          <w:szCs w:val="32"/>
        </w:rPr>
        <w:t>占本年收入比例为</w:t>
      </w:r>
      <w:r>
        <w:rPr>
          <w:rFonts w:hint="eastAsia" w:ascii="仿宋" w:hAnsi="仿宋" w:eastAsia="仿宋"/>
          <w:kern w:val="0"/>
          <w:sz w:val="32"/>
          <w:szCs w:val="32"/>
          <w:lang w:val="en-US" w:eastAsia="zh-CN"/>
        </w:rPr>
        <w:t>1.7</w:t>
      </w:r>
      <w:r>
        <w:rPr>
          <w:rFonts w:hint="eastAsia" w:ascii="仿宋" w:hAnsi="仿宋" w:eastAsia="仿宋"/>
          <w:kern w:val="0"/>
          <w:sz w:val="32"/>
          <w:szCs w:val="32"/>
        </w:rPr>
        <w:t>%）</w:t>
      </w:r>
      <w:r>
        <w:rPr>
          <w:rFonts w:hint="eastAsia" w:ascii="仿宋" w:hAnsi="仿宋" w:eastAsia="仿宋"/>
          <w:sz w:val="32"/>
          <w:szCs w:val="32"/>
        </w:rPr>
        <w:t>、</w:t>
      </w:r>
      <w:r>
        <w:rPr>
          <w:rFonts w:hint="eastAsia" w:ascii="仿宋" w:hAnsi="仿宋" w:eastAsia="仿宋"/>
          <w:sz w:val="32"/>
          <w:szCs w:val="32"/>
          <w:lang w:eastAsia="zh-CN"/>
        </w:rPr>
        <w:t>政府性基金</w:t>
      </w:r>
      <w:r>
        <w:rPr>
          <w:rFonts w:hint="eastAsia" w:ascii="仿宋" w:hAnsi="仿宋" w:eastAsia="仿宋"/>
          <w:sz w:val="32"/>
          <w:szCs w:val="32"/>
        </w:rPr>
        <w:t>支出1</w:t>
      </w:r>
      <w:r>
        <w:rPr>
          <w:rFonts w:hint="eastAsia" w:ascii="仿宋" w:hAnsi="仿宋" w:eastAsia="仿宋"/>
          <w:sz w:val="32"/>
          <w:szCs w:val="32"/>
          <w:lang w:val="en-US" w:eastAsia="zh-CN"/>
        </w:rPr>
        <w:t>33.71</w:t>
      </w:r>
      <w:r>
        <w:rPr>
          <w:rFonts w:hint="eastAsia" w:ascii="仿宋" w:hAnsi="仿宋" w:eastAsia="仿宋"/>
          <w:sz w:val="32"/>
          <w:szCs w:val="32"/>
        </w:rPr>
        <w:t>万元（</w:t>
      </w:r>
      <w:r>
        <w:rPr>
          <w:rFonts w:hint="eastAsia" w:ascii="仿宋" w:hAnsi="仿宋" w:eastAsia="仿宋"/>
          <w:kern w:val="0"/>
          <w:sz w:val="32"/>
          <w:szCs w:val="32"/>
        </w:rPr>
        <w:t>占本年收入比例为4</w:t>
      </w:r>
      <w:r>
        <w:rPr>
          <w:rFonts w:hint="eastAsia" w:ascii="仿宋" w:hAnsi="仿宋" w:eastAsia="仿宋"/>
          <w:kern w:val="0"/>
          <w:sz w:val="32"/>
          <w:szCs w:val="32"/>
          <w:lang w:val="en-US" w:eastAsia="zh-CN"/>
        </w:rPr>
        <w:t>7</w:t>
      </w:r>
      <w:r>
        <w:rPr>
          <w:rFonts w:hint="eastAsia" w:ascii="仿宋" w:hAnsi="仿宋" w:eastAsia="仿宋"/>
          <w:kern w:val="0"/>
          <w:sz w:val="32"/>
          <w:szCs w:val="32"/>
        </w:rPr>
        <w:t>%）</w:t>
      </w:r>
      <w:r>
        <w:rPr>
          <w:rFonts w:hint="eastAsia" w:ascii="仿宋" w:hAnsi="仿宋" w:eastAsia="仿宋"/>
          <w:sz w:val="32"/>
          <w:szCs w:val="32"/>
        </w:rPr>
        <w:t>、住房公积金8.</w:t>
      </w:r>
      <w:r>
        <w:rPr>
          <w:rFonts w:hint="eastAsia" w:ascii="仿宋" w:hAnsi="仿宋" w:eastAsia="仿宋"/>
          <w:sz w:val="32"/>
          <w:szCs w:val="32"/>
          <w:lang w:val="en-US" w:eastAsia="zh-CN"/>
        </w:rPr>
        <w:t>45</w:t>
      </w:r>
      <w:r>
        <w:rPr>
          <w:rFonts w:hint="eastAsia" w:ascii="仿宋" w:hAnsi="仿宋" w:eastAsia="仿宋"/>
          <w:sz w:val="32"/>
          <w:szCs w:val="32"/>
        </w:rPr>
        <w:t>万元（</w:t>
      </w:r>
      <w:r>
        <w:rPr>
          <w:rFonts w:hint="eastAsia" w:ascii="仿宋" w:hAnsi="仿宋" w:eastAsia="仿宋"/>
          <w:kern w:val="0"/>
          <w:sz w:val="32"/>
          <w:szCs w:val="32"/>
        </w:rPr>
        <w:t>占本年收入比例为2.</w:t>
      </w:r>
      <w:r>
        <w:rPr>
          <w:rFonts w:hint="eastAsia" w:ascii="仿宋" w:hAnsi="仿宋" w:eastAsia="仿宋"/>
          <w:kern w:val="0"/>
          <w:sz w:val="32"/>
          <w:szCs w:val="32"/>
          <w:lang w:val="en-US" w:eastAsia="zh-CN"/>
        </w:rPr>
        <w:t>9</w:t>
      </w:r>
      <w:r>
        <w:rPr>
          <w:rFonts w:hint="eastAsia" w:ascii="仿宋" w:hAnsi="仿宋" w:eastAsia="仿宋"/>
          <w:kern w:val="0"/>
          <w:sz w:val="32"/>
          <w:szCs w:val="32"/>
        </w:rPr>
        <w:t>%）。</w:t>
      </w:r>
    </w:p>
    <w:p>
      <w:pPr>
        <w:widowControl/>
        <w:spacing w:line="600" w:lineRule="exact"/>
        <w:ind w:firstLine="640" w:firstLineChars="200"/>
        <w:rPr>
          <w:rFonts w:hint="eastAsia" w:ascii="黑体" w:hAnsi="黑体" w:eastAsia="黑体" w:cs="黑体"/>
          <w:b/>
          <w:bCs/>
          <w:kern w:val="0"/>
          <w:sz w:val="32"/>
          <w:szCs w:val="32"/>
        </w:rPr>
      </w:pPr>
      <w:r>
        <w:rPr>
          <w:rFonts w:hint="eastAsia" w:ascii="黑体" w:hAnsi="黑体" w:eastAsia="黑体" w:cs="黑体"/>
          <w:kern w:val="0"/>
          <w:sz w:val="32"/>
          <w:szCs w:val="32"/>
        </w:rPr>
        <w:t>三、支出决算情况说明</w:t>
      </w:r>
    </w:p>
    <w:p>
      <w:pPr>
        <w:widowControl/>
        <w:spacing w:line="360" w:lineRule="auto"/>
        <w:ind w:firstLine="627" w:firstLineChars="196"/>
        <w:jc w:val="left"/>
        <w:rPr>
          <w:rFonts w:eastAsia="仿宋_GB2312"/>
          <w:b/>
          <w:bCs/>
          <w:kern w:val="0"/>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年支出为</w:t>
      </w:r>
      <w:r>
        <w:rPr>
          <w:rFonts w:hint="eastAsia" w:ascii="仿宋" w:hAnsi="仿宋" w:eastAsia="仿宋"/>
          <w:sz w:val="32"/>
          <w:szCs w:val="32"/>
          <w:lang w:val="en-US" w:eastAsia="zh-CN"/>
        </w:rPr>
        <w:t>455.35</w:t>
      </w:r>
      <w:r>
        <w:rPr>
          <w:rFonts w:hint="eastAsia" w:ascii="仿宋" w:hAnsi="仿宋" w:eastAsia="仿宋"/>
          <w:sz w:val="32"/>
          <w:szCs w:val="32"/>
        </w:rPr>
        <w:t>万元，其中行政事业单位离退休1</w:t>
      </w:r>
      <w:r>
        <w:rPr>
          <w:rFonts w:hint="eastAsia" w:ascii="仿宋" w:hAnsi="仿宋" w:eastAsia="仿宋"/>
          <w:sz w:val="32"/>
          <w:szCs w:val="32"/>
          <w:lang w:val="en-US" w:eastAsia="zh-CN"/>
        </w:rPr>
        <w:t>4.37</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3.1</w:t>
      </w:r>
      <w:r>
        <w:rPr>
          <w:rFonts w:hint="eastAsia" w:ascii="仿宋" w:hAnsi="仿宋" w:eastAsia="仿宋"/>
          <w:kern w:val="0"/>
          <w:sz w:val="32"/>
          <w:szCs w:val="32"/>
        </w:rPr>
        <w:t>%）</w:t>
      </w:r>
      <w:r>
        <w:rPr>
          <w:rFonts w:hint="eastAsia" w:ascii="仿宋" w:hAnsi="仿宋" w:eastAsia="仿宋"/>
          <w:sz w:val="32"/>
          <w:szCs w:val="32"/>
        </w:rPr>
        <w:t>、行政事业单位医疗</w:t>
      </w:r>
      <w:r>
        <w:rPr>
          <w:rFonts w:hint="eastAsia" w:ascii="仿宋" w:hAnsi="仿宋" w:eastAsia="仿宋"/>
          <w:sz w:val="32"/>
          <w:szCs w:val="32"/>
          <w:lang w:val="en-US" w:eastAsia="zh-CN"/>
        </w:rPr>
        <w:t>7.05</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1.5</w:t>
      </w:r>
      <w:r>
        <w:rPr>
          <w:rFonts w:hint="eastAsia" w:ascii="仿宋" w:hAnsi="仿宋" w:eastAsia="仿宋"/>
          <w:kern w:val="0"/>
          <w:sz w:val="32"/>
          <w:szCs w:val="32"/>
        </w:rPr>
        <w:t>%）</w:t>
      </w:r>
      <w:r>
        <w:rPr>
          <w:rFonts w:hint="eastAsia" w:ascii="仿宋" w:hAnsi="仿宋" w:eastAsia="仿宋"/>
          <w:sz w:val="32"/>
          <w:szCs w:val="32"/>
        </w:rPr>
        <w:t>、城乡社区管理行政运行1</w:t>
      </w:r>
      <w:r>
        <w:rPr>
          <w:rFonts w:hint="eastAsia" w:ascii="仿宋" w:hAnsi="仿宋" w:eastAsia="仿宋"/>
          <w:sz w:val="32"/>
          <w:szCs w:val="32"/>
          <w:lang w:val="en-US" w:eastAsia="zh-CN"/>
        </w:rPr>
        <w:t>96.27</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比例为4</w:t>
      </w:r>
      <w:r>
        <w:rPr>
          <w:rFonts w:hint="eastAsia" w:ascii="仿宋" w:hAnsi="仿宋" w:eastAsia="仿宋"/>
          <w:kern w:val="0"/>
          <w:sz w:val="32"/>
          <w:szCs w:val="32"/>
          <w:lang w:val="en-US" w:eastAsia="zh-CN"/>
        </w:rPr>
        <w:t>3.1</w:t>
      </w:r>
      <w:r>
        <w:rPr>
          <w:rFonts w:hint="eastAsia" w:ascii="仿宋" w:hAnsi="仿宋" w:eastAsia="仿宋"/>
          <w:kern w:val="0"/>
          <w:sz w:val="32"/>
          <w:szCs w:val="32"/>
        </w:rPr>
        <w:t>%）</w:t>
      </w:r>
      <w:r>
        <w:rPr>
          <w:rFonts w:hint="eastAsia" w:ascii="仿宋" w:hAnsi="仿宋" w:eastAsia="仿宋"/>
          <w:sz w:val="32"/>
          <w:szCs w:val="32"/>
        </w:rPr>
        <w:t>、一般行政管理事务</w:t>
      </w:r>
      <w:r>
        <w:rPr>
          <w:rFonts w:hint="eastAsia" w:ascii="仿宋" w:hAnsi="仿宋" w:eastAsia="仿宋"/>
          <w:sz w:val="32"/>
          <w:szCs w:val="32"/>
          <w:lang w:val="en-US" w:eastAsia="zh-CN"/>
        </w:rPr>
        <w:t>36.6</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8</w:t>
      </w:r>
      <w:r>
        <w:rPr>
          <w:rFonts w:hint="eastAsia" w:ascii="仿宋" w:hAnsi="仿宋" w:eastAsia="仿宋"/>
          <w:kern w:val="0"/>
          <w:sz w:val="32"/>
          <w:szCs w:val="32"/>
        </w:rPr>
        <w:t>%）</w:t>
      </w:r>
      <w:r>
        <w:rPr>
          <w:rFonts w:hint="eastAsia" w:ascii="仿宋" w:hAnsi="仿宋" w:eastAsia="仿宋"/>
          <w:sz w:val="32"/>
          <w:szCs w:val="32"/>
        </w:rPr>
        <w:t>、</w:t>
      </w:r>
      <w:r>
        <w:rPr>
          <w:rFonts w:hint="eastAsia" w:ascii="仿宋" w:hAnsi="仿宋" w:eastAsia="仿宋"/>
          <w:sz w:val="32"/>
          <w:szCs w:val="32"/>
          <w:lang w:eastAsia="zh-CN"/>
        </w:rPr>
        <w:t>政府性基金</w:t>
      </w:r>
      <w:r>
        <w:rPr>
          <w:rFonts w:hint="eastAsia" w:ascii="仿宋" w:hAnsi="仿宋" w:eastAsia="仿宋"/>
          <w:sz w:val="32"/>
          <w:szCs w:val="32"/>
        </w:rPr>
        <w:t>支出</w:t>
      </w:r>
      <w:r>
        <w:rPr>
          <w:rFonts w:hint="eastAsia" w:ascii="仿宋" w:hAnsi="仿宋" w:eastAsia="仿宋"/>
          <w:sz w:val="32"/>
          <w:szCs w:val="32"/>
          <w:lang w:val="en-US" w:eastAsia="zh-CN"/>
        </w:rPr>
        <w:t>227.91</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50</w:t>
      </w:r>
      <w:r>
        <w:rPr>
          <w:rFonts w:hint="eastAsia" w:ascii="仿宋" w:hAnsi="仿宋" w:eastAsia="仿宋"/>
          <w:kern w:val="0"/>
          <w:sz w:val="32"/>
          <w:szCs w:val="32"/>
        </w:rPr>
        <w:t>%）</w:t>
      </w:r>
      <w:r>
        <w:rPr>
          <w:rFonts w:hint="eastAsia" w:ascii="仿宋" w:hAnsi="仿宋" w:eastAsia="仿宋"/>
          <w:sz w:val="32"/>
          <w:szCs w:val="32"/>
        </w:rPr>
        <w:t>、住房公积金8.</w:t>
      </w:r>
      <w:r>
        <w:rPr>
          <w:rFonts w:hint="eastAsia" w:ascii="仿宋" w:hAnsi="仿宋" w:eastAsia="仿宋"/>
          <w:sz w:val="32"/>
          <w:szCs w:val="32"/>
          <w:lang w:val="en-US" w:eastAsia="zh-CN"/>
        </w:rPr>
        <w:t>45</w:t>
      </w:r>
      <w:r>
        <w:rPr>
          <w:rFonts w:hint="eastAsia" w:ascii="仿宋" w:hAnsi="仿宋" w:eastAsia="仿宋"/>
          <w:sz w:val="32"/>
          <w:szCs w:val="32"/>
        </w:rPr>
        <w:t>万元（</w:t>
      </w:r>
      <w:r>
        <w:rPr>
          <w:rFonts w:hint="eastAsia" w:ascii="仿宋" w:hAnsi="仿宋" w:eastAsia="仿宋"/>
          <w:kern w:val="0"/>
          <w:sz w:val="32"/>
          <w:szCs w:val="32"/>
        </w:rPr>
        <w:t>占本年</w:t>
      </w:r>
      <w:r>
        <w:rPr>
          <w:rFonts w:hint="eastAsia" w:ascii="仿宋" w:hAnsi="仿宋" w:eastAsia="仿宋"/>
          <w:kern w:val="0"/>
          <w:sz w:val="32"/>
          <w:szCs w:val="32"/>
          <w:lang w:eastAsia="zh-CN"/>
        </w:rPr>
        <w:t>支出</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1.8</w:t>
      </w:r>
      <w:r>
        <w:rPr>
          <w:rFonts w:hint="eastAsia" w:ascii="仿宋" w:hAnsi="仿宋" w:eastAsia="仿宋"/>
          <w:kern w:val="0"/>
          <w:sz w:val="32"/>
          <w:szCs w:val="32"/>
        </w:rPr>
        <w:t>%）。</w:t>
      </w:r>
    </w:p>
    <w:p>
      <w:pPr>
        <w:widowControl/>
        <w:spacing w:line="360" w:lineRule="auto"/>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四、财政拨款收入支出决算总体情况说明</w:t>
      </w:r>
    </w:p>
    <w:p>
      <w:pPr>
        <w:widowControl/>
        <w:spacing w:line="360" w:lineRule="auto"/>
        <w:ind w:firstLine="627" w:firstLineChars="196"/>
        <w:jc w:val="left"/>
        <w:rPr>
          <w:rFonts w:hint="eastAsia" w:ascii="仿宋" w:hAnsi="仿宋" w:eastAsia="仿宋"/>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年一般公共预算财政拨款1</w:t>
      </w:r>
      <w:r>
        <w:rPr>
          <w:rFonts w:hint="eastAsia" w:ascii="仿宋" w:hAnsi="仿宋" w:eastAsia="仿宋"/>
          <w:kern w:val="0"/>
          <w:sz w:val="32"/>
          <w:szCs w:val="32"/>
          <w:lang w:val="en-US" w:eastAsia="zh-CN"/>
        </w:rPr>
        <w:t>50.26</w:t>
      </w:r>
      <w:r>
        <w:rPr>
          <w:rFonts w:hint="eastAsia" w:ascii="仿宋" w:hAnsi="仿宋" w:eastAsia="仿宋"/>
          <w:sz w:val="32"/>
          <w:szCs w:val="32"/>
        </w:rPr>
        <w:t>万元、政府性基金预算财政拔款13</w:t>
      </w:r>
      <w:r>
        <w:rPr>
          <w:rFonts w:hint="eastAsia" w:ascii="仿宋" w:hAnsi="仿宋" w:eastAsia="仿宋"/>
          <w:sz w:val="32"/>
          <w:szCs w:val="32"/>
          <w:lang w:val="en-US" w:eastAsia="zh-CN"/>
        </w:rPr>
        <w:t>3.71</w:t>
      </w:r>
      <w:r>
        <w:rPr>
          <w:rFonts w:hint="eastAsia" w:ascii="仿宋" w:hAnsi="仿宋" w:eastAsia="仿宋"/>
          <w:sz w:val="32"/>
          <w:szCs w:val="32"/>
        </w:rPr>
        <w:t>万元、上年度一般公共预算财政拔款结转</w:t>
      </w:r>
      <w:r>
        <w:rPr>
          <w:rFonts w:hint="eastAsia" w:ascii="仿宋" w:hAnsi="仿宋" w:eastAsia="仿宋"/>
          <w:sz w:val="32"/>
          <w:szCs w:val="32"/>
          <w:lang w:val="en-US" w:eastAsia="zh-CN"/>
        </w:rPr>
        <w:t>263.95</w:t>
      </w:r>
      <w:r>
        <w:rPr>
          <w:rFonts w:hint="eastAsia" w:ascii="仿宋" w:hAnsi="仿宋" w:eastAsia="仿宋"/>
          <w:sz w:val="32"/>
          <w:szCs w:val="32"/>
        </w:rPr>
        <w:t>万元，总计收入5</w:t>
      </w:r>
      <w:r>
        <w:rPr>
          <w:rFonts w:hint="eastAsia" w:ascii="仿宋" w:hAnsi="仿宋" w:eastAsia="仿宋"/>
          <w:sz w:val="32"/>
          <w:szCs w:val="32"/>
          <w:lang w:val="en-US" w:eastAsia="zh-CN"/>
        </w:rPr>
        <w:t>47.91</w:t>
      </w:r>
      <w:r>
        <w:rPr>
          <w:rFonts w:hint="eastAsia" w:ascii="仿宋" w:hAnsi="仿宋" w:eastAsia="仿宋"/>
          <w:sz w:val="32"/>
          <w:szCs w:val="32"/>
        </w:rPr>
        <w:t>万元。</w:t>
      </w:r>
      <w:r>
        <w:rPr>
          <w:rFonts w:hint="eastAsia" w:ascii="仿宋" w:hAnsi="仿宋" w:eastAsia="仿宋"/>
          <w:kern w:val="0"/>
          <w:sz w:val="32"/>
          <w:szCs w:val="32"/>
        </w:rPr>
        <w:t>201</w:t>
      </w:r>
      <w:r>
        <w:rPr>
          <w:rFonts w:hint="eastAsia" w:ascii="仿宋" w:hAnsi="仿宋" w:eastAsia="仿宋"/>
          <w:kern w:val="0"/>
          <w:sz w:val="32"/>
          <w:szCs w:val="32"/>
          <w:lang w:val="en-US" w:eastAsia="zh-CN"/>
        </w:rPr>
        <w:t>8</w:t>
      </w:r>
      <w:r>
        <w:rPr>
          <w:rFonts w:hint="eastAsia" w:ascii="仿宋" w:hAnsi="仿宋" w:eastAsia="仿宋"/>
          <w:kern w:val="0"/>
          <w:sz w:val="32"/>
          <w:szCs w:val="32"/>
        </w:rPr>
        <w:t>年一般公共预算财政拨款</w:t>
      </w:r>
      <w:r>
        <w:rPr>
          <w:rFonts w:hint="eastAsia" w:ascii="仿宋" w:hAnsi="仿宋" w:eastAsia="仿宋"/>
          <w:kern w:val="0"/>
          <w:sz w:val="32"/>
          <w:szCs w:val="32"/>
          <w:lang w:val="en-US" w:eastAsia="zh-CN"/>
        </w:rPr>
        <w:t>189.08</w:t>
      </w:r>
      <w:r>
        <w:rPr>
          <w:rFonts w:hint="eastAsia" w:ascii="仿宋" w:hAnsi="仿宋" w:eastAsia="仿宋"/>
          <w:sz w:val="32"/>
          <w:szCs w:val="32"/>
        </w:rPr>
        <w:t>万元、政府性基金预算财政拔款</w:t>
      </w:r>
      <w:r>
        <w:rPr>
          <w:rFonts w:hint="eastAsia" w:ascii="仿宋" w:hAnsi="仿宋" w:eastAsia="仿宋"/>
          <w:sz w:val="32"/>
          <w:szCs w:val="32"/>
          <w:lang w:val="en-US" w:eastAsia="zh-CN"/>
        </w:rPr>
        <w:t>138.16</w:t>
      </w:r>
      <w:r>
        <w:rPr>
          <w:rFonts w:hint="eastAsia" w:ascii="仿宋" w:hAnsi="仿宋" w:eastAsia="仿宋"/>
          <w:sz w:val="32"/>
          <w:szCs w:val="32"/>
        </w:rPr>
        <w:t>万元、上年度一般公共预算财政拔款结转1</w:t>
      </w:r>
      <w:r>
        <w:rPr>
          <w:rFonts w:hint="eastAsia" w:ascii="仿宋" w:hAnsi="仿宋" w:eastAsia="仿宋"/>
          <w:sz w:val="32"/>
          <w:szCs w:val="32"/>
          <w:lang w:val="en-US" w:eastAsia="zh-CN"/>
        </w:rPr>
        <w:t>51.27</w:t>
      </w:r>
      <w:r>
        <w:rPr>
          <w:rFonts w:hint="eastAsia" w:ascii="仿宋" w:hAnsi="仿宋" w:eastAsia="仿宋"/>
          <w:sz w:val="32"/>
          <w:szCs w:val="32"/>
        </w:rPr>
        <w:t>万元，总计收入</w:t>
      </w:r>
      <w:r>
        <w:rPr>
          <w:rFonts w:hint="eastAsia" w:ascii="仿宋" w:hAnsi="仿宋" w:eastAsia="仿宋"/>
          <w:sz w:val="32"/>
          <w:szCs w:val="32"/>
          <w:lang w:val="en-US" w:eastAsia="zh-CN"/>
        </w:rPr>
        <w:t>572.71</w:t>
      </w:r>
      <w:r>
        <w:rPr>
          <w:rFonts w:hint="eastAsia" w:ascii="仿宋" w:hAnsi="仿宋" w:eastAsia="仿宋"/>
          <w:sz w:val="32"/>
          <w:szCs w:val="32"/>
        </w:rPr>
        <w:t>万元。主要变动：1、</w:t>
      </w:r>
      <w:r>
        <w:rPr>
          <w:rFonts w:hint="eastAsia" w:ascii="仿宋" w:hAnsi="仿宋" w:eastAsia="仿宋"/>
          <w:kern w:val="0"/>
          <w:sz w:val="32"/>
          <w:szCs w:val="32"/>
        </w:rPr>
        <w:t>一般公共预算财政拨款减少</w:t>
      </w:r>
      <w:r>
        <w:rPr>
          <w:rFonts w:hint="eastAsia" w:ascii="仿宋" w:hAnsi="仿宋" w:eastAsia="仿宋"/>
          <w:kern w:val="0"/>
          <w:sz w:val="32"/>
          <w:szCs w:val="32"/>
          <w:lang w:val="en-US" w:eastAsia="zh-CN"/>
        </w:rPr>
        <w:t>38.82</w:t>
      </w:r>
      <w:r>
        <w:rPr>
          <w:rFonts w:hint="eastAsia" w:ascii="仿宋" w:hAnsi="仿宋" w:eastAsia="仿宋"/>
          <w:kern w:val="0"/>
          <w:sz w:val="32"/>
          <w:szCs w:val="32"/>
        </w:rPr>
        <w:t>万元，主要原因为：新增</w:t>
      </w:r>
      <w:r>
        <w:rPr>
          <w:rFonts w:hint="eastAsia" w:ascii="仿宋" w:hAnsi="仿宋" w:eastAsia="仿宋"/>
          <w:kern w:val="0"/>
          <w:sz w:val="32"/>
          <w:szCs w:val="32"/>
          <w:lang w:val="en-US" w:eastAsia="zh-CN"/>
        </w:rPr>
        <w:t>2</w:t>
      </w:r>
      <w:r>
        <w:rPr>
          <w:rFonts w:hint="eastAsia" w:ascii="仿宋" w:hAnsi="仿宋" w:eastAsia="仿宋"/>
          <w:kern w:val="0"/>
          <w:sz w:val="32"/>
          <w:szCs w:val="32"/>
        </w:rPr>
        <w:t>名退休人员；2、</w:t>
      </w:r>
      <w:r>
        <w:rPr>
          <w:rFonts w:hint="eastAsia" w:ascii="仿宋" w:hAnsi="仿宋" w:eastAsia="仿宋"/>
          <w:sz w:val="32"/>
          <w:szCs w:val="32"/>
        </w:rPr>
        <w:t>政府性基金预算财政拔款减少</w:t>
      </w:r>
      <w:r>
        <w:rPr>
          <w:rFonts w:hint="eastAsia" w:ascii="仿宋" w:hAnsi="仿宋" w:eastAsia="仿宋"/>
          <w:sz w:val="32"/>
          <w:szCs w:val="32"/>
          <w:lang w:val="en-US" w:eastAsia="zh-CN"/>
        </w:rPr>
        <w:t>4.45</w:t>
      </w:r>
      <w:r>
        <w:rPr>
          <w:rFonts w:hint="eastAsia" w:ascii="仿宋" w:hAnsi="仿宋" w:eastAsia="仿宋"/>
          <w:sz w:val="32"/>
          <w:szCs w:val="32"/>
        </w:rPr>
        <w:t>万元</w:t>
      </w:r>
      <w:r>
        <w:rPr>
          <w:rFonts w:hint="eastAsia" w:ascii="仿宋" w:hAnsi="仿宋" w:eastAsia="仿宋"/>
          <w:kern w:val="0"/>
          <w:sz w:val="32"/>
          <w:szCs w:val="32"/>
        </w:rPr>
        <w:t>，主要原因为：新型墙体材料专项基金返退项目减少。</w:t>
      </w:r>
    </w:p>
    <w:p>
      <w:pPr>
        <w:widowControl/>
        <w:spacing w:line="360" w:lineRule="auto"/>
        <w:ind w:firstLine="627" w:firstLineChars="196"/>
        <w:jc w:val="left"/>
        <w:rPr>
          <w:rFonts w:hint="eastAsia" w:ascii="仿宋" w:hAnsi="仿宋" w:eastAsia="仿宋"/>
          <w:kern w:val="0"/>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年社会保障和就业支出1</w:t>
      </w:r>
      <w:r>
        <w:rPr>
          <w:rFonts w:hint="eastAsia" w:ascii="仿宋" w:hAnsi="仿宋" w:eastAsia="仿宋"/>
          <w:sz w:val="32"/>
          <w:szCs w:val="32"/>
          <w:lang w:val="en-US" w:eastAsia="zh-CN"/>
        </w:rPr>
        <w:t>5.67</w:t>
      </w:r>
      <w:r>
        <w:rPr>
          <w:rFonts w:hint="eastAsia" w:ascii="仿宋" w:hAnsi="仿宋" w:eastAsia="仿宋"/>
          <w:sz w:val="32"/>
          <w:szCs w:val="32"/>
        </w:rPr>
        <w:t>万元、医疗卫生与计划生育支出</w:t>
      </w:r>
      <w:r>
        <w:rPr>
          <w:rFonts w:hint="eastAsia" w:ascii="仿宋" w:hAnsi="仿宋" w:eastAsia="仿宋"/>
          <w:sz w:val="32"/>
          <w:szCs w:val="32"/>
          <w:lang w:val="en-US" w:eastAsia="zh-CN"/>
        </w:rPr>
        <w:t>7.05</w:t>
      </w:r>
      <w:r>
        <w:rPr>
          <w:rFonts w:hint="eastAsia" w:ascii="仿宋" w:hAnsi="仿宋" w:eastAsia="仿宋"/>
          <w:sz w:val="32"/>
          <w:szCs w:val="32"/>
        </w:rPr>
        <w:t>万元、城乡社区支出</w:t>
      </w:r>
      <w:r>
        <w:rPr>
          <w:rFonts w:hint="eastAsia" w:ascii="仿宋" w:hAnsi="仿宋" w:eastAsia="仿宋"/>
          <w:sz w:val="32"/>
          <w:szCs w:val="32"/>
          <w:lang w:val="en-US" w:eastAsia="zh-CN"/>
        </w:rPr>
        <w:t>196.27</w:t>
      </w:r>
      <w:r>
        <w:rPr>
          <w:rFonts w:hint="eastAsia" w:ascii="仿宋" w:hAnsi="仿宋" w:eastAsia="仿宋"/>
          <w:sz w:val="32"/>
          <w:szCs w:val="32"/>
        </w:rPr>
        <w:t>万元、住房保障支出8.</w:t>
      </w:r>
      <w:r>
        <w:rPr>
          <w:rFonts w:hint="eastAsia" w:ascii="仿宋" w:hAnsi="仿宋" w:eastAsia="仿宋"/>
          <w:sz w:val="32"/>
          <w:szCs w:val="32"/>
          <w:lang w:val="en-US" w:eastAsia="zh-CN"/>
        </w:rPr>
        <w:t>45</w:t>
      </w:r>
      <w:r>
        <w:rPr>
          <w:rFonts w:hint="eastAsia" w:ascii="仿宋" w:hAnsi="仿宋" w:eastAsia="仿宋"/>
          <w:sz w:val="32"/>
          <w:szCs w:val="32"/>
        </w:rPr>
        <w:t>万元、年末财政拔款结转和结余</w:t>
      </w:r>
      <w:r>
        <w:rPr>
          <w:rFonts w:hint="eastAsia" w:ascii="仿宋" w:hAnsi="仿宋" w:eastAsia="仿宋"/>
          <w:sz w:val="32"/>
          <w:szCs w:val="32"/>
          <w:lang w:val="en-US" w:eastAsia="zh-CN"/>
        </w:rPr>
        <w:t>91.42</w:t>
      </w:r>
      <w:r>
        <w:rPr>
          <w:rFonts w:hint="eastAsia" w:ascii="仿宋" w:hAnsi="仿宋" w:eastAsia="仿宋"/>
          <w:sz w:val="32"/>
          <w:szCs w:val="32"/>
        </w:rPr>
        <w:t>万元。201</w:t>
      </w:r>
      <w:r>
        <w:rPr>
          <w:rFonts w:hint="eastAsia" w:ascii="仿宋" w:hAnsi="仿宋" w:eastAsia="仿宋"/>
          <w:sz w:val="32"/>
          <w:szCs w:val="32"/>
          <w:lang w:val="en-US" w:eastAsia="zh-CN"/>
        </w:rPr>
        <w:t>8</w:t>
      </w:r>
      <w:r>
        <w:rPr>
          <w:rFonts w:hint="eastAsia" w:ascii="仿宋" w:hAnsi="仿宋" w:eastAsia="仿宋"/>
          <w:sz w:val="32"/>
          <w:szCs w:val="32"/>
        </w:rPr>
        <w:t>年社会保障和就业支出1</w:t>
      </w:r>
      <w:r>
        <w:rPr>
          <w:rFonts w:hint="eastAsia" w:ascii="仿宋" w:hAnsi="仿宋" w:eastAsia="仿宋"/>
          <w:sz w:val="32"/>
          <w:szCs w:val="32"/>
          <w:lang w:val="en-US" w:eastAsia="zh-CN"/>
        </w:rPr>
        <w:t>7.6</w:t>
      </w:r>
      <w:r>
        <w:rPr>
          <w:rFonts w:hint="eastAsia" w:ascii="仿宋" w:hAnsi="仿宋" w:eastAsia="仿宋"/>
          <w:sz w:val="32"/>
          <w:szCs w:val="32"/>
        </w:rPr>
        <w:t>万元、医疗卫生与计划生育支出</w:t>
      </w:r>
      <w:r>
        <w:rPr>
          <w:rFonts w:hint="eastAsia" w:ascii="仿宋" w:hAnsi="仿宋" w:eastAsia="仿宋"/>
          <w:sz w:val="32"/>
          <w:szCs w:val="32"/>
          <w:lang w:val="en-US" w:eastAsia="zh-CN"/>
        </w:rPr>
        <w:t>8.77</w:t>
      </w:r>
      <w:r>
        <w:rPr>
          <w:rFonts w:hint="eastAsia" w:ascii="仿宋" w:hAnsi="仿宋" w:eastAsia="仿宋"/>
          <w:sz w:val="32"/>
          <w:szCs w:val="32"/>
        </w:rPr>
        <w:t>万元、城乡社区支出</w:t>
      </w:r>
      <w:r>
        <w:rPr>
          <w:rFonts w:hint="eastAsia" w:ascii="仿宋" w:hAnsi="仿宋" w:eastAsia="仿宋"/>
          <w:sz w:val="32"/>
          <w:szCs w:val="32"/>
          <w:lang w:val="en-US" w:eastAsia="zh-CN"/>
        </w:rPr>
        <w:t>288.85</w:t>
      </w:r>
      <w:r>
        <w:rPr>
          <w:rFonts w:hint="eastAsia" w:ascii="仿宋" w:hAnsi="仿宋" w:eastAsia="仿宋"/>
          <w:sz w:val="32"/>
          <w:szCs w:val="32"/>
        </w:rPr>
        <w:t>万元、住房保障支出8.</w:t>
      </w:r>
      <w:r>
        <w:rPr>
          <w:rFonts w:hint="eastAsia" w:ascii="仿宋" w:hAnsi="仿宋" w:eastAsia="仿宋"/>
          <w:sz w:val="32"/>
          <w:szCs w:val="32"/>
          <w:lang w:val="en-US" w:eastAsia="zh-CN"/>
        </w:rPr>
        <w:t>96</w:t>
      </w:r>
      <w:r>
        <w:rPr>
          <w:rFonts w:hint="eastAsia" w:ascii="仿宋" w:hAnsi="仿宋" w:eastAsia="仿宋"/>
          <w:sz w:val="32"/>
          <w:szCs w:val="32"/>
        </w:rPr>
        <w:t>万元、年末财政拔款结转和结余24</w:t>
      </w:r>
      <w:r>
        <w:rPr>
          <w:rFonts w:hint="eastAsia" w:ascii="仿宋" w:hAnsi="仿宋" w:eastAsia="仿宋"/>
          <w:sz w:val="32"/>
          <w:szCs w:val="32"/>
          <w:lang w:val="en-US" w:eastAsia="zh-CN"/>
        </w:rPr>
        <w:t>8.53</w:t>
      </w:r>
      <w:r>
        <w:rPr>
          <w:rFonts w:hint="eastAsia" w:ascii="仿宋" w:hAnsi="仿宋" w:eastAsia="仿宋"/>
          <w:sz w:val="32"/>
          <w:szCs w:val="32"/>
        </w:rPr>
        <w:t>万元。</w:t>
      </w:r>
    </w:p>
    <w:p>
      <w:pPr>
        <w:widowControl/>
        <w:spacing w:line="360" w:lineRule="auto"/>
        <w:ind w:firstLine="640" w:firstLineChars="200"/>
        <w:rPr>
          <w:rFonts w:hint="eastAsia" w:ascii="黑体" w:hAnsi="黑体" w:eastAsia="黑体" w:cs="黑体"/>
          <w:b/>
          <w:bCs/>
          <w:kern w:val="0"/>
          <w:sz w:val="32"/>
          <w:szCs w:val="32"/>
        </w:rPr>
      </w:pPr>
      <w:r>
        <w:rPr>
          <w:rFonts w:hint="eastAsia" w:ascii="黑体" w:hAnsi="黑体" w:eastAsia="黑体" w:cs="黑体"/>
          <w:kern w:val="0"/>
          <w:sz w:val="32"/>
          <w:szCs w:val="32"/>
        </w:rPr>
        <w:t>五、一般公共预算财政拨款支出决算情况说明</w:t>
      </w:r>
    </w:p>
    <w:p>
      <w:pPr>
        <w:widowControl/>
        <w:snapToGrid w:val="0"/>
        <w:spacing w:line="360" w:lineRule="auto"/>
        <w:ind w:firstLine="640" w:firstLineChars="200"/>
        <w:jc w:val="left"/>
        <w:rPr>
          <w:rFonts w:hint="eastAsia" w:eastAsia="仿宋_GB2312"/>
          <w:kern w:val="0"/>
          <w:sz w:val="32"/>
          <w:szCs w:val="32"/>
        </w:rPr>
      </w:pPr>
      <w:r>
        <w:rPr>
          <w:rFonts w:eastAsia="仿宋_GB2312"/>
          <w:kern w:val="0"/>
          <w:sz w:val="32"/>
          <w:szCs w:val="32"/>
        </w:rPr>
        <w:t>（一）财政拨款支出决算总体情况。</w:t>
      </w:r>
    </w:p>
    <w:p>
      <w:pPr>
        <w:widowControl/>
        <w:snapToGrid w:val="0"/>
        <w:spacing w:line="360" w:lineRule="auto"/>
        <w:ind w:firstLine="640" w:firstLineChars="200"/>
        <w:jc w:val="left"/>
        <w:rPr>
          <w:rFonts w:eastAsia="仿宋_GB2312"/>
          <w:b/>
          <w:bCs/>
          <w:kern w:val="0"/>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年一般公共预算财政拨款支出本年支出数为</w:t>
      </w:r>
      <w:r>
        <w:rPr>
          <w:rFonts w:hint="eastAsia" w:ascii="仿宋" w:hAnsi="仿宋" w:eastAsia="仿宋"/>
          <w:kern w:val="0"/>
          <w:sz w:val="32"/>
          <w:szCs w:val="32"/>
          <w:lang w:val="en-US" w:eastAsia="zh-CN"/>
        </w:rPr>
        <w:t>227.43</w:t>
      </w:r>
      <w:r>
        <w:rPr>
          <w:rFonts w:hint="eastAsia" w:ascii="仿宋" w:hAnsi="仿宋" w:eastAsia="仿宋"/>
          <w:kern w:val="0"/>
          <w:sz w:val="32"/>
          <w:szCs w:val="32"/>
        </w:rPr>
        <w:t>万元、占本年支出的比重为</w:t>
      </w:r>
      <w:r>
        <w:rPr>
          <w:rFonts w:hint="eastAsia" w:ascii="仿宋" w:hAnsi="仿宋" w:eastAsia="仿宋"/>
          <w:kern w:val="0"/>
          <w:sz w:val="32"/>
          <w:szCs w:val="32"/>
          <w:lang w:val="en-US" w:eastAsia="zh-CN"/>
        </w:rPr>
        <w:t>49.9</w:t>
      </w:r>
      <w:r>
        <w:rPr>
          <w:rFonts w:hint="eastAsia" w:ascii="仿宋" w:hAnsi="仿宋" w:eastAsia="仿宋"/>
          <w:kern w:val="0"/>
          <w:sz w:val="32"/>
          <w:szCs w:val="32"/>
        </w:rPr>
        <w:t>%，政府性基金预算财政拨款</w:t>
      </w:r>
      <w:r>
        <w:rPr>
          <w:rFonts w:hint="eastAsia" w:ascii="仿宋" w:hAnsi="仿宋" w:eastAsia="仿宋"/>
          <w:kern w:val="0"/>
          <w:sz w:val="32"/>
          <w:szCs w:val="32"/>
          <w:lang w:val="en-US" w:eastAsia="zh-CN"/>
        </w:rPr>
        <w:t>227.91</w:t>
      </w:r>
      <w:r>
        <w:rPr>
          <w:rFonts w:hint="eastAsia" w:ascii="仿宋" w:hAnsi="仿宋" w:eastAsia="仿宋"/>
          <w:kern w:val="0"/>
          <w:sz w:val="32"/>
          <w:szCs w:val="32"/>
        </w:rPr>
        <w:t>万元，占本年支出的比重为</w:t>
      </w:r>
      <w:r>
        <w:rPr>
          <w:rFonts w:hint="eastAsia" w:ascii="仿宋" w:hAnsi="仿宋" w:eastAsia="仿宋"/>
          <w:kern w:val="0"/>
          <w:sz w:val="32"/>
          <w:szCs w:val="32"/>
          <w:lang w:val="en-US" w:eastAsia="zh-CN"/>
        </w:rPr>
        <w:t>50</w:t>
      </w:r>
      <w:r>
        <w:rPr>
          <w:rFonts w:hint="eastAsia" w:ascii="仿宋" w:hAnsi="仿宋" w:eastAsia="仿宋"/>
          <w:kern w:val="0"/>
          <w:sz w:val="32"/>
          <w:szCs w:val="32"/>
        </w:rPr>
        <w:t>%；201</w:t>
      </w:r>
      <w:r>
        <w:rPr>
          <w:rFonts w:hint="eastAsia" w:ascii="仿宋" w:hAnsi="仿宋" w:eastAsia="仿宋"/>
          <w:kern w:val="0"/>
          <w:sz w:val="32"/>
          <w:szCs w:val="32"/>
          <w:lang w:val="en-US" w:eastAsia="zh-CN"/>
        </w:rPr>
        <w:t>8</w:t>
      </w:r>
      <w:r>
        <w:rPr>
          <w:rFonts w:hint="eastAsia" w:ascii="仿宋" w:hAnsi="仿宋" w:eastAsia="仿宋"/>
          <w:kern w:val="0"/>
          <w:sz w:val="32"/>
          <w:szCs w:val="32"/>
        </w:rPr>
        <w:t>年一般公共预算财政拨款支出本年支出数为</w:t>
      </w:r>
      <w:r>
        <w:rPr>
          <w:rFonts w:hint="eastAsia" w:ascii="仿宋" w:hAnsi="仿宋" w:eastAsia="仿宋"/>
          <w:kern w:val="0"/>
          <w:sz w:val="32"/>
          <w:szCs w:val="32"/>
          <w:lang w:val="en-US" w:eastAsia="zh-CN"/>
        </w:rPr>
        <w:t>186.02</w:t>
      </w:r>
      <w:r>
        <w:rPr>
          <w:rFonts w:hint="eastAsia" w:ascii="仿宋" w:hAnsi="仿宋" w:eastAsia="仿宋"/>
          <w:kern w:val="0"/>
          <w:sz w:val="32"/>
          <w:szCs w:val="32"/>
        </w:rPr>
        <w:t>万元、占比重为57%，政府性基金预算财政拨款1</w:t>
      </w:r>
      <w:r>
        <w:rPr>
          <w:rFonts w:hint="eastAsia" w:ascii="仿宋" w:hAnsi="仿宋" w:eastAsia="仿宋"/>
          <w:kern w:val="0"/>
          <w:sz w:val="32"/>
          <w:szCs w:val="32"/>
          <w:lang w:val="en-US" w:eastAsia="zh-CN"/>
        </w:rPr>
        <w:t>38.16</w:t>
      </w:r>
      <w:r>
        <w:rPr>
          <w:rFonts w:hint="eastAsia" w:ascii="仿宋" w:hAnsi="仿宋" w:eastAsia="仿宋"/>
          <w:kern w:val="0"/>
          <w:sz w:val="32"/>
          <w:szCs w:val="32"/>
        </w:rPr>
        <w:t>万元，占比重为43%。</w:t>
      </w:r>
      <w:r>
        <w:rPr>
          <w:rFonts w:eastAsia="仿宋_GB2312"/>
          <w:b/>
          <w:bCs/>
          <w:kern w:val="0"/>
          <w:sz w:val="32"/>
          <w:szCs w:val="32"/>
        </w:rPr>
        <w:t xml:space="preserve"> </w:t>
      </w:r>
    </w:p>
    <w:p>
      <w:pPr>
        <w:widowControl/>
        <w:spacing w:line="600" w:lineRule="exact"/>
        <w:ind w:firstLine="640" w:firstLineChars="200"/>
        <w:rPr>
          <w:rFonts w:eastAsia="仿宋_GB2312"/>
          <w:b/>
          <w:bCs/>
          <w:kern w:val="0"/>
          <w:sz w:val="32"/>
          <w:szCs w:val="32"/>
        </w:rPr>
      </w:pPr>
      <w:r>
        <w:rPr>
          <w:rFonts w:eastAsia="仿宋_GB2312"/>
          <w:kern w:val="0"/>
          <w:sz w:val="32"/>
          <w:szCs w:val="32"/>
        </w:rPr>
        <w:t>（二）财政拨款支出决算结构情况。</w:t>
      </w:r>
    </w:p>
    <w:p>
      <w:pPr>
        <w:widowControl/>
        <w:spacing w:line="360" w:lineRule="auto"/>
        <w:ind w:firstLine="640" w:firstLineChars="200"/>
        <w:jc w:val="left"/>
        <w:rPr>
          <w:rFonts w:hint="eastAsia" w:ascii="仿宋" w:hAnsi="仿宋" w:eastAsia="仿宋"/>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年一般公共预算财政拨款支出本年支出数为</w:t>
      </w:r>
      <w:r>
        <w:rPr>
          <w:rFonts w:hint="eastAsia" w:ascii="仿宋" w:hAnsi="仿宋" w:eastAsia="仿宋"/>
          <w:kern w:val="0"/>
          <w:sz w:val="32"/>
          <w:szCs w:val="32"/>
          <w:lang w:val="en-US" w:eastAsia="zh-CN"/>
        </w:rPr>
        <w:t>227.43</w:t>
      </w:r>
      <w:r>
        <w:rPr>
          <w:rFonts w:hint="eastAsia" w:ascii="仿宋" w:hAnsi="仿宋" w:eastAsia="仿宋"/>
          <w:kern w:val="0"/>
          <w:sz w:val="32"/>
          <w:szCs w:val="32"/>
        </w:rPr>
        <w:t>万元</w:t>
      </w:r>
      <w:r>
        <w:rPr>
          <w:rFonts w:hint="eastAsia" w:ascii="仿宋" w:hAnsi="仿宋" w:eastAsia="仿宋"/>
          <w:sz w:val="32"/>
          <w:szCs w:val="32"/>
        </w:rPr>
        <w:t>，其中行政事业单位离退休1</w:t>
      </w:r>
      <w:r>
        <w:rPr>
          <w:rFonts w:hint="eastAsia" w:ascii="仿宋" w:hAnsi="仿宋" w:eastAsia="仿宋"/>
          <w:sz w:val="32"/>
          <w:szCs w:val="32"/>
          <w:lang w:val="en-US" w:eastAsia="zh-CN"/>
        </w:rPr>
        <w:t>4.37</w:t>
      </w:r>
      <w:r>
        <w:rPr>
          <w:rFonts w:hint="eastAsia" w:ascii="仿宋" w:hAnsi="仿宋" w:eastAsia="仿宋"/>
          <w:sz w:val="32"/>
          <w:szCs w:val="32"/>
        </w:rPr>
        <w:t>万元（</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6.3</w:t>
      </w:r>
      <w:r>
        <w:rPr>
          <w:rFonts w:hint="eastAsia" w:ascii="仿宋" w:hAnsi="仿宋" w:eastAsia="仿宋"/>
          <w:kern w:val="0"/>
          <w:sz w:val="32"/>
          <w:szCs w:val="32"/>
        </w:rPr>
        <w:t>%）</w:t>
      </w:r>
      <w:r>
        <w:rPr>
          <w:rFonts w:hint="eastAsia" w:ascii="仿宋" w:hAnsi="仿宋" w:eastAsia="仿宋"/>
          <w:sz w:val="32"/>
          <w:szCs w:val="32"/>
        </w:rPr>
        <w:t>、行政事业单位医疗</w:t>
      </w:r>
      <w:r>
        <w:rPr>
          <w:rFonts w:hint="eastAsia" w:ascii="仿宋" w:hAnsi="仿宋" w:eastAsia="仿宋"/>
          <w:sz w:val="32"/>
          <w:szCs w:val="32"/>
          <w:lang w:val="en-US" w:eastAsia="zh-CN"/>
        </w:rPr>
        <w:t>7.05</w:t>
      </w:r>
      <w:r>
        <w:rPr>
          <w:rFonts w:hint="eastAsia" w:ascii="仿宋" w:hAnsi="仿宋" w:eastAsia="仿宋"/>
          <w:sz w:val="32"/>
          <w:szCs w:val="32"/>
        </w:rPr>
        <w:t>万元（</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3</w:t>
      </w:r>
      <w:r>
        <w:rPr>
          <w:rFonts w:hint="eastAsia" w:ascii="仿宋" w:hAnsi="仿宋" w:eastAsia="仿宋"/>
          <w:kern w:val="0"/>
          <w:sz w:val="32"/>
          <w:szCs w:val="32"/>
        </w:rPr>
        <w:t>%）</w:t>
      </w:r>
      <w:r>
        <w:rPr>
          <w:rFonts w:hint="eastAsia" w:ascii="仿宋" w:hAnsi="仿宋" w:eastAsia="仿宋"/>
          <w:sz w:val="32"/>
          <w:szCs w:val="32"/>
        </w:rPr>
        <w:t>、城乡社区管理行政运行1</w:t>
      </w:r>
      <w:r>
        <w:rPr>
          <w:rFonts w:hint="eastAsia" w:ascii="仿宋" w:hAnsi="仿宋" w:eastAsia="仿宋"/>
          <w:sz w:val="32"/>
          <w:szCs w:val="32"/>
          <w:lang w:val="en-US" w:eastAsia="zh-CN"/>
        </w:rPr>
        <w:t>96.27</w:t>
      </w:r>
      <w:r>
        <w:rPr>
          <w:rFonts w:hint="eastAsia" w:ascii="仿宋" w:hAnsi="仿宋" w:eastAsia="仿宋"/>
          <w:sz w:val="32"/>
          <w:szCs w:val="32"/>
        </w:rPr>
        <w:t>万元（</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86.2</w:t>
      </w:r>
      <w:r>
        <w:rPr>
          <w:rFonts w:hint="eastAsia" w:ascii="仿宋" w:hAnsi="仿宋" w:eastAsia="仿宋"/>
          <w:kern w:val="0"/>
          <w:sz w:val="32"/>
          <w:szCs w:val="32"/>
        </w:rPr>
        <w:t>%）</w:t>
      </w:r>
      <w:r>
        <w:rPr>
          <w:rFonts w:hint="eastAsia" w:ascii="仿宋" w:hAnsi="仿宋" w:eastAsia="仿宋"/>
          <w:sz w:val="32"/>
          <w:szCs w:val="32"/>
        </w:rPr>
        <w:t>、一般行政管理事务</w:t>
      </w:r>
      <w:r>
        <w:rPr>
          <w:rFonts w:hint="eastAsia" w:ascii="仿宋" w:hAnsi="仿宋" w:eastAsia="仿宋"/>
          <w:sz w:val="32"/>
          <w:szCs w:val="32"/>
          <w:lang w:val="en-US" w:eastAsia="zh-CN"/>
        </w:rPr>
        <w:t>36.6</w:t>
      </w:r>
      <w:r>
        <w:rPr>
          <w:rFonts w:hint="eastAsia" w:ascii="仿宋" w:hAnsi="仿宋" w:eastAsia="仿宋"/>
          <w:sz w:val="32"/>
          <w:szCs w:val="32"/>
        </w:rPr>
        <w:t>万元（</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16</w:t>
      </w:r>
      <w:r>
        <w:rPr>
          <w:rFonts w:hint="eastAsia" w:ascii="仿宋" w:hAnsi="仿宋" w:eastAsia="仿宋"/>
          <w:kern w:val="0"/>
          <w:sz w:val="32"/>
          <w:szCs w:val="32"/>
        </w:rPr>
        <w:t>%）</w:t>
      </w:r>
      <w:r>
        <w:rPr>
          <w:rFonts w:hint="eastAsia" w:ascii="仿宋" w:hAnsi="仿宋" w:eastAsia="仿宋"/>
          <w:sz w:val="32"/>
          <w:szCs w:val="32"/>
        </w:rPr>
        <w:t>、住房公积金8.</w:t>
      </w:r>
      <w:r>
        <w:rPr>
          <w:rFonts w:hint="eastAsia" w:ascii="仿宋" w:hAnsi="仿宋" w:eastAsia="仿宋"/>
          <w:sz w:val="32"/>
          <w:szCs w:val="32"/>
          <w:lang w:val="en-US" w:eastAsia="zh-CN"/>
        </w:rPr>
        <w:t>45</w:t>
      </w:r>
      <w:r>
        <w:rPr>
          <w:rFonts w:hint="eastAsia" w:ascii="仿宋" w:hAnsi="仿宋" w:eastAsia="仿宋"/>
          <w:sz w:val="32"/>
          <w:szCs w:val="32"/>
        </w:rPr>
        <w:t>万元（</w:t>
      </w:r>
      <w:r>
        <w:rPr>
          <w:rFonts w:hint="eastAsia" w:ascii="仿宋" w:hAnsi="仿宋" w:eastAsia="仿宋"/>
          <w:kern w:val="0"/>
          <w:sz w:val="32"/>
          <w:szCs w:val="32"/>
        </w:rPr>
        <w:t>比例为</w:t>
      </w:r>
      <w:r>
        <w:rPr>
          <w:rFonts w:hint="eastAsia" w:ascii="仿宋" w:hAnsi="仿宋" w:eastAsia="仿宋"/>
          <w:kern w:val="0"/>
          <w:sz w:val="32"/>
          <w:szCs w:val="32"/>
          <w:lang w:val="en-US" w:eastAsia="zh-CN"/>
        </w:rPr>
        <w:t>3.7</w:t>
      </w:r>
      <w:r>
        <w:rPr>
          <w:rFonts w:hint="eastAsia" w:ascii="仿宋" w:hAnsi="仿宋" w:eastAsia="仿宋"/>
          <w:kern w:val="0"/>
          <w:sz w:val="32"/>
          <w:szCs w:val="32"/>
        </w:rPr>
        <w:t>%）。</w:t>
      </w:r>
      <w:r>
        <w:rPr>
          <w:rFonts w:hint="eastAsia" w:ascii="仿宋" w:hAnsi="仿宋" w:eastAsia="仿宋"/>
          <w:sz w:val="32"/>
          <w:szCs w:val="32"/>
        </w:rPr>
        <w:t xml:space="preserve"> </w:t>
      </w:r>
    </w:p>
    <w:p>
      <w:pPr>
        <w:widowControl/>
        <w:spacing w:line="360" w:lineRule="auto"/>
        <w:ind w:firstLine="640" w:firstLineChars="200"/>
        <w:jc w:val="left"/>
        <w:rPr>
          <w:rFonts w:hint="eastAsia" w:ascii="仿宋" w:hAnsi="仿宋" w:eastAsia="仿宋"/>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年政府性基金预算财政拨款1</w:t>
      </w:r>
      <w:r>
        <w:rPr>
          <w:rFonts w:hint="eastAsia" w:ascii="仿宋" w:hAnsi="仿宋" w:eastAsia="仿宋"/>
          <w:kern w:val="0"/>
          <w:sz w:val="32"/>
          <w:szCs w:val="32"/>
          <w:lang w:val="en-US" w:eastAsia="zh-CN"/>
        </w:rPr>
        <w:t>33.71</w:t>
      </w:r>
      <w:r>
        <w:rPr>
          <w:rFonts w:hint="eastAsia" w:ascii="仿宋" w:hAnsi="仿宋" w:eastAsia="仿宋"/>
          <w:kern w:val="0"/>
          <w:sz w:val="32"/>
          <w:szCs w:val="32"/>
        </w:rPr>
        <w:t>万元，</w:t>
      </w:r>
      <w:r>
        <w:rPr>
          <w:rFonts w:hint="eastAsia" w:ascii="仿宋" w:hAnsi="仿宋" w:eastAsia="仿宋"/>
          <w:kern w:val="0"/>
          <w:sz w:val="32"/>
          <w:szCs w:val="32"/>
          <w:lang w:eastAsia="zh-CN"/>
        </w:rPr>
        <w:t>年初结余结转</w:t>
      </w:r>
      <w:r>
        <w:rPr>
          <w:rFonts w:hint="eastAsia" w:ascii="仿宋" w:hAnsi="仿宋" w:eastAsia="仿宋"/>
          <w:kern w:val="0"/>
          <w:sz w:val="32"/>
          <w:szCs w:val="32"/>
          <w:lang w:val="en-US" w:eastAsia="zh-CN"/>
        </w:rPr>
        <w:t>94.2万元，</w:t>
      </w:r>
      <w:r>
        <w:rPr>
          <w:rFonts w:hint="eastAsia" w:ascii="仿宋" w:hAnsi="仿宋" w:eastAsia="仿宋"/>
          <w:sz w:val="32"/>
          <w:szCs w:val="32"/>
        </w:rPr>
        <w:t>全部为</w:t>
      </w:r>
      <w:r>
        <w:rPr>
          <w:rFonts w:hint="eastAsia" w:ascii="仿宋" w:hAnsi="仿宋" w:eastAsia="仿宋"/>
          <w:kern w:val="0"/>
          <w:sz w:val="32"/>
          <w:szCs w:val="32"/>
        </w:rPr>
        <w:t>政府性基金</w:t>
      </w:r>
      <w:r>
        <w:rPr>
          <w:rFonts w:hint="eastAsia" w:ascii="仿宋" w:hAnsi="仿宋" w:eastAsia="仿宋"/>
          <w:kern w:val="0"/>
          <w:sz w:val="32"/>
          <w:szCs w:val="32"/>
          <w:lang w:eastAsia="zh-CN"/>
        </w:rPr>
        <w:t>项目</w:t>
      </w:r>
      <w:r>
        <w:rPr>
          <w:rFonts w:hint="eastAsia" w:ascii="仿宋" w:hAnsi="仿宋" w:eastAsia="仿宋"/>
          <w:sz w:val="32"/>
          <w:szCs w:val="32"/>
        </w:rPr>
        <w:t>支出（</w:t>
      </w:r>
      <w:r>
        <w:rPr>
          <w:rFonts w:hint="eastAsia" w:ascii="仿宋" w:hAnsi="仿宋" w:eastAsia="仿宋"/>
          <w:kern w:val="0"/>
          <w:sz w:val="32"/>
          <w:szCs w:val="32"/>
        </w:rPr>
        <w:t>比例为100%）。</w:t>
      </w:r>
    </w:p>
    <w:p>
      <w:pPr>
        <w:widowControl/>
        <w:spacing w:line="360" w:lineRule="auto"/>
        <w:ind w:firstLine="640" w:firstLineChars="200"/>
        <w:rPr>
          <w:rFonts w:eastAsia="仿宋_GB2312"/>
          <w:b/>
          <w:bCs/>
          <w:kern w:val="0"/>
          <w:sz w:val="32"/>
          <w:szCs w:val="32"/>
        </w:rPr>
      </w:pPr>
      <w:r>
        <w:rPr>
          <w:rFonts w:eastAsia="仿宋_GB2312"/>
          <w:bCs/>
          <w:kern w:val="0"/>
          <w:sz w:val="32"/>
          <w:szCs w:val="32"/>
        </w:rPr>
        <w:t>（三）财政拨款支出决算具体情况。</w:t>
      </w:r>
    </w:p>
    <w:p>
      <w:pPr>
        <w:widowControl/>
        <w:snapToGrid w:val="0"/>
        <w:spacing w:line="360" w:lineRule="auto"/>
        <w:ind w:firstLine="320" w:firstLineChars="100"/>
        <w:jc w:val="left"/>
        <w:rPr>
          <w:rFonts w:hint="eastAsia" w:ascii="仿宋" w:hAnsi="仿宋" w:eastAsia="仿宋"/>
          <w:kern w:val="0"/>
          <w:sz w:val="32"/>
          <w:szCs w:val="32"/>
        </w:rPr>
      </w:pPr>
      <w:r>
        <w:rPr>
          <w:rFonts w:hint="eastAsia" w:ascii="仿宋" w:hAnsi="仿宋" w:eastAsia="仿宋" w:cs="宋体"/>
          <w:kern w:val="0"/>
          <w:sz w:val="32"/>
          <w:szCs w:val="32"/>
        </w:rPr>
        <w:t>201</w:t>
      </w:r>
      <w:r>
        <w:rPr>
          <w:rFonts w:hint="eastAsia" w:ascii="仿宋" w:hAnsi="仿宋" w:eastAsia="仿宋" w:cs="宋体"/>
          <w:kern w:val="0"/>
          <w:sz w:val="32"/>
          <w:szCs w:val="32"/>
          <w:lang w:val="en-US" w:eastAsia="zh-CN"/>
        </w:rPr>
        <w:t>9</w:t>
      </w:r>
      <w:r>
        <w:rPr>
          <w:rFonts w:hint="eastAsia" w:ascii="仿宋" w:hAnsi="仿宋" w:eastAsia="仿宋" w:cs="宋体"/>
          <w:kern w:val="0"/>
          <w:sz w:val="32"/>
          <w:szCs w:val="32"/>
        </w:rPr>
        <w:t>年年初部门预算安排总资金</w:t>
      </w:r>
      <w:r>
        <w:rPr>
          <w:rFonts w:hint="eastAsia" w:ascii="仿宋" w:hAnsi="仿宋" w:eastAsia="仿宋" w:cs="宋体"/>
          <w:kern w:val="0"/>
          <w:sz w:val="32"/>
          <w:szCs w:val="32"/>
          <w:lang w:val="en-US" w:eastAsia="zh-CN"/>
        </w:rPr>
        <w:t>547.91</w:t>
      </w:r>
      <w:r>
        <w:rPr>
          <w:rFonts w:hint="eastAsia" w:ascii="仿宋" w:hAnsi="仿宋" w:eastAsia="仿宋" w:cs="宋体"/>
          <w:kern w:val="0"/>
          <w:sz w:val="32"/>
          <w:szCs w:val="32"/>
        </w:rPr>
        <w:t>万元</w:t>
      </w:r>
      <w:r>
        <w:rPr>
          <w:rFonts w:hint="eastAsia" w:ascii="仿宋" w:hAnsi="仿宋" w:eastAsia="仿宋"/>
          <w:sz w:val="32"/>
          <w:szCs w:val="32"/>
        </w:rPr>
        <w:t>。</w:t>
      </w:r>
      <w:r>
        <w:rPr>
          <w:rFonts w:hint="eastAsia" w:ascii="仿宋" w:hAnsi="仿宋" w:eastAsia="仿宋" w:cs="宋体"/>
          <w:color w:val="000000"/>
          <w:kern w:val="0"/>
          <w:sz w:val="32"/>
          <w:szCs w:val="32"/>
        </w:rPr>
        <w:t>201</w:t>
      </w:r>
      <w:r>
        <w:rPr>
          <w:rFonts w:hint="eastAsia" w:ascii="仿宋" w:hAnsi="仿宋" w:eastAsia="仿宋" w:cs="宋体"/>
          <w:color w:val="000000"/>
          <w:kern w:val="0"/>
          <w:sz w:val="32"/>
          <w:szCs w:val="32"/>
          <w:lang w:val="en-US" w:eastAsia="zh-CN"/>
        </w:rPr>
        <w:t>9</w:t>
      </w:r>
      <w:r>
        <w:rPr>
          <w:rFonts w:hint="eastAsia" w:ascii="仿宋" w:hAnsi="仿宋" w:eastAsia="仿宋" w:cs="宋体"/>
          <w:color w:val="000000"/>
          <w:kern w:val="0"/>
          <w:sz w:val="32"/>
          <w:szCs w:val="32"/>
        </w:rPr>
        <w:t>年支出</w:t>
      </w:r>
      <w:r>
        <w:rPr>
          <w:rFonts w:hint="eastAsia" w:ascii="仿宋" w:hAnsi="仿宋" w:eastAsia="仿宋" w:cs="宋体"/>
          <w:color w:val="000000"/>
          <w:kern w:val="0"/>
          <w:sz w:val="32"/>
          <w:szCs w:val="32"/>
          <w:lang w:val="en-US" w:eastAsia="zh-CN"/>
        </w:rPr>
        <w:t>455.35</w:t>
      </w:r>
      <w:r>
        <w:rPr>
          <w:rFonts w:hint="eastAsia" w:ascii="仿宋" w:hAnsi="仿宋" w:eastAsia="仿宋" w:cs="宋体"/>
          <w:color w:val="000000"/>
          <w:kern w:val="0"/>
          <w:sz w:val="32"/>
          <w:szCs w:val="32"/>
        </w:rPr>
        <w:t>万元。结转下年</w:t>
      </w:r>
      <w:r>
        <w:rPr>
          <w:rFonts w:hint="eastAsia" w:ascii="仿宋" w:hAnsi="仿宋" w:eastAsia="仿宋" w:cs="宋体"/>
          <w:color w:val="000000"/>
          <w:kern w:val="0"/>
          <w:sz w:val="32"/>
          <w:szCs w:val="32"/>
          <w:lang w:val="en-US" w:eastAsia="zh-CN"/>
        </w:rPr>
        <w:t>91.42</w:t>
      </w:r>
      <w:r>
        <w:rPr>
          <w:rFonts w:hint="eastAsia" w:ascii="仿宋" w:hAnsi="仿宋" w:eastAsia="仿宋" w:cs="宋体"/>
          <w:color w:val="000000"/>
          <w:kern w:val="0"/>
          <w:sz w:val="32"/>
          <w:szCs w:val="32"/>
        </w:rPr>
        <w:t>万元</w:t>
      </w:r>
      <w:r>
        <w:rPr>
          <w:rFonts w:hint="eastAsia" w:ascii="宋体" w:hAnsi="宋体" w:cs="宋体"/>
          <w:color w:val="000000"/>
          <w:kern w:val="0"/>
          <w:sz w:val="32"/>
          <w:szCs w:val="32"/>
        </w:rPr>
        <w:t>。</w:t>
      </w:r>
      <w:r>
        <w:rPr>
          <w:rFonts w:hint="eastAsia" w:ascii="仿宋" w:hAnsi="仿宋" w:eastAsia="仿宋"/>
          <w:kern w:val="0"/>
          <w:sz w:val="32"/>
          <w:szCs w:val="32"/>
        </w:rPr>
        <w:t>财政拨款支出与年初预算数作对比，在城乡社区支出中</w:t>
      </w:r>
      <w:r>
        <w:rPr>
          <w:rFonts w:hint="eastAsia" w:ascii="仿宋" w:hAnsi="仿宋" w:eastAsia="仿宋"/>
          <w:kern w:val="0"/>
          <w:sz w:val="32"/>
          <w:szCs w:val="32"/>
          <w:lang w:val="en-US" w:eastAsia="zh-CN"/>
        </w:rPr>
        <w:t>-77.18</w:t>
      </w:r>
      <w:r>
        <w:rPr>
          <w:rFonts w:hint="eastAsia" w:ascii="仿宋" w:hAnsi="仿宋" w:eastAsia="仿宋"/>
          <w:kern w:val="0"/>
          <w:sz w:val="32"/>
          <w:szCs w:val="32"/>
        </w:rPr>
        <w:t>万元，其中行政运行-</w:t>
      </w:r>
      <w:r>
        <w:rPr>
          <w:rFonts w:hint="eastAsia" w:ascii="仿宋" w:hAnsi="仿宋" w:eastAsia="仿宋"/>
          <w:kern w:val="0"/>
          <w:sz w:val="32"/>
          <w:szCs w:val="32"/>
          <w:lang w:val="en-US" w:eastAsia="zh-CN"/>
        </w:rPr>
        <w:t>46.58</w:t>
      </w:r>
      <w:r>
        <w:rPr>
          <w:rFonts w:hint="eastAsia" w:ascii="仿宋" w:hAnsi="仿宋" w:eastAsia="仿宋"/>
          <w:kern w:val="0"/>
          <w:sz w:val="32"/>
          <w:szCs w:val="32"/>
        </w:rPr>
        <w:t>万元、一般行政管理事务</w:t>
      </w:r>
      <w:r>
        <w:rPr>
          <w:rFonts w:hint="eastAsia" w:ascii="仿宋" w:hAnsi="仿宋" w:eastAsia="仿宋"/>
          <w:kern w:val="0"/>
          <w:sz w:val="32"/>
          <w:szCs w:val="32"/>
          <w:lang w:val="en-US" w:eastAsia="zh-CN"/>
        </w:rPr>
        <w:t>-31.6</w:t>
      </w:r>
      <w:r>
        <w:rPr>
          <w:rFonts w:hint="eastAsia" w:ascii="仿宋" w:hAnsi="仿宋" w:eastAsia="仿宋"/>
          <w:kern w:val="0"/>
          <w:sz w:val="32"/>
          <w:szCs w:val="32"/>
        </w:rPr>
        <w:t>万元，主要原因为科目调整。</w:t>
      </w:r>
    </w:p>
    <w:p>
      <w:pPr>
        <w:widowControl/>
        <w:spacing w:line="360" w:lineRule="auto"/>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六、一般公共预算财政拨款基本支出决算情况说明</w:t>
      </w:r>
    </w:p>
    <w:p>
      <w:pPr>
        <w:widowControl/>
        <w:spacing w:line="360" w:lineRule="auto"/>
        <w:ind w:firstLine="640" w:firstLineChars="200"/>
        <w:rPr>
          <w:rFonts w:hint="eastAsia" w:ascii="仿宋" w:hAnsi="仿宋" w:eastAsia="仿宋"/>
          <w:kern w:val="0"/>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年一般公共预算财政拨款支出本年支出数为</w:t>
      </w:r>
      <w:r>
        <w:rPr>
          <w:rFonts w:hint="eastAsia" w:ascii="仿宋" w:hAnsi="仿宋" w:eastAsia="仿宋"/>
          <w:kern w:val="0"/>
          <w:sz w:val="32"/>
          <w:szCs w:val="32"/>
          <w:lang w:val="en-US" w:eastAsia="zh-CN"/>
        </w:rPr>
        <w:t>227.43</w:t>
      </w:r>
      <w:r>
        <w:rPr>
          <w:rFonts w:hint="eastAsia" w:ascii="仿宋" w:hAnsi="仿宋" w:eastAsia="仿宋"/>
          <w:kern w:val="0"/>
          <w:sz w:val="32"/>
          <w:szCs w:val="32"/>
        </w:rPr>
        <w:t>万元</w:t>
      </w:r>
      <w:r>
        <w:rPr>
          <w:rFonts w:hint="eastAsia" w:ascii="仿宋" w:hAnsi="仿宋" w:eastAsia="仿宋"/>
          <w:sz w:val="32"/>
          <w:szCs w:val="32"/>
        </w:rPr>
        <w:t>，其中人员经费支出1</w:t>
      </w:r>
      <w:r>
        <w:rPr>
          <w:rFonts w:hint="eastAsia" w:ascii="仿宋" w:hAnsi="仿宋" w:eastAsia="仿宋"/>
          <w:sz w:val="32"/>
          <w:szCs w:val="32"/>
          <w:lang w:val="en-US" w:eastAsia="zh-CN"/>
        </w:rPr>
        <w:t>84.84</w:t>
      </w:r>
      <w:r>
        <w:rPr>
          <w:rFonts w:hint="eastAsia" w:ascii="仿宋" w:hAnsi="仿宋" w:eastAsia="仿宋"/>
          <w:sz w:val="32"/>
          <w:szCs w:val="32"/>
        </w:rPr>
        <w:t>万元（比例为8</w:t>
      </w:r>
      <w:r>
        <w:rPr>
          <w:rFonts w:hint="eastAsia" w:ascii="仿宋" w:hAnsi="仿宋" w:eastAsia="仿宋"/>
          <w:sz w:val="32"/>
          <w:szCs w:val="32"/>
          <w:lang w:val="en-US" w:eastAsia="zh-CN"/>
        </w:rPr>
        <w:t>1.2</w:t>
      </w:r>
      <w:r>
        <w:rPr>
          <w:rFonts w:hint="eastAsia" w:ascii="仿宋" w:hAnsi="仿宋" w:eastAsia="仿宋"/>
          <w:sz w:val="32"/>
          <w:szCs w:val="32"/>
        </w:rPr>
        <w:t>%）：基本工资支出16</w:t>
      </w:r>
      <w:r>
        <w:rPr>
          <w:rFonts w:hint="eastAsia" w:ascii="仿宋" w:hAnsi="仿宋" w:eastAsia="仿宋"/>
          <w:sz w:val="32"/>
          <w:szCs w:val="32"/>
          <w:lang w:val="en-US" w:eastAsia="zh-CN"/>
        </w:rPr>
        <w:t>4.5</w:t>
      </w:r>
      <w:r>
        <w:rPr>
          <w:rFonts w:hint="eastAsia" w:ascii="仿宋" w:hAnsi="仿宋" w:eastAsia="仿宋"/>
          <w:sz w:val="32"/>
          <w:szCs w:val="32"/>
        </w:rPr>
        <w:t>万元（包含基本工资50.</w:t>
      </w:r>
      <w:r>
        <w:rPr>
          <w:rFonts w:hint="eastAsia" w:ascii="仿宋" w:hAnsi="仿宋" w:eastAsia="仿宋"/>
          <w:sz w:val="32"/>
          <w:szCs w:val="32"/>
          <w:lang w:val="en-US" w:eastAsia="zh-CN"/>
        </w:rPr>
        <w:t>73</w:t>
      </w:r>
      <w:r>
        <w:rPr>
          <w:rFonts w:hint="eastAsia" w:ascii="仿宋" w:hAnsi="仿宋" w:eastAsia="仿宋"/>
          <w:sz w:val="32"/>
          <w:szCs w:val="32"/>
        </w:rPr>
        <w:t>万元、津贴补贴2</w:t>
      </w:r>
      <w:r>
        <w:rPr>
          <w:rFonts w:hint="eastAsia" w:ascii="仿宋" w:hAnsi="仿宋" w:eastAsia="仿宋"/>
          <w:sz w:val="32"/>
          <w:szCs w:val="32"/>
          <w:lang w:val="en-US" w:eastAsia="zh-CN"/>
        </w:rPr>
        <w:t>0.93</w:t>
      </w:r>
      <w:r>
        <w:rPr>
          <w:rFonts w:hint="eastAsia" w:ascii="仿宋" w:hAnsi="仿宋" w:eastAsia="仿宋"/>
          <w:sz w:val="32"/>
          <w:szCs w:val="32"/>
        </w:rPr>
        <w:t>万元、奖金</w:t>
      </w:r>
      <w:r>
        <w:rPr>
          <w:rFonts w:hint="eastAsia" w:ascii="仿宋" w:hAnsi="仿宋" w:eastAsia="仿宋"/>
          <w:sz w:val="32"/>
          <w:szCs w:val="32"/>
          <w:lang w:val="en-US" w:eastAsia="zh-CN"/>
        </w:rPr>
        <w:t>19.52</w:t>
      </w:r>
      <w:r>
        <w:rPr>
          <w:rFonts w:hint="eastAsia" w:ascii="仿宋" w:hAnsi="仿宋" w:eastAsia="仿宋"/>
          <w:sz w:val="32"/>
          <w:szCs w:val="32"/>
        </w:rPr>
        <w:t>万元、基本医疗1</w:t>
      </w:r>
      <w:r>
        <w:rPr>
          <w:rFonts w:hint="eastAsia" w:ascii="仿宋" w:hAnsi="仿宋" w:eastAsia="仿宋"/>
          <w:sz w:val="32"/>
          <w:szCs w:val="32"/>
          <w:lang w:val="en-US" w:eastAsia="zh-CN"/>
        </w:rPr>
        <w:t>5.88</w:t>
      </w:r>
      <w:r>
        <w:rPr>
          <w:rFonts w:hint="eastAsia" w:ascii="仿宋" w:hAnsi="仿宋" w:eastAsia="仿宋"/>
          <w:sz w:val="32"/>
          <w:szCs w:val="32"/>
        </w:rPr>
        <w:t>万元、其他社会保障缴费</w:t>
      </w:r>
      <w:r>
        <w:rPr>
          <w:rFonts w:hint="eastAsia" w:ascii="仿宋" w:hAnsi="仿宋" w:eastAsia="仿宋"/>
          <w:sz w:val="32"/>
          <w:szCs w:val="32"/>
          <w:lang w:val="en-US" w:eastAsia="zh-CN"/>
        </w:rPr>
        <w:t>0.99</w:t>
      </w:r>
      <w:r>
        <w:rPr>
          <w:rFonts w:hint="eastAsia" w:ascii="仿宋" w:hAnsi="仿宋" w:eastAsia="仿宋"/>
          <w:sz w:val="32"/>
          <w:szCs w:val="32"/>
        </w:rPr>
        <w:t>万元、绩效工资1</w:t>
      </w:r>
      <w:r>
        <w:rPr>
          <w:rFonts w:hint="eastAsia" w:ascii="仿宋" w:hAnsi="仿宋" w:eastAsia="仿宋"/>
          <w:sz w:val="32"/>
          <w:szCs w:val="32"/>
          <w:lang w:val="en-US" w:eastAsia="zh-CN"/>
        </w:rPr>
        <w:t>6.01</w:t>
      </w:r>
      <w:r>
        <w:rPr>
          <w:rFonts w:hint="eastAsia" w:ascii="仿宋" w:hAnsi="仿宋" w:eastAsia="仿宋"/>
          <w:sz w:val="32"/>
          <w:szCs w:val="32"/>
        </w:rPr>
        <w:t>万元、机关事业养老保险缴费1</w:t>
      </w:r>
      <w:r>
        <w:rPr>
          <w:rFonts w:hint="eastAsia" w:ascii="仿宋" w:hAnsi="仿宋" w:eastAsia="仿宋"/>
          <w:sz w:val="32"/>
          <w:szCs w:val="32"/>
          <w:lang w:val="en-US" w:eastAsia="zh-CN"/>
        </w:rPr>
        <w:t>7.85</w:t>
      </w:r>
      <w:r>
        <w:rPr>
          <w:rFonts w:hint="eastAsia" w:ascii="仿宋" w:hAnsi="仿宋" w:eastAsia="仿宋"/>
          <w:sz w:val="32"/>
          <w:szCs w:val="32"/>
        </w:rPr>
        <w:t>万元、住房公积金1</w:t>
      </w:r>
      <w:r>
        <w:rPr>
          <w:rFonts w:hint="eastAsia" w:ascii="仿宋" w:hAnsi="仿宋" w:eastAsia="仿宋"/>
          <w:sz w:val="32"/>
          <w:szCs w:val="32"/>
          <w:lang w:val="en-US" w:eastAsia="zh-CN"/>
        </w:rPr>
        <w:t>0.91</w:t>
      </w:r>
      <w:r>
        <w:rPr>
          <w:rFonts w:hint="eastAsia" w:ascii="仿宋" w:hAnsi="仿宋" w:eastAsia="仿宋"/>
          <w:sz w:val="32"/>
          <w:szCs w:val="32"/>
        </w:rPr>
        <w:t>万元），对个人和家庭补助支出0万元；公用经费支出</w:t>
      </w:r>
      <w:r>
        <w:rPr>
          <w:rFonts w:hint="eastAsia" w:ascii="仿宋" w:hAnsi="仿宋" w:eastAsia="仿宋"/>
          <w:sz w:val="32"/>
          <w:szCs w:val="32"/>
          <w:lang w:val="en-US" w:eastAsia="zh-CN"/>
        </w:rPr>
        <w:t>19.9</w:t>
      </w:r>
      <w:r>
        <w:rPr>
          <w:rFonts w:hint="eastAsia" w:ascii="仿宋" w:hAnsi="仿宋" w:eastAsia="仿宋"/>
          <w:sz w:val="32"/>
          <w:szCs w:val="32"/>
        </w:rPr>
        <w:t>万元（比例为</w:t>
      </w:r>
      <w:r>
        <w:rPr>
          <w:rFonts w:hint="eastAsia" w:ascii="仿宋" w:hAnsi="仿宋" w:eastAsia="仿宋"/>
          <w:sz w:val="32"/>
          <w:szCs w:val="32"/>
          <w:lang w:val="en-US" w:eastAsia="zh-CN"/>
        </w:rPr>
        <w:t>8.7</w:t>
      </w:r>
      <w:r>
        <w:rPr>
          <w:rFonts w:hint="eastAsia" w:ascii="仿宋" w:hAnsi="仿宋" w:eastAsia="仿宋"/>
          <w:sz w:val="32"/>
          <w:szCs w:val="32"/>
        </w:rPr>
        <w:t>%），全部为</w:t>
      </w:r>
      <w:r>
        <w:rPr>
          <w:rFonts w:hint="eastAsia" w:ascii="仿宋" w:hAnsi="仿宋" w:eastAsia="仿宋"/>
          <w:kern w:val="0"/>
          <w:sz w:val="32"/>
          <w:szCs w:val="32"/>
        </w:rPr>
        <w:t>商品和服务支出</w:t>
      </w:r>
      <w:r>
        <w:rPr>
          <w:rFonts w:hint="eastAsia" w:ascii="仿宋" w:hAnsi="仿宋" w:eastAsia="仿宋"/>
          <w:sz w:val="32"/>
          <w:szCs w:val="32"/>
        </w:rPr>
        <w:t>（包含</w:t>
      </w:r>
      <w:r>
        <w:rPr>
          <w:rFonts w:hint="eastAsia" w:ascii="仿宋" w:hAnsi="仿宋" w:eastAsia="仿宋"/>
          <w:kern w:val="0"/>
          <w:sz w:val="32"/>
          <w:szCs w:val="32"/>
        </w:rPr>
        <w:t>办公费</w:t>
      </w:r>
      <w:r>
        <w:rPr>
          <w:rFonts w:hint="eastAsia" w:ascii="仿宋" w:hAnsi="仿宋" w:eastAsia="仿宋"/>
          <w:kern w:val="0"/>
          <w:sz w:val="32"/>
          <w:szCs w:val="32"/>
          <w:lang w:val="en-US" w:eastAsia="zh-CN"/>
        </w:rPr>
        <w:t>2.04</w:t>
      </w:r>
      <w:r>
        <w:rPr>
          <w:rFonts w:hint="eastAsia" w:ascii="仿宋" w:hAnsi="仿宋" w:eastAsia="仿宋"/>
          <w:sz w:val="32"/>
          <w:szCs w:val="32"/>
        </w:rPr>
        <w:t>万元</w:t>
      </w:r>
      <w:r>
        <w:rPr>
          <w:rFonts w:hint="eastAsia" w:ascii="仿宋" w:hAnsi="仿宋" w:eastAsia="仿宋"/>
          <w:kern w:val="0"/>
          <w:sz w:val="32"/>
          <w:szCs w:val="32"/>
        </w:rPr>
        <w:t>、、电费1.</w:t>
      </w:r>
      <w:r>
        <w:rPr>
          <w:rFonts w:hint="eastAsia" w:ascii="仿宋" w:hAnsi="仿宋" w:eastAsia="仿宋"/>
          <w:kern w:val="0"/>
          <w:sz w:val="32"/>
          <w:szCs w:val="32"/>
          <w:lang w:val="en-US" w:eastAsia="zh-CN"/>
        </w:rPr>
        <w:t>2</w:t>
      </w:r>
      <w:r>
        <w:rPr>
          <w:rFonts w:hint="eastAsia" w:ascii="仿宋" w:hAnsi="仿宋" w:eastAsia="仿宋"/>
          <w:sz w:val="32"/>
          <w:szCs w:val="32"/>
        </w:rPr>
        <w:t>万元</w:t>
      </w:r>
      <w:r>
        <w:rPr>
          <w:rFonts w:hint="eastAsia" w:ascii="仿宋" w:hAnsi="仿宋" w:eastAsia="仿宋"/>
          <w:kern w:val="0"/>
          <w:sz w:val="32"/>
          <w:szCs w:val="32"/>
        </w:rPr>
        <w:t>、差旅费1.</w:t>
      </w:r>
      <w:r>
        <w:rPr>
          <w:rFonts w:hint="eastAsia" w:ascii="仿宋" w:hAnsi="仿宋" w:eastAsia="仿宋"/>
          <w:kern w:val="0"/>
          <w:sz w:val="32"/>
          <w:szCs w:val="32"/>
          <w:lang w:val="en-US" w:eastAsia="zh-CN"/>
        </w:rPr>
        <w:t>03</w:t>
      </w:r>
      <w:r>
        <w:rPr>
          <w:rFonts w:hint="eastAsia" w:ascii="仿宋" w:hAnsi="仿宋" w:eastAsia="仿宋"/>
          <w:sz w:val="32"/>
          <w:szCs w:val="32"/>
        </w:rPr>
        <w:t>万元</w:t>
      </w:r>
      <w:r>
        <w:rPr>
          <w:rFonts w:hint="eastAsia" w:ascii="仿宋" w:hAnsi="仿宋" w:eastAsia="仿宋"/>
          <w:kern w:val="0"/>
          <w:sz w:val="32"/>
          <w:szCs w:val="32"/>
        </w:rPr>
        <w:t>、物业管理费</w:t>
      </w:r>
      <w:r>
        <w:rPr>
          <w:rFonts w:hint="eastAsia" w:ascii="仿宋" w:hAnsi="仿宋" w:eastAsia="仿宋"/>
          <w:kern w:val="0"/>
          <w:sz w:val="32"/>
          <w:szCs w:val="32"/>
          <w:lang w:val="en-US" w:eastAsia="zh-CN"/>
        </w:rPr>
        <w:t>1.03</w:t>
      </w:r>
      <w:r>
        <w:rPr>
          <w:rFonts w:hint="eastAsia" w:ascii="仿宋" w:hAnsi="仿宋" w:eastAsia="仿宋"/>
          <w:kern w:val="0"/>
          <w:sz w:val="32"/>
          <w:szCs w:val="32"/>
        </w:rPr>
        <w:t>万元、维修护费0.</w:t>
      </w:r>
      <w:r>
        <w:rPr>
          <w:rFonts w:hint="eastAsia" w:ascii="仿宋" w:hAnsi="仿宋" w:eastAsia="仿宋"/>
          <w:kern w:val="0"/>
          <w:sz w:val="32"/>
          <w:szCs w:val="32"/>
          <w:lang w:val="en-US" w:eastAsia="zh-CN"/>
        </w:rPr>
        <w:t>83</w:t>
      </w:r>
      <w:r>
        <w:rPr>
          <w:rFonts w:hint="eastAsia" w:ascii="仿宋" w:hAnsi="仿宋" w:eastAsia="仿宋"/>
          <w:sz w:val="32"/>
          <w:szCs w:val="32"/>
        </w:rPr>
        <w:t>万元</w:t>
      </w:r>
      <w:r>
        <w:rPr>
          <w:rFonts w:hint="eastAsia" w:ascii="仿宋" w:hAnsi="仿宋" w:eastAsia="仿宋"/>
          <w:kern w:val="0"/>
          <w:sz w:val="32"/>
          <w:szCs w:val="32"/>
        </w:rPr>
        <w:t>、会议费0.0</w:t>
      </w:r>
      <w:r>
        <w:rPr>
          <w:rFonts w:hint="eastAsia" w:ascii="仿宋" w:hAnsi="仿宋" w:eastAsia="仿宋"/>
          <w:kern w:val="0"/>
          <w:sz w:val="32"/>
          <w:szCs w:val="32"/>
          <w:lang w:val="en-US" w:eastAsia="zh-CN"/>
        </w:rPr>
        <w:t>4</w:t>
      </w:r>
      <w:r>
        <w:rPr>
          <w:rFonts w:hint="eastAsia" w:ascii="仿宋" w:hAnsi="仿宋" w:eastAsia="仿宋"/>
          <w:sz w:val="32"/>
          <w:szCs w:val="32"/>
        </w:rPr>
        <w:t>万元</w:t>
      </w:r>
      <w:r>
        <w:rPr>
          <w:rFonts w:hint="eastAsia" w:ascii="仿宋" w:hAnsi="仿宋" w:eastAsia="仿宋"/>
          <w:kern w:val="0"/>
          <w:sz w:val="32"/>
          <w:szCs w:val="32"/>
        </w:rPr>
        <w:t>、工会经费</w:t>
      </w:r>
      <w:r>
        <w:rPr>
          <w:rFonts w:hint="eastAsia" w:ascii="仿宋" w:hAnsi="仿宋" w:eastAsia="仿宋"/>
          <w:kern w:val="0"/>
          <w:sz w:val="32"/>
          <w:szCs w:val="32"/>
          <w:lang w:val="en-US" w:eastAsia="zh-CN"/>
        </w:rPr>
        <w:t>7.44</w:t>
      </w:r>
      <w:r>
        <w:rPr>
          <w:rFonts w:hint="eastAsia" w:ascii="仿宋" w:hAnsi="仿宋" w:eastAsia="仿宋"/>
          <w:sz w:val="32"/>
          <w:szCs w:val="32"/>
        </w:rPr>
        <w:t>万元</w:t>
      </w:r>
      <w:r>
        <w:rPr>
          <w:rFonts w:hint="eastAsia" w:ascii="仿宋" w:hAnsi="仿宋" w:eastAsia="仿宋"/>
          <w:kern w:val="0"/>
          <w:sz w:val="32"/>
          <w:szCs w:val="32"/>
        </w:rPr>
        <w:t>、福利费2万元、公务用车运行维护费</w:t>
      </w:r>
      <w:r>
        <w:rPr>
          <w:rFonts w:hint="eastAsia" w:ascii="仿宋" w:hAnsi="仿宋" w:eastAsia="仿宋"/>
          <w:kern w:val="0"/>
          <w:sz w:val="32"/>
          <w:szCs w:val="32"/>
          <w:lang w:val="en-US" w:eastAsia="zh-CN"/>
        </w:rPr>
        <w:t>1.64</w:t>
      </w:r>
      <w:r>
        <w:rPr>
          <w:rFonts w:hint="eastAsia" w:ascii="仿宋" w:hAnsi="仿宋" w:eastAsia="仿宋"/>
          <w:sz w:val="32"/>
          <w:szCs w:val="32"/>
        </w:rPr>
        <w:t>万元</w:t>
      </w:r>
      <w:r>
        <w:rPr>
          <w:rFonts w:hint="eastAsia" w:ascii="仿宋" w:hAnsi="仿宋" w:eastAsia="仿宋"/>
          <w:kern w:val="0"/>
          <w:sz w:val="32"/>
          <w:szCs w:val="32"/>
        </w:rPr>
        <w:t>、其他商品和服务支出1.</w:t>
      </w:r>
      <w:r>
        <w:rPr>
          <w:rFonts w:hint="eastAsia" w:ascii="仿宋" w:hAnsi="仿宋" w:eastAsia="仿宋"/>
          <w:kern w:val="0"/>
          <w:sz w:val="32"/>
          <w:szCs w:val="32"/>
          <w:lang w:val="en-US" w:eastAsia="zh-CN"/>
        </w:rPr>
        <w:t>96</w:t>
      </w:r>
      <w:r>
        <w:rPr>
          <w:rFonts w:hint="eastAsia" w:ascii="仿宋" w:hAnsi="仿宋" w:eastAsia="仿宋"/>
          <w:sz w:val="32"/>
          <w:szCs w:val="32"/>
        </w:rPr>
        <w:t>万元）。</w:t>
      </w:r>
    </w:p>
    <w:p>
      <w:pPr>
        <w:widowControl/>
        <w:spacing w:line="60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七、一般公共预算财政拨款“三公”经费支出决算情况说明</w:t>
      </w:r>
    </w:p>
    <w:p>
      <w:pPr>
        <w:widowControl/>
        <w:spacing w:line="600" w:lineRule="exact"/>
        <w:ind w:firstLine="640" w:firstLineChars="200"/>
        <w:rPr>
          <w:rFonts w:hint="eastAsia" w:eastAsia="仿宋_GB2312"/>
          <w:bCs/>
          <w:kern w:val="0"/>
          <w:sz w:val="32"/>
          <w:szCs w:val="32"/>
        </w:rPr>
      </w:pPr>
      <w:r>
        <w:rPr>
          <w:rFonts w:eastAsia="仿宋_GB2312"/>
          <w:bCs/>
          <w:kern w:val="0"/>
          <w:sz w:val="32"/>
          <w:szCs w:val="32"/>
        </w:rPr>
        <w:t>（一）“三公”经费财政拨款支出决算总体情况说明。</w:t>
      </w:r>
    </w:p>
    <w:p>
      <w:pPr>
        <w:widowControl/>
        <w:spacing w:line="360" w:lineRule="auto"/>
        <w:ind w:firstLine="640" w:firstLineChars="200"/>
        <w:rPr>
          <w:rFonts w:hint="eastAsia" w:ascii="仿宋" w:hAnsi="仿宋" w:eastAsia="仿宋"/>
          <w:bCs/>
          <w:kern w:val="0"/>
          <w:sz w:val="32"/>
          <w:szCs w:val="32"/>
        </w:rPr>
      </w:pPr>
      <w:r>
        <w:rPr>
          <w:rFonts w:hint="eastAsia" w:ascii="仿宋" w:hAnsi="仿宋" w:eastAsia="仿宋"/>
          <w:sz w:val="32"/>
          <w:szCs w:val="32"/>
        </w:rPr>
        <w:t>201</w:t>
      </w:r>
      <w:r>
        <w:rPr>
          <w:rFonts w:hint="eastAsia" w:ascii="仿宋" w:hAnsi="仿宋" w:eastAsia="仿宋"/>
          <w:sz w:val="32"/>
          <w:szCs w:val="32"/>
          <w:lang w:val="en-US" w:eastAsia="zh-CN"/>
        </w:rPr>
        <w:t>9</w:t>
      </w:r>
      <w:r>
        <w:rPr>
          <w:rFonts w:hint="eastAsia" w:ascii="仿宋" w:hAnsi="仿宋" w:eastAsia="仿宋"/>
          <w:sz w:val="32"/>
          <w:szCs w:val="32"/>
        </w:rPr>
        <w:t>年年初预算安排</w:t>
      </w:r>
      <w:r>
        <w:rPr>
          <w:rFonts w:hint="eastAsia" w:ascii="仿宋" w:hAnsi="仿宋" w:eastAsia="仿宋"/>
          <w:kern w:val="0"/>
          <w:sz w:val="32"/>
          <w:szCs w:val="32"/>
        </w:rPr>
        <w:t>“三公”经费总额</w:t>
      </w:r>
      <w:r>
        <w:rPr>
          <w:rFonts w:hint="eastAsia" w:ascii="仿宋" w:hAnsi="仿宋" w:eastAsia="仿宋"/>
          <w:kern w:val="0"/>
          <w:sz w:val="32"/>
          <w:szCs w:val="32"/>
          <w:lang w:val="en-US" w:eastAsia="zh-CN"/>
        </w:rPr>
        <w:t>0</w:t>
      </w:r>
      <w:r>
        <w:rPr>
          <w:rFonts w:hint="eastAsia" w:ascii="仿宋" w:hAnsi="仿宋" w:eastAsia="仿宋"/>
          <w:kern w:val="0"/>
          <w:sz w:val="32"/>
          <w:szCs w:val="32"/>
        </w:rPr>
        <w:t>万元，201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年“三公”经费因公出国费0元、公务用车运行费</w:t>
      </w:r>
      <w:r>
        <w:rPr>
          <w:rFonts w:hint="eastAsia" w:ascii="仿宋" w:hAnsi="仿宋" w:eastAsia="仿宋"/>
          <w:kern w:val="0"/>
          <w:sz w:val="32"/>
          <w:szCs w:val="32"/>
          <w:lang w:val="en-US" w:eastAsia="zh-CN"/>
        </w:rPr>
        <w:t>1.64</w:t>
      </w:r>
      <w:r>
        <w:rPr>
          <w:rFonts w:hint="eastAsia" w:ascii="仿宋" w:hAnsi="仿宋" w:eastAsia="仿宋"/>
          <w:sz w:val="32"/>
          <w:szCs w:val="32"/>
        </w:rPr>
        <w:t>万元，合计</w:t>
      </w:r>
      <w:r>
        <w:rPr>
          <w:rFonts w:hint="eastAsia" w:ascii="仿宋" w:hAnsi="仿宋" w:eastAsia="仿宋"/>
          <w:sz w:val="32"/>
          <w:szCs w:val="32"/>
          <w:lang w:val="en-US" w:eastAsia="zh-CN"/>
        </w:rPr>
        <w:t>1.64</w:t>
      </w:r>
      <w:r>
        <w:rPr>
          <w:rFonts w:hint="eastAsia" w:ascii="仿宋" w:hAnsi="仿宋" w:eastAsia="仿宋"/>
          <w:sz w:val="32"/>
          <w:szCs w:val="32"/>
        </w:rPr>
        <w:t>万元。</w:t>
      </w:r>
    </w:p>
    <w:p>
      <w:pPr>
        <w:widowControl/>
        <w:spacing w:line="600" w:lineRule="exact"/>
        <w:ind w:firstLine="640" w:firstLineChars="200"/>
        <w:rPr>
          <w:rFonts w:eastAsia="仿宋_GB2312"/>
          <w:bCs/>
          <w:kern w:val="0"/>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8</w:t>
      </w:r>
      <w:r>
        <w:rPr>
          <w:rFonts w:hint="eastAsia" w:ascii="仿宋" w:hAnsi="仿宋" w:eastAsia="仿宋"/>
          <w:kern w:val="0"/>
          <w:sz w:val="32"/>
          <w:szCs w:val="32"/>
        </w:rPr>
        <w:t>年“三公”经费因公出国费</w:t>
      </w:r>
      <w:r>
        <w:rPr>
          <w:rFonts w:hint="eastAsia" w:ascii="仿宋" w:hAnsi="仿宋" w:eastAsia="仿宋"/>
          <w:kern w:val="0"/>
          <w:sz w:val="32"/>
          <w:szCs w:val="32"/>
          <w:lang w:val="en-US" w:eastAsia="zh-CN"/>
        </w:rPr>
        <w:t>0</w:t>
      </w:r>
      <w:r>
        <w:rPr>
          <w:rFonts w:hint="eastAsia" w:ascii="仿宋" w:hAnsi="仿宋" w:eastAsia="仿宋"/>
          <w:kern w:val="0"/>
          <w:sz w:val="32"/>
          <w:szCs w:val="32"/>
        </w:rPr>
        <w:t>元、公务用车运行费</w:t>
      </w:r>
      <w:r>
        <w:rPr>
          <w:rFonts w:hint="eastAsia" w:ascii="仿宋" w:hAnsi="仿宋" w:eastAsia="仿宋"/>
          <w:kern w:val="0"/>
          <w:sz w:val="32"/>
          <w:szCs w:val="32"/>
          <w:lang w:val="en-US" w:eastAsia="zh-CN"/>
        </w:rPr>
        <w:t>2.1</w:t>
      </w:r>
      <w:r>
        <w:rPr>
          <w:rFonts w:hint="eastAsia" w:ascii="仿宋" w:hAnsi="仿宋" w:eastAsia="仿宋"/>
          <w:sz w:val="32"/>
          <w:szCs w:val="32"/>
        </w:rPr>
        <w:t>万元、公务接待费</w:t>
      </w:r>
      <w:r>
        <w:rPr>
          <w:rFonts w:hint="eastAsia" w:ascii="仿宋" w:hAnsi="仿宋" w:eastAsia="仿宋"/>
          <w:sz w:val="32"/>
          <w:szCs w:val="32"/>
          <w:lang w:val="en-US" w:eastAsia="zh-CN"/>
        </w:rPr>
        <w:t>0.24</w:t>
      </w:r>
      <w:r>
        <w:rPr>
          <w:rFonts w:hint="eastAsia" w:ascii="仿宋" w:hAnsi="仿宋" w:eastAsia="仿宋"/>
          <w:sz w:val="32"/>
          <w:szCs w:val="32"/>
        </w:rPr>
        <w:t>万元，合计2</w:t>
      </w:r>
      <w:r>
        <w:rPr>
          <w:rFonts w:hint="eastAsia" w:ascii="仿宋" w:hAnsi="仿宋" w:eastAsia="仿宋"/>
          <w:sz w:val="32"/>
          <w:szCs w:val="32"/>
          <w:lang w:val="en-US" w:eastAsia="zh-CN"/>
        </w:rPr>
        <w:t>.34</w:t>
      </w:r>
      <w:r>
        <w:rPr>
          <w:rFonts w:hint="eastAsia" w:ascii="仿宋" w:hAnsi="仿宋" w:eastAsia="仿宋"/>
          <w:sz w:val="32"/>
          <w:szCs w:val="32"/>
        </w:rPr>
        <w:t>万元。</w:t>
      </w:r>
      <w:r>
        <w:rPr>
          <w:rFonts w:hint="eastAsia" w:ascii="仿宋" w:hAnsi="仿宋" w:eastAsia="仿宋"/>
          <w:kern w:val="0"/>
          <w:sz w:val="32"/>
          <w:szCs w:val="32"/>
        </w:rPr>
        <w:t>较上年</w:t>
      </w:r>
      <w:r>
        <w:rPr>
          <w:rFonts w:hint="eastAsia" w:ascii="仿宋" w:hAnsi="仿宋" w:eastAsia="仿宋"/>
          <w:kern w:val="0"/>
          <w:sz w:val="32"/>
          <w:szCs w:val="32"/>
          <w:lang w:eastAsia="zh-CN"/>
        </w:rPr>
        <w:t>减少</w:t>
      </w:r>
      <w:r>
        <w:rPr>
          <w:rFonts w:hint="eastAsia" w:ascii="仿宋" w:hAnsi="仿宋" w:eastAsia="仿宋"/>
          <w:kern w:val="0"/>
          <w:sz w:val="32"/>
          <w:szCs w:val="32"/>
        </w:rPr>
        <w:t>0.</w:t>
      </w:r>
      <w:r>
        <w:rPr>
          <w:rFonts w:hint="eastAsia" w:ascii="仿宋" w:hAnsi="仿宋" w:eastAsia="仿宋"/>
          <w:kern w:val="0"/>
          <w:sz w:val="32"/>
          <w:szCs w:val="32"/>
          <w:lang w:val="en-US" w:eastAsia="zh-CN"/>
        </w:rPr>
        <w:t>7</w:t>
      </w:r>
      <w:r>
        <w:rPr>
          <w:rFonts w:hint="eastAsia" w:ascii="仿宋" w:hAnsi="仿宋" w:eastAsia="仿宋"/>
          <w:kern w:val="0"/>
          <w:sz w:val="32"/>
          <w:szCs w:val="32"/>
        </w:rPr>
        <w:t>万元。</w:t>
      </w:r>
    </w:p>
    <w:p>
      <w:pPr>
        <w:widowControl/>
        <w:spacing w:line="600" w:lineRule="exact"/>
        <w:ind w:firstLine="480" w:firstLineChars="150"/>
        <w:rPr>
          <w:rFonts w:eastAsia="仿宋_GB2312"/>
          <w:bCs/>
          <w:kern w:val="0"/>
          <w:sz w:val="32"/>
          <w:szCs w:val="32"/>
        </w:rPr>
      </w:pPr>
      <w:r>
        <w:rPr>
          <w:rFonts w:eastAsia="仿宋_GB2312"/>
          <w:bCs/>
          <w:kern w:val="0"/>
          <w:sz w:val="32"/>
          <w:szCs w:val="32"/>
        </w:rPr>
        <w:t>（二）“三公”经费财政拨款支出决算具体情况说明。</w:t>
      </w:r>
    </w:p>
    <w:p>
      <w:pPr>
        <w:widowControl/>
        <w:spacing w:line="600" w:lineRule="exact"/>
        <w:ind w:firstLine="480" w:firstLineChars="150"/>
        <w:rPr>
          <w:rFonts w:eastAsia="仿宋_GB2312"/>
          <w:kern w:val="0"/>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年“三公”经费因公出国费0元、公务用车运行费</w:t>
      </w:r>
      <w:r>
        <w:rPr>
          <w:rFonts w:hint="eastAsia" w:ascii="仿宋" w:hAnsi="仿宋" w:eastAsia="仿宋"/>
          <w:kern w:val="0"/>
          <w:sz w:val="32"/>
          <w:szCs w:val="32"/>
          <w:lang w:val="en-US" w:eastAsia="zh-CN"/>
        </w:rPr>
        <w:t>1.64</w:t>
      </w:r>
      <w:r>
        <w:rPr>
          <w:rFonts w:hint="eastAsia" w:ascii="仿宋" w:hAnsi="仿宋" w:eastAsia="仿宋"/>
          <w:sz w:val="32"/>
          <w:szCs w:val="32"/>
        </w:rPr>
        <w:t>万元（本办公务用车一辆，用于油费充值、年检保险及维修等费用）。</w:t>
      </w:r>
    </w:p>
    <w:p>
      <w:pPr>
        <w:widowControl/>
        <w:spacing w:line="600" w:lineRule="exact"/>
        <w:ind w:firstLine="640" w:firstLineChars="200"/>
        <w:rPr>
          <w:rFonts w:hint="eastAsia" w:ascii="黑体" w:hAnsi="黑体" w:eastAsia="黑体" w:cs="黑体"/>
          <w:bCs/>
          <w:kern w:val="0"/>
          <w:sz w:val="32"/>
          <w:szCs w:val="32"/>
        </w:rPr>
      </w:pPr>
      <w:r>
        <w:rPr>
          <w:rFonts w:hint="eastAsia" w:ascii="黑体" w:hAnsi="黑体" w:eastAsia="黑体" w:cs="黑体"/>
          <w:bCs/>
          <w:kern w:val="0"/>
          <w:sz w:val="32"/>
          <w:szCs w:val="32"/>
        </w:rPr>
        <w:t>八、政府性基金预算收入支出决算情况</w:t>
      </w:r>
    </w:p>
    <w:p>
      <w:pPr>
        <w:widowControl/>
        <w:spacing w:line="600" w:lineRule="exact"/>
        <w:ind w:firstLine="640" w:firstLineChars="200"/>
        <w:rPr>
          <w:rFonts w:hint="eastAsia" w:ascii="仿宋" w:hAnsi="仿宋" w:eastAsia="仿宋"/>
          <w:bCs/>
          <w:kern w:val="0"/>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w:t>
      </w:r>
      <w:r>
        <w:rPr>
          <w:rFonts w:ascii="仿宋" w:hAnsi="仿宋" w:eastAsia="仿宋"/>
          <w:bCs/>
          <w:kern w:val="0"/>
          <w:sz w:val="32"/>
          <w:szCs w:val="32"/>
        </w:rPr>
        <w:t>政府性基金预算收入</w:t>
      </w:r>
      <w:r>
        <w:rPr>
          <w:rFonts w:hint="eastAsia" w:ascii="仿宋" w:hAnsi="仿宋" w:eastAsia="仿宋"/>
          <w:bCs/>
          <w:kern w:val="0"/>
          <w:sz w:val="32"/>
          <w:szCs w:val="32"/>
          <w:lang w:val="en-US" w:eastAsia="zh-CN"/>
        </w:rPr>
        <w:t>133.71</w:t>
      </w:r>
      <w:r>
        <w:rPr>
          <w:rFonts w:hint="eastAsia" w:ascii="仿宋" w:hAnsi="仿宋" w:eastAsia="仿宋"/>
          <w:bCs/>
          <w:kern w:val="0"/>
          <w:sz w:val="32"/>
          <w:szCs w:val="32"/>
        </w:rPr>
        <w:t>万元，上年度结存94.2万元，支出</w:t>
      </w:r>
      <w:r>
        <w:rPr>
          <w:rFonts w:hint="eastAsia" w:ascii="仿宋" w:hAnsi="仿宋" w:eastAsia="仿宋"/>
          <w:bCs/>
          <w:kern w:val="0"/>
          <w:sz w:val="32"/>
          <w:szCs w:val="32"/>
          <w:lang w:val="en-US" w:eastAsia="zh-CN"/>
        </w:rPr>
        <w:t>227.91</w:t>
      </w:r>
      <w:r>
        <w:rPr>
          <w:rFonts w:hint="eastAsia" w:ascii="仿宋" w:hAnsi="仿宋" w:eastAsia="仿宋"/>
          <w:bCs/>
          <w:kern w:val="0"/>
          <w:sz w:val="32"/>
          <w:szCs w:val="32"/>
        </w:rPr>
        <w:t>万元，为新型墙体材料专项基金和散装水泥专项资金返退款。结余结转下年</w:t>
      </w:r>
      <w:r>
        <w:rPr>
          <w:rFonts w:hint="eastAsia" w:ascii="仿宋" w:hAnsi="仿宋" w:eastAsia="仿宋"/>
          <w:bCs/>
          <w:kern w:val="0"/>
          <w:sz w:val="32"/>
          <w:szCs w:val="32"/>
          <w:lang w:val="en-US" w:eastAsia="zh-CN"/>
        </w:rPr>
        <w:t>0</w:t>
      </w:r>
      <w:r>
        <w:rPr>
          <w:rFonts w:hint="eastAsia" w:ascii="仿宋" w:hAnsi="仿宋" w:eastAsia="仿宋"/>
          <w:bCs/>
          <w:kern w:val="0"/>
          <w:sz w:val="32"/>
          <w:szCs w:val="32"/>
        </w:rPr>
        <w:t>万元。</w:t>
      </w:r>
    </w:p>
    <w:p>
      <w:pPr>
        <w:widowControl/>
        <w:spacing w:line="360" w:lineRule="auto"/>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九、关于201</w:t>
      </w:r>
      <w:r>
        <w:rPr>
          <w:rFonts w:hint="eastAsia" w:ascii="黑体" w:hAnsi="黑体" w:eastAsia="黑体" w:cs="黑体"/>
          <w:kern w:val="0"/>
          <w:sz w:val="32"/>
          <w:szCs w:val="32"/>
          <w:lang w:val="en-US" w:eastAsia="zh-CN"/>
        </w:rPr>
        <w:t>9</w:t>
      </w:r>
      <w:r>
        <w:rPr>
          <w:rFonts w:hint="eastAsia" w:ascii="黑体" w:hAnsi="黑体" w:eastAsia="黑体" w:cs="黑体"/>
          <w:kern w:val="0"/>
          <w:sz w:val="32"/>
          <w:szCs w:val="32"/>
        </w:rPr>
        <w:t>年度预算绩效情况说明</w:t>
      </w:r>
    </w:p>
    <w:p>
      <w:pPr>
        <w:snapToGrid w:val="0"/>
        <w:spacing w:line="360" w:lineRule="auto"/>
        <w:ind w:firstLine="640" w:firstLineChars="200"/>
        <w:rPr>
          <w:rFonts w:hint="eastAsia" w:ascii="仿宋" w:hAnsi="仿宋" w:eastAsia="仿宋"/>
          <w:sz w:val="32"/>
          <w:szCs w:val="32"/>
        </w:rPr>
      </w:pPr>
      <w:r>
        <w:rPr>
          <w:rFonts w:hint="eastAsia" w:ascii="仿宋" w:hAnsi="仿宋" w:eastAsia="仿宋"/>
          <w:kern w:val="0"/>
          <w:sz w:val="32"/>
          <w:szCs w:val="32"/>
        </w:rPr>
        <w:t>201</w:t>
      </w:r>
      <w:r>
        <w:rPr>
          <w:rFonts w:hint="eastAsia" w:ascii="仿宋" w:hAnsi="仿宋" w:eastAsia="仿宋"/>
          <w:kern w:val="0"/>
          <w:sz w:val="32"/>
          <w:szCs w:val="32"/>
          <w:lang w:val="en-US" w:eastAsia="zh-CN"/>
        </w:rPr>
        <w:t>9</w:t>
      </w:r>
      <w:r>
        <w:rPr>
          <w:rFonts w:hint="eastAsia" w:ascii="仿宋" w:hAnsi="仿宋" w:eastAsia="仿宋"/>
          <w:kern w:val="0"/>
          <w:sz w:val="32"/>
          <w:szCs w:val="32"/>
        </w:rPr>
        <w:t>年，我部门按预算绩效管理的要求，申报了部门整体绩效，无项目绩效，并开展绩效评价工作，各项指标在评分中。</w:t>
      </w:r>
    </w:p>
    <w:p>
      <w:pPr>
        <w:widowControl/>
        <w:spacing w:line="600" w:lineRule="exact"/>
        <w:ind w:firstLine="640" w:firstLineChars="200"/>
        <w:rPr>
          <w:rFonts w:hint="eastAsia" w:ascii="黑体" w:hAnsi="黑体" w:eastAsia="黑体" w:cs="黑体"/>
          <w:kern w:val="0"/>
          <w:sz w:val="32"/>
          <w:szCs w:val="32"/>
        </w:rPr>
      </w:pPr>
      <w:r>
        <w:rPr>
          <w:rFonts w:hint="eastAsia" w:ascii="黑体" w:hAnsi="黑体" w:eastAsia="黑体" w:cs="黑体"/>
          <w:kern w:val="0"/>
          <w:sz w:val="32"/>
          <w:szCs w:val="32"/>
        </w:rPr>
        <w:t>十、其他重要事项</w:t>
      </w:r>
    </w:p>
    <w:p>
      <w:pPr>
        <w:autoSpaceDE w:val="0"/>
        <w:autoSpaceDN w:val="0"/>
        <w:adjustRightInd w:val="0"/>
        <w:spacing w:line="600" w:lineRule="exact"/>
        <w:ind w:firstLine="640" w:firstLineChars="200"/>
        <w:rPr>
          <w:rFonts w:eastAsia="仿宋_GB2312"/>
          <w:kern w:val="0"/>
          <w:sz w:val="32"/>
          <w:szCs w:val="32"/>
        </w:rPr>
      </w:pPr>
      <w:r>
        <w:rPr>
          <w:rFonts w:eastAsia="仿宋_GB2312"/>
          <w:kern w:val="0"/>
          <w:sz w:val="32"/>
          <w:szCs w:val="32"/>
        </w:rPr>
        <w:t>（一）机关运行经费支出情况。</w:t>
      </w:r>
      <w:r>
        <w:rPr>
          <w:rFonts w:ascii="仿宋" w:hAnsi="仿宋" w:eastAsia="仿宋"/>
          <w:kern w:val="0"/>
          <w:sz w:val="32"/>
          <w:szCs w:val="32"/>
        </w:rPr>
        <w:t>本部门201</w:t>
      </w:r>
      <w:r>
        <w:rPr>
          <w:rFonts w:hint="eastAsia" w:ascii="仿宋" w:hAnsi="仿宋" w:eastAsia="仿宋"/>
          <w:kern w:val="0"/>
          <w:sz w:val="32"/>
          <w:szCs w:val="32"/>
          <w:lang w:val="en-US" w:eastAsia="zh-CN"/>
        </w:rPr>
        <w:t>9</w:t>
      </w:r>
      <w:r>
        <w:rPr>
          <w:rFonts w:ascii="仿宋" w:hAnsi="仿宋" w:eastAsia="仿宋"/>
          <w:kern w:val="0"/>
          <w:sz w:val="32"/>
          <w:szCs w:val="32"/>
        </w:rPr>
        <w:t>年度机关运行经费支出</w:t>
      </w:r>
      <w:r>
        <w:rPr>
          <w:rFonts w:hint="eastAsia" w:ascii="仿宋" w:hAnsi="仿宋" w:eastAsia="仿宋"/>
          <w:kern w:val="0"/>
          <w:sz w:val="32"/>
          <w:szCs w:val="32"/>
          <w:lang w:val="en-US" w:eastAsia="zh-CN"/>
        </w:rPr>
        <w:t>19.9</w:t>
      </w:r>
      <w:r>
        <w:rPr>
          <w:rFonts w:ascii="仿宋" w:hAnsi="仿宋" w:eastAsia="仿宋"/>
          <w:kern w:val="0"/>
          <w:sz w:val="32"/>
          <w:szCs w:val="32"/>
        </w:rPr>
        <w:t xml:space="preserve"> 万元，比</w:t>
      </w:r>
      <w:r>
        <w:rPr>
          <w:rFonts w:hint="eastAsia" w:ascii="仿宋" w:hAnsi="仿宋" w:eastAsia="仿宋"/>
          <w:kern w:val="0"/>
          <w:sz w:val="32"/>
          <w:szCs w:val="32"/>
          <w:lang w:val="en-US" w:eastAsia="zh-CN"/>
        </w:rPr>
        <w:t>2018年</w:t>
      </w:r>
      <w:r>
        <w:rPr>
          <w:rFonts w:ascii="仿宋" w:hAnsi="仿宋" w:eastAsia="仿宋"/>
          <w:kern w:val="0"/>
          <w:sz w:val="32"/>
          <w:szCs w:val="32"/>
        </w:rPr>
        <w:t>减少</w:t>
      </w:r>
      <w:r>
        <w:rPr>
          <w:rFonts w:hint="eastAsia" w:ascii="仿宋" w:hAnsi="仿宋" w:eastAsia="仿宋"/>
          <w:kern w:val="0"/>
          <w:sz w:val="32"/>
          <w:szCs w:val="32"/>
          <w:lang w:val="en-US" w:eastAsia="zh-CN"/>
        </w:rPr>
        <w:t>0.66</w:t>
      </w:r>
      <w:r>
        <w:rPr>
          <w:rFonts w:ascii="仿宋" w:hAnsi="仿宋" w:eastAsia="仿宋"/>
          <w:kern w:val="0"/>
          <w:sz w:val="32"/>
          <w:szCs w:val="32"/>
        </w:rPr>
        <w:t>万元，降低</w:t>
      </w:r>
      <w:r>
        <w:rPr>
          <w:rFonts w:hint="eastAsia" w:ascii="仿宋" w:hAnsi="仿宋" w:eastAsia="仿宋"/>
          <w:kern w:val="0"/>
          <w:sz w:val="32"/>
          <w:szCs w:val="32"/>
        </w:rPr>
        <w:t>7.5</w:t>
      </w:r>
      <w:r>
        <w:rPr>
          <w:rFonts w:ascii="仿宋" w:hAnsi="仿宋" w:eastAsia="仿宋"/>
          <w:kern w:val="0"/>
          <w:sz w:val="32"/>
          <w:szCs w:val="32"/>
        </w:rPr>
        <w:t>%。主要原因是：</w:t>
      </w:r>
      <w:r>
        <w:rPr>
          <w:rFonts w:hint="eastAsia" w:ascii="仿宋" w:hAnsi="仿宋" w:eastAsia="仿宋"/>
          <w:kern w:val="0"/>
          <w:sz w:val="32"/>
          <w:szCs w:val="32"/>
        </w:rPr>
        <w:t>我办</w:t>
      </w:r>
      <w:r>
        <w:rPr>
          <w:rFonts w:hint="eastAsia" w:ascii="仿宋" w:hAnsi="仿宋" w:eastAsia="仿宋" w:cs="宋体"/>
          <w:kern w:val="0"/>
          <w:sz w:val="32"/>
          <w:szCs w:val="32"/>
        </w:rPr>
        <w:t>积极开源节流，杜绝不合理支出，大力压缩开支。</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（二）一般性支出情况</w:t>
      </w:r>
    </w:p>
    <w:p>
      <w:pPr>
        <w:ind w:firstLine="598" w:firstLineChars="0"/>
        <w:jc w:val="left"/>
        <w:rPr>
          <w:rFonts w:hint="eastAsia" w:ascii="仿宋" w:hAnsi="仿宋" w:eastAsia="仿宋" w:cs="仿宋"/>
          <w:kern w:val="0"/>
          <w:sz w:val="32"/>
          <w:szCs w:val="32"/>
        </w:rPr>
      </w:pPr>
      <w:r>
        <w:rPr>
          <w:rFonts w:hint="eastAsia" w:ascii="仿宋" w:hAnsi="仿宋" w:eastAsia="仿宋" w:cs="仿宋"/>
          <w:kern w:val="2"/>
          <w:sz w:val="32"/>
          <w:szCs w:val="32"/>
          <w:lang w:val="en-US" w:eastAsia="zh-CN" w:bidi="ar-SA"/>
        </w:rPr>
        <w:t>2019年本部门支出会议费0.04万元，用于参加湖南省墙体材料改革办公室关于召开全省墙办主任座谈会，参加人数为1人。</w:t>
      </w:r>
    </w:p>
    <w:p>
      <w:pPr>
        <w:autoSpaceDE w:val="0"/>
        <w:autoSpaceDN w:val="0"/>
        <w:adjustRightInd w:val="0"/>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eastAsia="zh-CN"/>
        </w:rPr>
        <w:t>三</w:t>
      </w:r>
      <w:r>
        <w:rPr>
          <w:rFonts w:hint="eastAsia" w:ascii="仿宋" w:hAnsi="仿宋" w:eastAsia="仿宋" w:cs="仿宋"/>
          <w:kern w:val="0"/>
          <w:sz w:val="32"/>
          <w:szCs w:val="32"/>
        </w:rPr>
        <w:t>）政府采购支出情况。</w:t>
      </w:r>
    </w:p>
    <w:p>
      <w:pPr>
        <w:autoSpaceDE w:val="0"/>
        <w:autoSpaceDN w:val="0"/>
        <w:adjustRightInd w:val="0"/>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本部门201</w:t>
      </w: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 xml:space="preserve"> 年度政府采购支出总额0万元。授予小微企业合同金额</w:t>
      </w:r>
      <w:r>
        <w:rPr>
          <w:rFonts w:hint="eastAsia" w:ascii="仿宋" w:hAnsi="仿宋" w:eastAsia="仿宋" w:cs="仿宋"/>
          <w:sz w:val="32"/>
          <w:szCs w:val="32"/>
          <w:u w:val="single"/>
        </w:rPr>
        <w:t xml:space="preserve">   </w:t>
      </w:r>
      <w:r>
        <w:rPr>
          <w:rFonts w:hint="eastAsia" w:ascii="仿宋" w:hAnsi="仿宋" w:eastAsia="仿宋" w:cs="仿宋"/>
          <w:kern w:val="0"/>
          <w:sz w:val="32"/>
          <w:szCs w:val="32"/>
        </w:rPr>
        <w:t>万元，占政府采购支出总额的</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w:t>
      </w:r>
    </w:p>
    <w:p>
      <w:pPr>
        <w:autoSpaceDE w:val="0"/>
        <w:autoSpaceDN w:val="0"/>
        <w:adjustRightInd w:val="0"/>
        <w:spacing w:line="60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eastAsia="zh-CN"/>
        </w:rPr>
        <w:t>四</w:t>
      </w:r>
      <w:r>
        <w:rPr>
          <w:rFonts w:hint="eastAsia" w:ascii="仿宋" w:hAnsi="仿宋" w:eastAsia="仿宋" w:cs="仿宋"/>
          <w:kern w:val="0"/>
          <w:sz w:val="32"/>
          <w:szCs w:val="32"/>
        </w:rPr>
        <w:t>）国有资产占用情况。</w:t>
      </w:r>
    </w:p>
    <w:p>
      <w:pPr>
        <w:widowControl/>
        <w:shd w:val="clear" w:color="auto" w:fill="FFFFFF"/>
        <w:jc w:val="left"/>
        <w:rPr>
          <w:rFonts w:hint="eastAsia" w:ascii="仿宋" w:hAnsi="仿宋" w:eastAsia="仿宋" w:cs="仿宋"/>
          <w:color w:val="000000"/>
          <w:kern w:val="0"/>
          <w:sz w:val="30"/>
          <w:szCs w:val="30"/>
        </w:rPr>
      </w:pPr>
      <w:r>
        <w:rPr>
          <w:rFonts w:hint="eastAsia" w:ascii="仿宋" w:hAnsi="仿宋" w:eastAsia="仿宋" w:cs="仿宋"/>
          <w:kern w:val="0"/>
          <w:sz w:val="32"/>
          <w:szCs w:val="32"/>
        </w:rPr>
        <w:t>截至201</w:t>
      </w: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年12月31日，本部门共</w:t>
      </w:r>
      <w:r>
        <w:rPr>
          <w:rFonts w:hint="eastAsia" w:ascii="仿宋" w:hAnsi="仿宋" w:eastAsia="仿宋" w:cs="仿宋"/>
          <w:color w:val="000000"/>
          <w:kern w:val="0"/>
          <w:sz w:val="30"/>
          <w:szCs w:val="30"/>
        </w:rPr>
        <w:t>有公车</w:t>
      </w:r>
      <w:r>
        <w:rPr>
          <w:rFonts w:hint="eastAsia" w:ascii="仿宋" w:hAnsi="仿宋" w:eastAsia="仿宋" w:cs="仿宋"/>
          <w:color w:val="000000"/>
          <w:kern w:val="0"/>
          <w:sz w:val="30"/>
          <w:szCs w:val="30"/>
          <w:lang w:val="en-US" w:eastAsia="zh-CN"/>
        </w:rPr>
        <w:t>0</w:t>
      </w:r>
      <w:r>
        <w:rPr>
          <w:rFonts w:hint="eastAsia" w:ascii="仿宋" w:hAnsi="仿宋" w:eastAsia="仿宋" w:cs="仿宋"/>
          <w:color w:val="000000"/>
          <w:kern w:val="0"/>
          <w:sz w:val="30"/>
          <w:szCs w:val="30"/>
        </w:rPr>
        <w:t>辆</w:t>
      </w:r>
      <w:r>
        <w:rPr>
          <w:rFonts w:hint="eastAsia" w:ascii="仿宋" w:hAnsi="仿宋" w:eastAsia="仿宋" w:cs="仿宋"/>
          <w:color w:val="000000"/>
          <w:kern w:val="0"/>
          <w:sz w:val="30"/>
          <w:szCs w:val="30"/>
          <w:lang w:eastAsia="zh-CN"/>
        </w:rPr>
        <w:t>（公车改革车辆回收）</w:t>
      </w:r>
      <w:r>
        <w:rPr>
          <w:rFonts w:hint="eastAsia" w:ascii="仿宋" w:hAnsi="仿宋" w:eastAsia="仿宋" w:cs="仿宋"/>
          <w:color w:val="000000"/>
          <w:kern w:val="0"/>
          <w:sz w:val="30"/>
          <w:szCs w:val="30"/>
        </w:rPr>
        <w:t>。拥有国有资产433.72万元，其中办公楼1栋742.02平方米385.15万元</w:t>
      </w:r>
      <w:r>
        <w:rPr>
          <w:rFonts w:hint="eastAsia" w:ascii="仿宋" w:hAnsi="仿宋" w:eastAsia="仿宋" w:cs="仿宋"/>
          <w:color w:val="000000"/>
          <w:kern w:val="0"/>
          <w:sz w:val="30"/>
          <w:szCs w:val="30"/>
          <w:lang w:eastAsia="zh-CN"/>
        </w:rPr>
        <w:t>（转入东山投资公司）</w:t>
      </w:r>
      <w:r>
        <w:rPr>
          <w:rFonts w:hint="eastAsia" w:ascii="仿宋" w:hAnsi="仿宋" w:eastAsia="仿宋" w:cs="仿宋"/>
          <w:color w:val="000000"/>
          <w:kern w:val="0"/>
          <w:sz w:val="30"/>
          <w:szCs w:val="30"/>
        </w:rPr>
        <w:t>、交通运输设备16.48万元、电器设备类别6.36万元、电子产品及通讯9.23万元、家具用具16.44万元。</w:t>
      </w:r>
    </w:p>
    <w:p>
      <w:pPr>
        <w:widowControl/>
        <w:spacing w:line="600" w:lineRule="exact"/>
        <w:ind w:firstLine="640" w:firstLineChars="200"/>
        <w:jc w:val="left"/>
        <w:rPr>
          <w:rFonts w:hint="eastAsia" w:ascii="仿宋" w:hAnsi="仿宋" w:eastAsia="仿宋" w:cs="仿宋"/>
          <w:bCs/>
          <w:kern w:val="0"/>
          <w:sz w:val="32"/>
          <w:szCs w:val="32"/>
        </w:rPr>
      </w:pPr>
      <w:r>
        <w:rPr>
          <w:rFonts w:hint="eastAsia" w:ascii="仿宋" w:hAnsi="仿宋" w:eastAsia="仿宋" w:cs="仿宋"/>
          <w:b w:val="0"/>
          <w:bCs/>
          <w:sz w:val="32"/>
          <w:szCs w:val="32"/>
          <w:lang w:val="en-US" w:eastAsia="zh-CN"/>
        </w:rPr>
        <w:t>(五</w:t>
      </w:r>
      <w:bookmarkStart w:id="2" w:name="_GoBack"/>
      <w:bookmarkEnd w:id="2"/>
      <w:r>
        <w:rPr>
          <w:rFonts w:hint="eastAsia" w:ascii="仿宋" w:hAnsi="仿宋" w:eastAsia="仿宋" w:cs="仿宋"/>
          <w:b w:val="0"/>
          <w:bCs/>
          <w:sz w:val="32"/>
          <w:szCs w:val="32"/>
          <w:lang w:val="en-US" w:eastAsia="zh-CN"/>
        </w:rPr>
        <w:t>)</w:t>
      </w:r>
      <w:r>
        <w:rPr>
          <w:rFonts w:hint="eastAsia" w:ascii="仿宋" w:hAnsi="仿宋" w:eastAsia="仿宋" w:cs="仿宋"/>
          <w:b w:val="0"/>
          <w:bCs/>
          <w:sz w:val="32"/>
          <w:szCs w:val="32"/>
        </w:rPr>
        <w:t>国有资产占用使用及新增资产配置情况：</w:t>
      </w:r>
      <w:r>
        <w:rPr>
          <w:rFonts w:hint="eastAsia" w:ascii="仿宋" w:hAnsi="仿宋" w:eastAsia="仿宋" w:cs="仿宋"/>
          <w:b w:val="0"/>
          <w:bCs/>
          <w:sz w:val="32"/>
          <w:szCs w:val="32"/>
          <w:lang w:val="en-US" w:eastAsia="zh-CN"/>
        </w:rPr>
        <w:t xml:space="preserve">   </w:t>
      </w:r>
      <w:r>
        <w:rPr>
          <w:rFonts w:hint="eastAsia" w:ascii="仿宋" w:hAnsi="仿宋" w:eastAsia="仿宋" w:cs="仿宋"/>
          <w:b/>
          <w:sz w:val="32"/>
          <w:szCs w:val="32"/>
          <w:lang w:val="en-US" w:eastAsia="zh-CN"/>
        </w:rPr>
        <w:t xml:space="preserve">                  </w:t>
      </w:r>
      <w:r>
        <w:rPr>
          <w:rFonts w:hint="eastAsia" w:ascii="仿宋" w:hAnsi="仿宋" w:eastAsia="仿宋" w:cs="仿宋"/>
          <w:sz w:val="32"/>
          <w:szCs w:val="32"/>
        </w:rPr>
        <w:t>截至20</w:t>
      </w:r>
      <w:r>
        <w:rPr>
          <w:rFonts w:hint="eastAsia" w:ascii="仿宋" w:hAnsi="仿宋" w:eastAsia="仿宋" w:cs="仿宋"/>
          <w:sz w:val="32"/>
          <w:szCs w:val="32"/>
          <w:lang w:val="en-US" w:eastAsia="zh-CN"/>
        </w:rPr>
        <w:t>19</w:t>
      </w:r>
      <w:r>
        <w:rPr>
          <w:rFonts w:hint="eastAsia" w:ascii="仿宋" w:hAnsi="仿宋" w:eastAsia="仿宋" w:cs="仿宋"/>
          <w:sz w:val="32"/>
          <w:szCs w:val="32"/>
        </w:rPr>
        <w:t>年12月</w:t>
      </w:r>
      <w:r>
        <w:rPr>
          <w:rFonts w:hint="eastAsia" w:ascii="仿宋" w:hAnsi="仿宋" w:eastAsia="仿宋" w:cs="仿宋"/>
          <w:sz w:val="32"/>
          <w:szCs w:val="32"/>
          <w:lang w:val="en-US" w:eastAsia="zh-CN"/>
        </w:rPr>
        <w:t>31日</w:t>
      </w:r>
      <w:r>
        <w:rPr>
          <w:rFonts w:hint="eastAsia" w:ascii="仿宋" w:hAnsi="仿宋" w:eastAsia="仿宋" w:cs="仿宋"/>
          <w:sz w:val="32"/>
          <w:szCs w:val="32"/>
        </w:rPr>
        <w:t>，本部门</w:t>
      </w:r>
      <w:r>
        <w:rPr>
          <w:rFonts w:hint="eastAsia" w:ascii="仿宋" w:hAnsi="仿宋" w:eastAsia="仿宋" w:cs="仿宋"/>
          <w:bCs/>
          <w:kern w:val="0"/>
          <w:sz w:val="32"/>
          <w:szCs w:val="32"/>
        </w:rPr>
        <w:t>共有公务用车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w:t>
      </w:r>
      <w:r>
        <w:rPr>
          <w:rFonts w:hint="eastAsia" w:ascii="仿宋" w:hAnsi="仿宋" w:eastAsia="仿宋" w:cs="仿宋"/>
          <w:color w:val="000000"/>
          <w:kern w:val="0"/>
          <w:sz w:val="30"/>
          <w:szCs w:val="30"/>
          <w:lang w:eastAsia="zh-CN"/>
        </w:rPr>
        <w:t>（公车改革车辆回收）</w:t>
      </w:r>
      <w:r>
        <w:rPr>
          <w:rFonts w:hint="eastAsia" w:ascii="仿宋" w:hAnsi="仿宋" w:eastAsia="仿宋" w:cs="仿宋"/>
          <w:bCs/>
          <w:kern w:val="0"/>
          <w:sz w:val="32"/>
          <w:szCs w:val="32"/>
        </w:rPr>
        <w:t>，其中，机要通信用车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辆，应急保障用车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辆，执法执勤用车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辆，特种专业技术用车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辆，其他按照规定配备的公务用车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辆；单位价值50万元以上通用设备</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台，单位价值100万元以上专用设备</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台。</w:t>
      </w:r>
      <w:r>
        <w:rPr>
          <w:rFonts w:hint="eastAsia" w:ascii="仿宋" w:hAnsi="仿宋" w:eastAsia="仿宋" w:cs="仿宋"/>
          <w:bCs/>
          <w:kern w:val="0"/>
          <w:sz w:val="32"/>
          <w:szCs w:val="32"/>
          <w:lang w:val="en-US" w:eastAsia="zh-CN"/>
        </w:rPr>
        <w:t>2020</w:t>
      </w:r>
      <w:r>
        <w:rPr>
          <w:rFonts w:hint="eastAsia" w:ascii="仿宋" w:hAnsi="仿宋" w:eastAsia="仿宋" w:cs="仿宋"/>
          <w:bCs/>
          <w:kern w:val="0"/>
          <w:sz w:val="32"/>
          <w:szCs w:val="32"/>
        </w:rPr>
        <w:t>年拟新增配置公务用车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辆，其中，机要通信用车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辆，应急保障用车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辆，执法执勤用车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辆，特种专业技术用车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辆，其他按照规定配备的公务用车</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辆；新增配备单位价值50万元以上通用设备</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台，单位价值100万元以上专用设备</w:t>
      </w:r>
      <w:r>
        <w:rPr>
          <w:rFonts w:hint="eastAsia" w:ascii="仿宋" w:hAnsi="仿宋" w:eastAsia="仿宋" w:cs="仿宋"/>
          <w:bCs/>
          <w:kern w:val="0"/>
          <w:sz w:val="32"/>
          <w:szCs w:val="32"/>
          <w:lang w:val="en-US" w:eastAsia="zh-CN"/>
        </w:rPr>
        <w:t>0</w:t>
      </w:r>
      <w:r>
        <w:rPr>
          <w:rFonts w:hint="eastAsia" w:ascii="仿宋" w:hAnsi="仿宋" w:eastAsia="仿宋" w:cs="仿宋"/>
          <w:bCs/>
          <w:kern w:val="0"/>
          <w:sz w:val="32"/>
          <w:szCs w:val="32"/>
        </w:rPr>
        <w:t>台。</w:t>
      </w:r>
    </w:p>
    <w:p>
      <w:pPr>
        <w:autoSpaceDE w:val="0"/>
        <w:autoSpaceDN w:val="0"/>
        <w:adjustRightInd w:val="0"/>
        <w:spacing w:line="600" w:lineRule="exact"/>
        <w:ind w:firstLine="640" w:firstLineChars="200"/>
        <w:rPr>
          <w:rFonts w:eastAsia="仿宋_GB2312"/>
          <w:kern w:val="0"/>
          <w:sz w:val="32"/>
          <w:szCs w:val="32"/>
        </w:rPr>
      </w:pP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rPr>
          <w:rFonts w:hint="eastAsia" w:ascii="仿宋" w:hAnsi="仿宋" w:eastAsia="仿宋" w:cs="仿宋"/>
          <w:sz w:val="32"/>
          <w:szCs w:val="32"/>
        </w:rPr>
      </w:pPr>
      <w:r>
        <w:rPr>
          <w:rFonts w:hint="eastAsia" w:ascii="仿宋" w:hAnsi="仿宋" w:eastAsia="仿宋" w:cs="仿宋"/>
          <w:b/>
          <w:bCs/>
          <w:sz w:val="32"/>
          <w:szCs w:val="32"/>
        </w:rPr>
        <w:t>1、机关运行经费</w:t>
      </w:r>
      <w:r>
        <w:rPr>
          <w:rFonts w:hint="eastAsia" w:ascii="仿宋" w:hAnsi="仿宋" w:eastAsia="仿宋" w:cs="仿宋"/>
          <w:sz w:val="32"/>
          <w:szCs w:val="32"/>
        </w:rPr>
        <w:t>：是指各部门的公用经费，包括办公及印刷费、邮电费、差旅费、会议费、福利费、日常维修费、专用资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b/>
          <w:bCs/>
          <w:sz w:val="32"/>
          <w:szCs w:val="32"/>
        </w:rPr>
        <w:t>2、“三公”经费</w:t>
      </w:r>
      <w:r>
        <w:rPr>
          <w:rFonts w:hint="eastAsia" w:ascii="仿宋" w:hAnsi="仿宋" w:eastAsia="仿宋" w:cs="仿宋"/>
          <w:sz w:val="32"/>
          <w:szCs w:val="32"/>
        </w:rPr>
        <w:t>：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ind w:firstLine="640" w:firstLineChars="200"/>
        <w:jc w:val="left"/>
        <w:rPr>
          <w:rFonts w:hint="eastAsia" w:ascii="仿宋" w:hAnsi="仿宋" w:eastAsia="仿宋" w:cs="仿宋"/>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2200" w:firstLineChars="500"/>
        <w:jc w:val="both"/>
        <w:rPr>
          <w:rFonts w:hint="eastAsia" w:ascii="宋体" w:hAnsi="宋体"/>
          <w:b/>
          <w:sz w:val="44"/>
          <w:szCs w:val="44"/>
        </w:rPr>
      </w:pPr>
      <w:r>
        <w:rPr>
          <w:rFonts w:hint="eastAsia" w:ascii="宋体" w:hAnsi="宋体"/>
          <w:b/>
          <w:sz w:val="44"/>
          <w:szCs w:val="44"/>
        </w:rPr>
        <w:t>湘乡市墙体材料改革办公室</w:t>
      </w:r>
    </w:p>
    <w:p>
      <w:pPr>
        <w:spacing w:line="360" w:lineRule="auto"/>
        <w:ind w:right="641"/>
        <w:jc w:val="center"/>
        <w:rPr>
          <w:rFonts w:ascii="宋体" w:hAnsi="宋体"/>
          <w:b/>
          <w:sz w:val="44"/>
          <w:szCs w:val="44"/>
        </w:rPr>
      </w:pPr>
      <w:r>
        <w:rPr>
          <w:rFonts w:hint="eastAsia" w:ascii="宋体" w:hAnsi="宋体"/>
          <w:b/>
          <w:sz w:val="44"/>
          <w:szCs w:val="44"/>
        </w:rPr>
        <w:t>201</w:t>
      </w:r>
      <w:r>
        <w:rPr>
          <w:rFonts w:hint="eastAsia" w:ascii="宋体" w:hAnsi="宋体"/>
          <w:b/>
          <w:sz w:val="44"/>
          <w:szCs w:val="44"/>
          <w:lang w:val="en-US" w:eastAsia="zh-CN"/>
        </w:rPr>
        <w:t>9</w:t>
      </w:r>
      <w:r>
        <w:rPr>
          <w:rFonts w:hint="eastAsia" w:ascii="宋体" w:hAnsi="宋体"/>
          <w:b/>
          <w:sz w:val="44"/>
          <w:szCs w:val="44"/>
        </w:rPr>
        <w:t>年度</w:t>
      </w:r>
      <w:r>
        <w:rPr>
          <w:rFonts w:ascii="宋体" w:hAnsi="宋体"/>
          <w:b/>
          <w:sz w:val="44"/>
          <w:szCs w:val="44"/>
        </w:rPr>
        <w:t>部门整体支出绩效自评报告</w:t>
      </w:r>
    </w:p>
    <w:p>
      <w:pPr>
        <w:snapToGrid w:val="0"/>
        <w:spacing w:line="360" w:lineRule="auto"/>
        <w:ind w:firstLine="420" w:firstLineChars="200"/>
        <w:rPr>
          <w:rFonts w:hint="eastAsia" w:ascii="仿宋" w:hAnsi="仿宋" w:eastAsia="仿宋"/>
          <w:szCs w:val="32"/>
        </w:rPr>
      </w:pP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一、部门概况</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kern w:val="0"/>
          <w:sz w:val="32"/>
          <w:szCs w:val="32"/>
        </w:rPr>
        <w:t>湘乡市墙体材料改革办公室是与湘乡市散装水泥管理办公室，两块牌子一套机构，</w:t>
      </w:r>
      <w:r>
        <w:rPr>
          <w:rFonts w:hint="eastAsia" w:ascii="仿宋" w:hAnsi="仿宋" w:eastAsia="仿宋" w:cs="仿宋"/>
          <w:sz w:val="32"/>
          <w:szCs w:val="32"/>
        </w:rPr>
        <w:t>单位定编为10人，现有在职职工16人（带编14人，退伍安置未入编2人），退休职工2人，</w:t>
      </w:r>
      <w:r>
        <w:rPr>
          <w:rFonts w:hint="eastAsia" w:ascii="仿宋" w:hAnsi="仿宋" w:eastAsia="仿宋" w:cs="仿宋"/>
          <w:kern w:val="0"/>
          <w:sz w:val="32"/>
          <w:szCs w:val="32"/>
        </w:rPr>
        <w:t>全额拔款事业单位，隶属于湘乡市住房和城乡建设局，具体负责贯彻国家和省有关墙改、</w:t>
      </w:r>
      <w:r>
        <w:rPr>
          <w:rFonts w:hint="eastAsia" w:ascii="仿宋" w:hAnsi="仿宋" w:eastAsia="仿宋" w:cs="仿宋"/>
          <w:color w:val="000000"/>
          <w:kern w:val="0"/>
          <w:sz w:val="32"/>
          <w:szCs w:val="32"/>
        </w:rPr>
        <w:t>发展散装水泥</w:t>
      </w:r>
      <w:r>
        <w:rPr>
          <w:rFonts w:hint="eastAsia" w:ascii="仿宋" w:hAnsi="仿宋" w:eastAsia="仿宋" w:cs="仿宋"/>
          <w:kern w:val="0"/>
          <w:sz w:val="32"/>
          <w:szCs w:val="32"/>
        </w:rPr>
        <w:t>的政策、法律法规，对本辖区内墙材和水泥使用情况进行监督管理等具体工作。</w:t>
      </w:r>
      <w:r>
        <w:rPr>
          <w:rFonts w:hint="eastAsia" w:ascii="仿宋" w:hAnsi="仿宋" w:eastAsia="仿宋" w:cs="仿宋"/>
          <w:sz w:val="32"/>
          <w:szCs w:val="32"/>
        </w:rPr>
        <w:t>201</w:t>
      </w:r>
      <w:r>
        <w:rPr>
          <w:rFonts w:hint="eastAsia" w:ascii="仿宋" w:hAnsi="仿宋" w:eastAsia="仿宋" w:cs="仿宋"/>
          <w:sz w:val="32"/>
          <w:szCs w:val="32"/>
          <w:lang w:val="en-US" w:eastAsia="zh-CN"/>
        </w:rPr>
        <w:t>9</w:t>
      </w:r>
      <w:r>
        <w:rPr>
          <w:rFonts w:hint="eastAsia" w:ascii="仿宋" w:hAnsi="仿宋" w:eastAsia="仿宋" w:cs="仿宋"/>
          <w:sz w:val="32"/>
          <w:szCs w:val="32"/>
        </w:rPr>
        <w:t>年主要是全面巩固“禁实”成果，紧紧围绕“限粘”、“推新”和“发散”工作为主题，协调服务，改革创新，促进墙改、发散健康有序发展。</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二、部门整体支出管理及使用情况</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（一）预算情况</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1、年初预算情况</w:t>
      </w:r>
    </w:p>
    <w:p>
      <w:pPr>
        <w:widowControl/>
        <w:snapToGrid w:val="0"/>
        <w:spacing w:line="360" w:lineRule="auto"/>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rPr>
        <w:t>201</w:t>
      </w:r>
      <w:r>
        <w:rPr>
          <w:rFonts w:hint="eastAsia" w:ascii="仿宋" w:hAnsi="仿宋" w:eastAsia="仿宋" w:cs="仿宋"/>
          <w:kern w:val="0"/>
          <w:sz w:val="32"/>
          <w:szCs w:val="32"/>
          <w:lang w:val="en-US" w:eastAsia="zh-CN"/>
        </w:rPr>
        <w:t>9</w:t>
      </w:r>
      <w:r>
        <w:rPr>
          <w:rFonts w:hint="eastAsia" w:ascii="仿宋" w:hAnsi="仿宋" w:eastAsia="仿宋" w:cs="仿宋"/>
          <w:kern w:val="0"/>
          <w:sz w:val="32"/>
          <w:szCs w:val="32"/>
        </w:rPr>
        <w:t>年年初部门预算安排总资金1</w:t>
      </w:r>
      <w:r>
        <w:rPr>
          <w:rFonts w:hint="eastAsia" w:ascii="仿宋" w:hAnsi="仿宋" w:eastAsia="仿宋" w:cs="仿宋"/>
          <w:kern w:val="0"/>
          <w:sz w:val="32"/>
          <w:szCs w:val="32"/>
          <w:lang w:val="en-US" w:eastAsia="zh-CN"/>
        </w:rPr>
        <w:t>432790</w:t>
      </w:r>
      <w:r>
        <w:rPr>
          <w:rFonts w:hint="eastAsia" w:ascii="仿宋" w:hAnsi="仿宋" w:eastAsia="仿宋" w:cs="仿宋"/>
          <w:kern w:val="0"/>
          <w:sz w:val="32"/>
          <w:szCs w:val="32"/>
        </w:rPr>
        <w:t>元，其中基本支出为元1</w:t>
      </w:r>
      <w:r>
        <w:rPr>
          <w:rFonts w:hint="eastAsia" w:ascii="仿宋" w:hAnsi="仿宋" w:eastAsia="仿宋" w:cs="仿宋"/>
          <w:kern w:val="0"/>
          <w:sz w:val="32"/>
          <w:szCs w:val="32"/>
          <w:lang w:val="en-US" w:eastAsia="zh-CN"/>
        </w:rPr>
        <w:t>382790</w:t>
      </w:r>
      <w:r>
        <w:rPr>
          <w:rFonts w:hint="eastAsia" w:ascii="仿宋" w:hAnsi="仿宋" w:eastAsia="仿宋" w:cs="仿宋"/>
          <w:kern w:val="0"/>
          <w:sz w:val="32"/>
          <w:szCs w:val="32"/>
        </w:rPr>
        <w:t>、项目支出为50000元。较上年年初1</w:t>
      </w:r>
      <w:r>
        <w:rPr>
          <w:rFonts w:hint="eastAsia" w:ascii="仿宋" w:hAnsi="仿宋" w:eastAsia="仿宋" w:cs="仿宋"/>
          <w:kern w:val="0"/>
          <w:sz w:val="32"/>
          <w:szCs w:val="32"/>
          <w:lang w:val="en-US" w:eastAsia="zh-CN"/>
        </w:rPr>
        <w:t>621908</w:t>
      </w:r>
      <w:r>
        <w:rPr>
          <w:rFonts w:hint="eastAsia" w:ascii="仿宋" w:hAnsi="仿宋" w:eastAsia="仿宋" w:cs="仿宋"/>
          <w:kern w:val="0"/>
          <w:sz w:val="32"/>
          <w:szCs w:val="32"/>
        </w:rPr>
        <w:t>元（其中基本支出1</w:t>
      </w:r>
      <w:r>
        <w:rPr>
          <w:rFonts w:hint="eastAsia" w:ascii="仿宋" w:hAnsi="仿宋" w:eastAsia="仿宋" w:cs="仿宋"/>
          <w:kern w:val="0"/>
          <w:sz w:val="32"/>
          <w:szCs w:val="32"/>
          <w:lang w:val="en-US" w:eastAsia="zh-CN"/>
        </w:rPr>
        <w:t>471908</w:t>
      </w:r>
      <w:r>
        <w:rPr>
          <w:rFonts w:hint="eastAsia" w:ascii="仿宋" w:hAnsi="仿宋" w:eastAsia="仿宋" w:cs="仿宋"/>
          <w:kern w:val="0"/>
          <w:sz w:val="32"/>
          <w:szCs w:val="32"/>
        </w:rPr>
        <w:t>、项目支出</w:t>
      </w:r>
      <w:r>
        <w:rPr>
          <w:rFonts w:hint="eastAsia" w:ascii="仿宋" w:hAnsi="仿宋" w:eastAsia="仿宋" w:cs="仿宋"/>
          <w:kern w:val="0"/>
          <w:sz w:val="32"/>
          <w:szCs w:val="32"/>
          <w:lang w:val="en-US" w:eastAsia="zh-CN"/>
        </w:rPr>
        <w:t>150000</w:t>
      </w:r>
      <w:r>
        <w:rPr>
          <w:rFonts w:hint="eastAsia" w:ascii="仿宋" w:hAnsi="仿宋" w:eastAsia="仿宋" w:cs="仿宋"/>
          <w:kern w:val="0"/>
          <w:sz w:val="32"/>
          <w:szCs w:val="32"/>
        </w:rPr>
        <w:t>）相比，总体减少</w:t>
      </w:r>
      <w:r>
        <w:rPr>
          <w:rFonts w:hint="eastAsia" w:ascii="仿宋" w:hAnsi="仿宋" w:eastAsia="仿宋" w:cs="仿宋"/>
          <w:kern w:val="0"/>
          <w:sz w:val="32"/>
          <w:szCs w:val="32"/>
          <w:lang w:val="en-US" w:eastAsia="zh-CN"/>
        </w:rPr>
        <w:t>189118</w:t>
      </w:r>
      <w:r>
        <w:rPr>
          <w:rFonts w:hint="eastAsia" w:ascii="仿宋" w:hAnsi="仿宋" w:eastAsia="仿宋" w:cs="仿宋"/>
          <w:kern w:val="0"/>
          <w:sz w:val="32"/>
          <w:szCs w:val="32"/>
        </w:rPr>
        <w:t>元。</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2、年中追加和调减预算情况</w:t>
      </w:r>
    </w:p>
    <w:p>
      <w:pPr>
        <w:snapToGrid w:val="0"/>
        <w:spacing w:line="360" w:lineRule="auto"/>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年中追加新型墙体材料专项基金返退款13</w:t>
      </w:r>
      <w:r>
        <w:rPr>
          <w:rFonts w:hint="eastAsia" w:ascii="仿宋" w:hAnsi="仿宋" w:eastAsia="仿宋" w:cs="仿宋"/>
          <w:sz w:val="32"/>
          <w:szCs w:val="32"/>
          <w:lang w:val="en-US" w:eastAsia="zh-CN"/>
        </w:rPr>
        <w:t>37080</w:t>
      </w:r>
      <w:r>
        <w:rPr>
          <w:rFonts w:hint="eastAsia" w:ascii="仿宋" w:hAnsi="仿宋" w:eastAsia="仿宋" w:cs="仿宋"/>
          <w:sz w:val="32"/>
          <w:szCs w:val="32"/>
        </w:rPr>
        <w:t>元</w:t>
      </w:r>
      <w:r>
        <w:rPr>
          <w:rFonts w:hint="eastAsia" w:ascii="仿宋" w:hAnsi="仿宋" w:eastAsia="仿宋" w:cs="仿宋"/>
          <w:sz w:val="32"/>
          <w:szCs w:val="32"/>
          <w:lang w:val="en-US" w:eastAsia="zh-CN"/>
        </w:rPr>
        <w:t>.</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3、全年总预算情况为</w:t>
      </w:r>
      <w:r>
        <w:rPr>
          <w:rFonts w:hint="eastAsia" w:ascii="仿宋" w:hAnsi="仿宋" w:eastAsia="仿宋" w:cs="仿宋"/>
          <w:sz w:val="32"/>
          <w:szCs w:val="32"/>
          <w:lang w:val="en-US" w:eastAsia="zh-CN"/>
        </w:rPr>
        <w:t>2839645</w:t>
      </w:r>
      <w:r>
        <w:rPr>
          <w:rFonts w:hint="eastAsia" w:ascii="仿宋" w:hAnsi="仿宋" w:eastAsia="仿宋" w:cs="仿宋"/>
          <w:sz w:val="32"/>
          <w:szCs w:val="32"/>
        </w:rPr>
        <w:t>元</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（二）预算执行情况</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sz w:val="32"/>
          <w:szCs w:val="32"/>
        </w:rPr>
        <w:t>总支出为</w:t>
      </w:r>
      <w:r>
        <w:rPr>
          <w:rFonts w:hint="eastAsia" w:ascii="仿宋" w:hAnsi="仿宋" w:eastAsia="仿宋" w:cs="仿宋"/>
          <w:sz w:val="32"/>
          <w:szCs w:val="32"/>
          <w:lang w:val="en-US" w:eastAsia="zh-CN"/>
        </w:rPr>
        <w:t>4553468.93</w:t>
      </w:r>
      <w:r>
        <w:rPr>
          <w:rFonts w:hint="eastAsia" w:ascii="仿宋" w:hAnsi="仿宋" w:eastAsia="仿宋" w:cs="仿宋"/>
          <w:sz w:val="32"/>
          <w:szCs w:val="32"/>
        </w:rPr>
        <w:t>元。</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1、基本支出执行情况：18</w:t>
      </w:r>
      <w:r>
        <w:rPr>
          <w:rFonts w:hint="eastAsia" w:ascii="仿宋" w:hAnsi="仿宋" w:eastAsia="仿宋" w:cs="仿宋"/>
          <w:sz w:val="32"/>
          <w:szCs w:val="32"/>
          <w:lang w:val="en-US" w:eastAsia="zh-CN"/>
        </w:rPr>
        <w:t>48358.11</w:t>
      </w:r>
      <w:r>
        <w:rPr>
          <w:rFonts w:hint="eastAsia" w:ascii="仿宋" w:hAnsi="仿宋" w:eastAsia="仿宋" w:cs="仿宋"/>
          <w:sz w:val="32"/>
          <w:szCs w:val="32"/>
        </w:rPr>
        <w:t>元</w:t>
      </w:r>
    </w:p>
    <w:p>
      <w:pPr>
        <w:widowControl/>
        <w:snapToGrid w:val="0"/>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其中工资福利支出1</w:t>
      </w:r>
      <w:r>
        <w:rPr>
          <w:rFonts w:hint="eastAsia" w:ascii="仿宋" w:hAnsi="仿宋" w:eastAsia="仿宋" w:cs="仿宋"/>
          <w:sz w:val="32"/>
          <w:szCs w:val="32"/>
          <w:lang w:val="en-US" w:eastAsia="zh-CN"/>
        </w:rPr>
        <w:t>645007.39</w:t>
      </w:r>
      <w:r>
        <w:rPr>
          <w:rFonts w:hint="eastAsia" w:ascii="仿宋" w:hAnsi="仿宋" w:eastAsia="仿宋" w:cs="仿宋"/>
          <w:sz w:val="32"/>
          <w:szCs w:val="32"/>
        </w:rPr>
        <w:t>元、商品服务支出</w:t>
      </w:r>
      <w:r>
        <w:rPr>
          <w:rFonts w:hint="eastAsia" w:ascii="仿宋" w:hAnsi="仿宋" w:eastAsia="仿宋" w:cs="仿宋"/>
          <w:sz w:val="32"/>
          <w:szCs w:val="32"/>
          <w:lang w:val="en-US" w:eastAsia="zh-CN"/>
        </w:rPr>
        <w:t>199030.72</w:t>
      </w:r>
      <w:r>
        <w:rPr>
          <w:rFonts w:hint="eastAsia" w:ascii="仿宋" w:hAnsi="仿宋" w:eastAsia="仿宋" w:cs="仿宋"/>
          <w:sz w:val="32"/>
          <w:szCs w:val="32"/>
        </w:rPr>
        <w:t>元、对个人和家庭的补助</w:t>
      </w:r>
      <w:r>
        <w:rPr>
          <w:rFonts w:hint="eastAsia" w:ascii="仿宋" w:hAnsi="仿宋" w:eastAsia="仿宋" w:cs="仿宋"/>
          <w:sz w:val="32"/>
          <w:szCs w:val="32"/>
          <w:lang w:val="en-US" w:eastAsia="zh-CN"/>
        </w:rPr>
        <w:t>4320</w:t>
      </w:r>
      <w:r>
        <w:rPr>
          <w:rFonts w:hint="eastAsia" w:ascii="仿宋" w:hAnsi="仿宋" w:eastAsia="仿宋" w:cs="仿宋"/>
          <w:sz w:val="32"/>
          <w:szCs w:val="32"/>
        </w:rPr>
        <w:t>元。</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2、业务性专项执行情况：</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年初预算安排政府性基金拨业务性项目5万元。年终业务性项目支出</w:t>
      </w:r>
      <w:r>
        <w:rPr>
          <w:rFonts w:hint="eastAsia" w:ascii="仿宋" w:hAnsi="仿宋" w:eastAsia="仿宋" w:cs="仿宋"/>
          <w:sz w:val="32"/>
          <w:szCs w:val="32"/>
          <w:lang w:val="en-US" w:eastAsia="zh-CN"/>
        </w:rPr>
        <w:t>4500</w:t>
      </w:r>
      <w:r>
        <w:rPr>
          <w:rFonts w:hint="eastAsia" w:ascii="仿宋" w:hAnsi="仿宋" w:eastAsia="仿宋" w:cs="仿宋"/>
          <w:sz w:val="32"/>
          <w:szCs w:val="32"/>
        </w:rPr>
        <w:t>元。</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3、项目性专项执行情况（</w:t>
      </w:r>
      <w:r>
        <w:rPr>
          <w:rFonts w:hint="eastAsia" w:ascii="仿宋" w:hAnsi="仿宋" w:eastAsia="仿宋" w:cs="仿宋"/>
          <w:sz w:val="32"/>
          <w:szCs w:val="32"/>
          <w:lang w:val="en-US" w:eastAsia="zh-CN"/>
        </w:rPr>
        <w:t>2700610.82</w:t>
      </w:r>
      <w:r>
        <w:rPr>
          <w:rFonts w:hint="eastAsia" w:ascii="仿宋" w:hAnsi="仿宋" w:eastAsia="仿宋" w:cs="仿宋"/>
          <w:sz w:val="32"/>
          <w:szCs w:val="32"/>
        </w:rPr>
        <w:t>）</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项目性专项</w:t>
      </w:r>
      <w:r>
        <w:rPr>
          <w:rFonts w:hint="eastAsia" w:ascii="仿宋" w:hAnsi="仿宋" w:eastAsia="仿宋" w:cs="仿宋"/>
          <w:sz w:val="32"/>
          <w:szCs w:val="32"/>
          <w:lang w:val="en-US" w:eastAsia="zh-CN"/>
        </w:rPr>
        <w:t>2426020</w:t>
      </w:r>
      <w:r>
        <w:rPr>
          <w:rFonts w:hint="eastAsia" w:ascii="仿宋" w:hAnsi="仿宋" w:eastAsia="仿宋" w:cs="仿宋"/>
          <w:sz w:val="32"/>
          <w:szCs w:val="32"/>
        </w:rPr>
        <w:t>元为新型墙体材料专项基金返退,</w:t>
      </w:r>
      <w:r>
        <w:rPr>
          <w:rFonts w:hint="eastAsia" w:ascii="仿宋" w:hAnsi="仿宋" w:eastAsia="仿宋" w:cs="仿宋"/>
          <w:sz w:val="32"/>
          <w:szCs w:val="32"/>
          <w:lang w:val="en-US" w:eastAsia="zh-CN"/>
        </w:rPr>
        <w:t>274590.82</w:t>
      </w:r>
      <w:r>
        <w:rPr>
          <w:rFonts w:hint="eastAsia" w:ascii="仿宋" w:hAnsi="仿宋" w:eastAsia="仿宋" w:cs="仿宋"/>
          <w:sz w:val="32"/>
          <w:szCs w:val="32"/>
        </w:rPr>
        <w:t>元为散装水泥专项资金返退。</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三、部门整体支出绩效情况</w:t>
      </w:r>
    </w:p>
    <w:p>
      <w:pPr>
        <w:widowControl/>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1、全年生产墙材</w:t>
      </w:r>
      <w:r>
        <w:rPr>
          <w:rFonts w:hint="eastAsia" w:ascii="仿宋" w:hAnsi="仿宋" w:eastAsia="仿宋" w:cs="仿宋"/>
          <w:sz w:val="32"/>
          <w:szCs w:val="32"/>
          <w:lang w:val="en-US" w:eastAsia="zh-CN"/>
        </w:rPr>
        <w:t>4.5</w:t>
      </w:r>
      <w:r>
        <w:rPr>
          <w:rFonts w:hint="eastAsia" w:ascii="仿宋" w:hAnsi="仿宋" w:eastAsia="仿宋" w:cs="仿宋"/>
          <w:sz w:val="32"/>
          <w:szCs w:val="32"/>
        </w:rPr>
        <w:t>亿标块，城区在建工程项目新墙材应用率保持100%；</w:t>
      </w:r>
    </w:p>
    <w:p>
      <w:pPr>
        <w:widowControl/>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2、生产水泥</w:t>
      </w:r>
      <w:r>
        <w:rPr>
          <w:rFonts w:hint="eastAsia" w:ascii="仿宋" w:hAnsi="仿宋" w:eastAsia="仿宋" w:cs="仿宋"/>
          <w:sz w:val="32"/>
          <w:szCs w:val="32"/>
          <w:lang w:val="en-US" w:eastAsia="zh-CN"/>
        </w:rPr>
        <w:t>421</w:t>
      </w:r>
      <w:r>
        <w:rPr>
          <w:rFonts w:hint="eastAsia" w:ascii="仿宋" w:hAnsi="仿宋" w:eastAsia="仿宋" w:cs="仿宋"/>
          <w:sz w:val="32"/>
          <w:szCs w:val="32"/>
        </w:rPr>
        <w:t>万吨，城区在建工程项目散装水泥应用率</w:t>
      </w:r>
      <w:r>
        <w:rPr>
          <w:rFonts w:hint="eastAsia" w:ascii="仿宋" w:hAnsi="仿宋" w:eastAsia="仿宋" w:cs="仿宋"/>
          <w:sz w:val="32"/>
          <w:szCs w:val="32"/>
          <w:lang w:val="en-US" w:eastAsia="zh-CN"/>
        </w:rPr>
        <w:t>91</w:t>
      </w:r>
      <w:r>
        <w:rPr>
          <w:rFonts w:hint="eastAsia" w:ascii="仿宋" w:hAnsi="仿宋" w:eastAsia="仿宋" w:cs="仿宋"/>
          <w:sz w:val="32"/>
          <w:szCs w:val="32"/>
        </w:rPr>
        <w:t>%以上；</w:t>
      </w:r>
    </w:p>
    <w:p>
      <w:pPr>
        <w:widowControl/>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3、预拌混凝土企业7家，生产应用预拌混凝土40万立方米,建设项目全部应用预拌混凝土；</w:t>
      </w:r>
    </w:p>
    <w:p>
      <w:pPr>
        <w:widowControl/>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4、预拌砂浆企业</w:t>
      </w:r>
      <w:r>
        <w:rPr>
          <w:rFonts w:hint="eastAsia" w:ascii="仿宋" w:hAnsi="仿宋" w:eastAsia="仿宋" w:cs="仿宋"/>
          <w:sz w:val="32"/>
          <w:szCs w:val="32"/>
          <w:lang w:val="en-US" w:eastAsia="zh-CN"/>
        </w:rPr>
        <w:t>2</w:t>
      </w:r>
      <w:r>
        <w:rPr>
          <w:rFonts w:hint="eastAsia" w:ascii="仿宋" w:hAnsi="仿宋" w:eastAsia="仿宋" w:cs="仿宋"/>
          <w:sz w:val="32"/>
          <w:szCs w:val="32"/>
        </w:rPr>
        <w:t>家，产量1</w:t>
      </w:r>
      <w:r>
        <w:rPr>
          <w:rFonts w:hint="eastAsia" w:ascii="仿宋" w:hAnsi="仿宋" w:eastAsia="仿宋" w:cs="仿宋"/>
          <w:sz w:val="32"/>
          <w:szCs w:val="32"/>
          <w:lang w:val="en-US" w:eastAsia="zh-CN"/>
        </w:rPr>
        <w:t>.1</w:t>
      </w:r>
      <w:r>
        <w:rPr>
          <w:rFonts w:hint="eastAsia" w:ascii="仿宋" w:hAnsi="仿宋" w:eastAsia="仿宋" w:cs="仿宋"/>
          <w:sz w:val="32"/>
          <w:szCs w:val="32"/>
        </w:rPr>
        <w:t>万</w:t>
      </w:r>
      <w:r>
        <w:rPr>
          <w:rFonts w:hint="eastAsia" w:ascii="仿宋" w:hAnsi="仿宋" w:eastAsia="仿宋" w:cs="仿宋"/>
          <w:sz w:val="32"/>
          <w:szCs w:val="32"/>
          <w:lang w:val="en-US" w:eastAsia="zh-CN"/>
        </w:rPr>
        <w:t>立方米</w:t>
      </w:r>
      <w:r>
        <w:rPr>
          <w:rFonts w:hint="eastAsia" w:ascii="仿宋" w:hAnsi="仿宋" w:eastAsia="仿宋" w:cs="仿宋"/>
          <w:sz w:val="32"/>
          <w:szCs w:val="32"/>
        </w:rPr>
        <w:t>；</w:t>
      </w:r>
    </w:p>
    <w:p>
      <w:pPr>
        <w:widowControl/>
        <w:spacing w:line="360" w:lineRule="auto"/>
        <w:ind w:firstLine="640" w:firstLineChars="200"/>
        <w:jc w:val="left"/>
        <w:rPr>
          <w:rFonts w:hint="eastAsia" w:ascii="仿宋" w:hAnsi="仿宋" w:eastAsia="仿宋" w:cs="仿宋"/>
          <w:kern w:val="0"/>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、办结基金返退项目4个，返退基金</w:t>
      </w:r>
      <w:r>
        <w:rPr>
          <w:rFonts w:hint="eastAsia" w:ascii="仿宋" w:hAnsi="仿宋" w:eastAsia="仿宋" w:cs="仿宋"/>
          <w:sz w:val="32"/>
          <w:szCs w:val="32"/>
          <w:lang w:val="en-US" w:eastAsia="zh-CN"/>
        </w:rPr>
        <w:t>243</w:t>
      </w:r>
      <w:r>
        <w:rPr>
          <w:rFonts w:hint="eastAsia" w:ascii="仿宋" w:hAnsi="仿宋" w:eastAsia="仿宋" w:cs="仿宋"/>
          <w:sz w:val="32"/>
          <w:szCs w:val="32"/>
        </w:rPr>
        <w:t>万余元</w:t>
      </w:r>
      <w:r>
        <w:rPr>
          <w:rFonts w:hint="eastAsia" w:ascii="仿宋" w:hAnsi="仿宋" w:eastAsia="仿宋" w:cs="仿宋"/>
          <w:sz w:val="32"/>
          <w:szCs w:val="32"/>
          <w:lang w:eastAsia="zh-CN"/>
        </w:rPr>
        <w:t>，</w:t>
      </w:r>
      <w:r>
        <w:rPr>
          <w:rFonts w:hint="eastAsia" w:ascii="仿宋" w:hAnsi="仿宋" w:eastAsia="仿宋" w:cs="仿宋"/>
          <w:sz w:val="32"/>
          <w:szCs w:val="32"/>
        </w:rPr>
        <w:t>散装水泥专项资金返退</w:t>
      </w:r>
      <w:r>
        <w:rPr>
          <w:rFonts w:hint="eastAsia" w:ascii="仿宋" w:hAnsi="仿宋" w:eastAsia="仿宋" w:cs="仿宋"/>
          <w:sz w:val="32"/>
          <w:szCs w:val="32"/>
          <w:lang w:val="en-US" w:eastAsia="zh-CN"/>
        </w:rPr>
        <w:t>27万余元。</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四、存在的主要问题</w:t>
      </w:r>
    </w:p>
    <w:p>
      <w:pPr>
        <w:spacing w:line="360" w:lineRule="auto"/>
        <w:ind w:right="-153" w:rightChars="-73" w:firstLine="640"/>
        <w:rPr>
          <w:rFonts w:hint="eastAsia" w:ascii="仿宋" w:hAnsi="仿宋" w:eastAsia="仿宋" w:cs="仿宋"/>
          <w:b/>
          <w:sz w:val="32"/>
          <w:szCs w:val="32"/>
        </w:rPr>
      </w:pPr>
      <w:r>
        <w:rPr>
          <w:rFonts w:hint="eastAsia" w:ascii="仿宋" w:hAnsi="仿宋" w:eastAsia="仿宋" w:cs="仿宋"/>
          <w:b/>
          <w:sz w:val="32"/>
          <w:szCs w:val="32"/>
        </w:rPr>
        <w:t>（一）、工作方面问题：</w:t>
      </w:r>
    </w:p>
    <w:p>
      <w:pPr>
        <w:spacing w:line="360" w:lineRule="auto"/>
        <w:ind w:right="-153" w:rightChars="-73" w:firstLine="640"/>
        <w:rPr>
          <w:rFonts w:hint="eastAsia" w:ascii="仿宋" w:hAnsi="仿宋" w:eastAsia="仿宋" w:cs="仿宋"/>
          <w:sz w:val="32"/>
          <w:szCs w:val="32"/>
        </w:rPr>
      </w:pPr>
      <w:r>
        <w:rPr>
          <w:rFonts w:hint="eastAsia" w:ascii="仿宋" w:hAnsi="仿宋" w:eastAsia="仿宋" w:cs="仿宋"/>
          <w:sz w:val="32"/>
          <w:szCs w:val="32"/>
        </w:rPr>
        <w:t>1、随着我市房地产开发速度放缓，使得墙材市场需求减少，墙材产能严重过剩,企业生存困难。</w:t>
      </w:r>
    </w:p>
    <w:p>
      <w:pPr>
        <w:spacing w:line="360" w:lineRule="auto"/>
        <w:ind w:right="-153" w:rightChars="-73" w:firstLine="640"/>
        <w:rPr>
          <w:rFonts w:hint="eastAsia" w:ascii="仿宋" w:hAnsi="仿宋" w:eastAsia="仿宋" w:cs="仿宋"/>
          <w:sz w:val="32"/>
          <w:szCs w:val="32"/>
        </w:rPr>
      </w:pPr>
      <w:r>
        <w:rPr>
          <w:rFonts w:hint="eastAsia" w:ascii="仿宋" w:hAnsi="仿宋" w:eastAsia="仿宋" w:cs="仿宋"/>
          <w:sz w:val="32"/>
          <w:szCs w:val="32"/>
        </w:rPr>
        <w:t>2、我市新墙材生产企业大多证照不齐，无法办理《湖南省新型墙体材料产品认定证书》。</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（二）、资金方面问题：</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按照国家统一调控，从2017年4月1日起，全面停止征收新型墙体材料专项基金。但墙材革新和发展散装水泥工作并未消弱，墙改、散装水泥办的主要职责未变。</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五、改进措施和有关建议</w:t>
      </w:r>
    </w:p>
    <w:p>
      <w:pPr>
        <w:snapToGri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按照财政部《关于取消、调整部分政府性基金有关政策的通知》(财税[2017]18号)的要求，建议在财政资金中预算安排墙材革新、散装水泥专项扶持资金，持续推进墙材革新和散装水泥工作的发展。</w:t>
      </w:r>
    </w:p>
    <w:p>
      <w:pPr>
        <w:snapToGrid w:val="0"/>
        <w:spacing w:line="360" w:lineRule="auto"/>
        <w:ind w:firstLine="640" w:firstLineChars="200"/>
        <w:rPr>
          <w:rFonts w:hint="eastAsia" w:ascii="仿宋" w:hAnsi="仿宋" w:eastAsia="仿宋" w:cs="仿宋"/>
          <w:b/>
          <w:sz w:val="32"/>
          <w:szCs w:val="32"/>
        </w:rPr>
      </w:pPr>
      <w:r>
        <w:rPr>
          <w:rFonts w:hint="eastAsia" w:ascii="仿宋" w:hAnsi="仿宋" w:eastAsia="仿宋" w:cs="仿宋"/>
          <w:b/>
          <w:sz w:val="32"/>
          <w:szCs w:val="32"/>
        </w:rPr>
        <w:t>六、报告附表（详见各补充基础数据信息表）。</w:t>
      </w:r>
    </w:p>
    <w:p>
      <w:pPr>
        <w:snapToGrid w:val="0"/>
        <w:spacing w:line="360" w:lineRule="auto"/>
        <w:ind w:firstLine="640" w:firstLineChars="200"/>
        <w:rPr>
          <w:rFonts w:hint="eastAsia" w:ascii="仿宋" w:hAnsi="仿宋" w:eastAsia="仿宋" w:cs="仿宋"/>
          <w:b/>
          <w:sz w:val="32"/>
          <w:szCs w:val="32"/>
        </w:rPr>
      </w:pPr>
    </w:p>
    <w:p>
      <w:pPr>
        <w:snapToGrid w:val="0"/>
        <w:spacing w:line="360" w:lineRule="auto"/>
        <w:ind w:firstLine="420" w:firstLineChars="200"/>
        <w:rPr>
          <w:rFonts w:hint="eastAsia" w:ascii="宋体" w:hAnsi="宋体"/>
          <w:b/>
          <w:kern w:val="0"/>
          <w:szCs w:val="3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658A3"/>
    <w:rsid w:val="00074155"/>
    <w:rsid w:val="000A3F69"/>
    <w:rsid w:val="00152C6D"/>
    <w:rsid w:val="00162D39"/>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5281CD9"/>
    <w:rsid w:val="1EBA6951"/>
    <w:rsid w:val="25901A1C"/>
    <w:rsid w:val="36CF5D95"/>
    <w:rsid w:val="433C1E4F"/>
    <w:rsid w:val="459701CB"/>
    <w:rsid w:val="46BF0D6D"/>
    <w:rsid w:val="483B5FA0"/>
    <w:rsid w:val="4DFC139F"/>
    <w:rsid w:val="4EC27179"/>
    <w:rsid w:val="561C14A1"/>
    <w:rsid w:val="5AFF7190"/>
    <w:rsid w:val="5BD45A8F"/>
    <w:rsid w:val="705F1433"/>
    <w:rsid w:val="708C024E"/>
    <w:rsid w:val="7B212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qFormat/>
    <w:uiPriority w:val="99"/>
    <w:rPr>
      <w:sz w:val="18"/>
      <w:szCs w:val="18"/>
    </w:rPr>
  </w:style>
  <w:style w:type="character" w:customStyle="1" w:styleId="9">
    <w:name w:val="页脚 Char"/>
    <w:basedOn w:val="6"/>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CA967F-99A7-44AE-8CB3-A0222E97AF6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1258</Words>
  <Characters>7176</Characters>
  <Lines>59</Lines>
  <Paragraphs>16</Paragraphs>
  <TotalTime>1</TotalTime>
  <ScaleCrop>false</ScaleCrop>
  <LinksUpToDate>false</LinksUpToDate>
  <CharactersWithSpaces>8418</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木子先森</cp:lastModifiedBy>
  <cp:lastPrinted>2020-07-15T07:25:00Z</cp:lastPrinted>
  <dcterms:modified xsi:type="dcterms:W3CDTF">2021-07-02T08:41:00Z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