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both"/>
        <w:rPr>
          <w:sz w:val="84"/>
          <w:szCs w:val="84"/>
        </w:rPr>
      </w:pPr>
    </w:p>
    <w:p>
      <w:pPr>
        <w:pStyle w:val="11"/>
        <w:jc w:val="center"/>
        <w:rPr>
          <w:sz w:val="84"/>
          <w:szCs w:val="84"/>
        </w:rPr>
      </w:pPr>
      <w:r>
        <w:rPr>
          <w:rFonts w:hint="eastAsia"/>
          <w:sz w:val="84"/>
          <w:szCs w:val="84"/>
        </w:rPr>
        <w:t>2019年度</w:t>
      </w:r>
    </w:p>
    <w:p>
      <w:pPr>
        <w:pStyle w:val="11"/>
        <w:jc w:val="center"/>
        <w:rPr>
          <w:sz w:val="84"/>
          <w:szCs w:val="84"/>
        </w:rPr>
      </w:pPr>
      <w:r>
        <w:rPr>
          <w:rFonts w:hint="eastAsia"/>
          <w:sz w:val="84"/>
          <w:szCs w:val="84"/>
          <w:lang w:val="en-US" w:eastAsia="zh-CN"/>
        </w:rPr>
        <w:t>湘乡市行政审批服务局</w:t>
      </w:r>
      <w:r>
        <w:rPr>
          <w:rFonts w:hint="eastAsia"/>
          <w:sz w:val="84"/>
          <w:szCs w:val="84"/>
        </w:rPr>
        <w:t>单位部门决算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spacing w:line="540" w:lineRule="exact"/>
        <w:jc w:val="center"/>
        <w:rPr>
          <w:sz w:val="56"/>
          <w:szCs w:val="56"/>
        </w:rPr>
      </w:pPr>
    </w:p>
    <w:p>
      <w:pPr>
        <w:pStyle w:val="11"/>
        <w:spacing w:line="520" w:lineRule="exact"/>
        <w:jc w:val="center"/>
        <w:rPr>
          <w:sz w:val="56"/>
          <w:szCs w:val="56"/>
        </w:rPr>
      </w:pPr>
      <w:r>
        <w:rPr>
          <w:rFonts w:hint="eastAsia"/>
          <w:sz w:val="56"/>
          <w:szCs w:val="56"/>
        </w:rPr>
        <w:t>目录</w:t>
      </w:r>
    </w:p>
    <w:p>
      <w:pPr>
        <w:pStyle w:val="11"/>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湘乡市行政审批服务局</w:t>
      </w:r>
      <w:r>
        <w:rPr>
          <w:rFonts w:hint="eastAsia"/>
          <w:b/>
          <w:sz w:val="28"/>
          <w:szCs w:val="28"/>
        </w:rPr>
        <w:t>单位概况</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rPr>
          <w:sz w:val="72"/>
          <w:szCs w:val="72"/>
        </w:rPr>
      </w:pPr>
    </w:p>
    <w:p>
      <w:pPr>
        <w:pStyle w:val="11"/>
        <w:jc w:val="center"/>
        <w:rPr>
          <w:sz w:val="84"/>
          <w:szCs w:val="84"/>
        </w:rPr>
      </w:pPr>
      <w:r>
        <w:rPr>
          <w:rFonts w:hint="eastAsia"/>
          <w:sz w:val="84"/>
          <w:szCs w:val="84"/>
        </w:rPr>
        <w:t>第一部分</w:t>
      </w:r>
      <w:r>
        <w:rPr>
          <w:sz w:val="84"/>
          <w:szCs w:val="84"/>
        </w:rPr>
        <w:t xml:space="preserve"> </w:t>
      </w:r>
    </w:p>
    <w:p>
      <w:pPr>
        <w:pStyle w:val="11"/>
        <w:jc w:val="center"/>
        <w:rPr>
          <w:sz w:val="84"/>
          <w:szCs w:val="84"/>
        </w:rPr>
      </w:pPr>
    </w:p>
    <w:p>
      <w:pPr>
        <w:pStyle w:val="11"/>
        <w:jc w:val="center"/>
        <w:rPr>
          <w:sz w:val="84"/>
          <w:szCs w:val="84"/>
        </w:rPr>
      </w:pPr>
      <w:r>
        <w:rPr>
          <w:rFonts w:hint="eastAsia"/>
          <w:sz w:val="84"/>
          <w:szCs w:val="84"/>
          <w:lang w:val="en-US" w:eastAsia="zh-CN"/>
        </w:rPr>
        <w:t>湘乡市行政审批服务局</w:t>
      </w: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2"/>
        <w:ind w:left="720" w:firstLine="0" w:firstLineChars="0"/>
        <w:jc w:val="left"/>
        <w:rPr>
          <w:rFonts w:ascii="黑体" w:hAnsi="黑体" w:eastAsia="黑体"/>
          <w:sz w:val="32"/>
          <w:szCs w:val="32"/>
        </w:rPr>
      </w:pPr>
    </w:p>
    <w:p>
      <w:pPr>
        <w:pStyle w:val="12"/>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numPr>
          <w:ilvl w:val="0"/>
          <w:numId w:val="2"/>
        </w:numPr>
        <w:spacing w:line="520" w:lineRule="exact"/>
        <w:ind w:firstLine="640"/>
        <w:rPr>
          <w:rFonts w:hint="eastAsia" w:ascii="宋体" w:hAnsi="宋体"/>
          <w:sz w:val="32"/>
        </w:rPr>
      </w:pPr>
      <w:r>
        <w:rPr>
          <w:rFonts w:hint="eastAsia" w:ascii="宋体" w:hAnsi="宋体"/>
          <w:sz w:val="32"/>
        </w:rPr>
        <w:t>拟订全市行政审批制度改革，政务公开、政务服务、电子政务、政务服务热线管理有关制度、管理办法、发展规划并组织实施。</w:t>
      </w:r>
    </w:p>
    <w:p>
      <w:pPr>
        <w:numPr>
          <w:ilvl w:val="0"/>
          <w:numId w:val="2"/>
        </w:numPr>
        <w:spacing w:line="520" w:lineRule="exact"/>
        <w:ind w:firstLine="640"/>
        <w:rPr>
          <w:rFonts w:hint="eastAsia" w:ascii="宋体" w:hAnsi="宋体"/>
          <w:sz w:val="32"/>
        </w:rPr>
      </w:pPr>
      <w:r>
        <w:rPr>
          <w:rFonts w:hint="eastAsia" w:ascii="宋体" w:hAnsi="宋体"/>
          <w:sz w:val="32"/>
        </w:rPr>
        <w:t>负责推进指导、协调、监督全市政务公开（政府信息公开、办事公开）工作和政务服务体系建设。</w:t>
      </w:r>
    </w:p>
    <w:p>
      <w:pPr>
        <w:numPr>
          <w:ilvl w:val="0"/>
          <w:numId w:val="2"/>
        </w:numPr>
        <w:spacing w:line="520" w:lineRule="exact"/>
        <w:ind w:firstLine="640"/>
        <w:rPr>
          <w:rFonts w:hint="eastAsia" w:ascii="宋体" w:hAnsi="宋体"/>
          <w:sz w:val="32"/>
        </w:rPr>
      </w:pPr>
      <w:r>
        <w:rPr>
          <w:rFonts w:hint="eastAsia" w:ascii="宋体" w:hAnsi="宋体"/>
          <w:sz w:val="32"/>
        </w:rPr>
        <w:t>负责指导、协调、推进全市行政审批制度改革工作；规范全市行政审批行为、政务服务行为；负责统筹推进行政审批服务便民化改革。</w:t>
      </w:r>
    </w:p>
    <w:p>
      <w:pPr>
        <w:numPr>
          <w:ilvl w:val="0"/>
          <w:numId w:val="2"/>
        </w:numPr>
        <w:spacing w:line="520" w:lineRule="exact"/>
        <w:ind w:firstLine="640"/>
        <w:rPr>
          <w:rFonts w:hint="eastAsia" w:ascii="宋体" w:hAnsi="宋体"/>
          <w:sz w:val="32"/>
        </w:rPr>
      </w:pPr>
      <w:r>
        <w:rPr>
          <w:rFonts w:hint="eastAsia" w:ascii="宋体" w:hAnsi="宋体"/>
          <w:sz w:val="32"/>
        </w:rPr>
        <w:t>负责全市政府系统电子政务管理工作；统筹推进、监督、协调全市“互联网+政务服务”工作。</w:t>
      </w:r>
    </w:p>
    <w:p>
      <w:pPr>
        <w:numPr>
          <w:ilvl w:val="0"/>
          <w:numId w:val="2"/>
        </w:numPr>
        <w:spacing w:line="520" w:lineRule="exact"/>
        <w:ind w:firstLine="640"/>
        <w:rPr>
          <w:rFonts w:hint="eastAsia" w:ascii="宋体" w:hAnsi="宋体"/>
          <w:sz w:val="32"/>
        </w:rPr>
      </w:pPr>
      <w:r>
        <w:rPr>
          <w:rFonts w:hint="eastAsia" w:ascii="宋体" w:hAnsi="宋体"/>
          <w:sz w:val="32"/>
        </w:rPr>
        <w:t>负责全市政府网站建设管理工作。</w:t>
      </w:r>
    </w:p>
    <w:p>
      <w:pPr>
        <w:numPr>
          <w:ilvl w:val="0"/>
          <w:numId w:val="2"/>
        </w:numPr>
        <w:spacing w:line="520" w:lineRule="exact"/>
        <w:ind w:firstLine="640"/>
        <w:rPr>
          <w:rFonts w:hint="eastAsia" w:ascii="宋体" w:hAnsi="宋体"/>
          <w:sz w:val="32"/>
        </w:rPr>
      </w:pPr>
      <w:r>
        <w:rPr>
          <w:rFonts w:hint="eastAsia" w:ascii="宋体" w:hAnsi="宋体"/>
          <w:sz w:val="32"/>
        </w:rPr>
        <w:t xml:space="preserve">牵头负责全市“放管服”改革工作；维护营商政务、法治等环境；协调、推进全市行政效能工作。 </w:t>
      </w:r>
    </w:p>
    <w:p>
      <w:pPr>
        <w:numPr>
          <w:ilvl w:val="0"/>
          <w:numId w:val="2"/>
        </w:numPr>
        <w:spacing w:line="520" w:lineRule="exact"/>
        <w:ind w:firstLine="640"/>
        <w:rPr>
          <w:rFonts w:hint="eastAsia" w:ascii="宋体" w:hAnsi="宋体"/>
          <w:sz w:val="32"/>
        </w:rPr>
      </w:pPr>
      <w:r>
        <w:rPr>
          <w:rFonts w:hint="eastAsia" w:ascii="宋体" w:hAnsi="宋体"/>
          <w:sz w:val="32"/>
        </w:rPr>
        <w:t>负责政务服务热线电话和“市长信箱”工作。</w:t>
      </w:r>
    </w:p>
    <w:p>
      <w:pPr>
        <w:numPr>
          <w:ilvl w:val="0"/>
          <w:numId w:val="2"/>
        </w:numPr>
        <w:spacing w:line="520" w:lineRule="exact"/>
        <w:ind w:firstLine="640"/>
        <w:rPr>
          <w:rFonts w:hint="eastAsia" w:ascii="宋体" w:hAnsi="宋体"/>
          <w:sz w:val="32"/>
        </w:rPr>
      </w:pPr>
      <w:r>
        <w:rPr>
          <w:rFonts w:hint="eastAsia" w:ascii="宋体" w:hAnsi="宋体"/>
          <w:sz w:val="32"/>
        </w:rPr>
        <w:t>完成市委、市政府交办的其他任务。</w:t>
      </w:r>
    </w:p>
    <w:p>
      <w:pPr>
        <w:numPr>
          <w:ilvl w:val="0"/>
          <w:numId w:val="2"/>
        </w:numPr>
        <w:spacing w:line="520" w:lineRule="exact"/>
        <w:ind w:firstLine="640"/>
        <w:rPr>
          <w:rFonts w:hint="eastAsia" w:ascii="宋体" w:hAnsi="宋体"/>
          <w:sz w:val="32"/>
        </w:rPr>
      </w:pPr>
      <w:r>
        <w:rPr>
          <w:rFonts w:hint="eastAsia" w:ascii="宋体" w:hAnsi="宋体"/>
          <w:sz w:val="32"/>
        </w:rPr>
        <w:t>与市委机构编制委员会办公室有关职责分工：市行政审批服务局负责权力清单及公共服务事项清单的动态调整和组织实施，负责组织规范全市行政审批行为。</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keepNext w:val="0"/>
        <w:keepLines w:val="0"/>
        <w:widowControl/>
        <w:suppressLineNumbers w:val="0"/>
        <w:jc w:val="left"/>
        <w:rPr>
          <w:rFonts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val="en-US" w:eastAsia="zh-CN"/>
        </w:rPr>
        <w:t>湘乡市行政审批服务局</w:t>
      </w:r>
      <w:r>
        <w:rPr>
          <w:rFonts w:hint="eastAsia" w:asciiTheme="minorEastAsia" w:hAnsiTheme="minorEastAsia"/>
          <w:bCs/>
          <w:kern w:val="0"/>
          <w:sz w:val="32"/>
          <w:szCs w:val="32"/>
        </w:rPr>
        <w:t>单位内设机构包括：</w:t>
      </w:r>
      <w:r>
        <w:rPr>
          <w:rFonts w:hint="eastAsia" w:ascii="宋体" w:hAnsi="宋体"/>
          <w:sz w:val="32"/>
        </w:rPr>
        <w:t>办公室、行政审批制度改革股、政务服务管理股、政务公开股和1个副科级</w:t>
      </w:r>
      <w:r>
        <w:rPr>
          <w:rFonts w:hint="eastAsia" w:ascii="宋体" w:hAnsi="宋体"/>
          <w:sz w:val="32"/>
          <w:lang w:val="en-US" w:eastAsia="zh-CN"/>
        </w:rPr>
        <w:t>未单独核算事业单位</w:t>
      </w:r>
      <w:r>
        <w:rPr>
          <w:rFonts w:hint="eastAsia" w:ascii="宋体" w:hAnsi="宋体"/>
          <w:sz w:val="32"/>
        </w:rPr>
        <w:t>湘乡市人民政府政务服务中心。</w:t>
      </w:r>
    </w:p>
    <w:p>
      <w:pPr>
        <w:widowControl/>
        <w:spacing w:line="600" w:lineRule="exact"/>
        <w:ind w:firstLine="640" w:firstLineChars="200"/>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val="en-US" w:eastAsia="zh-CN"/>
        </w:rPr>
        <w:t>湘乡市行政审批服务局</w:t>
      </w:r>
      <w:r>
        <w:rPr>
          <w:rFonts w:asciiTheme="minorEastAsia" w:hAnsiTheme="minorEastAsia"/>
          <w:bCs/>
          <w:kern w:val="0"/>
          <w:sz w:val="32"/>
          <w:szCs w:val="32"/>
        </w:rPr>
        <w:t>2019</w:t>
      </w:r>
      <w:r>
        <w:rPr>
          <w:rFonts w:hint="eastAsia" w:asciiTheme="minorEastAsia" w:hAnsiTheme="minorEastAsia"/>
          <w:bCs/>
          <w:kern w:val="0"/>
          <w:sz w:val="32"/>
          <w:szCs w:val="32"/>
        </w:rPr>
        <w:t>年部门决算汇总公开单位构成包括：</w:t>
      </w:r>
      <w:r>
        <w:rPr>
          <w:rFonts w:hint="eastAsia" w:asciiTheme="minorEastAsia" w:hAnsiTheme="minorEastAsia"/>
          <w:bCs/>
          <w:kern w:val="0"/>
          <w:sz w:val="32"/>
          <w:szCs w:val="32"/>
          <w:lang w:val="en-US" w:eastAsia="zh-CN"/>
        </w:rPr>
        <w:t>湘乡市行政审批服务局</w:t>
      </w:r>
      <w:r>
        <w:rPr>
          <w:rFonts w:hint="eastAsia" w:asciiTheme="minorEastAsia" w:hAnsiTheme="minorEastAsia"/>
          <w:bCs/>
          <w:kern w:val="0"/>
          <w:sz w:val="32"/>
          <w:szCs w:val="32"/>
        </w:rPr>
        <w:t>本级</w:t>
      </w:r>
      <w:r>
        <w:rPr>
          <w:rFonts w:hint="eastAsia" w:asciiTheme="minorEastAsia" w:hAnsiTheme="minorEastAsia"/>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rFonts w:hint="eastAsia" w:ascii="黑体" w:eastAsia="黑体" w:cs="黑体" w:hAnsiTheme="minorHAnsi"/>
          <w:color w:val="000000"/>
          <w:kern w:val="0"/>
          <w:sz w:val="84"/>
          <w:szCs w:val="84"/>
          <w:lang w:val="en-US" w:eastAsia="zh-CN" w:bidi="ar-SA"/>
        </w:rPr>
      </w:pPr>
      <w:r>
        <w:rPr>
          <w:rFonts w:hint="eastAsia" w:ascii="黑体" w:eastAsia="黑体" w:cs="黑体" w:hAnsiTheme="minorHAnsi"/>
          <w:color w:val="000000"/>
          <w:kern w:val="0"/>
          <w:sz w:val="84"/>
          <w:szCs w:val="84"/>
          <w:lang w:val="en-US" w:eastAsia="zh-CN" w:bidi="ar-SA"/>
        </w:rPr>
        <w:t>第二部分</w:t>
      </w:r>
    </w:p>
    <w:p>
      <w:pPr>
        <w:jc w:val="center"/>
        <w:rPr>
          <w:rFonts w:hint="eastAsia" w:ascii="黑体" w:eastAsia="黑体" w:cs="黑体" w:hAnsiTheme="minorHAnsi"/>
          <w:color w:val="000000"/>
          <w:kern w:val="0"/>
          <w:sz w:val="84"/>
          <w:szCs w:val="84"/>
          <w:lang w:val="en-US" w:eastAsia="zh-CN" w:bidi="ar-SA"/>
        </w:rPr>
      </w:pPr>
    </w:p>
    <w:p>
      <w:pPr>
        <w:jc w:val="center"/>
        <w:rPr>
          <w:rFonts w:hint="eastAsia" w:ascii="黑体" w:eastAsia="黑体" w:cs="黑体" w:hAnsiTheme="minorHAnsi"/>
          <w:color w:val="000000"/>
          <w:kern w:val="0"/>
          <w:sz w:val="84"/>
          <w:szCs w:val="84"/>
          <w:lang w:val="en-US" w:eastAsia="zh-CN" w:bidi="ar-SA"/>
        </w:rPr>
      </w:pPr>
      <w:r>
        <w:rPr>
          <w:rFonts w:hint="eastAsia" w:ascii="黑体" w:eastAsia="黑体" w:cs="黑体" w:hAnsiTheme="minorHAnsi"/>
          <w:color w:val="000000"/>
          <w:kern w:val="0"/>
          <w:sz w:val="84"/>
          <w:szCs w:val="84"/>
          <w:lang w:val="en-US" w:eastAsia="zh-CN" w:bidi="ar-SA"/>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jc w:val="center"/>
        <w:rPr>
          <w:rFonts w:ascii="黑体" w:hAnsi="黑体" w:eastAsia="黑体"/>
          <w:sz w:val="36"/>
          <w:szCs w:val="32"/>
        </w:rPr>
      </w:pPr>
      <w:r>
        <w:rPr>
          <w:rFonts w:hint="eastAsia" w:ascii="黑体" w:hAnsi="黑体" w:eastAsia="黑体"/>
          <w:sz w:val="36"/>
          <w:szCs w:val="32"/>
        </w:rPr>
        <w:t>收入支出决算总表</w:t>
      </w:r>
    </w:p>
    <w:p>
      <w:pPr>
        <w:widowControl/>
        <w:spacing w:line="320" w:lineRule="exact"/>
        <w:ind w:right="198"/>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湘乡市行政审批服务局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w:t>
      </w:r>
      <w:r>
        <w:rPr>
          <w:rFonts w:ascii="Times New Roman" w:hAnsi="Times New Roman" w:eastAsia="仿宋_GB2312" w:cs="Times New Roman"/>
          <w:color w:val="000000"/>
          <w:kern w:val="0"/>
          <w:szCs w:val="21"/>
        </w:rPr>
        <w:t>01</w:t>
      </w:r>
      <w:r>
        <w:rPr>
          <w:rFonts w:hint="eastAsia" w:ascii="Times New Roman" w:hAnsi="Times New Roman" w:eastAsia="仿宋_GB2312" w:cs="Times New Roman"/>
          <w:color w:val="000000"/>
          <w:kern w:val="0"/>
          <w:szCs w:val="21"/>
        </w:rPr>
        <w:t>表</w:t>
      </w:r>
    </w:p>
    <w:p>
      <w:pPr>
        <w:widowControl/>
        <w:spacing w:line="320" w:lineRule="exact"/>
        <w:ind w:right="198"/>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单位：万元</w:t>
      </w:r>
    </w:p>
    <w:tbl>
      <w:tblPr>
        <w:tblStyle w:val="7"/>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收入</w:t>
            </w:r>
          </w:p>
        </w:tc>
        <w:tc>
          <w:tcPr>
            <w:tcW w:w="7203" w:type="dxa"/>
            <w:gridSpan w:val="3"/>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支出</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项</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行次</w:t>
            </w:r>
          </w:p>
        </w:tc>
        <w:tc>
          <w:tcPr>
            <w:tcW w:w="1224"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决算数</w:t>
            </w:r>
          </w:p>
        </w:tc>
        <w:tc>
          <w:tcPr>
            <w:tcW w:w="482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项</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行次</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栏</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次</w:t>
            </w:r>
          </w:p>
        </w:tc>
        <w:tc>
          <w:tcPr>
            <w:tcW w:w="702" w:type="dxa"/>
            <w:tcBorders>
              <w:top w:val="nil"/>
              <w:left w:val="nil"/>
              <w:bottom w:val="single" w:color="auto" w:sz="4" w:space="0"/>
              <w:right w:val="single" w:color="auto" w:sz="4" w:space="0"/>
            </w:tcBorders>
            <w:noWrap/>
            <w:vAlign w:val="center"/>
          </w:tcPr>
          <w:p>
            <w:pP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224"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482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栏</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一、一般公共预算财政拨款收入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1613.36</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一、一般公共服务支出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14</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1810.93</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二、政府性基金预算财政拨款收入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二、外交支出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15</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三、上级补助收入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三、国防支出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16</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四、事业收入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四、公共安全支出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17</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五、经营收入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五、教育支出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18</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六、附属单位上缴收入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六、科学技术支出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19</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七、其他收入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199.10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七、</w:t>
            </w:r>
            <w:r>
              <w:rPr>
                <w:rFonts w:hint="eastAsia" w:ascii="Times New Roman" w:hAnsi="Times New Roman" w:eastAsia="仿宋_GB2312" w:cs="Times New Roman"/>
                <w:kern w:val="0"/>
                <w:szCs w:val="21"/>
                <w:lang w:val="en-US" w:eastAsia="zh-CN"/>
              </w:rPr>
              <w:t>卫生健康支出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20</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八、社会保障和就业支出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21</w:t>
            </w:r>
          </w:p>
        </w:tc>
        <w:tc>
          <w:tcPr>
            <w:tcW w:w="1681"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39.53</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本年收入合计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1812.47</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本年支出合计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22</w:t>
            </w:r>
          </w:p>
        </w:tc>
        <w:tc>
          <w:tcPr>
            <w:tcW w:w="1681"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b/>
                <w:bCs/>
                <w:kern w:val="0"/>
                <w:szCs w:val="21"/>
                <w:lang w:val="en-US" w:eastAsia="zh-CN"/>
              </w:rPr>
            </w:pPr>
            <w:r>
              <w:rPr>
                <w:rFonts w:hint="eastAsia" w:ascii="Times New Roman" w:hAnsi="Times New Roman" w:eastAsia="仿宋_GB2312" w:cs="Times New Roman"/>
                <w:b/>
                <w:bCs/>
                <w:kern w:val="0"/>
                <w:szCs w:val="21"/>
              </w:rPr>
              <w:t>　</w:t>
            </w:r>
            <w:r>
              <w:rPr>
                <w:rFonts w:hint="eastAsia" w:ascii="Times New Roman" w:hAnsi="Times New Roman" w:eastAsia="仿宋_GB2312" w:cs="Times New Roman"/>
                <w:b/>
                <w:bCs/>
                <w:kern w:val="0"/>
                <w:szCs w:val="21"/>
                <w:lang w:val="en-US" w:eastAsia="zh-CN"/>
              </w:rPr>
              <w:t xml:space="preserve">     1913.48</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用事业基金弥补收支差额</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结余分配</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23</w:t>
            </w:r>
          </w:p>
        </w:tc>
        <w:tc>
          <w:tcPr>
            <w:tcW w:w="1681"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0.21</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年初结转和结余</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101.25</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年末结转和结余</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24</w:t>
            </w:r>
          </w:p>
        </w:tc>
        <w:tc>
          <w:tcPr>
            <w:tcW w:w="1681"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0.03</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25</w:t>
            </w:r>
          </w:p>
        </w:tc>
        <w:tc>
          <w:tcPr>
            <w:tcW w:w="1681"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总计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13</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1913.72</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总计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26</w:t>
            </w:r>
          </w:p>
        </w:tc>
        <w:tc>
          <w:tcPr>
            <w:tcW w:w="1681" w:type="dxa"/>
            <w:tcBorders>
              <w:top w:val="nil"/>
              <w:left w:val="nil"/>
              <w:bottom w:val="single" w:color="auto" w:sz="4" w:space="0"/>
              <w:right w:val="single" w:color="auto" w:sz="4" w:space="0"/>
            </w:tcBorders>
            <w:noWrap/>
            <w:vAlign w:val="center"/>
          </w:tcPr>
          <w:p>
            <w:pPr>
              <w:widowControl/>
              <w:ind w:firstLine="420" w:firstLineChars="200"/>
              <w:jc w:val="left"/>
              <w:rPr>
                <w:rFonts w:hint="default" w:ascii="Times New Roman" w:hAnsi="Times New Roman" w:eastAsia="仿宋_GB2312" w:cs="Times New Roman"/>
                <w:b/>
                <w:bCs/>
                <w:kern w:val="0"/>
                <w:szCs w:val="21"/>
                <w:lang w:val="en-US" w:eastAsia="zh-CN"/>
              </w:rPr>
            </w:pPr>
            <w:r>
              <w:rPr>
                <w:rFonts w:hint="eastAsia" w:ascii="Times New Roman" w:hAnsi="Times New Roman" w:eastAsia="仿宋_GB2312" w:cs="Times New Roman"/>
                <w:b/>
                <w:bCs/>
                <w:kern w:val="0"/>
                <w:szCs w:val="21"/>
              </w:rPr>
              <w:t>　</w:t>
            </w:r>
            <w:r>
              <w:rPr>
                <w:rFonts w:hint="eastAsia" w:ascii="Times New Roman" w:hAnsi="Times New Roman" w:eastAsia="仿宋_GB2312" w:cs="Times New Roman"/>
                <w:b/>
                <w:bCs/>
                <w:kern w:val="0"/>
                <w:szCs w:val="21"/>
                <w:lang w:val="en-US" w:eastAsia="zh-CN"/>
              </w:rPr>
              <w:t>1913.72</w:t>
            </w:r>
          </w:p>
        </w:tc>
      </w:tr>
    </w:tbl>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注：本表反映部门本年度的总收支和年末结转结余情况。</w:t>
      </w:r>
    </w:p>
    <w:p>
      <w:pPr>
        <w:widowControl/>
        <w:jc w:val="left"/>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r>
        <w:rPr>
          <w:rFonts w:ascii="Times New Roman" w:hAnsi="Times New Roman" w:eastAsia="黑体" w:cs="Times New Roman"/>
          <w:bCs/>
          <w:kern w:val="0"/>
          <w:sz w:val="32"/>
          <w:szCs w:val="32"/>
        </w:rPr>
        <w:br w:type="page"/>
      </w: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收入决算表</w:t>
      </w:r>
    </w:p>
    <w:p>
      <w:pPr>
        <w:widowControl/>
        <w:ind w:firstLine="630" w:firstLineChars="3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湘乡市行政审批服务局</w:t>
      </w:r>
      <w:r>
        <w:rPr>
          <w:rFonts w:ascii="Times New Roman" w:hAnsi="Times New Roman" w:eastAsia="仿宋_GB2312" w:cs="Times New Roman"/>
          <w:color w:val="000000"/>
          <w:kern w:val="0"/>
          <w:szCs w:val="21"/>
        </w:rPr>
        <w:t xml:space="preserve">                                                                                        公开02表</w:t>
      </w:r>
    </w:p>
    <w:p>
      <w:pPr>
        <w:widowControl/>
        <w:ind w:right="63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3813" w:type="dxa"/>
        <w:jc w:val="center"/>
        <w:tblLayout w:type="autofit"/>
        <w:tblCellMar>
          <w:top w:w="0" w:type="dxa"/>
          <w:left w:w="108" w:type="dxa"/>
          <w:bottom w:w="0" w:type="dxa"/>
          <w:right w:w="108" w:type="dxa"/>
        </w:tblCellMar>
      </w:tblPr>
      <w:tblGrid>
        <w:gridCol w:w="1197"/>
        <w:gridCol w:w="1188"/>
        <w:gridCol w:w="1676"/>
        <w:gridCol w:w="1595"/>
        <w:gridCol w:w="1676"/>
        <w:gridCol w:w="1382"/>
        <w:gridCol w:w="1412"/>
        <w:gridCol w:w="1676"/>
        <w:gridCol w:w="2011"/>
      </w:tblGrid>
      <w:tr>
        <w:tblPrEx>
          <w:tblCellMar>
            <w:top w:w="0" w:type="dxa"/>
            <w:left w:w="108" w:type="dxa"/>
            <w:bottom w:w="0" w:type="dxa"/>
            <w:right w:w="108" w:type="dxa"/>
          </w:tblCellMar>
        </w:tblPrEx>
        <w:trPr>
          <w:trHeight w:val="450" w:hRule="atLeast"/>
          <w:jc w:val="center"/>
        </w:trPr>
        <w:tc>
          <w:tcPr>
            <w:tcW w:w="2385" w:type="dxa"/>
            <w:gridSpan w:val="2"/>
            <w:tcBorders>
              <w:top w:val="single" w:color="auto" w:sz="8" w:space="0"/>
              <w:left w:val="single" w:color="auto" w:sz="8" w:space="0"/>
              <w:bottom w:val="single" w:color="auto" w:sz="4" w:space="0"/>
              <w:right w:val="nil"/>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    目</w:t>
            </w:r>
          </w:p>
        </w:tc>
        <w:tc>
          <w:tcPr>
            <w:tcW w:w="1676"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本年收入合计</w:t>
            </w:r>
          </w:p>
        </w:tc>
        <w:tc>
          <w:tcPr>
            <w:tcW w:w="1595"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财政拨款收入</w:t>
            </w:r>
          </w:p>
        </w:tc>
        <w:tc>
          <w:tcPr>
            <w:tcW w:w="1676"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上级补助收入</w:t>
            </w:r>
          </w:p>
        </w:tc>
        <w:tc>
          <w:tcPr>
            <w:tcW w:w="1382"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事业收入</w:t>
            </w:r>
          </w:p>
        </w:tc>
        <w:tc>
          <w:tcPr>
            <w:tcW w:w="1412"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经营收入</w:t>
            </w:r>
          </w:p>
        </w:tc>
        <w:tc>
          <w:tcPr>
            <w:tcW w:w="1676"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附属单位上缴收入</w:t>
            </w:r>
          </w:p>
        </w:tc>
        <w:tc>
          <w:tcPr>
            <w:tcW w:w="2011" w:type="dxa"/>
            <w:vMerge w:val="restart"/>
            <w:tcBorders>
              <w:top w:val="single" w:color="auto" w:sz="8" w:space="0"/>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其他收入</w:t>
            </w:r>
          </w:p>
        </w:tc>
      </w:tr>
      <w:tr>
        <w:tblPrEx>
          <w:tblCellMar>
            <w:top w:w="0" w:type="dxa"/>
            <w:left w:w="108" w:type="dxa"/>
            <w:bottom w:w="0" w:type="dxa"/>
            <w:right w:w="108" w:type="dxa"/>
          </w:tblCellMar>
        </w:tblPrEx>
        <w:trPr>
          <w:trHeight w:val="450" w:hRule="atLeast"/>
          <w:jc w:val="center"/>
        </w:trPr>
        <w:tc>
          <w:tcPr>
            <w:tcW w:w="1197" w:type="dxa"/>
            <w:vMerge w:val="restart"/>
            <w:tcBorders>
              <w:top w:val="single" w:color="auto" w:sz="4" w:space="0"/>
              <w:left w:val="single" w:color="auto" w:sz="8" w:space="0"/>
              <w:bottom w:val="single" w:color="000000" w:sz="4" w:space="0"/>
              <w:right w:val="nil"/>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功能分类科目编码</w:t>
            </w:r>
          </w:p>
        </w:tc>
        <w:tc>
          <w:tcPr>
            <w:tcW w:w="118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科目名称</w:t>
            </w: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59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38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41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011"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vMerge w:val="continue"/>
            <w:tcBorders>
              <w:top w:val="single" w:color="auto" w:sz="4" w:space="0"/>
              <w:left w:val="single" w:color="auto" w:sz="8" w:space="0"/>
              <w:bottom w:val="single" w:color="000000" w:sz="4" w:space="0"/>
              <w:right w:val="nil"/>
            </w:tcBorders>
            <w:vAlign w:val="center"/>
          </w:tcPr>
          <w:p>
            <w:pPr>
              <w:widowControl/>
              <w:jc w:val="left"/>
              <w:rPr>
                <w:rFonts w:ascii="Times New Roman" w:hAnsi="Times New Roman" w:eastAsia="仿宋_GB2312" w:cs="Times New Roman"/>
                <w:kern w:val="0"/>
                <w:szCs w:val="21"/>
              </w:rPr>
            </w:pPr>
          </w:p>
        </w:tc>
        <w:tc>
          <w:tcPr>
            <w:tcW w:w="118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59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38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41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011"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2385" w:type="dxa"/>
            <w:gridSpan w:val="2"/>
            <w:tcBorders>
              <w:top w:val="single" w:color="auto" w:sz="4" w:space="0"/>
              <w:left w:val="single" w:color="auto" w:sz="8"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67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67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38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41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67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2011" w:type="dxa"/>
            <w:tcBorders>
              <w:top w:val="nil"/>
              <w:left w:val="nil"/>
              <w:bottom w:val="single" w:color="auto" w:sz="4" w:space="0"/>
              <w:right w:val="single" w:color="auto" w:sz="8"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r>
      <w:tr>
        <w:tblPrEx>
          <w:tblCellMar>
            <w:top w:w="0" w:type="dxa"/>
            <w:left w:w="108" w:type="dxa"/>
            <w:bottom w:w="0" w:type="dxa"/>
            <w:right w:w="108" w:type="dxa"/>
          </w:tblCellMar>
        </w:tblPrEx>
        <w:trPr>
          <w:trHeight w:val="450" w:hRule="atLeast"/>
          <w:jc w:val="center"/>
        </w:trPr>
        <w:tc>
          <w:tcPr>
            <w:tcW w:w="2385" w:type="dxa"/>
            <w:gridSpan w:val="2"/>
            <w:tcBorders>
              <w:top w:val="nil"/>
              <w:left w:val="single" w:color="auto" w:sz="8"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1812.47</w:t>
            </w: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1613.36</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199.10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201</w:t>
            </w:r>
          </w:p>
        </w:tc>
        <w:tc>
          <w:tcPr>
            <w:tcW w:w="118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一般公共服务支出</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1768.90</w:t>
            </w: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1569.79</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199.10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20103</w:t>
            </w:r>
          </w:p>
        </w:tc>
        <w:tc>
          <w:tcPr>
            <w:tcW w:w="118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政府办公厅（室）及相关机构事务</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1768.9</w:t>
            </w: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1569.79</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199.1</w:t>
            </w: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2010301</w:t>
            </w:r>
          </w:p>
        </w:tc>
        <w:tc>
          <w:tcPr>
            <w:tcW w:w="118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行政运行</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206.48</w:t>
            </w: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7.38</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199.1</w:t>
            </w: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2010302</w:t>
            </w:r>
          </w:p>
        </w:tc>
        <w:tc>
          <w:tcPr>
            <w:tcW w:w="118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一般行政管理事务</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1562.41</w:t>
            </w: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1562.41</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w:t>
            </w:r>
          </w:p>
        </w:tc>
        <w:tc>
          <w:tcPr>
            <w:tcW w:w="118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社会保障和就业支出</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20.97</w:t>
            </w: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20.97</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20805</w:t>
            </w:r>
          </w:p>
        </w:tc>
        <w:tc>
          <w:tcPr>
            <w:tcW w:w="1188"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行政事业单位离退休</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20.97</w:t>
            </w:r>
            <w:r>
              <w:rPr>
                <w:rFonts w:ascii="Times New Roman" w:hAnsi="Times New Roman" w:eastAsia="仿宋_GB2312" w:cs="Times New Roman"/>
                <w:kern w:val="0"/>
                <w:szCs w:val="21"/>
              </w:rPr>
              <w:t>　</w:t>
            </w:r>
          </w:p>
        </w:tc>
        <w:tc>
          <w:tcPr>
            <w:tcW w:w="1595"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20.97</w:t>
            </w: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2080505</w:t>
            </w:r>
          </w:p>
        </w:tc>
        <w:tc>
          <w:tcPr>
            <w:tcW w:w="1188"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机关事业单位基本养老保险缴费支出</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20.97</w:t>
            </w:r>
          </w:p>
        </w:tc>
        <w:tc>
          <w:tcPr>
            <w:tcW w:w="1595"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20.97</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210</w:t>
            </w:r>
          </w:p>
        </w:tc>
        <w:tc>
          <w:tcPr>
            <w:tcW w:w="1188"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卫生健康支出</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10.24</w:t>
            </w:r>
          </w:p>
        </w:tc>
        <w:tc>
          <w:tcPr>
            <w:tcW w:w="1595"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10.24</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21011</w:t>
            </w:r>
          </w:p>
        </w:tc>
        <w:tc>
          <w:tcPr>
            <w:tcW w:w="1188"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行政事业单位医疗</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10.24</w:t>
            </w:r>
          </w:p>
        </w:tc>
        <w:tc>
          <w:tcPr>
            <w:tcW w:w="1595"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10.24</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2101101</w:t>
            </w:r>
          </w:p>
        </w:tc>
        <w:tc>
          <w:tcPr>
            <w:tcW w:w="1188"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行政单位医疗</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10.24</w:t>
            </w:r>
          </w:p>
        </w:tc>
        <w:tc>
          <w:tcPr>
            <w:tcW w:w="1595"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10.24</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221</w:t>
            </w:r>
          </w:p>
        </w:tc>
        <w:tc>
          <w:tcPr>
            <w:tcW w:w="1188"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xml:space="preserve"> 住房保障支出</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12.36</w:t>
            </w:r>
          </w:p>
        </w:tc>
        <w:tc>
          <w:tcPr>
            <w:tcW w:w="1595"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12.36</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22102</w:t>
            </w:r>
          </w:p>
        </w:tc>
        <w:tc>
          <w:tcPr>
            <w:tcW w:w="1188"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住房改革支出</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12.36</w:t>
            </w:r>
          </w:p>
        </w:tc>
        <w:tc>
          <w:tcPr>
            <w:tcW w:w="1595"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12.36</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2210201</w:t>
            </w:r>
          </w:p>
        </w:tc>
        <w:tc>
          <w:tcPr>
            <w:tcW w:w="1188"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住房公积金</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12.36</w:t>
            </w:r>
          </w:p>
        </w:tc>
        <w:tc>
          <w:tcPr>
            <w:tcW w:w="1595"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12.36</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p>
        </w:tc>
        <w:tc>
          <w:tcPr>
            <w:tcW w:w="1188"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p>
        </w:tc>
        <w:tc>
          <w:tcPr>
            <w:tcW w:w="1595"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Cs w:val="21"/>
              </w:rPr>
            </w:pP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15" w:hRule="atLeast"/>
          <w:jc w:val="center"/>
        </w:trPr>
        <w:tc>
          <w:tcPr>
            <w:tcW w:w="13813" w:type="dxa"/>
            <w:gridSpan w:val="9"/>
            <w:tcBorders>
              <w:top w:val="single" w:color="auto" w:sz="8" w:space="0"/>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注：本表反映部门本年度取得的各项收入情况。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支出决算表</w:t>
      </w:r>
    </w:p>
    <w:p>
      <w:pPr>
        <w:widowControl/>
        <w:spacing w:line="400" w:lineRule="exact"/>
        <w:ind w:firstLine="600" w:firstLineChars="300"/>
        <w:jc w:val="left"/>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部门：</w:t>
      </w:r>
      <w:r>
        <w:rPr>
          <w:rFonts w:hint="eastAsia" w:ascii="Times New Roman" w:hAnsi="Times New Roman" w:eastAsia="仿宋_GB2312" w:cs="Times New Roman"/>
          <w:color w:val="000000"/>
          <w:kern w:val="0"/>
          <w:sz w:val="20"/>
          <w:szCs w:val="20"/>
          <w:lang w:val="en-US" w:eastAsia="zh-CN"/>
        </w:rPr>
        <w:t>湘乡市行政审批服务局</w:t>
      </w:r>
      <w:r>
        <w:rPr>
          <w:rFonts w:ascii="Times New Roman" w:hAnsi="Times New Roman" w:eastAsia="仿宋_GB2312" w:cs="Times New Roman"/>
          <w:color w:val="000000"/>
          <w:kern w:val="0"/>
          <w:sz w:val="20"/>
          <w:szCs w:val="20"/>
        </w:rPr>
        <w:t xml:space="preserve">                                                                                                公开03表</w:t>
      </w:r>
    </w:p>
    <w:p>
      <w:pPr>
        <w:widowControl/>
        <w:spacing w:line="400" w:lineRule="exact"/>
        <w:ind w:right="700"/>
        <w:jc w:val="right"/>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单位：万元</w:t>
      </w:r>
    </w:p>
    <w:tbl>
      <w:tblPr>
        <w:tblStyle w:val="7"/>
        <w:tblW w:w="14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02"/>
        <w:gridCol w:w="1249"/>
        <w:gridCol w:w="1775"/>
        <w:gridCol w:w="1985"/>
        <w:gridCol w:w="1842"/>
        <w:gridCol w:w="1843"/>
        <w:gridCol w:w="1985"/>
        <w:gridCol w:w="230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351"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    目</w:t>
            </w:r>
          </w:p>
        </w:tc>
        <w:tc>
          <w:tcPr>
            <w:tcW w:w="1775"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本年支出合计</w:t>
            </w:r>
          </w:p>
        </w:tc>
        <w:tc>
          <w:tcPr>
            <w:tcW w:w="1985"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基本支出</w:t>
            </w:r>
          </w:p>
        </w:tc>
        <w:tc>
          <w:tcPr>
            <w:tcW w:w="1842"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项目支出</w:t>
            </w:r>
          </w:p>
        </w:tc>
        <w:tc>
          <w:tcPr>
            <w:tcW w:w="1843"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上缴上级支出</w:t>
            </w:r>
          </w:p>
        </w:tc>
        <w:tc>
          <w:tcPr>
            <w:tcW w:w="1985"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经营支出</w:t>
            </w:r>
          </w:p>
        </w:tc>
        <w:tc>
          <w:tcPr>
            <w:tcW w:w="2308"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功能分类科目编码</w:t>
            </w:r>
          </w:p>
        </w:tc>
        <w:tc>
          <w:tcPr>
            <w:tcW w:w="1249"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科目名称</w:t>
            </w:r>
          </w:p>
        </w:tc>
        <w:tc>
          <w:tcPr>
            <w:tcW w:w="177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98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842"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843"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98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2308" w:type="dxa"/>
            <w:vMerge w:val="continue"/>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249"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77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98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842"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843"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98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2308" w:type="dxa"/>
            <w:vMerge w:val="continue"/>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351" w:type="dxa"/>
            <w:gridSpan w:val="2"/>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775"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985"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842"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843"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985"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308"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351" w:type="dxa"/>
            <w:gridSpan w:val="2"/>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1913.48</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321.07</w:t>
            </w:r>
            <w:r>
              <w:rPr>
                <w:rFonts w:ascii="Times New Roman" w:hAnsi="Times New Roman" w:eastAsia="仿宋_GB2312" w:cs="Times New Roman"/>
                <w:kern w:val="0"/>
                <w:szCs w:val="21"/>
              </w:rPr>
              <w:t>　</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1592.41</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201</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一般公共服务支出</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1810.93</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218.52</w:t>
            </w:r>
            <w:r>
              <w:rPr>
                <w:rFonts w:ascii="Times New Roman" w:hAnsi="Times New Roman" w:eastAsia="仿宋_GB2312" w:cs="Times New Roman"/>
                <w:kern w:val="0"/>
                <w:szCs w:val="21"/>
              </w:rPr>
              <w:t>　</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1592.41</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20103</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政府办公厅（室）及相关机构事务</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1810.93</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218.52</w:t>
            </w:r>
            <w:r>
              <w:rPr>
                <w:rFonts w:ascii="Times New Roman" w:hAnsi="Times New Roman" w:eastAsia="仿宋_GB2312" w:cs="Times New Roman"/>
                <w:kern w:val="0"/>
                <w:szCs w:val="21"/>
              </w:rPr>
              <w:t>　</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1592.41</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2010301</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行政运行</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215.64</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215.64</w:t>
            </w:r>
            <w:r>
              <w:rPr>
                <w:rFonts w:ascii="Times New Roman" w:hAnsi="Times New Roman" w:eastAsia="仿宋_GB2312" w:cs="Times New Roman"/>
                <w:kern w:val="0"/>
                <w:szCs w:val="21"/>
              </w:rPr>
              <w:t>　</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2010302</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一般行政管理事务</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1595.29</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2.88</w:t>
            </w:r>
            <w:r>
              <w:rPr>
                <w:rFonts w:ascii="Times New Roman" w:hAnsi="Times New Roman" w:eastAsia="仿宋_GB2312" w:cs="Times New Roman"/>
                <w:kern w:val="0"/>
                <w:szCs w:val="21"/>
              </w:rPr>
              <w:t>　</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1592.41</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社会保障和就业支出</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39.53</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39.53</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20805</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行政事业单位离退休</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39.53</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39.53</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2080505</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xml:space="preserve"> 机关事业单位基本养老保险缴费支出</w:t>
            </w:r>
          </w:p>
        </w:tc>
        <w:tc>
          <w:tcPr>
            <w:tcW w:w="1775"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34.29</w:t>
            </w:r>
          </w:p>
        </w:tc>
        <w:tc>
          <w:tcPr>
            <w:tcW w:w="1985"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34.29</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Cs w:val="21"/>
                <w:lang w:val="en-US"/>
              </w:rPr>
            </w:pPr>
            <w:r>
              <w:rPr>
                <w:rFonts w:hint="eastAsia" w:ascii="Times New Roman" w:hAnsi="Times New Roman" w:eastAsia="仿宋_GB2312" w:cs="Times New Roman"/>
                <w:kern w:val="0"/>
                <w:szCs w:val="21"/>
                <w:lang w:val="en-US" w:eastAsia="zh-CN"/>
              </w:rPr>
              <w:t>2080506</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机关事业单位职业年金缴费支出</w:t>
            </w:r>
          </w:p>
        </w:tc>
        <w:tc>
          <w:tcPr>
            <w:tcW w:w="1775"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5.25</w:t>
            </w:r>
          </w:p>
        </w:tc>
        <w:tc>
          <w:tcPr>
            <w:tcW w:w="1985"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5.25</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卫生健康支出</w:t>
            </w:r>
          </w:p>
        </w:tc>
        <w:tc>
          <w:tcPr>
            <w:tcW w:w="1775"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18.14</w:t>
            </w:r>
          </w:p>
        </w:tc>
        <w:tc>
          <w:tcPr>
            <w:tcW w:w="1985"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18.14</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21011</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行政事业单位医疗</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2101101</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行政单位医疗</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221</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xml:space="preserve"> 住房保障支出</w:t>
            </w:r>
          </w:p>
        </w:tc>
        <w:tc>
          <w:tcPr>
            <w:tcW w:w="1775"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44.88</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22102</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住房改革支出</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2210201</w:t>
            </w:r>
          </w:p>
        </w:tc>
        <w:tc>
          <w:tcPr>
            <w:tcW w:w="1249"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住房公积金</w:t>
            </w: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ascii="Times New Roman" w:hAnsi="Times New Roman" w:eastAsia="仿宋_GB2312" w:cs="Times New Roman"/>
                <w:kern w:val="0"/>
                <w:szCs w:val="21"/>
              </w:rPr>
            </w:pPr>
          </w:p>
        </w:tc>
        <w:tc>
          <w:tcPr>
            <w:tcW w:w="1249" w:type="dxa"/>
            <w:shd w:val="clear" w:color="auto" w:fill="auto"/>
            <w:noWrap/>
            <w:vAlign w:val="center"/>
          </w:tcPr>
          <w:p>
            <w:pPr>
              <w:widowControl/>
              <w:jc w:val="left"/>
              <w:rPr>
                <w:rFonts w:ascii="Times New Roman" w:hAnsi="Times New Roman" w:eastAsia="仿宋_GB2312" w:cs="Times New Roman"/>
                <w:kern w:val="0"/>
                <w:szCs w:val="21"/>
              </w:rPr>
            </w:pPr>
          </w:p>
        </w:tc>
        <w:tc>
          <w:tcPr>
            <w:tcW w:w="1775" w:type="dxa"/>
            <w:shd w:val="clear" w:color="auto" w:fill="auto"/>
            <w:noWrap/>
            <w:vAlign w:val="center"/>
          </w:tcPr>
          <w:p>
            <w:pPr>
              <w:widowControl/>
              <w:jc w:val="right"/>
              <w:rPr>
                <w:rFonts w:ascii="Times New Roman" w:hAnsi="Times New Roman" w:eastAsia="仿宋_GB2312" w:cs="Times New Roman"/>
                <w:kern w:val="0"/>
                <w:szCs w:val="21"/>
              </w:rPr>
            </w:pP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p>
        </w:tc>
        <w:tc>
          <w:tcPr>
            <w:tcW w:w="1842" w:type="dxa"/>
            <w:shd w:val="clear" w:color="auto" w:fill="auto"/>
            <w:noWrap/>
            <w:vAlign w:val="center"/>
          </w:tcPr>
          <w:p>
            <w:pPr>
              <w:widowControl/>
              <w:jc w:val="right"/>
              <w:rPr>
                <w:rFonts w:ascii="Times New Roman" w:hAnsi="Times New Roman" w:eastAsia="仿宋_GB2312" w:cs="Times New Roman"/>
                <w:kern w:val="0"/>
                <w:szCs w:val="21"/>
              </w:rPr>
            </w:pPr>
          </w:p>
        </w:tc>
        <w:tc>
          <w:tcPr>
            <w:tcW w:w="1843" w:type="dxa"/>
            <w:shd w:val="clear" w:color="auto" w:fill="auto"/>
            <w:noWrap/>
            <w:vAlign w:val="center"/>
          </w:tcPr>
          <w:p>
            <w:pPr>
              <w:widowControl/>
              <w:jc w:val="right"/>
              <w:rPr>
                <w:rFonts w:ascii="Times New Roman" w:hAnsi="Times New Roman" w:eastAsia="仿宋_GB2312" w:cs="Times New Roman"/>
                <w:kern w:val="0"/>
                <w:szCs w:val="21"/>
              </w:rPr>
            </w:pPr>
          </w:p>
        </w:tc>
        <w:tc>
          <w:tcPr>
            <w:tcW w:w="1985" w:type="dxa"/>
            <w:shd w:val="clear" w:color="auto" w:fill="auto"/>
            <w:noWrap/>
            <w:vAlign w:val="center"/>
          </w:tcPr>
          <w:p>
            <w:pPr>
              <w:widowControl/>
              <w:jc w:val="right"/>
              <w:rPr>
                <w:rFonts w:ascii="Times New Roman" w:hAnsi="Times New Roman" w:eastAsia="仿宋_GB2312" w:cs="Times New Roman"/>
                <w:kern w:val="0"/>
                <w:szCs w:val="21"/>
              </w:rPr>
            </w:pPr>
          </w:p>
        </w:tc>
        <w:tc>
          <w:tcPr>
            <w:tcW w:w="2308" w:type="dxa"/>
            <w:shd w:val="clear" w:color="auto" w:fill="auto"/>
            <w:noWrap/>
            <w:vAlign w:val="center"/>
          </w:tcPr>
          <w:p>
            <w:pPr>
              <w:widowControl/>
              <w:jc w:val="right"/>
              <w:rPr>
                <w:rFonts w:ascii="Times New Roman" w:hAnsi="Times New Roman" w:eastAsia="仿宋_GB2312" w:cs="Times New Roman"/>
                <w:kern w:val="0"/>
                <w:szCs w:val="21"/>
              </w:rPr>
            </w:pPr>
          </w:p>
        </w:tc>
      </w:tr>
    </w:tbl>
    <w:p>
      <w:pPr>
        <w:widowControl/>
        <w:ind w:firstLine="630" w:firstLineChars="30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注：本表反映部门本年度各项支出情况。</w:t>
      </w: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ind w:left="93"/>
        <w:jc w:val="center"/>
        <w:rPr>
          <w:rFonts w:ascii="Times New Roman" w:hAnsi="Times New Roman" w:eastAsia="方正小标宋_GBK" w:cs="Times New Roman"/>
          <w:color w:val="000000"/>
          <w:kern w:val="0"/>
          <w:sz w:val="36"/>
          <w:szCs w:val="21"/>
        </w:rPr>
      </w:pPr>
      <w:r>
        <w:rPr>
          <w:rFonts w:ascii="Times New Roman" w:hAnsi="Times New Roman" w:eastAsia="方正小标宋_GBK" w:cs="Times New Roman"/>
          <w:color w:val="000000"/>
          <w:kern w:val="0"/>
          <w:sz w:val="36"/>
          <w:szCs w:val="21"/>
        </w:rPr>
        <w:t>财政拨款收入支出决算总表</w:t>
      </w:r>
    </w:p>
    <w:p>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公开04表</w:t>
      </w:r>
    </w:p>
    <w:p>
      <w:pPr>
        <w:widowControl/>
        <w:tabs>
          <w:tab w:val="left" w:pos="13725"/>
          <w:tab w:val="left" w:pos="13755"/>
          <w:tab w:val="left" w:pos="13800"/>
        </w:tabs>
        <w:spacing w:line="240" w:lineRule="exact"/>
        <w:ind w:left="91" w:firstLine="315" w:firstLineChars="1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湘乡市行政审批服务局</w:t>
      </w:r>
      <w:r>
        <w:rPr>
          <w:rFonts w:ascii="Times New Roman" w:hAnsi="Times New Roman" w:eastAsia="仿宋_GB2312" w:cs="Times New Roman"/>
          <w:color w:val="000000"/>
          <w:kern w:val="0"/>
          <w:szCs w:val="21"/>
        </w:rPr>
        <w:tab/>
      </w:r>
      <w:r>
        <w:rPr>
          <w:rFonts w:ascii="Times New Roman" w:hAnsi="Times New Roman" w:eastAsia="仿宋_GB2312" w:cs="Times New Roman"/>
          <w:color w:val="000000"/>
          <w:kern w:val="0"/>
          <w:szCs w:val="21"/>
        </w:rPr>
        <w:t>单位：万元</w:t>
      </w:r>
    </w:p>
    <w:tbl>
      <w:tblPr>
        <w:tblStyle w:val="7"/>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994"/>
        <w:gridCol w:w="480"/>
        <w:gridCol w:w="1880"/>
        <w:gridCol w:w="3761"/>
        <w:gridCol w:w="430"/>
        <w:gridCol w:w="1880"/>
        <w:gridCol w:w="1660"/>
        <w:gridCol w:w="15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收入</w:t>
            </w:r>
          </w:p>
        </w:tc>
        <w:tc>
          <w:tcPr>
            <w:tcW w:w="9303" w:type="dxa"/>
            <w:gridSpan w:val="5"/>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48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行次</w:t>
            </w:r>
          </w:p>
        </w:tc>
        <w:tc>
          <w:tcPr>
            <w:tcW w:w="188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金额</w:t>
            </w:r>
          </w:p>
        </w:tc>
        <w:tc>
          <w:tcPr>
            <w:tcW w:w="3761"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43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行次</w:t>
            </w:r>
          </w:p>
        </w:tc>
        <w:tc>
          <w:tcPr>
            <w:tcW w:w="188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合计</w:t>
            </w:r>
          </w:p>
        </w:tc>
        <w:tc>
          <w:tcPr>
            <w:tcW w:w="1660"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一般公共预算财政拨款</w:t>
            </w:r>
          </w:p>
        </w:tc>
        <w:tc>
          <w:tcPr>
            <w:tcW w:w="1572"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政府性基金预算财政拨款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    次</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761"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    次</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572"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一、一般公共预算财政拨款</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1613.36</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一、一般公共服务支出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15</w:t>
            </w:r>
          </w:p>
        </w:tc>
        <w:tc>
          <w:tcPr>
            <w:tcW w:w="188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1609.16</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1609.16</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二、政府性基金预算财政拨款</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二、</w:t>
            </w:r>
            <w:r>
              <w:rPr>
                <w:rFonts w:hint="eastAsia" w:ascii="Times New Roman" w:hAnsi="Times New Roman" w:eastAsia="仿宋_GB2312" w:cs="Times New Roman"/>
                <w:kern w:val="0"/>
                <w:szCs w:val="21"/>
                <w:lang w:val="en-US" w:eastAsia="zh-CN"/>
              </w:rPr>
              <w:t>卫生健康支出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16</w:t>
            </w:r>
          </w:p>
        </w:tc>
        <w:tc>
          <w:tcPr>
            <w:tcW w:w="188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18.14</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三、</w:t>
            </w:r>
            <w:r>
              <w:rPr>
                <w:rFonts w:hint="eastAsia" w:ascii="Times New Roman" w:hAnsi="Times New Roman" w:eastAsia="仿宋_GB2312" w:cs="Times New Roman"/>
                <w:kern w:val="0"/>
                <w:szCs w:val="21"/>
                <w:lang w:val="en-US" w:eastAsia="zh-CN"/>
              </w:rPr>
              <w:t>住房保障支出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17</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四、公共安全支出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18</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五、教育支出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19</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六、科学技术支出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20</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七、</w:t>
            </w:r>
            <w:r>
              <w:rPr>
                <w:rFonts w:hint="eastAsia" w:ascii="Times New Roman" w:hAnsi="Times New Roman" w:eastAsia="仿宋_GB2312" w:cs="Times New Roman"/>
                <w:kern w:val="0"/>
                <w:szCs w:val="21"/>
                <w:lang w:val="en-US" w:eastAsia="zh-CN"/>
              </w:rPr>
              <w:t>社会保障和就业支出</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21</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39.53</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39.53</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880"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22</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本年收入合计</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1613.36</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本年支出合计</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23</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1711.70</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1711.70</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年初财政拨款结转和结余</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98.37</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年末财政拨款结转和结余</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24</w:t>
            </w:r>
          </w:p>
        </w:tc>
        <w:tc>
          <w:tcPr>
            <w:tcW w:w="188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0.03</w:t>
            </w:r>
          </w:p>
        </w:tc>
        <w:tc>
          <w:tcPr>
            <w:tcW w:w="166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0.03</w:t>
            </w:r>
          </w:p>
        </w:tc>
        <w:tc>
          <w:tcPr>
            <w:tcW w:w="157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w:t>
            </w:r>
            <w:r>
              <w:rPr>
                <w:rFonts w:ascii="Times New Roman" w:hAnsi="Times New Roman" w:eastAsia="仿宋_GB2312" w:cs="Times New Roman"/>
                <w:kern w:val="0"/>
                <w:szCs w:val="21"/>
              </w:rPr>
              <w:t>一般公共预算财政拨款</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98.37</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25</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w:t>
            </w:r>
            <w:r>
              <w:rPr>
                <w:rFonts w:ascii="Times New Roman" w:hAnsi="Times New Roman" w:eastAsia="仿宋_GB2312" w:cs="Times New Roman"/>
                <w:kern w:val="0"/>
                <w:szCs w:val="21"/>
              </w:rPr>
              <w:t>政府性基金预算财政拨款</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26</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13</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27</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总计</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14</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1711.74</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总计</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28</w:t>
            </w:r>
          </w:p>
        </w:tc>
        <w:tc>
          <w:tcPr>
            <w:tcW w:w="188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1711.74</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1711.74</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注：本表反映部门本年度一般公共预算财政拨款和政府性基金预算财政拨款的总收支和年末结转结余情况。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br w:type="page"/>
      </w:r>
    </w:p>
    <w:p>
      <w:pPr>
        <w:widowControl/>
        <w:jc w:val="center"/>
        <w:rPr>
          <w:rFonts w:ascii="Times New Roman" w:hAnsi="Times New Roman" w:eastAsia="方正小标宋_GBK" w:cs="Times New Roman"/>
          <w:kern w:val="0"/>
          <w:sz w:val="36"/>
          <w:szCs w:val="36"/>
        </w:rPr>
      </w:pPr>
      <w:bookmarkStart w:id="0" w:name="RANGE!A1:F16"/>
      <w:r>
        <w:rPr>
          <w:rFonts w:ascii="Times New Roman" w:hAnsi="Times New Roman" w:eastAsia="方正小标宋_GBK" w:cs="Times New Roman"/>
          <w:kern w:val="0"/>
          <w:sz w:val="36"/>
          <w:szCs w:val="36"/>
        </w:rPr>
        <w:t>一般公共预算财政拨款支出决算表</w:t>
      </w:r>
      <w:bookmarkEnd w:id="0"/>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湘乡市行政审批服务局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7"/>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1711.70</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119.29</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1592.41</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201</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1609.16</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16.74</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1592.41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20103</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1609.16</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16.74</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1592.41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2010301</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行政运行</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16.74</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16.74</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2010302</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一般行政管理事务</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1592.41</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1592.41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39.53</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39.53</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20805</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行政事业单位离退休</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39.53</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39.53</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2080505</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xml:space="preserve"> 机关事业单位基本养老保险缴费支出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34.29</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34.29</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2080506</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机关事业单位职业年金缴费支出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5.25</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5.25</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卫生健康支出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18.14</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21011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行政事业单位医疗</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2101101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行政单位医疗</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18.14</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xml:space="preserve"> 住房保障支出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44.88</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22102</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住房改革支出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2210201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住房公积金</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44.88</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jc w:val="center"/>
        <w:rPr>
          <w:rFonts w:ascii="Times New Roman" w:hAnsi="Times New Roman" w:eastAsia="方正小标宋_GBK" w:cs="Times New Roman"/>
          <w:color w:val="000000"/>
          <w:kern w:val="0"/>
          <w:sz w:val="28"/>
          <w:szCs w:val="36"/>
        </w:rPr>
      </w:pPr>
      <w:bookmarkStart w:id="1" w:name="RANGE!A1:I39"/>
      <w:r>
        <w:rPr>
          <w:rFonts w:ascii="Times New Roman" w:hAnsi="Times New Roman" w:eastAsia="方正小标宋_GBK" w:cs="Times New Roman"/>
          <w:color w:val="000000"/>
          <w:kern w:val="0"/>
          <w:sz w:val="28"/>
          <w:szCs w:val="36"/>
        </w:rPr>
        <w:t>一般公共预算财政拨款基本支出决算表</w:t>
      </w:r>
      <w:bookmarkEnd w:id="1"/>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湘乡市行政审批服务局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公开06表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5900" w:type="dxa"/>
        <w:tblInd w:w="93" w:type="dxa"/>
        <w:tblLayout w:type="fixed"/>
        <w:tblCellMar>
          <w:top w:w="0" w:type="dxa"/>
          <w:left w:w="108" w:type="dxa"/>
          <w:bottom w:w="0" w:type="dxa"/>
          <w:right w:w="108" w:type="dxa"/>
        </w:tblCellMar>
      </w:tblPr>
      <w:tblGrid>
        <w:gridCol w:w="1149"/>
        <w:gridCol w:w="3306"/>
        <w:gridCol w:w="856"/>
        <w:gridCol w:w="1110"/>
        <w:gridCol w:w="2297"/>
        <w:gridCol w:w="856"/>
        <w:gridCol w:w="1076"/>
        <w:gridCol w:w="4394"/>
        <w:gridCol w:w="856"/>
      </w:tblGrid>
      <w:tr>
        <w:tblPrEx>
          <w:tblCellMar>
            <w:top w:w="0" w:type="dxa"/>
            <w:left w:w="108" w:type="dxa"/>
            <w:bottom w:w="0" w:type="dxa"/>
            <w:right w:w="108" w:type="dxa"/>
          </w:tblCellMar>
        </w:tblPrEx>
        <w:trPr>
          <w:trHeight w:val="585" w:hRule="atLeast"/>
        </w:trPr>
        <w:tc>
          <w:tcPr>
            <w:tcW w:w="114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30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11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297"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07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439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w:t>
            </w:r>
          </w:p>
        </w:tc>
        <w:tc>
          <w:tcPr>
            <w:tcW w:w="330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工资福利支出</w:t>
            </w:r>
          </w:p>
        </w:tc>
        <w:tc>
          <w:tcPr>
            <w:tcW w:w="85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lang w:val="en-US" w:eastAsia="zh-CN"/>
              </w:rPr>
              <w:t>113.59</w:t>
            </w: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商品和服务支出</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1.47</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债务利息及费用支出</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30101</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基本工资</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8.52</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30201</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办公费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30701</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国内债务付息</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30102</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津贴补贴</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30202</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印刷费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30702</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国外债务付息</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30103</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奖金</w:t>
            </w:r>
          </w:p>
        </w:tc>
        <w:tc>
          <w:tcPr>
            <w:tcW w:w="85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30203</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咨询费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资本性支出</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30106</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伙食补助费</w:t>
            </w:r>
          </w:p>
        </w:tc>
        <w:tc>
          <w:tcPr>
            <w:tcW w:w="85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30204</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手续费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31001</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房屋建筑物购建</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30107</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绩效工资</w:t>
            </w:r>
          </w:p>
        </w:tc>
        <w:tc>
          <w:tcPr>
            <w:tcW w:w="85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30205</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水费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31002</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办公设备购置</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30108</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机关事业单位基本养老保险费</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34.29</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30206</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电费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31003</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专用设备购置</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30109</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职业年金缴费</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5.25</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30207</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邮电费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31005</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基础设施建设</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30110</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职工基本医疗保险缴费</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18.14</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30208</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取暖费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31006</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大型修缮</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30111</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公务员医疗补助缴费</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30209</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物业管理费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31007</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信息网络及软件购置更新</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30112</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其他社会保障缴费</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2.52</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30211</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差旅费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31008</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物资储备</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30113</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住房公积金</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44.88</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30212</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因公出国（境）费用</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31009</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土地补偿</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30114</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医疗费</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30213</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维修（护）费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31010</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安置补助</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30199</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其他工资福利支出</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30214</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租赁费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31011</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地上附着物和青苗补偿</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w:t>
            </w:r>
          </w:p>
        </w:tc>
        <w:tc>
          <w:tcPr>
            <w:tcW w:w="330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对个人和家庭的补助</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4.23</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30215</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会议费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31012</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拆迁补偿</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30301</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离休费</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30216</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培训费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31013</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公务用车购置</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30302</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退休费</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1.72</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30217</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公务接待费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31019</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其他交通工具购置</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30303</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退职（役）费</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30218</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专用材料费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31021</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文物和陈列品购置</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30304</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抚恤金</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30224</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被装购置费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31022</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无形资产购置</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30305</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生活补助</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30225</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专用燃料费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31099</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其他资本性支出</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30306</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救济费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30226</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劳务费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30307</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医疗费补助</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30227</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委托业务费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39906</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赠与</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30308</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助学金</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30228</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工会经费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39907</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国家赔偿费用支出</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30309</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奖励金</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Times New Roman" w:hAnsi="Times New Roman" w:eastAsia="宋体" w:cs="Times New Roman"/>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30229</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福利费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Times New Roman" w:hAnsi="Times New Roman" w:eastAsia="宋体" w:cs="Times New Roman"/>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39908</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对民间非营利组织和群众性自治组织补贴</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30310</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个人农业生产补贴</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Times New Roman" w:hAnsi="Times New Roman" w:eastAsia="宋体" w:cs="Times New Roman"/>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30231</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公务用车运行维护费</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Times New Roman" w:hAnsi="Times New Roman" w:eastAsia="宋体" w:cs="Times New Roman"/>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39999</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其他支出</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30399</w:t>
            </w:r>
          </w:p>
        </w:tc>
        <w:tc>
          <w:tcPr>
            <w:tcW w:w="3306" w:type="dxa"/>
            <w:tcBorders>
              <w:top w:val="single" w:color="auto" w:sz="8" w:space="0"/>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对其他个人和家庭的补助支出</w:t>
            </w:r>
          </w:p>
        </w:tc>
        <w:tc>
          <w:tcPr>
            <w:tcW w:w="856" w:type="dxa"/>
            <w:tcBorders>
              <w:top w:val="single" w:color="auto" w:sz="8" w:space="0"/>
              <w:left w:val="nil"/>
              <w:bottom w:val="single" w:color="auto" w:sz="8" w:space="0"/>
              <w:right w:val="single" w:color="auto" w:sz="8" w:space="0"/>
            </w:tcBorders>
            <w:shd w:val="clear" w:color="auto" w:fill="auto"/>
            <w:noWrap/>
          </w:tcPr>
          <w:p>
            <w:pPr>
              <w:widowControl/>
              <w:rPr>
                <w:rFonts w:hint="default"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2.51</w:t>
            </w:r>
          </w:p>
        </w:tc>
        <w:tc>
          <w:tcPr>
            <w:tcW w:w="1110"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30239</w:t>
            </w:r>
          </w:p>
        </w:tc>
        <w:tc>
          <w:tcPr>
            <w:tcW w:w="2297"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其他交通费用</w:t>
            </w:r>
          </w:p>
        </w:tc>
        <w:tc>
          <w:tcPr>
            <w:tcW w:w="856" w:type="dxa"/>
            <w:tcBorders>
              <w:top w:val="single" w:color="auto" w:sz="8" w:space="0"/>
              <w:left w:val="nil"/>
              <w:bottom w:val="single" w:color="auto" w:sz="8" w:space="0"/>
              <w:right w:val="single" w:color="auto" w:sz="8" w:space="0"/>
            </w:tcBorders>
            <w:shd w:val="clear" w:color="auto" w:fill="auto"/>
            <w:noWrap/>
            <w:vAlign w:val="top"/>
          </w:tcPr>
          <w:p>
            <w:pPr>
              <w:widowControl/>
              <w:rPr>
                <w:rFonts w:ascii="Times New Roman" w:hAnsi="Times New Roman" w:eastAsia="宋体" w:cs="Times New Roman"/>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single" w:color="auto" w:sz="8" w:space="0"/>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4394"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single" w:color="auto" w:sz="8" w:space="0"/>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85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30240</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税金及附加费用</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Times New Roman" w:hAnsi="Times New Roman" w:eastAsia="宋体" w:cs="Times New Roman"/>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85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30299</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其他商品和服务支出</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Times New Roman" w:hAnsi="Times New Roman" w:eastAsia="宋体" w:cs="Times New Roman"/>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4394"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p>
        </w:tc>
        <w:tc>
          <w:tcPr>
            <w:tcW w:w="856" w:type="dxa"/>
            <w:tcBorders>
              <w:top w:val="nil"/>
              <w:left w:val="nil"/>
              <w:bottom w:val="single" w:color="auto" w:sz="8" w:space="0"/>
              <w:right w:val="single" w:color="auto" w:sz="8" w:space="0"/>
            </w:tcBorders>
            <w:shd w:val="clear" w:color="auto" w:fill="auto"/>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4455" w:type="dxa"/>
            <w:gridSpan w:val="2"/>
            <w:tcBorders>
              <w:top w:val="nil"/>
              <w:left w:val="single" w:color="auto" w:sz="8" w:space="0"/>
              <w:bottom w:val="single" w:color="auto" w:sz="8" w:space="0"/>
              <w:right w:val="single" w:color="auto" w:sz="8" w:space="0"/>
            </w:tcBorders>
            <w:shd w:val="clear" w:color="auto" w:fill="auto"/>
            <w:noWrap/>
            <w:vAlign w:val="center"/>
          </w:tcPr>
          <w:p>
            <w:pPr>
              <w:widowControl/>
              <w:ind w:firstLine="1620" w:firstLineChars="900"/>
              <w:rPr>
                <w:rFonts w:hint="default" w:ascii="Times New Roman" w:hAnsi="Times New Roman" w:eastAsia="宋体" w:cs="Times New Roman"/>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人员经费合计</w:t>
            </w:r>
          </w:p>
        </w:tc>
        <w:tc>
          <w:tcPr>
            <w:tcW w:w="856" w:type="dxa"/>
            <w:tcBorders>
              <w:top w:val="nil"/>
              <w:left w:val="nil"/>
              <w:bottom w:val="single" w:color="auto" w:sz="8" w:space="0"/>
              <w:right w:val="single" w:color="auto" w:sz="8" w:space="0"/>
            </w:tcBorders>
            <w:shd w:val="clear" w:color="auto" w:fill="auto"/>
            <w:noWrap/>
          </w:tcPr>
          <w:p>
            <w:pPr>
              <w:widowControl/>
              <w:rPr>
                <w:rFonts w:hint="default" w:ascii="Times New Roman" w:hAnsi="Times New Roman" w:eastAsia="宋体" w:cs="Times New Roman"/>
                <w:color w:val="000000"/>
                <w:kern w:val="0"/>
                <w:sz w:val="18"/>
                <w:szCs w:val="18"/>
                <w:lang w:val="en-US" w:eastAsia="zh-CN"/>
              </w:rPr>
            </w:pPr>
            <w:r>
              <w:rPr>
                <w:rFonts w:hint="eastAsia" w:ascii="Times New Roman" w:hAnsi="Times New Roman" w:eastAsia="宋体" w:cs="Times New Roman"/>
                <w:color w:val="000000"/>
                <w:kern w:val="0"/>
                <w:sz w:val="18"/>
                <w:szCs w:val="18"/>
                <w:lang w:val="en-US" w:eastAsia="zh-CN"/>
              </w:rPr>
              <w:t>117.82</w:t>
            </w:r>
          </w:p>
        </w:tc>
        <w:tc>
          <w:tcPr>
            <w:tcW w:w="9733" w:type="dxa"/>
            <w:gridSpan w:val="5"/>
            <w:tcBorders>
              <w:top w:val="nil"/>
              <w:left w:val="nil"/>
              <w:bottom w:val="single" w:color="auto" w:sz="8" w:space="0"/>
              <w:right w:val="single" w:color="auto" w:sz="8" w:space="0"/>
            </w:tcBorders>
            <w:shd w:val="clear" w:color="auto" w:fill="auto"/>
            <w:noWrap/>
          </w:tcPr>
          <w:p>
            <w:pPr>
              <w:widowControl/>
              <w:ind w:firstLine="4140" w:firstLineChars="2300"/>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公用经费合计</w:t>
            </w:r>
          </w:p>
        </w:tc>
        <w:tc>
          <w:tcPr>
            <w:tcW w:w="856" w:type="dxa"/>
            <w:tcBorders>
              <w:top w:val="nil"/>
              <w:left w:val="nil"/>
              <w:bottom w:val="single" w:color="auto" w:sz="8" w:space="0"/>
              <w:right w:val="single" w:color="auto" w:sz="8" w:space="0"/>
            </w:tcBorders>
            <w:shd w:val="clear" w:color="auto" w:fill="auto"/>
            <w:noWrap/>
            <w:vAlign w:val="top"/>
          </w:tcPr>
          <w:p>
            <w:pPr>
              <w:widowControl/>
              <w:ind w:firstLine="180" w:firstLineChars="100"/>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1.47</w:t>
            </w:r>
          </w:p>
        </w:tc>
      </w:tr>
    </w:tbl>
    <w:p>
      <w:pPr>
        <w:widowControl/>
        <w:jc w:val="left"/>
        <w:rPr>
          <w:rFonts w:ascii="黑体" w:hAnsi="黑体" w:eastAsia="黑体"/>
          <w:szCs w:val="21"/>
        </w:rPr>
      </w:pPr>
      <w:r>
        <w:rPr>
          <w:rFonts w:hint="eastAsia" w:ascii="黑体" w:hAnsi="黑体" w:eastAsia="黑体"/>
          <w:szCs w:val="21"/>
        </w:rPr>
        <w:t>注：本表反映部门年度一般公共预算财政拨款基本支出明细情况。</w:t>
      </w:r>
      <w:r>
        <w:rPr>
          <w:rFonts w:ascii="黑体" w:hAnsi="黑体" w:eastAsia="黑体"/>
          <w:szCs w:val="21"/>
        </w:rPr>
        <w:br w:type="page"/>
      </w: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湘乡市行政审批服务局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hint="default"/>
                <w:lang w:val="en-US" w:eastAsia="zh-CN"/>
              </w:rPr>
            </w:pPr>
            <w:r>
              <w:rPr>
                <w:rFonts w:hint="eastAsia"/>
                <w:lang w:val="en-US" w:eastAsia="zh-CN"/>
              </w:rPr>
              <w:t>8.00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8.00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0.60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nil"/>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0.60</w:t>
            </w:r>
          </w:p>
        </w:tc>
      </w:tr>
    </w:tbl>
    <w:p>
      <w:pPr>
        <w:autoSpaceDE w:val="0"/>
        <w:autoSpaceDN w:val="0"/>
        <w:adjustRightInd w:val="0"/>
        <w:ind w:left="315" w:leftChars="150"/>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eastAsia="宋体" w:cs="宋体"/>
          <w:kern w:val="0"/>
          <w:sz w:val="24"/>
          <w:szCs w:val="24"/>
        </w:rPr>
      </w:pPr>
      <w:r>
        <w:rPr>
          <w:rFonts w:ascii="宋体" w:eastAsia="宋体" w:cs="宋体"/>
          <w:kern w:val="0"/>
          <w:sz w:val="24"/>
          <w:szCs w:val="24"/>
        </w:rPr>
        <w:br w:type="page"/>
      </w:r>
      <w:bookmarkStart w:id="2" w:name="_GoBack"/>
      <w:bookmarkEnd w:id="2"/>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湘乡市行政审批服务局</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000" w:type="dxa"/>
            <w:gridSpan w:val="6"/>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本表空白</w:t>
            </w:r>
            <w:r>
              <w:rPr>
                <w:rFonts w:ascii="Times New Roman" w:hAnsi="Times New Roman" w:eastAsia="仿宋_GB2312" w:cs="Times New Roman"/>
                <w:kern w:val="0"/>
                <w:szCs w:val="21"/>
              </w:rPr>
              <w:t>　</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keepNext w:val="0"/>
        <w:keepLines w:val="0"/>
        <w:widowControl/>
        <w:suppressLineNumbers w:val="0"/>
        <w:jc w:val="left"/>
      </w:pPr>
      <w:r>
        <w:rPr>
          <w:rFonts w:ascii="Times New Roman" w:hAnsi="Times New Roman" w:eastAsia="仿宋_GB2312" w:cs="Times New Roman"/>
          <w:kern w:val="0"/>
          <w:szCs w:val="21"/>
        </w:rPr>
        <w:t>注：</w:t>
      </w:r>
      <w:r>
        <w:rPr>
          <w:rFonts w:hint="eastAsia" w:ascii="仿宋_GB2312" w:hAnsi="仿宋_GB2312" w:eastAsia="仿宋_GB2312" w:cs="仿宋_GB2312"/>
          <w:color w:val="000000"/>
          <w:kern w:val="0"/>
          <w:sz w:val="20"/>
          <w:szCs w:val="20"/>
          <w:lang w:val="en-US" w:eastAsia="zh-CN" w:bidi="ar"/>
        </w:rPr>
        <w:t>湘乡市行政审批服务局</w:t>
      </w:r>
      <w:r>
        <w:rPr>
          <w:rFonts w:ascii="仿宋_GB2312" w:hAnsi="仿宋_GB2312" w:eastAsia="仿宋_GB2312" w:cs="仿宋_GB2312"/>
          <w:color w:val="000000"/>
          <w:kern w:val="0"/>
          <w:sz w:val="20"/>
          <w:szCs w:val="20"/>
          <w:lang w:val="en-US" w:eastAsia="zh-CN" w:bidi="ar"/>
        </w:rPr>
        <w:t>没有政府性基金收入，也没有使用政府性基金安排的支出，故本表无数据</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1"/>
        <w:rPr>
          <w:rFonts w:asciiTheme="minorEastAsia" w:hAnsiTheme="minorEastAsia" w:eastAsiaTheme="minorEastAsia"/>
          <w:sz w:val="32"/>
          <w:szCs w:val="32"/>
        </w:rPr>
      </w:pPr>
    </w:p>
    <w:p>
      <w:pPr>
        <w:pStyle w:val="11"/>
        <w:rPr>
          <w:rFonts w:hAnsi="黑体"/>
          <w:b/>
          <w:sz w:val="32"/>
          <w:szCs w:val="32"/>
        </w:rPr>
      </w:pPr>
      <w:r>
        <w:rPr>
          <w:rFonts w:hint="eastAsia" w:hAnsi="黑体"/>
          <w:b/>
          <w:sz w:val="32"/>
          <w:szCs w:val="32"/>
        </w:rPr>
        <w:t>一、收入支出决算总体情况说明</w:t>
      </w:r>
    </w:p>
    <w:p>
      <w:pPr>
        <w:spacing w:line="560" w:lineRule="exact"/>
        <w:ind w:firstLine="640" w:firstLineChars="200"/>
        <w:rPr>
          <w:rFonts w:hint="eastAsia" w:ascii="宋体" w:hAnsi="宋体"/>
          <w:kern w:val="0"/>
          <w:sz w:val="32"/>
        </w:rPr>
      </w:pPr>
      <w:r>
        <w:rPr>
          <w:rFonts w:hint="eastAsia" w:cs="黑体" w:asciiTheme="minorEastAsia" w:hAnsiTheme="minorEastAsia" w:eastAsiaTheme="minorEastAsia"/>
          <w:color w:val="000000"/>
          <w:kern w:val="0"/>
          <w:sz w:val="32"/>
          <w:szCs w:val="32"/>
          <w:lang w:val="en-US" w:eastAsia="zh-CN" w:bidi="ar-SA"/>
        </w:rPr>
        <w:t>2019年度年初结转和结余101.25万元，本年收入1,812.47万元，本年支出1,913.48万元，用事业基金弥补收支差额0万元，结余分配0.21万元，年末结转和结余0.03万元。</w:t>
      </w:r>
      <w:r>
        <w:rPr>
          <w:rFonts w:hint="eastAsia" w:asciiTheme="minorEastAsia" w:hAnsiTheme="minorEastAsia" w:eastAsiaTheme="minorEastAsia"/>
          <w:sz w:val="32"/>
          <w:szCs w:val="32"/>
        </w:rPr>
        <w:t>与201</w:t>
      </w:r>
      <w:r>
        <w:rPr>
          <w:rFonts w:hint="eastAsia" w:asciiTheme="minorEastAsia" w:hAnsiTheme="minorEastAsia"/>
          <w:sz w:val="32"/>
          <w:szCs w:val="32"/>
          <w:lang w:val="en-US" w:eastAsia="zh-CN"/>
        </w:rPr>
        <w:t>8</w:t>
      </w:r>
      <w:r>
        <w:rPr>
          <w:rFonts w:hint="eastAsia" w:asciiTheme="minorEastAsia" w:hAnsiTheme="minorEastAsia" w:eastAsiaTheme="minorEastAsia"/>
          <w:sz w:val="32"/>
          <w:szCs w:val="32"/>
        </w:rPr>
        <w:t>年相比，</w:t>
      </w:r>
      <w:r>
        <w:rPr>
          <w:rFonts w:hint="eastAsia" w:ascii="宋体" w:hAnsi="宋体"/>
          <w:sz w:val="32"/>
        </w:rPr>
        <w:t>2019年收入1812.47万元，比上年增加1098.14万元，增长153.73</w:t>
      </w:r>
      <w:r>
        <w:rPr>
          <w:rFonts w:hint="eastAsia" w:ascii="宋体" w:hAnsi="宋体"/>
          <w:sz w:val="32"/>
          <w:lang w:val="zh-CN"/>
        </w:rPr>
        <w:t>%</w:t>
      </w:r>
      <w:r>
        <w:rPr>
          <w:rFonts w:hint="eastAsia" w:ascii="宋体" w:hAnsi="宋体"/>
          <w:sz w:val="32"/>
        </w:rPr>
        <w:t>。2019年本部门支出1913.48万元，比上年增加1150.38万元，增长150.75</w:t>
      </w:r>
      <w:r>
        <w:rPr>
          <w:rFonts w:hint="eastAsia" w:ascii="宋体" w:hAnsi="宋体"/>
          <w:sz w:val="32"/>
          <w:lang w:val="zh-CN"/>
        </w:rPr>
        <w:t>%。变化的主要原因：</w:t>
      </w:r>
      <w:r>
        <w:rPr>
          <w:rFonts w:hint="eastAsia" w:ascii="宋体" w:hAnsi="宋体"/>
          <w:sz w:val="32"/>
        </w:rPr>
        <w:t>项目指标增加。</w:t>
      </w:r>
      <w:r>
        <w:rPr>
          <w:rFonts w:hint="eastAsia" w:ascii="宋体" w:hAnsi="宋体"/>
          <w:sz w:val="32"/>
          <w:lang w:val="zh-CN"/>
        </w:rPr>
        <w:t>变化的主要原因：</w:t>
      </w:r>
      <w:r>
        <w:rPr>
          <w:rFonts w:hint="eastAsia" w:ascii="宋体" w:hAnsi="宋体"/>
          <w:sz w:val="32"/>
        </w:rPr>
        <w:t>日常公用经费增加。因</w:t>
      </w:r>
      <w:r>
        <w:rPr>
          <w:rFonts w:hint="eastAsia" w:ascii="宋体" w:hAnsi="宋体"/>
          <w:kern w:val="0"/>
          <w:sz w:val="32"/>
        </w:rPr>
        <w:t>启动了“互联网+政务服务”项目建设，增加了窗口单位和工作人员。</w:t>
      </w:r>
    </w:p>
    <w:p>
      <w:pPr>
        <w:pStyle w:val="11"/>
        <w:rPr>
          <w:rFonts w:hAnsi="黑体"/>
          <w:b/>
          <w:sz w:val="32"/>
          <w:szCs w:val="32"/>
        </w:rPr>
      </w:pPr>
      <w:r>
        <w:rPr>
          <w:rFonts w:hint="eastAsia" w:hAnsi="黑体"/>
          <w:b/>
          <w:sz w:val="32"/>
          <w:szCs w:val="32"/>
        </w:rPr>
        <w:t>二、收入决算情况说明</w:t>
      </w:r>
    </w:p>
    <w:p>
      <w:pPr>
        <w:pStyle w:val="11"/>
        <w:ind w:firstLine="640" w:firstLineChars="200"/>
        <w:rPr>
          <w:rFonts w:hint="default" w:asciiTheme="minorEastAsia" w:hAnsiTheme="minorEastAsia" w:eastAsiaTheme="minorEastAsia"/>
          <w:sz w:val="32"/>
          <w:szCs w:val="32"/>
          <w:lang w:val="en-US" w:eastAsia="zh-CN"/>
        </w:rPr>
      </w:pPr>
      <w:r>
        <w:rPr>
          <w:rFonts w:hint="eastAsia" w:ascii="宋体" w:hAnsi="宋体" w:eastAsiaTheme="minorEastAsia" w:cstheme="minorBidi"/>
          <w:color w:val="auto"/>
          <w:kern w:val="0"/>
          <w:sz w:val="32"/>
          <w:szCs w:val="22"/>
          <w:lang w:val="en-US" w:eastAsia="zh-CN" w:bidi="ar-SA"/>
        </w:rPr>
        <w:t>2019年收入1812.47万元，</w:t>
      </w:r>
      <w:r>
        <w:rPr>
          <w:rFonts w:hint="eastAsia" w:asciiTheme="minorEastAsia" w:hAnsiTheme="minorEastAsia" w:eastAsiaTheme="minorEastAsia"/>
          <w:sz w:val="32"/>
          <w:szCs w:val="32"/>
        </w:rPr>
        <w:t>财政拨款收入</w:t>
      </w:r>
      <w:r>
        <w:rPr>
          <w:rFonts w:hint="eastAsia" w:ascii="宋体" w:hAnsi="宋体" w:eastAsiaTheme="minorEastAsia" w:cstheme="minorBidi"/>
          <w:color w:val="auto"/>
          <w:kern w:val="0"/>
          <w:sz w:val="32"/>
          <w:szCs w:val="22"/>
          <w:lang w:val="en-US" w:eastAsia="zh-CN" w:bidi="ar-SA"/>
        </w:rPr>
        <w:t>1613.36万元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89.01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其他收入199.10万元，占10.99%。</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asciiTheme="minorEastAsia" w:hAnsiTheme="minorEastAsia" w:eastAsiaTheme="minorEastAsia"/>
          <w:sz w:val="32"/>
          <w:szCs w:val="32"/>
        </w:rPr>
      </w:pPr>
      <w:r>
        <w:rPr>
          <w:rFonts w:hint="eastAsia" w:ascii="宋体" w:hAnsi="宋体" w:eastAsiaTheme="minorEastAsia" w:cstheme="minorBidi"/>
          <w:color w:val="auto"/>
          <w:kern w:val="0"/>
          <w:sz w:val="32"/>
          <w:szCs w:val="22"/>
          <w:lang w:val="en-US" w:eastAsia="zh-CN" w:bidi="ar-SA"/>
        </w:rPr>
        <w:t>2019年本部门支出1913.48万元，其中：基本支出321.07万元，占16.78%；</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1592.41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83.22</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四、财政拨款收入支出决算总体情况说明</w:t>
      </w:r>
    </w:p>
    <w:p>
      <w:pPr>
        <w:spacing w:line="56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2019年度财政拨款收</w:t>
      </w:r>
      <w:r>
        <w:rPr>
          <w:rFonts w:hint="eastAsia" w:asciiTheme="minorEastAsia" w:hAnsiTheme="minorEastAsia"/>
          <w:sz w:val="32"/>
          <w:szCs w:val="32"/>
          <w:lang w:val="en-US" w:eastAsia="zh-CN"/>
        </w:rPr>
        <w:t>入</w:t>
      </w:r>
      <w:r>
        <w:rPr>
          <w:rFonts w:hint="eastAsia" w:asciiTheme="minorEastAsia" w:hAnsiTheme="minorEastAsia" w:eastAsiaTheme="minorEastAsia"/>
          <w:sz w:val="32"/>
          <w:szCs w:val="32"/>
          <w:lang w:val="en-US" w:eastAsia="zh-CN"/>
        </w:rPr>
        <w:t>1613.36</w:t>
      </w:r>
      <w:r>
        <w:rPr>
          <w:rFonts w:hint="eastAsia" w:asciiTheme="minorEastAsia" w:hAnsiTheme="minorEastAsia" w:eastAsiaTheme="minorEastAsia"/>
          <w:sz w:val="32"/>
          <w:szCs w:val="32"/>
        </w:rPr>
        <w:t>万元，与2018年相比，增加</w:t>
      </w:r>
      <w:r>
        <w:rPr>
          <w:rFonts w:hint="eastAsia" w:asciiTheme="minorEastAsia" w:hAnsiTheme="minorEastAsia" w:eastAsiaTheme="minorEastAsia"/>
          <w:sz w:val="32"/>
          <w:szCs w:val="32"/>
          <w:lang w:val="en-US" w:eastAsia="zh-CN"/>
        </w:rPr>
        <w:t>970.77</w:t>
      </w:r>
      <w:r>
        <w:rPr>
          <w:rFonts w:hint="eastAsia" w:asciiTheme="minorEastAsia" w:hAnsiTheme="minorEastAsia" w:eastAsiaTheme="minorEastAsia"/>
          <w:sz w:val="32"/>
          <w:szCs w:val="32"/>
        </w:rPr>
        <w:t>万元</w:t>
      </w:r>
      <w:r>
        <w:rPr>
          <w:rFonts w:hint="eastAsia" w:asciiTheme="minorEastAsia" w:hAnsiTheme="minorEastAsia"/>
          <w:sz w:val="32"/>
          <w:szCs w:val="32"/>
          <w:lang w:eastAsia="zh-CN"/>
        </w:rPr>
        <w:t>；</w:t>
      </w:r>
      <w:r>
        <w:rPr>
          <w:rFonts w:hint="eastAsia" w:asciiTheme="minorEastAsia" w:hAnsiTheme="minorEastAsia" w:eastAsiaTheme="minorEastAsia"/>
          <w:sz w:val="32"/>
          <w:szCs w:val="32"/>
        </w:rPr>
        <w:t>2019年度财政拨款</w:t>
      </w:r>
      <w:r>
        <w:rPr>
          <w:rFonts w:hint="eastAsia" w:asciiTheme="minorEastAsia" w:hAnsiTheme="minorEastAsia"/>
          <w:sz w:val="32"/>
          <w:szCs w:val="32"/>
          <w:lang w:val="en-US" w:eastAsia="zh-CN"/>
        </w:rPr>
        <w:t>支出1711.70万元，</w:t>
      </w:r>
      <w:r>
        <w:rPr>
          <w:rFonts w:hint="eastAsia" w:asciiTheme="minorEastAsia" w:hAnsiTheme="minorEastAsia" w:eastAsiaTheme="minorEastAsia"/>
          <w:sz w:val="32"/>
          <w:szCs w:val="32"/>
        </w:rPr>
        <w:t>与2018年相比，增加</w:t>
      </w:r>
      <w:r>
        <w:rPr>
          <w:rFonts w:hint="eastAsia" w:asciiTheme="minorEastAsia" w:hAnsiTheme="minorEastAsia"/>
          <w:sz w:val="32"/>
          <w:szCs w:val="32"/>
          <w:lang w:val="en-US" w:eastAsia="zh-CN"/>
        </w:rPr>
        <w:t>1018.92万元；</w:t>
      </w:r>
      <w:r>
        <w:rPr>
          <w:rFonts w:hint="eastAsia" w:asciiTheme="minorEastAsia" w:hAnsiTheme="minorEastAsia" w:eastAsiaTheme="minorEastAsia"/>
          <w:sz w:val="32"/>
          <w:szCs w:val="32"/>
        </w:rPr>
        <w:t>主要是因为</w:t>
      </w:r>
      <w:r>
        <w:rPr>
          <w:rFonts w:hint="eastAsia" w:ascii="宋体" w:hAnsi="宋体"/>
          <w:sz w:val="32"/>
        </w:rPr>
        <w:t>日常公用经费增加</w:t>
      </w:r>
      <w:r>
        <w:rPr>
          <w:rFonts w:hint="eastAsia" w:ascii="宋体" w:hAnsi="宋体"/>
          <w:sz w:val="32"/>
          <w:lang w:eastAsia="zh-CN"/>
        </w:rPr>
        <w:t>，</w:t>
      </w:r>
      <w:r>
        <w:rPr>
          <w:rFonts w:hint="eastAsia" w:ascii="宋体" w:hAnsi="宋体"/>
          <w:sz w:val="32"/>
        </w:rPr>
        <w:t>因</w:t>
      </w:r>
      <w:r>
        <w:rPr>
          <w:rFonts w:hint="eastAsia" w:ascii="宋体" w:hAnsi="宋体"/>
          <w:kern w:val="0"/>
          <w:sz w:val="32"/>
        </w:rPr>
        <w:t>启动了“互联网+政务服务”项目建设，增加了窗口单位和工作人员。</w:t>
      </w:r>
    </w:p>
    <w:p>
      <w:pPr>
        <w:pStyle w:val="11"/>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w:t>
      </w:r>
      <w:r>
        <w:rPr>
          <w:rFonts w:hint="eastAsia" w:ascii="宋体" w:hAnsi="宋体" w:eastAsiaTheme="minorEastAsia" w:cstheme="minorBidi"/>
          <w:color w:val="auto"/>
          <w:kern w:val="2"/>
          <w:sz w:val="32"/>
          <w:szCs w:val="22"/>
          <w:lang w:val="en-US" w:eastAsia="zh-CN" w:bidi="ar-SA"/>
        </w:rPr>
        <w:t>1711.70万元，</w:t>
      </w:r>
      <w:r>
        <w:rPr>
          <w:rFonts w:hint="eastAsia" w:asciiTheme="minorEastAsia" w:hAnsiTheme="minorEastAsia" w:eastAsiaTheme="minorEastAsia"/>
          <w:sz w:val="32"/>
          <w:szCs w:val="32"/>
        </w:rPr>
        <w:t>占本年支出合计的</w:t>
      </w:r>
      <w:r>
        <w:rPr>
          <w:rFonts w:hint="eastAsia" w:asciiTheme="minorEastAsia" w:hAnsiTheme="minorEastAsia" w:eastAsiaTheme="minorEastAsia"/>
          <w:sz w:val="32"/>
          <w:szCs w:val="32"/>
          <w:lang w:val="en-US" w:eastAsia="zh-CN"/>
        </w:rPr>
        <w:t>89.45</w:t>
      </w:r>
      <w:r>
        <w:rPr>
          <w:rFonts w:hint="eastAsia" w:asciiTheme="minorEastAsia" w:hAnsiTheme="minorEastAsia" w:eastAsiaTheme="minorEastAsia"/>
          <w:sz w:val="32"/>
          <w:szCs w:val="32"/>
        </w:rPr>
        <w:t>%，与2018年相比，财政拨款支出增加</w:t>
      </w:r>
      <w:r>
        <w:rPr>
          <w:rFonts w:hint="eastAsia" w:ascii="宋体" w:hAnsi="宋体" w:eastAsiaTheme="minorEastAsia" w:cstheme="minorBidi"/>
          <w:color w:val="auto"/>
          <w:kern w:val="2"/>
          <w:sz w:val="32"/>
          <w:szCs w:val="22"/>
          <w:lang w:val="en-US" w:eastAsia="zh-CN" w:bidi="ar-SA"/>
        </w:rPr>
        <w:t>1018.92万元，</w:t>
      </w:r>
      <w:r>
        <w:rPr>
          <w:rFonts w:hint="eastAsia" w:ascii="宋体" w:hAnsi="宋体"/>
          <w:kern w:val="0"/>
          <w:sz w:val="32"/>
        </w:rPr>
        <w:t>因单位机构改革，职责职能发生变化，根据上级要求启动了“互联网+政务服务”项目建设，扩建了办事大厅、增加了窗口单位和工作人员等。</w:t>
      </w:r>
    </w:p>
    <w:p>
      <w:pPr>
        <w:pStyle w:val="11"/>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w:t>
      </w:r>
      <w:r>
        <w:rPr>
          <w:rFonts w:hint="eastAsia" w:asciiTheme="minorEastAsia" w:hAnsiTheme="minorEastAsia" w:eastAsiaTheme="minorEastAsia"/>
          <w:sz w:val="32"/>
          <w:szCs w:val="32"/>
          <w:lang w:val="en-US" w:eastAsia="zh-CN"/>
        </w:rPr>
        <w:t>1711.70</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1609.16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39.53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2.3</w:t>
      </w:r>
      <w:r>
        <w:rPr>
          <w:rFonts w:hint="eastAsia" w:asciiTheme="minorEastAsia" w:hAnsiTheme="minorEastAsia" w:eastAsiaTheme="minorEastAsia"/>
          <w:sz w:val="32"/>
          <w:szCs w:val="32"/>
        </w:rPr>
        <w:t>%;住房保障支出</w:t>
      </w:r>
      <w:r>
        <w:rPr>
          <w:rFonts w:hint="eastAsia" w:asciiTheme="minorEastAsia" w:hAnsiTheme="minorEastAsia" w:eastAsiaTheme="minorEastAsia"/>
          <w:sz w:val="32"/>
          <w:szCs w:val="32"/>
          <w:lang w:val="en-US" w:eastAsia="zh-CN"/>
        </w:rPr>
        <w:t>44.88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2.6</w:t>
      </w:r>
      <w:r>
        <w:rPr>
          <w:rFonts w:hint="eastAsia" w:asciiTheme="minorEastAsia" w:hAnsiTheme="minorEastAsia" w:eastAsiaTheme="minorEastAsia"/>
          <w:sz w:val="32"/>
          <w:szCs w:val="32"/>
        </w:rPr>
        <w:t>%；卫生健康支出</w:t>
      </w:r>
      <w:r>
        <w:rPr>
          <w:rFonts w:hint="eastAsia" w:asciiTheme="minorEastAsia" w:hAnsiTheme="minorEastAsia" w:eastAsiaTheme="minorEastAsia"/>
          <w:sz w:val="32"/>
          <w:szCs w:val="32"/>
          <w:lang w:val="en-US" w:eastAsia="zh-CN"/>
        </w:rPr>
        <w:t>18.14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1.1</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2019年财政拨款支出年初预算611.20万元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支出决算数为</w:t>
      </w:r>
      <w:r>
        <w:rPr>
          <w:rFonts w:hint="eastAsia" w:asciiTheme="minorEastAsia" w:hAnsiTheme="minorEastAsia" w:eastAsiaTheme="minorEastAsia"/>
          <w:sz w:val="32"/>
          <w:szCs w:val="32"/>
          <w:lang w:val="en-US" w:eastAsia="zh-CN"/>
        </w:rPr>
        <w:t>1711.70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280</w:t>
      </w:r>
      <w:r>
        <w:rPr>
          <w:rFonts w:hint="eastAsia" w:asciiTheme="minorEastAsia" w:hAnsiTheme="minorEastAsia" w:eastAsiaTheme="minorEastAsia"/>
          <w:sz w:val="32"/>
          <w:szCs w:val="32"/>
        </w:rPr>
        <w:t>%，其中：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w:t>
      </w:r>
      <w:r>
        <w:rPr>
          <w:rFonts w:hint="eastAsia" w:asciiTheme="minorEastAsia" w:hAnsiTheme="minorEastAsia" w:eastAsiaTheme="minorEastAsia"/>
          <w:sz w:val="32"/>
          <w:szCs w:val="32"/>
          <w:lang w:val="en-US" w:eastAsia="zh-CN"/>
        </w:rPr>
        <w:t>支出</w:t>
      </w:r>
      <w:r>
        <w:rPr>
          <w:rFonts w:hint="eastAsia" w:asciiTheme="minorEastAsia" w:hAnsiTheme="minorEastAsia" w:eastAsiaTheme="minorEastAsia"/>
          <w:sz w:val="32"/>
          <w:szCs w:val="32"/>
        </w:rPr>
        <w:t>。</w:t>
      </w:r>
    </w:p>
    <w:p>
      <w:pPr>
        <w:spacing w:line="56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年初预算为565.66万元，支出决算为</w:t>
      </w:r>
      <w:r>
        <w:rPr>
          <w:rFonts w:hint="eastAsia" w:asciiTheme="minorEastAsia" w:hAnsiTheme="minorEastAsia" w:eastAsiaTheme="minorEastAsia"/>
          <w:sz w:val="32"/>
          <w:szCs w:val="32"/>
          <w:lang w:val="en-US" w:eastAsia="zh-CN"/>
        </w:rPr>
        <w:t>1609.16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284</w:t>
      </w:r>
      <w:r>
        <w:rPr>
          <w:rFonts w:hint="eastAsia" w:asciiTheme="minorEastAsia" w:hAnsiTheme="minorEastAsia" w:eastAsiaTheme="minorEastAsia"/>
          <w:sz w:val="32"/>
          <w:szCs w:val="32"/>
        </w:rPr>
        <w:t>%，决算数大于年初预算数的主要原因是</w:t>
      </w:r>
      <w:r>
        <w:rPr>
          <w:rFonts w:hint="eastAsia" w:ascii="宋体" w:hAnsi="宋体"/>
          <w:kern w:val="0"/>
          <w:sz w:val="32"/>
        </w:rPr>
        <w:t>因单位机构改革，职责职能发生变化，根据上级要求启动了“互联网+政务服务”项目建设，扩建了办事大厅、增加了窗口单位和工作人员等。</w:t>
      </w:r>
    </w:p>
    <w:p>
      <w:pPr>
        <w:pStyle w:val="11"/>
        <w:numPr>
          <w:ilvl w:val="0"/>
          <w:numId w:val="3"/>
        </w:numPr>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社会保障和就业支出</w:t>
      </w:r>
      <w:r>
        <w:rPr>
          <w:rFonts w:hint="eastAsia" w:asciiTheme="minorEastAsia" w:hAnsiTheme="minorEastAsia" w:eastAsiaTheme="minorEastAsia"/>
          <w:sz w:val="32"/>
          <w:szCs w:val="32"/>
          <w:lang w:eastAsia="zh-CN"/>
        </w:rPr>
        <w:t>。</w:t>
      </w:r>
    </w:p>
    <w:p>
      <w:pPr>
        <w:spacing w:line="560" w:lineRule="exact"/>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年初预算23.48万元，支出决算为</w:t>
      </w:r>
      <w:r>
        <w:rPr>
          <w:rFonts w:hint="eastAsia" w:asciiTheme="minorEastAsia" w:hAnsiTheme="minorEastAsia" w:eastAsiaTheme="minorEastAsia"/>
          <w:sz w:val="32"/>
          <w:szCs w:val="32"/>
          <w:lang w:val="en-US" w:eastAsia="zh-CN"/>
        </w:rPr>
        <w:t>39.53</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完成年初预算的</w:t>
      </w:r>
      <w:r>
        <w:rPr>
          <w:rFonts w:hint="eastAsia" w:asciiTheme="minorEastAsia" w:hAnsiTheme="minorEastAsia" w:eastAsiaTheme="minorEastAsia"/>
          <w:sz w:val="32"/>
          <w:szCs w:val="32"/>
          <w:lang w:val="en-US" w:eastAsia="zh-CN"/>
        </w:rPr>
        <w:t>168%。</w:t>
      </w:r>
      <w:r>
        <w:rPr>
          <w:rFonts w:hint="eastAsia" w:asciiTheme="minorEastAsia" w:hAnsiTheme="minorEastAsia" w:eastAsiaTheme="minorEastAsia"/>
          <w:sz w:val="32"/>
          <w:szCs w:val="32"/>
        </w:rPr>
        <w:t>主要原因是</w:t>
      </w:r>
      <w:r>
        <w:rPr>
          <w:rFonts w:hint="eastAsia" w:ascii="宋体" w:hAnsi="宋体"/>
          <w:kern w:val="0"/>
          <w:sz w:val="32"/>
        </w:rPr>
        <w:t>因单位机构改革，职责职能发生变化，增加人员等。</w:t>
      </w:r>
    </w:p>
    <w:p>
      <w:pPr>
        <w:pStyle w:val="11"/>
        <w:numPr>
          <w:ilvl w:val="0"/>
          <w:numId w:val="3"/>
        </w:numPr>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卫生健康支出</w:t>
      </w:r>
      <w:r>
        <w:rPr>
          <w:rFonts w:hint="eastAsia" w:asciiTheme="minorEastAsia" w:hAnsiTheme="minorEastAsia" w:eastAsiaTheme="minorEastAsia"/>
          <w:sz w:val="32"/>
          <w:szCs w:val="32"/>
          <w:lang w:eastAsia="zh-CN"/>
        </w:rPr>
        <w:t>。</w:t>
      </w:r>
    </w:p>
    <w:p>
      <w:pPr>
        <w:pStyle w:val="11"/>
        <w:numPr>
          <w:ilvl w:val="0"/>
          <w:numId w:val="0"/>
        </w:numPr>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w:t>
      </w:r>
      <w:r>
        <w:rPr>
          <w:rFonts w:hint="eastAsia" w:asciiTheme="minorEastAsia" w:hAnsiTheme="minorEastAsia" w:eastAsiaTheme="minorEastAsia"/>
          <w:sz w:val="32"/>
          <w:szCs w:val="32"/>
        </w:rPr>
        <w:t>9.98万元，支出决算为</w:t>
      </w:r>
      <w:r>
        <w:rPr>
          <w:rFonts w:hint="eastAsia" w:asciiTheme="minorEastAsia" w:hAnsiTheme="minorEastAsia" w:eastAsiaTheme="minorEastAsia"/>
          <w:sz w:val="32"/>
          <w:szCs w:val="32"/>
          <w:lang w:val="en-US" w:eastAsia="zh-CN"/>
        </w:rPr>
        <w:t>18.14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完成年初预算</w:t>
      </w:r>
      <w:r>
        <w:rPr>
          <w:rFonts w:hint="eastAsia" w:asciiTheme="minorEastAsia" w:hAnsiTheme="minorEastAsia" w:eastAsiaTheme="minorEastAsia"/>
          <w:sz w:val="32"/>
          <w:szCs w:val="32"/>
          <w:lang w:val="en-US" w:eastAsia="zh-CN"/>
        </w:rPr>
        <w:t>的182%。</w:t>
      </w:r>
      <w:r>
        <w:rPr>
          <w:rFonts w:hint="eastAsia" w:asciiTheme="minorEastAsia" w:hAnsiTheme="minorEastAsia" w:eastAsiaTheme="minorEastAsia"/>
          <w:sz w:val="32"/>
          <w:szCs w:val="32"/>
        </w:rPr>
        <w:t>主要原因是因单位机构改革，职责职能发生变化，增加人员等。</w:t>
      </w:r>
    </w:p>
    <w:p>
      <w:pPr>
        <w:pStyle w:val="11"/>
        <w:numPr>
          <w:ilvl w:val="0"/>
          <w:numId w:val="3"/>
        </w:numPr>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住房保障支出</w:t>
      </w:r>
      <w:r>
        <w:rPr>
          <w:rFonts w:hint="eastAsia" w:asciiTheme="minorEastAsia" w:hAnsiTheme="minorEastAsia" w:eastAsiaTheme="minorEastAsia"/>
          <w:sz w:val="32"/>
          <w:szCs w:val="32"/>
          <w:lang w:eastAsia="zh-CN"/>
        </w:rPr>
        <w:t>。</w:t>
      </w:r>
    </w:p>
    <w:p>
      <w:pPr>
        <w:pStyle w:val="11"/>
        <w:numPr>
          <w:ilvl w:val="0"/>
          <w:numId w:val="0"/>
        </w:numPr>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年初预算</w:t>
      </w:r>
      <w:r>
        <w:rPr>
          <w:rFonts w:hint="eastAsia" w:asciiTheme="minorEastAsia" w:hAnsiTheme="minorEastAsia" w:eastAsiaTheme="minorEastAsia"/>
          <w:sz w:val="32"/>
          <w:szCs w:val="32"/>
        </w:rPr>
        <w:t>12.07万元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支出决算</w:t>
      </w:r>
      <w:r>
        <w:rPr>
          <w:rFonts w:hint="eastAsia" w:asciiTheme="minorEastAsia" w:hAnsiTheme="minorEastAsia" w:eastAsiaTheme="minorEastAsia"/>
          <w:sz w:val="32"/>
          <w:szCs w:val="32"/>
          <w:lang w:val="en-US" w:eastAsia="zh-CN"/>
        </w:rPr>
        <w:t>44.88</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完成年初预算</w:t>
      </w:r>
      <w:r>
        <w:rPr>
          <w:rFonts w:hint="eastAsia" w:asciiTheme="minorEastAsia" w:hAnsiTheme="minorEastAsia" w:eastAsiaTheme="minorEastAsia"/>
          <w:sz w:val="32"/>
          <w:szCs w:val="32"/>
          <w:lang w:val="en-US" w:eastAsia="zh-CN"/>
        </w:rPr>
        <w:t>的372%。</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因单位机构改革，职责职能发生变化，增加人员等。</w:t>
      </w:r>
    </w:p>
    <w:p>
      <w:pPr>
        <w:pStyle w:val="11"/>
        <w:rPr>
          <w:rFonts w:hAnsi="黑体"/>
          <w:b/>
          <w:sz w:val="32"/>
          <w:szCs w:val="32"/>
        </w:rPr>
      </w:pPr>
      <w:r>
        <w:rPr>
          <w:rFonts w:hint="eastAsia" w:hAnsi="黑体"/>
          <w:b/>
          <w:sz w:val="32"/>
          <w:szCs w:val="32"/>
        </w:rPr>
        <w:t>六、一般公共预算财政拨款基本支出决算情况说明</w:t>
      </w:r>
    </w:p>
    <w:p>
      <w:pPr>
        <w:snapToGrid w:val="0"/>
        <w:spacing w:line="520" w:lineRule="exact"/>
        <w:ind w:firstLine="640" w:firstLineChars="200"/>
        <w:rPr>
          <w:rFonts w:asciiTheme="minorEastAsia" w:hAnsiTheme="minorEastAsia" w:eastAsiaTheme="minorEastAsia"/>
          <w:sz w:val="32"/>
          <w:szCs w:val="32"/>
        </w:rPr>
      </w:pPr>
      <w:r>
        <w:rPr>
          <w:rFonts w:hint="eastAsia" w:ascii="宋体" w:hAnsi="宋体"/>
          <w:sz w:val="32"/>
        </w:rPr>
        <w:t>2019年</w:t>
      </w:r>
      <w:r>
        <w:rPr>
          <w:rFonts w:hint="eastAsia" w:ascii="宋体" w:hAnsi="宋体"/>
          <w:sz w:val="32"/>
          <w:lang w:val="en-US" w:eastAsia="zh-CN"/>
        </w:rPr>
        <w:t>一般公共预算财政拨款</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1711.70</w:t>
      </w:r>
      <w:r>
        <w:rPr>
          <w:rFonts w:hint="eastAsia" w:asciiTheme="minorEastAsia" w:hAnsiTheme="minorEastAsia" w:eastAsiaTheme="minorEastAsia"/>
          <w:sz w:val="32"/>
          <w:szCs w:val="32"/>
        </w:rPr>
        <w:t>万元</w:t>
      </w:r>
      <w:r>
        <w:rPr>
          <w:rFonts w:hint="eastAsia" w:asciiTheme="minorEastAsia" w:hAnsiTheme="minorEastAsia"/>
          <w:sz w:val="32"/>
          <w:szCs w:val="32"/>
          <w:lang w:eastAsia="zh-CN"/>
        </w:rPr>
        <w:t>，</w:t>
      </w:r>
      <w:r>
        <w:rPr>
          <w:rFonts w:hint="eastAsia" w:asciiTheme="minorEastAsia" w:hAnsiTheme="minorEastAsia"/>
          <w:sz w:val="32"/>
          <w:szCs w:val="32"/>
          <w:lang w:val="en-US" w:eastAsia="zh-CN"/>
        </w:rPr>
        <w:t>含</w:t>
      </w:r>
      <w:r>
        <w:rPr>
          <w:rFonts w:hint="eastAsia" w:ascii="宋体" w:hAnsi="宋体"/>
          <w:sz w:val="32"/>
        </w:rPr>
        <w:t>基本支出</w:t>
      </w:r>
      <w:r>
        <w:rPr>
          <w:rFonts w:hint="eastAsia" w:ascii="宋体" w:hAnsi="宋体"/>
          <w:sz w:val="32"/>
          <w:lang w:val="en-US" w:eastAsia="zh-CN"/>
        </w:rPr>
        <w:t>119.29</w:t>
      </w:r>
      <w:r>
        <w:rPr>
          <w:rFonts w:hint="eastAsia" w:ascii="宋体" w:hAnsi="宋体"/>
          <w:sz w:val="32"/>
        </w:rPr>
        <w:t>万元，</w:t>
      </w:r>
      <w:r>
        <w:rPr>
          <w:rFonts w:hint="eastAsia" w:ascii="宋体" w:hAnsi="宋体"/>
          <w:sz w:val="32"/>
          <w:lang w:val="en-US" w:eastAsia="zh-CN"/>
        </w:rPr>
        <w:t>项目支出1592.41万元。其中：</w:t>
      </w:r>
      <w:r>
        <w:rPr>
          <w:rFonts w:hint="eastAsia" w:ascii="宋体" w:hAnsi="宋体"/>
          <w:sz w:val="32"/>
          <w:lang w:val="zh-CN"/>
        </w:rPr>
        <w:t>人员经费</w:t>
      </w:r>
      <w:r>
        <w:rPr>
          <w:rFonts w:hint="eastAsia" w:ascii="宋体" w:hAnsi="宋体"/>
          <w:sz w:val="32"/>
          <w:lang w:val="en-US" w:eastAsia="zh-CN"/>
        </w:rPr>
        <w:t>117.82</w:t>
      </w:r>
      <w:r>
        <w:rPr>
          <w:rFonts w:hint="eastAsia" w:ascii="宋体" w:hAnsi="宋体"/>
          <w:sz w:val="32"/>
        </w:rPr>
        <w:t>万元</w:t>
      </w:r>
      <w:r>
        <w:rPr>
          <w:rFonts w:hint="eastAsia" w:ascii="宋体" w:hAnsi="宋体"/>
          <w:sz w:val="32"/>
          <w:lang w:eastAsia="zh-CN"/>
        </w:rPr>
        <w:t>，</w:t>
      </w:r>
      <w:r>
        <w:rPr>
          <w:rFonts w:hint="eastAsia" w:asciiTheme="minorEastAsia" w:hAnsiTheme="minorEastAsia" w:eastAsiaTheme="minorEastAsia"/>
          <w:sz w:val="32"/>
          <w:szCs w:val="32"/>
        </w:rPr>
        <w:t>占</w:t>
      </w:r>
      <w:r>
        <w:rPr>
          <w:rFonts w:hint="eastAsia" w:asciiTheme="minorEastAsia" w:hAnsiTheme="minorEastAsia"/>
          <w:sz w:val="32"/>
          <w:szCs w:val="32"/>
          <w:lang w:val="en-US" w:eastAsia="zh-CN"/>
        </w:rPr>
        <w:t>总</w:t>
      </w:r>
      <w:r>
        <w:rPr>
          <w:rFonts w:hint="eastAsia" w:asciiTheme="minorEastAsia" w:hAnsiTheme="minorEastAsia" w:eastAsiaTheme="minorEastAsia"/>
          <w:sz w:val="32"/>
          <w:szCs w:val="32"/>
        </w:rPr>
        <w:t>支出的</w:t>
      </w:r>
      <w:r>
        <w:rPr>
          <w:rFonts w:hint="eastAsia" w:asciiTheme="minorEastAsia" w:hAnsiTheme="minorEastAsia"/>
          <w:sz w:val="32"/>
          <w:szCs w:val="32"/>
          <w:lang w:val="en-US" w:eastAsia="zh-CN"/>
        </w:rPr>
        <w:t>6.9</w:t>
      </w:r>
      <w:r>
        <w:rPr>
          <w:rFonts w:hint="eastAsia" w:asciiTheme="minorEastAsia" w:hAnsiTheme="minorEastAsia" w:eastAsiaTheme="minorEastAsia"/>
          <w:sz w:val="32"/>
          <w:szCs w:val="32"/>
        </w:rPr>
        <w:t>%</w:t>
      </w:r>
      <w:r>
        <w:rPr>
          <w:rFonts w:hint="eastAsia" w:asciiTheme="minorEastAsia" w:hAnsiTheme="minorEastAsia"/>
          <w:sz w:val="32"/>
          <w:szCs w:val="32"/>
          <w:lang w:eastAsia="zh-CN"/>
        </w:rPr>
        <w:t>，</w:t>
      </w:r>
      <w:r>
        <w:rPr>
          <w:rFonts w:hint="eastAsia" w:asciiTheme="minorEastAsia" w:hAnsiTheme="minorEastAsia" w:eastAsiaTheme="minorEastAsia"/>
          <w:sz w:val="32"/>
          <w:szCs w:val="32"/>
        </w:rPr>
        <w:t>主要包括基本工资、津贴补贴、奖金</w:t>
      </w:r>
      <w:r>
        <w:rPr>
          <w:rFonts w:hint="eastAsia" w:asciiTheme="minorEastAsia" w:hAnsiTheme="minorEastAsia"/>
          <w:sz w:val="32"/>
          <w:szCs w:val="32"/>
          <w:lang w:val="en-US" w:eastAsia="zh-CN"/>
        </w:rPr>
        <w:t>等，</w:t>
      </w:r>
      <w:r>
        <w:rPr>
          <w:rFonts w:hint="eastAsia" w:ascii="宋体" w:hAnsi="宋体"/>
          <w:sz w:val="32"/>
        </w:rPr>
        <w:t>公用</w:t>
      </w:r>
      <w:r>
        <w:rPr>
          <w:rFonts w:hint="eastAsia" w:ascii="宋体" w:hAnsi="宋体"/>
          <w:sz w:val="32"/>
          <w:lang w:val="zh-CN"/>
        </w:rPr>
        <w:t>经费</w:t>
      </w:r>
      <w:r>
        <w:rPr>
          <w:rFonts w:hint="eastAsia" w:ascii="宋体" w:hAnsi="宋体"/>
          <w:sz w:val="32"/>
          <w:lang w:val="en-US" w:eastAsia="zh-CN"/>
        </w:rPr>
        <w:t>1.47</w:t>
      </w:r>
      <w:r>
        <w:rPr>
          <w:rFonts w:hint="eastAsia" w:ascii="宋体" w:hAnsi="宋体"/>
          <w:sz w:val="32"/>
        </w:rPr>
        <w:t>万元</w:t>
      </w:r>
      <w:r>
        <w:rPr>
          <w:rFonts w:hint="eastAsia" w:ascii="宋体" w:hAnsi="宋体"/>
          <w:sz w:val="32"/>
          <w:lang w:eastAsia="zh-CN"/>
        </w:rPr>
        <w:t>，</w:t>
      </w:r>
      <w:r>
        <w:rPr>
          <w:rFonts w:hint="eastAsia" w:asciiTheme="minorEastAsia" w:hAnsiTheme="minorEastAsia" w:eastAsiaTheme="minorEastAsia"/>
          <w:sz w:val="32"/>
          <w:szCs w:val="32"/>
        </w:rPr>
        <w:t>占</w:t>
      </w:r>
      <w:r>
        <w:rPr>
          <w:rFonts w:hint="eastAsia" w:asciiTheme="minorEastAsia" w:hAnsiTheme="minorEastAsia"/>
          <w:sz w:val="32"/>
          <w:szCs w:val="32"/>
          <w:lang w:val="en-US" w:eastAsia="zh-CN"/>
        </w:rPr>
        <w:t>总</w:t>
      </w:r>
      <w:r>
        <w:rPr>
          <w:rFonts w:hint="eastAsia" w:asciiTheme="minorEastAsia" w:hAnsiTheme="minorEastAsia" w:eastAsiaTheme="minorEastAsia"/>
          <w:sz w:val="32"/>
          <w:szCs w:val="32"/>
        </w:rPr>
        <w:t>支出的</w:t>
      </w:r>
      <w:r>
        <w:rPr>
          <w:rFonts w:hint="eastAsia" w:asciiTheme="minorEastAsia" w:hAnsiTheme="minorEastAsia"/>
          <w:sz w:val="32"/>
          <w:szCs w:val="32"/>
          <w:lang w:val="en-US" w:eastAsia="zh-CN"/>
        </w:rPr>
        <w:t>0.09</w:t>
      </w:r>
      <w:r>
        <w:rPr>
          <w:rFonts w:hint="eastAsia" w:asciiTheme="minorEastAsia" w:hAnsiTheme="minorEastAsia" w:eastAsiaTheme="minorEastAsia"/>
          <w:sz w:val="32"/>
          <w:szCs w:val="32"/>
        </w:rPr>
        <w:t>%，主要包括办公费、印刷费</w:t>
      </w:r>
      <w:r>
        <w:rPr>
          <w:rFonts w:hint="eastAsia" w:asciiTheme="minorEastAsia" w:hAnsiTheme="minorEastAsia"/>
          <w:sz w:val="32"/>
          <w:szCs w:val="32"/>
          <w:lang w:val="en-US" w:eastAsia="zh-CN"/>
        </w:rPr>
        <w:t>等，行政事业类项目支出</w:t>
      </w:r>
      <w:r>
        <w:rPr>
          <w:rFonts w:hint="eastAsia" w:ascii="宋体" w:hAnsi="宋体"/>
          <w:sz w:val="32"/>
          <w:lang w:val="en-US" w:eastAsia="zh-CN"/>
        </w:rPr>
        <w:t>1592.41万元，</w:t>
      </w:r>
      <w:r>
        <w:rPr>
          <w:rFonts w:hint="eastAsia" w:asciiTheme="minorEastAsia" w:hAnsiTheme="minorEastAsia" w:eastAsiaTheme="minorEastAsia"/>
          <w:sz w:val="32"/>
          <w:szCs w:val="32"/>
        </w:rPr>
        <w:t>占</w:t>
      </w:r>
      <w:r>
        <w:rPr>
          <w:rFonts w:hint="eastAsia" w:asciiTheme="minorEastAsia" w:hAnsiTheme="minorEastAsia"/>
          <w:sz w:val="32"/>
          <w:szCs w:val="32"/>
          <w:lang w:val="en-US" w:eastAsia="zh-CN"/>
        </w:rPr>
        <w:t>总</w:t>
      </w:r>
      <w:r>
        <w:rPr>
          <w:rFonts w:hint="eastAsia" w:asciiTheme="minorEastAsia" w:hAnsiTheme="minorEastAsia" w:eastAsiaTheme="minorEastAsia"/>
          <w:sz w:val="32"/>
          <w:szCs w:val="32"/>
        </w:rPr>
        <w:t>支出的</w:t>
      </w:r>
      <w:r>
        <w:rPr>
          <w:rFonts w:hint="eastAsia" w:asciiTheme="minorEastAsia" w:hAnsiTheme="minorEastAsia"/>
          <w:sz w:val="32"/>
          <w:szCs w:val="32"/>
          <w:lang w:val="en-US" w:eastAsia="zh-CN"/>
        </w:rPr>
        <w:t>93.01</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7.5</w:t>
      </w:r>
      <w:r>
        <w:rPr>
          <w:rFonts w:hint="eastAsia" w:asciiTheme="minorEastAsia" w:hAnsiTheme="minorEastAsia" w:eastAsiaTheme="minorEastAsia"/>
          <w:sz w:val="32"/>
          <w:szCs w:val="32"/>
        </w:rPr>
        <w:t>%，其中：</w:t>
      </w:r>
    </w:p>
    <w:p>
      <w:pPr>
        <w:keepNext w:val="0"/>
        <w:keepLines w:val="0"/>
        <w:widowControl/>
        <w:suppressLineNumbers w:val="0"/>
        <w:jc w:val="left"/>
      </w:pPr>
      <w:r>
        <w:rPr>
          <w:rFonts w:hint="eastAsia" w:ascii="宋体" w:hAnsi="宋体" w:eastAsia="宋体" w:cs="宋体"/>
          <w:color w:val="000000"/>
          <w:kern w:val="0"/>
          <w:sz w:val="31"/>
          <w:szCs w:val="31"/>
          <w:lang w:val="en-US" w:eastAsia="zh-CN" w:bidi="ar"/>
        </w:rPr>
        <w:t>公务接待费支出预算为8万元，支出决算为0.6万元，完成预算的7.5%， 与上年相比减少0.56万元。决算数小于年初预算数的主要原因是严格执行上级规定，厉行节约。</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keepNext w:val="0"/>
        <w:keepLines w:val="0"/>
        <w:widowControl/>
        <w:suppressLineNumbers w:val="0"/>
        <w:ind w:firstLine="620" w:firstLineChars="200"/>
        <w:jc w:val="left"/>
        <w:rPr>
          <w:rFonts w:hint="eastAsia" w:ascii="宋体" w:hAnsi="宋体" w:eastAsia="宋体" w:cs="宋体"/>
          <w:color w:val="000000"/>
          <w:kern w:val="0"/>
          <w:sz w:val="31"/>
          <w:szCs w:val="31"/>
          <w:lang w:val="en-US" w:eastAsia="zh-CN" w:bidi="ar"/>
        </w:rPr>
      </w:pPr>
      <w:r>
        <w:rPr>
          <w:rFonts w:hint="eastAsia" w:ascii="宋体" w:hAnsi="宋体" w:eastAsia="宋体" w:cs="宋体"/>
          <w:color w:val="000000"/>
          <w:kern w:val="0"/>
          <w:sz w:val="31"/>
          <w:szCs w:val="31"/>
          <w:lang w:val="en-US" w:eastAsia="zh-CN" w:bidi="ar"/>
        </w:rPr>
        <w:t>2019年度“三公”经费财政拨款支出决算中，公务接待费支出决算0.6万元，占100%。</w:t>
      </w:r>
    </w:p>
    <w:p>
      <w:pPr>
        <w:keepNext w:val="0"/>
        <w:keepLines w:val="0"/>
        <w:widowControl/>
        <w:suppressLineNumbers w:val="0"/>
        <w:ind w:firstLine="620" w:firstLineChars="200"/>
        <w:jc w:val="left"/>
      </w:pPr>
      <w:r>
        <w:rPr>
          <w:rFonts w:hint="eastAsia" w:ascii="宋体" w:hAnsi="宋体" w:eastAsia="宋体" w:cs="宋体"/>
          <w:color w:val="000000"/>
          <w:kern w:val="0"/>
          <w:sz w:val="31"/>
          <w:szCs w:val="31"/>
          <w:lang w:val="en-US" w:eastAsia="zh-CN" w:bidi="ar"/>
        </w:rPr>
        <w:t xml:space="preserve">公务接待费支出决算为0.6万元，全年共接待来宾累计45批次，主要是 </w:t>
      </w:r>
    </w:p>
    <w:p>
      <w:pPr>
        <w:keepNext w:val="0"/>
        <w:keepLines w:val="0"/>
        <w:widowControl/>
        <w:suppressLineNumbers w:val="0"/>
        <w:jc w:val="left"/>
      </w:pPr>
      <w:r>
        <w:rPr>
          <w:rFonts w:hint="eastAsia" w:ascii="宋体" w:hAnsi="宋体" w:eastAsia="宋体" w:cs="宋体"/>
          <w:color w:val="000000"/>
          <w:kern w:val="0"/>
          <w:sz w:val="31"/>
          <w:szCs w:val="31"/>
          <w:lang w:val="en-US" w:eastAsia="zh-CN" w:bidi="ar"/>
        </w:rPr>
        <w:t>上级检查工作发生的接待支出。</w:t>
      </w:r>
    </w:p>
    <w:p>
      <w:pPr>
        <w:pStyle w:val="11"/>
        <w:rPr>
          <w:rFonts w:hAnsi="黑体"/>
          <w:b/>
          <w:sz w:val="32"/>
          <w:szCs w:val="32"/>
        </w:rPr>
      </w:pPr>
      <w:r>
        <w:rPr>
          <w:rFonts w:hint="eastAsia" w:hAnsi="黑体"/>
          <w:b/>
          <w:sz w:val="32"/>
          <w:szCs w:val="32"/>
        </w:rPr>
        <w:t>八、政府性基金预算收入支出决算情况</w:t>
      </w:r>
    </w:p>
    <w:p>
      <w:pPr>
        <w:keepNext w:val="0"/>
        <w:keepLines w:val="0"/>
        <w:widowControl/>
        <w:suppressLineNumbers w:val="0"/>
        <w:jc w:val="left"/>
      </w:pPr>
      <w:r>
        <w:rPr>
          <w:rFonts w:hint="eastAsia" w:asciiTheme="minorEastAsia" w:hAnsiTheme="minorEastAsia" w:eastAsiaTheme="minorEastAsia"/>
          <w:sz w:val="32"/>
          <w:szCs w:val="32"/>
        </w:rPr>
        <w:t xml:space="preserve">    </w:t>
      </w:r>
      <w:r>
        <w:rPr>
          <w:rFonts w:hint="eastAsia" w:ascii="宋体" w:hAnsi="宋体" w:eastAsia="宋体" w:cs="宋体"/>
          <w:color w:val="000000"/>
          <w:kern w:val="0"/>
          <w:sz w:val="31"/>
          <w:szCs w:val="31"/>
          <w:lang w:val="en-US" w:eastAsia="zh-CN" w:bidi="ar"/>
        </w:rPr>
        <w:t>本单位无政府性基金收支</w:t>
      </w:r>
    </w:p>
    <w:p>
      <w:pPr>
        <w:pStyle w:val="11"/>
        <w:rPr>
          <w:rFonts w:hAnsi="黑体"/>
          <w:b/>
          <w:sz w:val="32"/>
          <w:szCs w:val="32"/>
        </w:rPr>
      </w:pPr>
      <w:r>
        <w:rPr>
          <w:rFonts w:hint="eastAsia" w:hAnsi="黑体"/>
          <w:b/>
          <w:sz w:val="32"/>
          <w:szCs w:val="32"/>
        </w:rPr>
        <w:t>九、关于2019年度预算绩效情况说明</w:t>
      </w:r>
    </w:p>
    <w:p>
      <w:pPr>
        <w:spacing w:line="360" w:lineRule="auto"/>
        <w:ind w:firstLine="640" w:firstLineChars="200"/>
        <w:rPr>
          <w:rFonts w:hint="eastAsia" w:ascii="仿宋" w:hAnsi="仿宋" w:eastAsia="仿宋" w:cs="华文仿宋"/>
          <w:color w:val="000000"/>
          <w:sz w:val="32"/>
          <w:szCs w:val="32"/>
          <w:lang w:eastAsia="zh-CN"/>
        </w:rPr>
      </w:pPr>
      <w:r>
        <w:rPr>
          <w:rFonts w:hint="eastAsia" w:ascii="仿宋" w:hAnsi="仿宋" w:eastAsia="仿宋" w:cs="华文仿宋"/>
          <w:sz w:val="32"/>
          <w:szCs w:val="32"/>
          <w:lang w:eastAsia="zh-CN"/>
        </w:rPr>
        <w:t>我</w:t>
      </w:r>
      <w:r>
        <w:rPr>
          <w:rFonts w:hint="eastAsia" w:ascii="仿宋" w:hAnsi="仿宋" w:eastAsia="仿宋" w:cs="华文仿宋"/>
          <w:sz w:val="32"/>
          <w:szCs w:val="32"/>
        </w:rPr>
        <w:t>局</w:t>
      </w:r>
      <w:r>
        <w:rPr>
          <w:rFonts w:hint="eastAsia" w:ascii="仿宋" w:hAnsi="仿宋" w:eastAsia="仿宋" w:cs="华文仿宋"/>
          <w:sz w:val="32"/>
          <w:szCs w:val="32"/>
          <w:highlight w:val="none"/>
        </w:rPr>
        <w:t>为保证各项工作任务的顺利完成</w:t>
      </w:r>
      <w:r>
        <w:rPr>
          <w:rFonts w:hint="eastAsia" w:ascii="仿宋" w:hAnsi="仿宋" w:eastAsia="仿宋" w:cs="华文仿宋"/>
          <w:sz w:val="32"/>
          <w:szCs w:val="32"/>
          <w:highlight w:val="none"/>
          <w:lang w:eastAsia="zh-CN"/>
        </w:rPr>
        <w:t>。</w:t>
      </w:r>
      <w:r>
        <w:rPr>
          <w:rFonts w:hint="eastAsia" w:ascii="仿宋" w:hAnsi="仿宋" w:eastAsia="仿宋" w:cs="楷体_GB2312"/>
          <w:b/>
          <w:bCs/>
          <w:color w:val="010101"/>
          <w:sz w:val="32"/>
          <w:szCs w:val="32"/>
          <w:lang w:val="en-US" w:eastAsia="zh-CN"/>
        </w:rPr>
        <w:t>一是</w:t>
      </w:r>
      <w:r>
        <w:rPr>
          <w:rFonts w:hint="eastAsia" w:ascii="仿宋" w:hAnsi="仿宋" w:eastAsia="仿宋" w:cs="仿宋"/>
          <w:b w:val="0"/>
          <w:bCs w:val="0"/>
          <w:sz w:val="32"/>
          <w:szCs w:val="32"/>
        </w:rPr>
        <w:t>以全面深化“放管服”改革为重心，开创行政审批服务工作新局面。</w:t>
      </w:r>
      <w:r>
        <w:rPr>
          <w:rFonts w:hint="eastAsia" w:ascii="仿宋" w:hAnsi="仿宋" w:eastAsia="仿宋" w:cs="仿宋"/>
          <w:b w:val="0"/>
          <w:bCs w:val="0"/>
          <w:sz w:val="32"/>
          <w:szCs w:val="32"/>
          <w:lang w:val="en-US" w:eastAsia="zh-CN"/>
        </w:rPr>
        <w:t>二是</w:t>
      </w:r>
      <w:r>
        <w:rPr>
          <w:rFonts w:hint="eastAsia" w:ascii="仿宋" w:hAnsi="仿宋" w:eastAsia="仿宋" w:cs="仿宋"/>
          <w:b w:val="0"/>
          <w:bCs w:val="0"/>
          <w:sz w:val="32"/>
          <w:szCs w:val="32"/>
        </w:rPr>
        <w:t>以“四减”为突破口，全力优化营商环境。聚焦群众反应突出的手续繁、时限长、材料多等民生堵点痛点，切实围绕“减”字做文章，减环节、减材料、减时限、减跑动，以权力的“减法”，换取群众满意度的“加法”，激发市场活力的“乘法”。</w:t>
      </w:r>
      <w:r>
        <w:rPr>
          <w:rFonts w:hint="eastAsia" w:ascii="仿宋" w:hAnsi="仿宋" w:eastAsia="仿宋" w:cs="仿宋"/>
          <w:b w:val="0"/>
          <w:bCs w:val="0"/>
          <w:sz w:val="32"/>
          <w:szCs w:val="32"/>
          <w:lang w:val="en-US" w:eastAsia="zh-CN"/>
        </w:rPr>
        <w:t>三是</w:t>
      </w:r>
      <w:r>
        <w:rPr>
          <w:rFonts w:hint="eastAsia" w:ascii="仿宋" w:hAnsi="仿宋" w:eastAsia="仿宋" w:cs="仿宋"/>
          <w:b w:val="0"/>
          <w:bCs w:val="0"/>
          <w:sz w:val="32"/>
          <w:szCs w:val="32"/>
        </w:rPr>
        <w:t>以树立优质高效政务形象为目标，扎实做好政务公开政务服务各项工作。</w:t>
      </w:r>
      <w:r>
        <w:rPr>
          <w:rFonts w:hint="eastAsia" w:ascii="仿宋" w:hAnsi="仿宋" w:eastAsia="仿宋" w:cs="仿宋"/>
          <w:b w:val="0"/>
          <w:bCs w:val="0"/>
          <w:sz w:val="32"/>
          <w:szCs w:val="32"/>
          <w:lang w:val="en-US" w:eastAsia="zh-CN"/>
        </w:rPr>
        <w:t>四是</w:t>
      </w:r>
      <w:r>
        <w:rPr>
          <w:rFonts w:hint="eastAsia" w:ascii="仿宋" w:hAnsi="仿宋" w:eastAsia="仿宋" w:cs="华文仿宋"/>
          <w:sz w:val="32"/>
          <w:szCs w:val="32"/>
          <w:highlight w:val="none"/>
        </w:rPr>
        <w:t>加强财务管理</w:t>
      </w:r>
      <w:r>
        <w:rPr>
          <w:rFonts w:hint="eastAsia" w:ascii="仿宋" w:hAnsi="仿宋" w:eastAsia="仿宋" w:cs="华文仿宋"/>
          <w:sz w:val="32"/>
          <w:szCs w:val="32"/>
          <w:highlight w:val="none"/>
          <w:lang w:eastAsia="zh-CN"/>
        </w:rPr>
        <w:t>和内部控制</w:t>
      </w:r>
      <w:r>
        <w:rPr>
          <w:rFonts w:hint="eastAsia" w:ascii="仿宋" w:hAnsi="仿宋" w:eastAsia="仿宋" w:cs="华文仿宋"/>
          <w:sz w:val="32"/>
          <w:szCs w:val="32"/>
          <w:highlight w:val="none"/>
        </w:rPr>
        <w:t>，全面规范财务行为，提高资金使用效益</w:t>
      </w:r>
      <w:r>
        <w:rPr>
          <w:rFonts w:hint="eastAsia" w:ascii="仿宋" w:hAnsi="仿宋" w:eastAsia="仿宋" w:cs="华文仿宋"/>
          <w:sz w:val="32"/>
          <w:szCs w:val="32"/>
          <w:highlight w:val="none"/>
          <w:lang w:eastAsia="zh-CN"/>
        </w:rPr>
        <w:t>制定了一系列具体制度</w:t>
      </w:r>
      <w:r>
        <w:rPr>
          <w:rFonts w:hint="eastAsia" w:ascii="仿宋" w:hAnsi="仿宋" w:eastAsia="仿宋" w:cs="华文仿宋"/>
          <w:sz w:val="32"/>
          <w:szCs w:val="32"/>
          <w:highlight w:val="none"/>
          <w:lang w:val="en-US" w:eastAsia="zh-CN"/>
        </w:rPr>
        <w:t>,</w:t>
      </w:r>
      <w:r>
        <w:rPr>
          <w:rFonts w:hint="eastAsia" w:ascii="仿宋" w:hAnsi="仿宋" w:eastAsia="仿宋" w:cs="华文仿宋"/>
          <w:sz w:val="32"/>
          <w:szCs w:val="32"/>
          <w:lang w:eastAsia="zh-CN"/>
        </w:rPr>
        <w:t>包括</w:t>
      </w:r>
      <w:r>
        <w:rPr>
          <w:rFonts w:hint="eastAsia" w:ascii="仿宋" w:hAnsi="仿宋" w:eastAsia="仿宋" w:cs="华文仿宋"/>
          <w:sz w:val="32"/>
          <w:szCs w:val="32"/>
          <w:lang w:val="en-US" w:eastAsia="zh-CN"/>
        </w:rPr>
        <w:t>:《预算资金管理办法》、《会计核算制度》、《财务监管制度》、《内部财务管理制度》、《资产管理办法》、《经济合同管理办法》、《专项资金管理制度》、《项目管理办法》等。</w:t>
      </w:r>
    </w:p>
    <w:p>
      <w:pPr>
        <w:pStyle w:val="11"/>
        <w:ind w:firstLine="640" w:firstLineChars="200"/>
        <w:rPr>
          <w:rFonts w:hint="eastAsia" w:ascii="仿宋" w:hAnsi="仿宋" w:eastAsia="仿宋" w:cs="华文仿宋"/>
          <w:color w:val="000000"/>
          <w:sz w:val="32"/>
          <w:szCs w:val="32"/>
          <w:lang w:eastAsia="zh-CN"/>
        </w:rPr>
      </w:pPr>
      <w:r>
        <w:rPr>
          <w:rFonts w:hint="eastAsia" w:ascii="仿宋" w:hAnsi="仿宋" w:eastAsia="仿宋" w:cs="华文仿宋"/>
          <w:color w:val="000000"/>
          <w:sz w:val="32"/>
          <w:szCs w:val="32"/>
          <w:lang w:eastAsia="zh-CN"/>
        </w:rPr>
        <w:t>我局201</w:t>
      </w:r>
      <w:r>
        <w:rPr>
          <w:rFonts w:hint="eastAsia" w:ascii="仿宋" w:hAnsi="仿宋" w:eastAsia="仿宋" w:cs="华文仿宋"/>
          <w:color w:val="000000"/>
          <w:sz w:val="32"/>
          <w:szCs w:val="32"/>
          <w:lang w:val="en-US" w:eastAsia="zh-CN"/>
        </w:rPr>
        <w:t>9</w:t>
      </w:r>
      <w:r>
        <w:rPr>
          <w:rFonts w:hint="eastAsia" w:ascii="仿宋" w:hAnsi="仿宋" w:eastAsia="仿宋" w:cs="华文仿宋"/>
          <w:color w:val="000000"/>
          <w:sz w:val="32"/>
          <w:szCs w:val="32"/>
          <w:lang w:eastAsia="zh-CN"/>
        </w:rPr>
        <w:t>年度部门整体支出指标体系得分9</w:t>
      </w:r>
      <w:r>
        <w:rPr>
          <w:rFonts w:hint="eastAsia" w:ascii="仿宋" w:hAnsi="仿宋" w:eastAsia="仿宋" w:cs="华文仿宋"/>
          <w:color w:val="000000"/>
          <w:sz w:val="32"/>
          <w:szCs w:val="32"/>
          <w:lang w:val="en-US" w:eastAsia="zh-CN"/>
        </w:rPr>
        <w:t>3</w:t>
      </w:r>
      <w:r>
        <w:rPr>
          <w:rFonts w:hint="eastAsia" w:ascii="仿宋" w:hAnsi="仿宋" w:eastAsia="仿宋" w:cs="华文仿宋"/>
          <w:color w:val="000000"/>
          <w:sz w:val="32"/>
          <w:szCs w:val="32"/>
          <w:lang w:eastAsia="zh-CN"/>
        </w:rPr>
        <w:t>分，评价结果为优，各项年初绩效目标基本完成，社会效益有所提高，项目组织管理和财务管理基本健全规范，未发生违法行为，人民安居乐业，满意度明显提高。</w:t>
      </w:r>
    </w:p>
    <w:p>
      <w:pPr>
        <w:pStyle w:val="11"/>
        <w:ind w:firstLine="640" w:firstLineChars="200"/>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spacing w:line="560" w:lineRule="exact"/>
        <w:ind w:firstLine="640" w:firstLineChars="200"/>
        <w:rPr>
          <w:rFonts w:hint="eastAsia" w:ascii="宋体" w:hAnsi="宋体"/>
          <w:kern w:val="0"/>
          <w:sz w:val="32"/>
        </w:rPr>
      </w:pPr>
      <w:r>
        <w:rPr>
          <w:rFonts w:hint="eastAsia" w:cs="黑体" w:asciiTheme="minorEastAsia" w:hAnsiTheme="minorEastAsia"/>
          <w:color w:val="000000"/>
          <w:kern w:val="0"/>
          <w:sz w:val="32"/>
          <w:szCs w:val="32"/>
        </w:rPr>
        <w:t>本部门2019 年度机关运行经费</w:t>
      </w:r>
      <w:r>
        <w:rPr>
          <w:rFonts w:hint="eastAsia" w:ascii="仿宋_GB2312" w:hAnsi="Times New Roman" w:eastAsia="仿宋_GB2312" w:cs="仿宋_GB2312"/>
          <w:sz w:val="32"/>
          <w:szCs w:val="32"/>
        </w:rPr>
        <w:t>本年支出</w:t>
      </w:r>
      <w:r>
        <w:rPr>
          <w:rFonts w:ascii="仿宋_GB2312" w:hAnsi="Times New Roman" w:eastAsia="仿宋_GB2312" w:cs="仿宋_GB2312"/>
          <w:sz w:val="32"/>
          <w:szCs w:val="32"/>
        </w:rPr>
        <w:t>1,711.7</w:t>
      </w:r>
      <w:r>
        <w:rPr>
          <w:rFonts w:hint="eastAsia" w:ascii="仿宋_GB2312" w:hAnsi="Times New Roman" w:eastAsia="仿宋_GB2312" w:cs="仿宋_GB2312"/>
          <w:sz w:val="32"/>
          <w:szCs w:val="32"/>
          <w:lang w:val="en-US" w:eastAsia="zh-CN"/>
        </w:rPr>
        <w:t>4</w:t>
      </w:r>
      <w:r>
        <w:rPr>
          <w:rFonts w:hint="eastAsia" w:ascii="仿宋_GB2312" w:hAnsi="Times New Roman" w:eastAsia="仿宋_GB2312" w:cs="仿宋_GB2312"/>
          <w:sz w:val="32"/>
          <w:szCs w:val="32"/>
        </w:rPr>
        <w:t>万元，</w:t>
      </w:r>
      <w:r>
        <w:rPr>
          <w:rFonts w:hint="eastAsia" w:cs="黑体" w:asciiTheme="minorEastAsia" w:hAnsiTheme="minorEastAsia"/>
          <w:color w:val="000000"/>
          <w:kern w:val="0"/>
          <w:sz w:val="32"/>
          <w:szCs w:val="32"/>
        </w:rPr>
        <w:t>比年初预算数增加</w:t>
      </w:r>
      <w:r>
        <w:rPr>
          <w:rFonts w:hint="eastAsia" w:cs="黑体" w:asciiTheme="minorEastAsia" w:hAnsiTheme="minorEastAsia"/>
          <w:color w:val="000000"/>
          <w:kern w:val="0"/>
          <w:sz w:val="32"/>
          <w:szCs w:val="32"/>
          <w:lang w:val="en-US" w:eastAsia="zh-CN"/>
        </w:rPr>
        <w:t>1100.5</w:t>
      </w:r>
      <w:r>
        <w:rPr>
          <w:rFonts w:hint="eastAsia" w:cs="黑体" w:asciiTheme="minorEastAsia" w:hAnsiTheme="minorEastAsia"/>
          <w:color w:val="000000"/>
          <w:kern w:val="0"/>
          <w:sz w:val="32"/>
          <w:szCs w:val="32"/>
        </w:rPr>
        <w:t>万元，增长</w:t>
      </w:r>
      <w:r>
        <w:rPr>
          <w:rFonts w:hint="eastAsia" w:cs="黑体" w:asciiTheme="minorEastAsia" w:hAnsiTheme="minorEastAsia"/>
          <w:color w:val="000000"/>
          <w:kern w:val="0"/>
          <w:sz w:val="32"/>
          <w:szCs w:val="32"/>
          <w:lang w:val="en-US" w:eastAsia="zh-CN"/>
        </w:rPr>
        <w:t>180</w:t>
      </w:r>
      <w:r>
        <w:rPr>
          <w:rFonts w:hint="eastAsia" w:cs="黑体" w:asciiTheme="minorEastAsia" w:hAnsiTheme="minorEastAsia"/>
          <w:color w:val="000000"/>
          <w:kern w:val="0"/>
          <w:sz w:val="32"/>
          <w:szCs w:val="32"/>
        </w:rPr>
        <w:t>%。主要原因是</w:t>
      </w:r>
      <w:r>
        <w:rPr>
          <w:rFonts w:hint="eastAsia" w:ascii="宋体" w:hAnsi="宋体"/>
          <w:kern w:val="0"/>
          <w:sz w:val="32"/>
          <w:lang w:val="zh-CN"/>
        </w:rPr>
        <w:t>：项目指标增加。</w:t>
      </w:r>
      <w:r>
        <w:rPr>
          <w:rFonts w:hint="eastAsia" w:ascii="宋体" w:hAnsi="宋体"/>
          <w:kern w:val="0"/>
          <w:sz w:val="32"/>
        </w:rPr>
        <w:t>因单位机构改革，职责职能发生变化，根据上级要求启动了“互联网+政务服务”项目建设，扩建了办事大厅、增加了窗口单位和工作人员等。</w:t>
      </w:r>
    </w:p>
    <w:p>
      <w:pPr>
        <w:ind w:firstLine="640" w:firstLineChars="200"/>
        <w:rPr>
          <w:rFonts w:hint="eastAsia"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spacing w:line="520" w:lineRule="exact"/>
        <w:ind w:firstLine="640" w:firstLineChars="200"/>
        <w:rPr>
          <w:rFonts w:hint="eastAsia" w:ascii="宋体" w:hAnsi="宋体"/>
          <w:sz w:val="32"/>
        </w:rPr>
      </w:pPr>
      <w:r>
        <w:rPr>
          <w:rFonts w:hint="eastAsia" w:cs="黑体" w:asciiTheme="minorEastAsia" w:hAnsiTheme="minorEastAsia"/>
          <w:color w:val="000000"/>
          <w:kern w:val="0"/>
          <w:sz w:val="32"/>
          <w:szCs w:val="32"/>
        </w:rPr>
        <w:t>2019年本部门开支会议费</w:t>
      </w:r>
      <w:r>
        <w:rPr>
          <w:rFonts w:hint="eastAsia" w:cs="黑体" w:asciiTheme="minorEastAsia" w:hAnsiTheme="minorEastAsia"/>
          <w:color w:val="000000"/>
          <w:kern w:val="0"/>
          <w:sz w:val="32"/>
          <w:szCs w:val="32"/>
          <w:lang w:val="en-US" w:eastAsia="zh-CN"/>
        </w:rPr>
        <w:t>3000</w:t>
      </w:r>
      <w:r>
        <w:rPr>
          <w:rFonts w:hint="eastAsia" w:cs="黑体" w:asciiTheme="minorEastAsia" w:hAnsiTheme="minorEastAsia"/>
          <w:color w:val="000000"/>
          <w:kern w:val="0"/>
          <w:sz w:val="32"/>
          <w:szCs w:val="32"/>
        </w:rPr>
        <w:t>元，</w:t>
      </w:r>
      <w:r>
        <w:rPr>
          <w:rFonts w:hint="eastAsia" w:ascii="宋体" w:hAnsi="宋体"/>
          <w:sz w:val="32"/>
        </w:rPr>
        <w:t>召开政务服务热</w:t>
      </w:r>
      <w:r>
        <w:rPr>
          <w:rFonts w:hint="eastAsia" w:ascii="宋体" w:hAnsi="宋体"/>
          <w:sz w:val="32"/>
          <w:lang w:val="en-US" w:eastAsia="zh-CN"/>
        </w:rPr>
        <w:t>线</w:t>
      </w:r>
      <w:r>
        <w:rPr>
          <w:rFonts w:hint="eastAsia" w:ascii="宋体" w:hAnsi="宋体"/>
          <w:sz w:val="32"/>
          <w:lang w:eastAsia="zh-CN"/>
        </w:rPr>
        <w:t>，</w:t>
      </w:r>
      <w:r>
        <w:rPr>
          <w:rFonts w:hint="eastAsia" w:ascii="宋体" w:hAnsi="宋体"/>
          <w:sz w:val="32"/>
          <w:lang w:val="en-US" w:eastAsia="zh-CN"/>
        </w:rPr>
        <w:t>人数为48人；</w:t>
      </w:r>
      <w:r>
        <w:rPr>
          <w:rFonts w:hint="eastAsia" w:ascii="宋体" w:hAnsi="宋体"/>
          <w:sz w:val="32"/>
        </w:rPr>
        <w:t>电子政务平台会议</w:t>
      </w:r>
      <w:r>
        <w:rPr>
          <w:rFonts w:hint="eastAsia" w:ascii="宋体" w:hAnsi="宋体"/>
          <w:sz w:val="32"/>
          <w:lang w:eastAsia="zh-CN"/>
        </w:rPr>
        <w:t>，</w:t>
      </w:r>
      <w:r>
        <w:rPr>
          <w:rFonts w:hint="eastAsia" w:ascii="宋体" w:hAnsi="宋体"/>
          <w:sz w:val="32"/>
          <w:lang w:val="en-US" w:eastAsia="zh-CN"/>
        </w:rPr>
        <w:t>人数为50人</w:t>
      </w:r>
      <w:r>
        <w:rPr>
          <w:rFonts w:hint="eastAsia" w:ascii="宋体" w:hAnsi="宋体"/>
          <w:sz w:val="32"/>
          <w:lang w:val="zh-CN"/>
        </w:rPr>
        <w:t>。</w:t>
      </w:r>
    </w:p>
    <w:p>
      <w:pPr>
        <w:ind w:firstLine="640" w:firstLineChars="200"/>
        <w:rPr>
          <w:rFonts w:hint="eastAsia" w:ascii="宋体" w:hAnsi="宋体"/>
          <w:sz w:val="32"/>
        </w:rPr>
      </w:pPr>
      <w:r>
        <w:rPr>
          <w:rFonts w:hint="eastAsia" w:cs="黑体" w:asciiTheme="minorEastAsia" w:hAnsiTheme="minorEastAsia"/>
          <w:color w:val="000000"/>
          <w:kern w:val="0"/>
          <w:sz w:val="32"/>
          <w:szCs w:val="32"/>
        </w:rPr>
        <w:t>开支培训费</w:t>
      </w:r>
      <w:r>
        <w:rPr>
          <w:rFonts w:hint="eastAsia" w:ascii="宋体" w:hAnsi="宋体"/>
          <w:sz w:val="32"/>
        </w:rPr>
        <w:t>48552</w:t>
      </w:r>
      <w:r>
        <w:rPr>
          <w:rFonts w:hint="eastAsia" w:cs="黑体" w:asciiTheme="minorEastAsia" w:hAnsiTheme="minorEastAsia"/>
          <w:color w:val="000000"/>
          <w:kern w:val="0"/>
          <w:sz w:val="32"/>
          <w:szCs w:val="32"/>
        </w:rPr>
        <w:t>万元，</w:t>
      </w:r>
      <w:r>
        <w:rPr>
          <w:rFonts w:hint="eastAsia" w:ascii="宋体" w:hAnsi="宋体"/>
          <w:sz w:val="32"/>
        </w:rPr>
        <w:t>因单位机构改革，完成上级要求的“一件事一次办”工作，单位业务人员、帮代办、政务服务热线工作人员参加业务培训。</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keepNext w:val="0"/>
        <w:keepLines w:val="0"/>
        <w:widowControl/>
        <w:suppressLineNumbers w:val="0"/>
        <w:ind w:firstLine="620" w:firstLineChars="200"/>
        <w:jc w:val="left"/>
      </w:pPr>
      <w:r>
        <w:rPr>
          <w:rFonts w:hint="eastAsia" w:ascii="宋体" w:hAnsi="宋体" w:eastAsia="宋体" w:cs="宋体"/>
          <w:color w:val="000000"/>
          <w:kern w:val="0"/>
          <w:sz w:val="31"/>
          <w:szCs w:val="31"/>
          <w:lang w:val="en-US" w:eastAsia="zh-CN" w:bidi="ar"/>
        </w:rPr>
        <w:t>本部门 2019 年度政府采购支出总额 0 万元.</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keepNext w:val="0"/>
        <w:keepLines w:val="0"/>
        <w:widowControl/>
        <w:suppressLineNumbers w:val="0"/>
        <w:ind w:firstLine="620" w:firstLineChars="200"/>
        <w:jc w:val="left"/>
      </w:pPr>
      <w:r>
        <w:rPr>
          <w:rFonts w:hint="eastAsia" w:ascii="宋体" w:hAnsi="宋体" w:eastAsia="宋体" w:cs="宋体"/>
          <w:color w:val="000000"/>
          <w:kern w:val="0"/>
          <w:sz w:val="31"/>
          <w:szCs w:val="31"/>
          <w:lang w:val="en-US" w:eastAsia="zh-CN" w:bidi="ar"/>
        </w:rPr>
        <w:t>截至 2019 年 12 月 31 日，本单位共有车辆 0 辆。</w:t>
      </w:r>
    </w:p>
    <w:p>
      <w:pPr>
        <w:ind w:firstLine="640" w:firstLineChars="200"/>
        <w:rPr>
          <w:rFonts w:cs="黑体" w:asciiTheme="minorEastAsia" w:hAnsiTheme="minorEastAsia"/>
          <w:color w:val="000000"/>
          <w:kern w:val="0"/>
          <w:sz w:val="32"/>
          <w:szCs w:val="32"/>
        </w:rPr>
      </w:pPr>
    </w:p>
    <w:p>
      <w:pPr>
        <w:pStyle w:val="11"/>
        <w:jc w:val="both"/>
        <w:rPr>
          <w:sz w:val="72"/>
          <w:szCs w:val="72"/>
        </w:rPr>
      </w:pPr>
    </w:p>
    <w:p>
      <w:pPr>
        <w:pStyle w:val="11"/>
        <w:jc w:val="center"/>
        <w:rPr>
          <w:sz w:val="72"/>
          <w:szCs w:val="72"/>
        </w:rPr>
      </w:pPr>
    </w:p>
    <w:p>
      <w:pPr>
        <w:pStyle w:val="11"/>
        <w:jc w:val="center"/>
        <w:rPr>
          <w:rFonts w:ascii="黑体" w:eastAsia="黑体" w:cs="黑体"/>
          <w:color w:val="000000"/>
          <w:kern w:val="0"/>
          <w:sz w:val="70"/>
          <w:szCs w:val="70"/>
        </w:rPr>
      </w:pPr>
      <w:r>
        <w:rPr>
          <w:rFonts w:hint="eastAsia"/>
          <w:sz w:val="72"/>
          <w:szCs w:val="72"/>
        </w:rPr>
        <w:t>第四部分</w:t>
      </w: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pPr>
      <w:r>
        <w:rPr>
          <w:rFonts w:ascii="Calibri" w:hAnsi="Calibri" w:eastAsia="宋体" w:cs="Calibri"/>
          <w:color w:val="000000"/>
          <w:kern w:val="0"/>
          <w:sz w:val="31"/>
          <w:szCs w:val="31"/>
          <w:lang w:val="en-US" w:eastAsia="zh-CN" w:bidi="ar"/>
        </w:rPr>
        <w:t>1</w:t>
      </w:r>
      <w:r>
        <w:rPr>
          <w:rFonts w:hint="eastAsia" w:ascii="宋体" w:hAnsi="宋体" w:eastAsia="宋体" w:cs="宋体"/>
          <w:color w:val="000000"/>
          <w:kern w:val="0"/>
          <w:sz w:val="31"/>
          <w:szCs w:val="31"/>
          <w:lang w:val="en-US" w:eastAsia="zh-CN" w:bidi="ar"/>
        </w:rPr>
        <w:t xml:space="preserve">、机关运行经费：是指各部门的公用经费，包括办公及印刷费、邮电 </w:t>
      </w:r>
    </w:p>
    <w:p>
      <w:pPr>
        <w:keepNext w:val="0"/>
        <w:keepLines w:val="0"/>
        <w:widowControl/>
        <w:suppressLineNumbers w:val="0"/>
        <w:jc w:val="left"/>
      </w:pPr>
      <w:r>
        <w:rPr>
          <w:rFonts w:hint="eastAsia" w:ascii="宋体" w:hAnsi="宋体" w:eastAsia="宋体" w:cs="宋体"/>
          <w:color w:val="000000"/>
          <w:kern w:val="0"/>
          <w:sz w:val="31"/>
          <w:szCs w:val="31"/>
          <w:lang w:val="en-US" w:eastAsia="zh-CN" w:bidi="ar"/>
        </w:rPr>
        <w:t xml:space="preserve">费、差旅费、会议费、福利费、日常维修费、专用资料及一般设备购置费、 </w:t>
      </w:r>
    </w:p>
    <w:p>
      <w:pPr>
        <w:keepNext w:val="0"/>
        <w:keepLines w:val="0"/>
        <w:widowControl/>
        <w:suppressLineNumbers w:val="0"/>
        <w:jc w:val="left"/>
      </w:pPr>
      <w:r>
        <w:rPr>
          <w:rFonts w:hint="eastAsia" w:ascii="宋体" w:hAnsi="宋体" w:eastAsia="宋体" w:cs="宋体"/>
          <w:color w:val="000000"/>
          <w:kern w:val="0"/>
          <w:sz w:val="31"/>
          <w:szCs w:val="31"/>
          <w:lang w:val="en-US" w:eastAsia="zh-CN" w:bidi="ar"/>
        </w:rPr>
        <w:t xml:space="preserve">办公用房水电费、办公用房取暖费、办公用房物业管理费、公务用车运行 </w:t>
      </w:r>
    </w:p>
    <w:p>
      <w:pPr>
        <w:keepNext w:val="0"/>
        <w:keepLines w:val="0"/>
        <w:widowControl/>
        <w:suppressLineNumbers w:val="0"/>
        <w:jc w:val="left"/>
      </w:pPr>
      <w:r>
        <w:rPr>
          <w:rFonts w:hint="eastAsia" w:ascii="宋体" w:hAnsi="宋体" w:eastAsia="宋体" w:cs="宋体"/>
          <w:color w:val="000000"/>
          <w:kern w:val="0"/>
          <w:sz w:val="31"/>
          <w:szCs w:val="31"/>
          <w:lang w:val="en-US" w:eastAsia="zh-CN" w:bidi="ar"/>
        </w:rPr>
        <w:t xml:space="preserve">维护费以及其他费用。 </w:t>
      </w:r>
    </w:p>
    <w:p>
      <w:pPr>
        <w:keepNext w:val="0"/>
        <w:keepLines w:val="0"/>
        <w:widowControl/>
        <w:suppressLineNumbers w:val="0"/>
        <w:jc w:val="left"/>
      </w:pPr>
      <w:r>
        <w:rPr>
          <w:rFonts w:hint="default" w:ascii="Calibri" w:hAnsi="Calibri" w:eastAsia="宋体" w:cs="Calibri"/>
          <w:color w:val="000000"/>
          <w:kern w:val="0"/>
          <w:sz w:val="31"/>
          <w:szCs w:val="31"/>
          <w:lang w:val="en-US" w:eastAsia="zh-CN" w:bidi="ar"/>
        </w:rPr>
        <w:t>2</w:t>
      </w:r>
      <w:r>
        <w:rPr>
          <w:rFonts w:hint="eastAsia" w:ascii="宋体" w:hAnsi="宋体" w:eastAsia="宋体" w:cs="宋体"/>
          <w:color w:val="000000"/>
          <w:kern w:val="0"/>
          <w:sz w:val="31"/>
          <w:szCs w:val="31"/>
          <w:lang w:val="en-US" w:eastAsia="zh-CN" w:bidi="ar"/>
        </w:rPr>
        <w:t>、</w:t>
      </w:r>
      <w:r>
        <w:rPr>
          <w:rFonts w:hint="default" w:ascii="Calibri" w:hAnsi="Calibri" w:eastAsia="宋体" w:cs="Calibri"/>
          <w:color w:val="000000"/>
          <w:kern w:val="0"/>
          <w:sz w:val="31"/>
          <w:szCs w:val="31"/>
          <w:lang w:val="en-US" w:eastAsia="zh-CN" w:bidi="ar"/>
        </w:rPr>
        <w:t>“</w:t>
      </w:r>
      <w:r>
        <w:rPr>
          <w:rFonts w:hint="eastAsia" w:ascii="宋体" w:hAnsi="宋体" w:eastAsia="宋体" w:cs="宋体"/>
          <w:color w:val="000000"/>
          <w:kern w:val="0"/>
          <w:sz w:val="31"/>
          <w:szCs w:val="31"/>
          <w:lang w:val="en-US" w:eastAsia="zh-CN" w:bidi="ar"/>
        </w:rPr>
        <w:t>三公</w:t>
      </w:r>
      <w:r>
        <w:rPr>
          <w:rFonts w:hint="default" w:ascii="Calibri" w:hAnsi="Calibri" w:eastAsia="宋体" w:cs="Calibri"/>
          <w:color w:val="000000"/>
          <w:kern w:val="0"/>
          <w:sz w:val="31"/>
          <w:szCs w:val="31"/>
          <w:lang w:val="en-US" w:eastAsia="zh-CN" w:bidi="ar"/>
        </w:rPr>
        <w:t>”</w:t>
      </w:r>
      <w:r>
        <w:rPr>
          <w:rFonts w:hint="eastAsia" w:ascii="宋体" w:hAnsi="宋体" w:eastAsia="宋体" w:cs="宋体"/>
          <w:color w:val="000000"/>
          <w:kern w:val="0"/>
          <w:sz w:val="31"/>
          <w:szCs w:val="31"/>
          <w:lang w:val="en-US" w:eastAsia="zh-CN" w:bidi="ar"/>
        </w:rPr>
        <w:t>经费：纳入省财政预算管理的</w:t>
      </w:r>
      <w:r>
        <w:rPr>
          <w:rFonts w:hint="default" w:ascii="Calibri" w:hAnsi="Calibri" w:eastAsia="宋体" w:cs="Calibri"/>
          <w:color w:val="000000"/>
          <w:kern w:val="0"/>
          <w:sz w:val="31"/>
          <w:szCs w:val="31"/>
          <w:lang w:val="en-US" w:eastAsia="zh-CN" w:bidi="ar"/>
        </w:rPr>
        <w:t>“</w:t>
      </w:r>
      <w:r>
        <w:rPr>
          <w:rFonts w:hint="eastAsia" w:ascii="宋体" w:hAnsi="宋体" w:eastAsia="宋体" w:cs="宋体"/>
          <w:color w:val="000000"/>
          <w:kern w:val="0"/>
          <w:sz w:val="31"/>
          <w:szCs w:val="31"/>
          <w:lang w:val="en-US" w:eastAsia="zh-CN" w:bidi="ar"/>
        </w:rPr>
        <w:t>三公</w:t>
      </w:r>
      <w:r>
        <w:rPr>
          <w:rFonts w:hint="default" w:ascii="Calibri" w:hAnsi="Calibri" w:eastAsia="宋体" w:cs="Calibri"/>
          <w:color w:val="000000"/>
          <w:kern w:val="0"/>
          <w:sz w:val="31"/>
          <w:szCs w:val="31"/>
          <w:lang w:val="en-US" w:eastAsia="zh-CN" w:bidi="ar"/>
        </w:rPr>
        <w:t>“</w:t>
      </w:r>
      <w:r>
        <w:rPr>
          <w:rFonts w:hint="eastAsia" w:ascii="宋体" w:hAnsi="宋体" w:eastAsia="宋体" w:cs="宋体"/>
          <w:color w:val="000000"/>
          <w:kern w:val="0"/>
          <w:sz w:val="31"/>
          <w:szCs w:val="31"/>
          <w:lang w:val="en-US" w:eastAsia="zh-CN" w:bidi="ar"/>
        </w:rPr>
        <w:t xml:space="preserve">经费，是指用一般公共 </w:t>
      </w:r>
    </w:p>
    <w:p>
      <w:pPr>
        <w:keepNext w:val="0"/>
        <w:keepLines w:val="0"/>
        <w:widowControl/>
        <w:suppressLineNumbers w:val="0"/>
        <w:jc w:val="left"/>
      </w:pPr>
      <w:r>
        <w:rPr>
          <w:rFonts w:hint="eastAsia" w:ascii="宋体" w:hAnsi="宋体" w:eastAsia="宋体" w:cs="宋体"/>
          <w:color w:val="000000"/>
          <w:kern w:val="0"/>
          <w:sz w:val="31"/>
          <w:szCs w:val="31"/>
          <w:lang w:val="en-US" w:eastAsia="zh-CN" w:bidi="ar"/>
        </w:rPr>
        <w:t xml:space="preserve">预算拨款安排的公务接待费、公务用车购置及运行维护费和因公出国（境） </w:t>
      </w:r>
    </w:p>
    <w:p>
      <w:pPr>
        <w:keepNext w:val="0"/>
        <w:keepLines w:val="0"/>
        <w:widowControl/>
        <w:suppressLineNumbers w:val="0"/>
        <w:jc w:val="left"/>
      </w:pPr>
      <w:r>
        <w:rPr>
          <w:rFonts w:hint="eastAsia" w:ascii="宋体" w:hAnsi="宋体" w:eastAsia="宋体" w:cs="宋体"/>
          <w:color w:val="000000"/>
          <w:kern w:val="0"/>
          <w:sz w:val="31"/>
          <w:szCs w:val="31"/>
          <w:lang w:val="en-US" w:eastAsia="zh-CN" w:bidi="ar"/>
        </w:rPr>
        <w:t xml:space="preserve">费。其中，公务接待费反映单位按规定开支的各类公务接待支出；公务用 </w:t>
      </w:r>
    </w:p>
    <w:p>
      <w:pPr>
        <w:keepNext w:val="0"/>
        <w:keepLines w:val="0"/>
        <w:widowControl/>
        <w:suppressLineNumbers w:val="0"/>
        <w:jc w:val="left"/>
      </w:pPr>
      <w:r>
        <w:rPr>
          <w:rFonts w:hint="eastAsia" w:ascii="宋体" w:hAnsi="宋体" w:eastAsia="宋体" w:cs="宋体"/>
          <w:color w:val="000000"/>
          <w:kern w:val="0"/>
          <w:sz w:val="31"/>
          <w:szCs w:val="31"/>
          <w:lang w:val="en-US" w:eastAsia="zh-CN" w:bidi="ar"/>
        </w:rPr>
        <w:t xml:space="preserve">车购置及运行费反映单位公务用车车辆购置支出（含车辆购置税），以及 </w:t>
      </w:r>
    </w:p>
    <w:p>
      <w:pPr>
        <w:keepNext w:val="0"/>
        <w:keepLines w:val="0"/>
        <w:widowControl/>
        <w:suppressLineNumbers w:val="0"/>
        <w:jc w:val="left"/>
      </w:pPr>
      <w:r>
        <w:rPr>
          <w:rFonts w:hint="eastAsia" w:ascii="宋体" w:hAnsi="宋体" w:eastAsia="宋体" w:cs="宋体"/>
          <w:color w:val="000000"/>
          <w:kern w:val="0"/>
          <w:sz w:val="31"/>
          <w:szCs w:val="31"/>
          <w:lang w:val="en-US" w:eastAsia="zh-CN" w:bidi="ar"/>
        </w:rPr>
        <w:t xml:space="preserve">燃料费、维修费、保险费等支出；因公出国（境）费反映单位公务出国（境） </w:t>
      </w:r>
    </w:p>
    <w:p>
      <w:pPr>
        <w:keepNext w:val="0"/>
        <w:keepLines w:val="0"/>
        <w:widowControl/>
        <w:suppressLineNumbers w:val="0"/>
        <w:jc w:val="left"/>
      </w:pPr>
      <w:r>
        <w:rPr>
          <w:rFonts w:hint="eastAsia" w:ascii="宋体" w:hAnsi="宋体" w:eastAsia="宋体" w:cs="宋体"/>
          <w:color w:val="000000"/>
          <w:kern w:val="0"/>
          <w:sz w:val="31"/>
          <w:szCs w:val="31"/>
          <w:lang w:val="en-US" w:eastAsia="zh-CN" w:bidi="ar"/>
        </w:rPr>
        <w:t>的国际旅费、国外城市间交通费、食宿费等支出。</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2019年度部门整体支出绩效评价报告</w:t>
      </w:r>
    </w:p>
    <w:p>
      <w:pPr>
        <w:spacing w:line="600" w:lineRule="exact"/>
        <w:ind w:right="-14" w:rightChars="0"/>
        <w:jc w:val="center"/>
        <w:rPr>
          <w:rFonts w:hint="eastAsia" w:ascii="方正小标宋简体" w:hAnsi="仿宋" w:eastAsia="方正小标宋简体"/>
          <w:sz w:val="36"/>
          <w:szCs w:val="36"/>
        </w:rPr>
      </w:pPr>
      <w:r>
        <w:rPr>
          <w:rFonts w:hint="eastAsia" w:ascii="方正小标宋简体" w:hAnsi="仿宋" w:eastAsia="方正小标宋简体"/>
          <w:sz w:val="36"/>
          <w:szCs w:val="36"/>
          <w:lang w:eastAsia="zh-CN"/>
        </w:rPr>
        <w:t>湘乡市行政审批服务局</w:t>
      </w:r>
      <w:r>
        <w:rPr>
          <w:rFonts w:hint="eastAsia" w:ascii="方正小标宋简体" w:hAnsi="仿宋" w:eastAsia="方正小标宋简体"/>
          <w:sz w:val="36"/>
          <w:szCs w:val="36"/>
        </w:rPr>
        <w:t>部门整体支出绩效自评报告</w:t>
      </w:r>
    </w:p>
    <w:p>
      <w:pPr>
        <w:spacing w:line="600" w:lineRule="exact"/>
        <w:ind w:right="641"/>
        <w:jc w:val="center"/>
        <w:rPr>
          <w:rFonts w:hint="eastAsia" w:ascii="仿宋" w:hAnsi="仿宋" w:eastAsia="楷体_GB2312"/>
          <w:sz w:val="30"/>
          <w:szCs w:val="30"/>
        </w:rPr>
      </w:pPr>
    </w:p>
    <w:p>
      <w:pPr>
        <w:spacing w:line="600" w:lineRule="exact"/>
        <w:ind w:right="641" w:firstLine="600" w:firstLineChars="200"/>
        <w:rPr>
          <w:rFonts w:ascii="仿宋" w:hAnsi="仿宋" w:eastAsia="黑体"/>
          <w:sz w:val="30"/>
          <w:szCs w:val="30"/>
        </w:rPr>
      </w:pPr>
      <w:r>
        <w:rPr>
          <w:rFonts w:ascii="仿宋" w:hAnsi="仿宋" w:eastAsia="黑体"/>
          <w:sz w:val="30"/>
          <w:szCs w:val="30"/>
        </w:rPr>
        <w:t>一、部门概况</w:t>
      </w:r>
    </w:p>
    <w:p>
      <w:pPr>
        <w:spacing w:line="360" w:lineRule="auto"/>
        <w:ind w:firstLine="640" w:firstLineChars="200"/>
        <w:rPr>
          <w:rFonts w:hint="eastAsia" w:ascii="仿宋" w:hAnsi="仿宋" w:eastAsia="仿宋" w:cs="华文仿宋"/>
          <w:b/>
          <w:sz w:val="32"/>
          <w:szCs w:val="32"/>
        </w:rPr>
      </w:pPr>
      <w:r>
        <w:rPr>
          <w:rFonts w:hint="eastAsia" w:ascii="仿宋" w:hAnsi="仿宋" w:eastAsia="仿宋" w:cs="华文仿宋"/>
          <w:b/>
          <w:sz w:val="32"/>
          <w:szCs w:val="32"/>
        </w:rPr>
        <w:t>1、机构设置、人员情况</w:t>
      </w:r>
    </w:p>
    <w:p>
      <w:pPr>
        <w:spacing w:line="360" w:lineRule="auto"/>
        <w:ind w:firstLine="640" w:firstLineChars="200"/>
        <w:rPr>
          <w:rFonts w:hint="eastAsia" w:ascii="仿宋" w:hAnsi="仿宋" w:eastAsia="仿宋" w:cs="楷体_GB2312"/>
          <w:b/>
          <w:bCs/>
          <w:color w:val="010101"/>
          <w:sz w:val="32"/>
          <w:szCs w:val="32"/>
        </w:rPr>
      </w:pPr>
      <w:r>
        <w:rPr>
          <w:rFonts w:hint="eastAsia" w:ascii="仿宋" w:hAnsi="仿宋" w:eastAsia="仿宋" w:cs="华文仿宋"/>
          <w:sz w:val="32"/>
          <w:szCs w:val="32"/>
        </w:rPr>
        <w:t>根据《中共湘乡市委办公室湘乡市人民政府办公室关于印发〈</w:t>
      </w:r>
      <w:r>
        <w:rPr>
          <w:rFonts w:hint="eastAsia" w:ascii="仿宋" w:hAnsi="仿宋" w:eastAsia="仿宋" w:cs="华文仿宋"/>
          <w:sz w:val="32"/>
          <w:szCs w:val="32"/>
          <w:lang w:eastAsia="zh-CN"/>
        </w:rPr>
        <w:t>湘乡市行政审批服务局</w:t>
      </w:r>
      <w:r>
        <w:rPr>
          <w:rFonts w:hint="eastAsia" w:ascii="仿宋" w:hAnsi="仿宋" w:eastAsia="仿宋" w:cs="华文仿宋"/>
          <w:sz w:val="32"/>
          <w:szCs w:val="32"/>
        </w:rPr>
        <w:t>职能配置、内设机构和人员编制规定〉的通知》（湘党办[2019]4</w:t>
      </w:r>
      <w:r>
        <w:rPr>
          <w:rFonts w:hint="eastAsia" w:ascii="仿宋" w:hAnsi="仿宋" w:eastAsia="仿宋" w:cs="华文仿宋"/>
          <w:sz w:val="32"/>
          <w:szCs w:val="32"/>
          <w:lang w:val="en-US" w:eastAsia="zh-CN"/>
        </w:rPr>
        <w:t>2</w:t>
      </w:r>
      <w:r>
        <w:rPr>
          <w:rFonts w:hint="eastAsia" w:ascii="仿宋" w:hAnsi="仿宋" w:eastAsia="仿宋" w:cs="华文仿宋"/>
          <w:sz w:val="32"/>
          <w:szCs w:val="32"/>
        </w:rPr>
        <w:t>号），</w:t>
      </w:r>
      <w:r>
        <w:rPr>
          <w:rFonts w:hint="eastAsia" w:ascii="仿宋" w:hAnsi="仿宋" w:eastAsia="仿宋" w:cs="华文仿宋"/>
          <w:sz w:val="32"/>
          <w:szCs w:val="32"/>
          <w:lang w:eastAsia="zh-CN"/>
        </w:rPr>
        <w:t>我单位</w:t>
      </w:r>
      <w:r>
        <w:rPr>
          <w:rFonts w:hint="eastAsia" w:ascii="仿宋" w:hAnsi="仿宋" w:eastAsia="仿宋" w:cs="华文仿宋"/>
          <w:sz w:val="32"/>
          <w:szCs w:val="32"/>
        </w:rPr>
        <w:t>是市政府工作部门，为正科级，局机关设有</w:t>
      </w:r>
      <w:r>
        <w:rPr>
          <w:rFonts w:hint="eastAsia" w:ascii="仿宋" w:hAnsi="仿宋" w:eastAsia="仿宋" w:cs="华文仿宋"/>
          <w:sz w:val="32"/>
          <w:szCs w:val="32"/>
          <w:lang w:val="en-US" w:eastAsia="zh-CN"/>
        </w:rPr>
        <w:t>4</w:t>
      </w:r>
      <w:r>
        <w:rPr>
          <w:rFonts w:hint="eastAsia" w:ascii="仿宋" w:hAnsi="仿宋" w:eastAsia="仿宋" w:cs="华文仿宋"/>
          <w:sz w:val="32"/>
          <w:szCs w:val="32"/>
        </w:rPr>
        <w:t>个内设机构：办公室、</w:t>
      </w:r>
      <w:r>
        <w:rPr>
          <w:rFonts w:hint="eastAsia" w:ascii="仿宋" w:hAnsi="仿宋" w:eastAsia="仿宋" w:cs="华文仿宋"/>
          <w:sz w:val="32"/>
          <w:szCs w:val="32"/>
          <w:lang w:eastAsia="zh-CN"/>
        </w:rPr>
        <w:t>行政审批制度改革</w:t>
      </w:r>
      <w:r>
        <w:rPr>
          <w:rFonts w:hint="eastAsia" w:ascii="仿宋" w:hAnsi="仿宋" w:eastAsia="仿宋" w:cs="华文仿宋"/>
          <w:sz w:val="32"/>
          <w:szCs w:val="32"/>
        </w:rPr>
        <w:t>股、</w:t>
      </w:r>
      <w:r>
        <w:rPr>
          <w:rFonts w:hint="eastAsia" w:ascii="仿宋" w:hAnsi="仿宋" w:eastAsia="仿宋" w:cs="华文仿宋"/>
          <w:sz w:val="32"/>
          <w:szCs w:val="32"/>
          <w:lang w:eastAsia="zh-CN"/>
        </w:rPr>
        <w:t>政务服务管理</w:t>
      </w:r>
      <w:r>
        <w:rPr>
          <w:rFonts w:hint="eastAsia" w:ascii="仿宋" w:hAnsi="仿宋" w:eastAsia="仿宋" w:cs="华文仿宋"/>
          <w:sz w:val="32"/>
          <w:szCs w:val="32"/>
        </w:rPr>
        <w:t>股、</w:t>
      </w:r>
      <w:r>
        <w:rPr>
          <w:rFonts w:hint="eastAsia" w:ascii="仿宋" w:hAnsi="仿宋" w:eastAsia="仿宋" w:cs="华文仿宋"/>
          <w:sz w:val="32"/>
          <w:szCs w:val="32"/>
          <w:lang w:eastAsia="zh-CN"/>
        </w:rPr>
        <w:t>政务公开</w:t>
      </w:r>
      <w:r>
        <w:rPr>
          <w:rFonts w:hint="eastAsia" w:ascii="仿宋" w:hAnsi="仿宋" w:eastAsia="仿宋" w:cs="华文仿宋"/>
          <w:sz w:val="32"/>
          <w:szCs w:val="32"/>
        </w:rPr>
        <w:t>股、基金管理股，因所属事业单位编制未正式下文，本单位年末实际编制人数</w:t>
      </w:r>
      <w:r>
        <w:rPr>
          <w:rFonts w:hint="eastAsia" w:ascii="仿宋" w:hAnsi="仿宋" w:eastAsia="仿宋" w:cs="华文仿宋"/>
          <w:sz w:val="32"/>
          <w:szCs w:val="32"/>
          <w:lang w:val="en-US" w:eastAsia="zh-CN"/>
        </w:rPr>
        <w:t>29</w:t>
      </w:r>
      <w:r>
        <w:rPr>
          <w:rFonts w:hint="eastAsia" w:ascii="仿宋" w:hAnsi="仿宋" w:eastAsia="仿宋" w:cs="华文仿宋"/>
          <w:sz w:val="32"/>
          <w:szCs w:val="32"/>
        </w:rPr>
        <w:t>人，截止201</w:t>
      </w:r>
      <w:r>
        <w:rPr>
          <w:rFonts w:hint="eastAsia" w:ascii="仿宋" w:hAnsi="仿宋" w:eastAsia="仿宋" w:cs="华文仿宋"/>
          <w:sz w:val="32"/>
          <w:szCs w:val="32"/>
          <w:lang w:val="en-US" w:eastAsia="zh-CN"/>
        </w:rPr>
        <w:t>9</w:t>
      </w:r>
      <w:r>
        <w:rPr>
          <w:rFonts w:hint="eastAsia" w:ascii="仿宋" w:hAnsi="仿宋" w:eastAsia="仿宋" w:cs="华文仿宋"/>
          <w:sz w:val="32"/>
          <w:szCs w:val="32"/>
        </w:rPr>
        <w:t>年12月31日，实际在职人员数为</w:t>
      </w:r>
      <w:r>
        <w:rPr>
          <w:rFonts w:hint="eastAsia" w:ascii="仿宋" w:hAnsi="仿宋" w:eastAsia="仿宋" w:cs="华文仿宋"/>
          <w:sz w:val="32"/>
          <w:szCs w:val="32"/>
          <w:lang w:val="en-US" w:eastAsia="zh-CN"/>
        </w:rPr>
        <w:t xml:space="preserve"> 22</w:t>
      </w:r>
      <w:r>
        <w:rPr>
          <w:rFonts w:hint="eastAsia" w:ascii="仿宋" w:hAnsi="仿宋" w:eastAsia="仿宋" w:cs="华文仿宋"/>
          <w:sz w:val="32"/>
          <w:szCs w:val="32"/>
        </w:rPr>
        <w:t>人。</w:t>
      </w:r>
    </w:p>
    <w:p>
      <w:pPr>
        <w:spacing w:line="360" w:lineRule="auto"/>
        <w:ind w:firstLine="640" w:firstLineChars="200"/>
        <w:rPr>
          <w:rFonts w:hint="eastAsia" w:ascii="仿宋" w:hAnsi="仿宋" w:eastAsia="仿宋" w:cs="华文仿宋"/>
          <w:b/>
          <w:sz w:val="32"/>
          <w:szCs w:val="32"/>
        </w:rPr>
      </w:pPr>
      <w:r>
        <w:rPr>
          <w:rFonts w:hint="eastAsia" w:ascii="仿宋" w:hAnsi="仿宋" w:eastAsia="仿宋" w:cs="华文仿宋"/>
          <w:b/>
          <w:sz w:val="32"/>
          <w:szCs w:val="32"/>
        </w:rPr>
        <w:t xml:space="preserve">2、主要职能                        </w:t>
      </w:r>
    </w:p>
    <w:p>
      <w:pPr>
        <w:ind w:firstLine="320" w:firstLineChars="100"/>
        <w:rPr>
          <w:rFonts w:hint="eastAsia" w:ascii="仿宋" w:hAnsi="仿宋" w:eastAsia="仿宋" w:cs="华文仿宋"/>
          <w:sz w:val="32"/>
          <w:szCs w:val="32"/>
        </w:rPr>
      </w:pPr>
      <w:r>
        <w:rPr>
          <w:rFonts w:hint="eastAsia" w:ascii="仿宋" w:hAnsi="仿宋" w:eastAsia="仿宋" w:cs="华文仿宋"/>
          <w:sz w:val="32"/>
          <w:szCs w:val="32"/>
        </w:rPr>
        <w:t>1)</w:t>
      </w:r>
      <w:r>
        <w:rPr>
          <w:rFonts w:hint="eastAsia" w:ascii="仿宋" w:hAnsi="仿宋" w:eastAsia="仿宋" w:cs="华文仿宋"/>
          <w:sz w:val="32"/>
          <w:szCs w:val="32"/>
          <w:lang w:eastAsia="zh-CN"/>
        </w:rPr>
        <w:t>拟订全市行政审批制度改革、政务公开、政务服务、电子政务、政务服务热线管理有关制度、管理办法、发展规划和年度计划，并组织实施。</w:t>
      </w:r>
      <w:r>
        <w:rPr>
          <w:rFonts w:hint="eastAsia" w:ascii="仿宋" w:hAnsi="仿宋" w:eastAsia="仿宋" w:cs="华文仿宋"/>
          <w:sz w:val="32"/>
          <w:szCs w:val="32"/>
        </w:rPr>
        <w:br w:type="textWrapping"/>
      </w:r>
      <w:r>
        <w:rPr>
          <w:rFonts w:hint="eastAsia" w:ascii="仿宋" w:hAnsi="仿宋" w:eastAsia="仿宋" w:cs="华文仿宋"/>
          <w:sz w:val="32"/>
          <w:szCs w:val="32"/>
        </w:rPr>
        <w:t xml:space="preserve">  2)</w:t>
      </w:r>
      <w:r>
        <w:rPr>
          <w:rFonts w:hint="eastAsia" w:ascii="仿宋" w:hAnsi="仿宋" w:eastAsia="仿宋" w:cs="华文仿宋"/>
          <w:sz w:val="32"/>
          <w:szCs w:val="32"/>
          <w:lang w:eastAsia="zh-CN"/>
        </w:rPr>
        <w:t>负责推进、指导、协调、监督全市政务公开（政府信息公开、办事公开）工作和政务服务体系建设</w:t>
      </w:r>
      <w:r>
        <w:rPr>
          <w:rFonts w:hint="eastAsia" w:ascii="仿宋" w:hAnsi="仿宋" w:eastAsia="仿宋" w:cs="华文仿宋"/>
          <w:sz w:val="32"/>
          <w:szCs w:val="32"/>
        </w:rPr>
        <w:t>。</w:t>
      </w:r>
      <w:r>
        <w:rPr>
          <w:rFonts w:hint="eastAsia" w:ascii="华文仿宋" w:hAnsi="华文仿宋" w:eastAsia="仿宋" w:cs="华文仿宋"/>
          <w:sz w:val="32"/>
          <w:szCs w:val="32"/>
        </w:rPr>
        <w:t> </w:t>
      </w:r>
      <w:r>
        <w:rPr>
          <w:rFonts w:hint="eastAsia" w:ascii="仿宋" w:hAnsi="仿宋" w:eastAsia="仿宋" w:cs="华文仿宋"/>
          <w:sz w:val="32"/>
          <w:szCs w:val="32"/>
        </w:rPr>
        <w:br w:type="textWrapping"/>
      </w:r>
      <w:r>
        <w:rPr>
          <w:rFonts w:hint="eastAsia" w:ascii="仿宋" w:hAnsi="仿宋" w:eastAsia="仿宋" w:cs="华文仿宋"/>
          <w:sz w:val="32"/>
          <w:szCs w:val="32"/>
        </w:rPr>
        <w:t xml:space="preserve">  3)</w:t>
      </w:r>
      <w:r>
        <w:rPr>
          <w:rFonts w:hint="eastAsia" w:ascii="仿宋" w:hAnsi="仿宋" w:eastAsia="仿宋" w:cs="华文仿宋"/>
          <w:sz w:val="32"/>
          <w:szCs w:val="32"/>
          <w:lang w:eastAsia="zh-CN"/>
        </w:rPr>
        <w:t>负责指导、协调、推进全市行政审批制度改革工作；规范全市行政审批行为、政务服务行为；负责统筹推进全市审批服务便民化改革</w:t>
      </w:r>
      <w:r>
        <w:rPr>
          <w:rFonts w:hint="eastAsia" w:ascii="仿宋" w:hAnsi="仿宋" w:eastAsia="仿宋" w:cs="华文仿宋"/>
          <w:sz w:val="32"/>
          <w:szCs w:val="32"/>
        </w:rPr>
        <w:t>。</w:t>
      </w:r>
    </w:p>
    <w:p>
      <w:pPr>
        <w:ind w:firstLine="320" w:firstLineChars="100"/>
        <w:rPr>
          <w:rFonts w:hint="eastAsia" w:ascii="仿宋" w:hAnsi="仿宋" w:eastAsia="仿宋" w:cs="华文仿宋"/>
          <w:sz w:val="32"/>
          <w:szCs w:val="32"/>
        </w:rPr>
      </w:pPr>
      <w:r>
        <w:rPr>
          <w:rFonts w:hint="eastAsia" w:ascii="仿宋" w:hAnsi="仿宋" w:eastAsia="仿宋" w:cs="华文仿宋"/>
          <w:sz w:val="32"/>
          <w:szCs w:val="32"/>
        </w:rPr>
        <w:t>4)</w:t>
      </w:r>
      <w:r>
        <w:rPr>
          <w:rFonts w:hint="eastAsia" w:ascii="仿宋" w:hAnsi="仿宋" w:eastAsia="仿宋" w:cs="华文仿宋"/>
          <w:sz w:val="32"/>
          <w:szCs w:val="32"/>
          <w:lang w:eastAsia="zh-CN"/>
        </w:rPr>
        <w:t>负责全市政府系统电子政务管理工作；统筹推进、监督、协调全市“互联网</w:t>
      </w:r>
      <w:r>
        <w:rPr>
          <w:rFonts w:hint="eastAsia" w:ascii="仿宋" w:hAnsi="仿宋" w:eastAsia="仿宋" w:cs="华文仿宋"/>
          <w:sz w:val="32"/>
          <w:szCs w:val="32"/>
          <w:lang w:val="en-US" w:eastAsia="zh-CN"/>
        </w:rPr>
        <w:t>+政务服务</w:t>
      </w:r>
      <w:r>
        <w:rPr>
          <w:rFonts w:hint="eastAsia" w:ascii="仿宋" w:hAnsi="仿宋" w:eastAsia="仿宋" w:cs="华文仿宋"/>
          <w:sz w:val="32"/>
          <w:szCs w:val="32"/>
          <w:lang w:eastAsia="zh-CN"/>
        </w:rPr>
        <w:t>”工作</w:t>
      </w:r>
      <w:r>
        <w:rPr>
          <w:rFonts w:hint="eastAsia" w:ascii="仿宋" w:hAnsi="仿宋" w:eastAsia="仿宋" w:cs="华文仿宋"/>
          <w:sz w:val="32"/>
          <w:szCs w:val="32"/>
        </w:rPr>
        <w:t>。</w:t>
      </w:r>
    </w:p>
    <w:p>
      <w:pPr>
        <w:ind w:firstLine="320" w:firstLineChars="100"/>
        <w:rPr>
          <w:rFonts w:hint="eastAsia" w:ascii="仿宋" w:hAnsi="仿宋" w:eastAsia="仿宋" w:cs="华文仿宋"/>
          <w:sz w:val="32"/>
          <w:szCs w:val="32"/>
        </w:rPr>
      </w:pPr>
      <w:r>
        <w:rPr>
          <w:rFonts w:hint="eastAsia" w:ascii="仿宋" w:hAnsi="仿宋" w:eastAsia="仿宋" w:cs="华文仿宋"/>
          <w:sz w:val="32"/>
          <w:szCs w:val="32"/>
        </w:rPr>
        <w:t>5)</w:t>
      </w:r>
      <w:r>
        <w:rPr>
          <w:rFonts w:hint="eastAsia" w:ascii="仿宋" w:hAnsi="仿宋" w:eastAsia="仿宋" w:cs="华文仿宋"/>
          <w:sz w:val="32"/>
          <w:szCs w:val="32"/>
          <w:lang w:eastAsia="zh-CN"/>
        </w:rPr>
        <w:t>负责全市政府网站建设管理工作</w:t>
      </w:r>
      <w:r>
        <w:rPr>
          <w:rFonts w:hint="eastAsia" w:ascii="仿宋" w:hAnsi="仿宋" w:eastAsia="仿宋" w:cs="华文仿宋"/>
          <w:sz w:val="32"/>
          <w:szCs w:val="32"/>
        </w:rPr>
        <w:t>。</w:t>
      </w:r>
    </w:p>
    <w:p>
      <w:pPr>
        <w:ind w:firstLine="320" w:firstLineChars="100"/>
        <w:rPr>
          <w:rFonts w:hint="eastAsia" w:ascii="仿宋" w:hAnsi="仿宋" w:eastAsia="仿宋" w:cs="华文仿宋"/>
          <w:sz w:val="32"/>
          <w:szCs w:val="32"/>
        </w:rPr>
      </w:pPr>
      <w:r>
        <w:rPr>
          <w:rFonts w:hint="eastAsia" w:ascii="仿宋" w:hAnsi="仿宋" w:eastAsia="仿宋" w:cs="华文仿宋"/>
          <w:sz w:val="32"/>
          <w:szCs w:val="32"/>
        </w:rPr>
        <w:t>6)</w:t>
      </w:r>
      <w:r>
        <w:rPr>
          <w:rFonts w:hint="eastAsia" w:ascii="仿宋" w:hAnsi="仿宋" w:eastAsia="仿宋" w:cs="华文仿宋"/>
          <w:sz w:val="32"/>
          <w:szCs w:val="32"/>
          <w:lang w:eastAsia="zh-CN"/>
        </w:rPr>
        <w:t>牵头负责全市“放管服”改革工作；维护营商政务、法治等环境；协调、推进全市行政效能工作</w:t>
      </w:r>
      <w:r>
        <w:rPr>
          <w:rFonts w:hint="eastAsia" w:ascii="仿宋" w:hAnsi="仿宋" w:eastAsia="仿宋" w:cs="华文仿宋"/>
          <w:sz w:val="32"/>
          <w:szCs w:val="32"/>
        </w:rPr>
        <w:t>。</w:t>
      </w:r>
    </w:p>
    <w:p>
      <w:pPr>
        <w:ind w:firstLine="320" w:firstLineChars="100"/>
        <w:rPr>
          <w:rFonts w:hint="eastAsia" w:ascii="仿宋" w:hAnsi="仿宋" w:eastAsia="仿宋" w:cs="华文仿宋"/>
          <w:sz w:val="32"/>
          <w:szCs w:val="32"/>
        </w:rPr>
      </w:pPr>
      <w:r>
        <w:rPr>
          <w:rFonts w:hint="eastAsia" w:ascii="仿宋" w:hAnsi="仿宋" w:eastAsia="仿宋" w:cs="华文仿宋"/>
          <w:sz w:val="32"/>
          <w:szCs w:val="32"/>
        </w:rPr>
        <w:t>7)</w:t>
      </w:r>
      <w:r>
        <w:rPr>
          <w:rFonts w:hint="eastAsia" w:ascii="仿宋" w:hAnsi="仿宋" w:eastAsia="仿宋" w:cs="华文仿宋"/>
          <w:sz w:val="32"/>
          <w:szCs w:val="32"/>
          <w:lang w:eastAsia="zh-CN"/>
        </w:rPr>
        <w:t>负责政务服务热线电话和“市长信箱”工作</w:t>
      </w:r>
      <w:r>
        <w:rPr>
          <w:rFonts w:hint="eastAsia" w:ascii="仿宋" w:hAnsi="仿宋" w:eastAsia="仿宋" w:cs="华文仿宋"/>
          <w:sz w:val="32"/>
          <w:szCs w:val="32"/>
        </w:rPr>
        <w:t>。</w:t>
      </w:r>
    </w:p>
    <w:p>
      <w:pPr>
        <w:ind w:firstLine="320" w:firstLineChars="100"/>
        <w:rPr>
          <w:rFonts w:hint="eastAsia" w:ascii="仿宋" w:hAnsi="仿宋" w:eastAsia="仿宋" w:cs="华文仿宋"/>
          <w:sz w:val="32"/>
          <w:szCs w:val="32"/>
        </w:rPr>
      </w:pPr>
      <w:r>
        <w:rPr>
          <w:rFonts w:hint="eastAsia" w:ascii="仿宋" w:hAnsi="仿宋" w:eastAsia="仿宋" w:cs="华文仿宋"/>
          <w:sz w:val="32"/>
          <w:szCs w:val="32"/>
        </w:rPr>
        <w:t>8)</w:t>
      </w:r>
      <w:r>
        <w:rPr>
          <w:rFonts w:hint="eastAsia" w:ascii="仿宋" w:hAnsi="仿宋" w:eastAsia="仿宋" w:cs="华文仿宋"/>
          <w:sz w:val="32"/>
          <w:szCs w:val="32"/>
          <w:lang w:eastAsia="zh-CN"/>
        </w:rPr>
        <w:t>完成市委、市政府交办的其他任务</w:t>
      </w:r>
      <w:r>
        <w:rPr>
          <w:rFonts w:hint="eastAsia" w:ascii="仿宋" w:hAnsi="仿宋" w:eastAsia="仿宋" w:cs="华文仿宋"/>
          <w:sz w:val="32"/>
          <w:szCs w:val="32"/>
        </w:rPr>
        <w:t>。</w:t>
      </w:r>
    </w:p>
    <w:p>
      <w:pPr>
        <w:ind w:firstLine="320" w:firstLineChars="100"/>
        <w:rPr>
          <w:rFonts w:hint="eastAsia" w:ascii="仿宋" w:hAnsi="仿宋" w:eastAsia="仿宋" w:cs="华文仿宋"/>
          <w:b/>
          <w:sz w:val="32"/>
          <w:szCs w:val="32"/>
          <w:highlight w:val="yellow"/>
          <w:lang w:eastAsia="zh-CN"/>
        </w:rPr>
      </w:pPr>
      <w:r>
        <w:rPr>
          <w:rFonts w:hint="eastAsia" w:ascii="仿宋" w:hAnsi="仿宋" w:eastAsia="仿宋" w:cs="华文仿宋"/>
          <w:b/>
          <w:sz w:val="32"/>
          <w:szCs w:val="32"/>
          <w:highlight w:val="none"/>
        </w:rPr>
        <w:t>3、201</w:t>
      </w:r>
      <w:r>
        <w:rPr>
          <w:rFonts w:hint="eastAsia" w:ascii="仿宋" w:hAnsi="仿宋" w:eastAsia="仿宋" w:cs="华文仿宋"/>
          <w:b/>
          <w:sz w:val="32"/>
          <w:szCs w:val="32"/>
          <w:highlight w:val="none"/>
          <w:lang w:val="en-US" w:eastAsia="zh-CN"/>
        </w:rPr>
        <w:t>9</w:t>
      </w:r>
      <w:r>
        <w:rPr>
          <w:rFonts w:hint="eastAsia" w:ascii="仿宋" w:hAnsi="仿宋" w:eastAsia="仿宋" w:cs="华文仿宋"/>
          <w:b/>
          <w:sz w:val="32"/>
          <w:szCs w:val="32"/>
        </w:rPr>
        <w:t>年度工作计划安排</w:t>
      </w:r>
    </w:p>
    <w:p>
      <w:pPr>
        <w:snapToGrid w:val="0"/>
        <w:spacing w:line="60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w:t>
      </w:r>
      <w:r>
        <w:rPr>
          <w:rFonts w:hint="eastAsia" w:ascii="仿宋" w:hAnsi="仿宋" w:eastAsia="仿宋"/>
          <w:sz w:val="30"/>
          <w:szCs w:val="30"/>
          <w:lang w:val="en-US" w:eastAsia="zh-CN"/>
        </w:rPr>
        <w:t>1</w:t>
      </w:r>
      <w:r>
        <w:rPr>
          <w:rFonts w:hint="eastAsia" w:ascii="仿宋" w:hAnsi="仿宋" w:eastAsia="仿宋"/>
          <w:sz w:val="30"/>
          <w:szCs w:val="30"/>
          <w:lang w:eastAsia="zh-CN"/>
        </w:rPr>
        <w:t>）严格落实“三集中三到位”工作。按照《湘乡市推行行政审批“三集中、三到位”改革工作实施方案》（湘乡政办函〔2018〕20号）文件要求，明确应进驻政务中心的部门单位和事项，按照应进尽进的原则，确保全市所有行政审批项目和社保、医疗、公共安全、就业、养老、食品药品安全、教育、社区服务、水、电、气等与群众生活息息相关的其他公共服务事项进驻政务大厅，督促各部门单位真正做到“三集中三到位”。</w:t>
      </w:r>
    </w:p>
    <w:p>
      <w:pPr>
        <w:snapToGrid w:val="0"/>
        <w:spacing w:line="60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w:t>
      </w:r>
      <w:r>
        <w:rPr>
          <w:rFonts w:hint="eastAsia" w:ascii="仿宋" w:hAnsi="仿宋" w:eastAsia="仿宋"/>
          <w:sz w:val="30"/>
          <w:szCs w:val="30"/>
          <w:lang w:val="en-US" w:eastAsia="zh-CN"/>
        </w:rPr>
        <w:t>2</w:t>
      </w:r>
      <w:r>
        <w:rPr>
          <w:rFonts w:hint="eastAsia" w:ascii="仿宋" w:hAnsi="仿宋" w:eastAsia="仿宋"/>
          <w:sz w:val="30"/>
          <w:szCs w:val="30"/>
          <w:lang w:eastAsia="zh-CN"/>
        </w:rPr>
        <w:t>）全面推进“互联网+政务服务”项目建设。建立“一网一线一库两厅两平台”和“省、市、县、乡、村”五级全覆盖的政务服务体系，实现政务服务标准化、智能化、便利化，让全市所有的企业和群众在这一套系统上能够办理所有的事情，做到“只进一扇门，能办所有事，最多跑一次”，实现“信息多跑路，群众少跑腿”。</w:t>
      </w:r>
    </w:p>
    <w:p>
      <w:pPr>
        <w:snapToGrid w:val="0"/>
        <w:spacing w:line="60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w:t>
      </w:r>
      <w:r>
        <w:rPr>
          <w:rFonts w:hint="eastAsia" w:ascii="仿宋" w:hAnsi="仿宋" w:eastAsia="仿宋"/>
          <w:sz w:val="30"/>
          <w:szCs w:val="30"/>
          <w:lang w:val="en-US" w:eastAsia="zh-CN"/>
        </w:rPr>
        <w:t>3</w:t>
      </w:r>
      <w:r>
        <w:rPr>
          <w:rFonts w:hint="eastAsia" w:ascii="仿宋" w:hAnsi="仿宋" w:eastAsia="仿宋"/>
          <w:sz w:val="30"/>
          <w:szCs w:val="30"/>
          <w:lang w:eastAsia="zh-CN"/>
        </w:rPr>
        <w:t>）强力推进简政放权工作和并联审批改革。按照深化“放管服”改革和进一步转变政府职能的总体要求,全面梳理建设项目涉及的审批事项和部门,按照不同阶段,再造审批流程,通过实行一窗受理、并联审批、限时办结,着力解决建设项目审批过程中办事环节多、时限冗长、互为前置等问题,提高审批效率,营造便利化营商环境,助力湘乡振兴发展。</w:t>
      </w:r>
    </w:p>
    <w:p>
      <w:pPr>
        <w:snapToGrid w:val="0"/>
        <w:spacing w:line="60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w:t>
      </w:r>
      <w:r>
        <w:rPr>
          <w:rFonts w:hint="eastAsia" w:ascii="仿宋" w:hAnsi="仿宋" w:eastAsia="仿宋"/>
          <w:sz w:val="30"/>
          <w:szCs w:val="30"/>
          <w:lang w:val="en-US" w:eastAsia="zh-CN"/>
        </w:rPr>
        <w:t>4</w:t>
      </w:r>
      <w:r>
        <w:rPr>
          <w:rFonts w:hint="eastAsia" w:ascii="仿宋" w:hAnsi="仿宋" w:eastAsia="仿宋"/>
          <w:sz w:val="30"/>
          <w:szCs w:val="30"/>
          <w:lang w:eastAsia="zh-CN"/>
        </w:rPr>
        <w:t>）快速推进“马上就办、最多跑一次”工作。以推进网上办事大厅、大厅标准化建设等为基础，以“互联网+政务服务”建设为支撑，全面推行审批服务“马上办、网上办、就近办、一次办”。建立实体大厅和网上大厅相融合的办事系统，提高限时办结率、网上办事率。</w:t>
      </w:r>
    </w:p>
    <w:p>
      <w:pPr>
        <w:snapToGrid w:val="0"/>
        <w:spacing w:line="600" w:lineRule="exact"/>
        <w:ind w:firstLine="600" w:firstLineChars="200"/>
        <w:rPr>
          <w:rFonts w:hint="default" w:ascii="仿宋" w:hAnsi="仿宋" w:eastAsia="仿宋"/>
          <w:sz w:val="30"/>
          <w:szCs w:val="30"/>
          <w:lang w:val="en-US" w:eastAsia="zh-CN"/>
        </w:rPr>
      </w:pPr>
    </w:p>
    <w:p>
      <w:pPr>
        <w:snapToGrid w:val="0"/>
        <w:spacing w:line="600" w:lineRule="exact"/>
        <w:ind w:firstLine="600" w:firstLineChars="200"/>
        <w:rPr>
          <w:rFonts w:ascii="仿宋" w:hAnsi="仿宋" w:eastAsia="黑体"/>
          <w:sz w:val="30"/>
          <w:szCs w:val="30"/>
        </w:rPr>
      </w:pPr>
      <w:r>
        <w:rPr>
          <w:rFonts w:ascii="仿宋" w:hAnsi="仿宋" w:eastAsia="黑体"/>
          <w:sz w:val="30"/>
          <w:szCs w:val="30"/>
        </w:rPr>
        <w:t>二、部门整体支出管理及使用情况</w:t>
      </w:r>
    </w:p>
    <w:p>
      <w:pPr>
        <w:snapToGrid w:val="0"/>
        <w:spacing w:line="600" w:lineRule="exact"/>
        <w:ind w:firstLine="600" w:firstLineChars="200"/>
        <w:rPr>
          <w:rFonts w:ascii="仿宋" w:hAnsi="仿宋" w:eastAsia="楷体_GB2312"/>
          <w:b/>
          <w:sz w:val="30"/>
          <w:szCs w:val="30"/>
        </w:rPr>
      </w:pPr>
      <w:r>
        <w:rPr>
          <w:rFonts w:ascii="仿宋" w:hAnsi="仿宋" w:eastAsia="楷体_GB2312"/>
          <w:b/>
          <w:sz w:val="30"/>
          <w:szCs w:val="30"/>
        </w:rPr>
        <w:t>（一）预算情况</w:t>
      </w:r>
    </w:p>
    <w:p>
      <w:pPr>
        <w:spacing w:line="360" w:lineRule="auto"/>
        <w:ind w:firstLine="640" w:firstLineChars="200"/>
        <w:rPr>
          <w:rFonts w:hint="eastAsia" w:ascii="仿宋" w:hAnsi="仿宋" w:eastAsia="仿宋" w:cs="华文仿宋"/>
          <w:sz w:val="32"/>
          <w:szCs w:val="32"/>
        </w:rPr>
      </w:pPr>
      <w:r>
        <w:rPr>
          <w:rFonts w:hint="eastAsia" w:ascii="仿宋" w:hAnsi="仿宋" w:eastAsia="仿宋" w:cs="华文仿宋"/>
          <w:sz w:val="32"/>
          <w:szCs w:val="32"/>
        </w:rPr>
        <w:t>1、年初预算情况</w:t>
      </w:r>
    </w:p>
    <w:p>
      <w:pPr>
        <w:snapToGrid w:val="0"/>
        <w:spacing w:line="60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2019年本部门年初预算收入611.20万元（基本支出</w:t>
      </w:r>
      <w:r>
        <w:rPr>
          <w:rFonts w:hint="eastAsia" w:ascii="仿宋" w:hAnsi="仿宋" w:eastAsia="仿宋"/>
          <w:sz w:val="30"/>
          <w:szCs w:val="30"/>
          <w:lang w:val="en-US" w:eastAsia="zh-CN"/>
        </w:rPr>
        <w:t>201.20万元，项目支出410万元</w:t>
      </w:r>
      <w:r>
        <w:rPr>
          <w:rFonts w:hint="eastAsia" w:ascii="仿宋" w:hAnsi="仿宋" w:eastAsia="仿宋"/>
          <w:sz w:val="30"/>
          <w:szCs w:val="30"/>
          <w:lang w:eastAsia="zh-CN"/>
        </w:rPr>
        <w:t>），比上年增加193.42万元，增长46.3</w:t>
      </w:r>
      <w:r>
        <w:rPr>
          <w:rFonts w:hint="eastAsia" w:ascii="仿宋" w:hAnsi="仿宋" w:eastAsia="仿宋"/>
          <w:sz w:val="30"/>
          <w:szCs w:val="30"/>
          <w:lang w:val="zh-CN" w:eastAsia="zh-CN"/>
        </w:rPr>
        <w:t>%。</w:t>
      </w:r>
      <w:r>
        <w:rPr>
          <w:rFonts w:hint="eastAsia" w:ascii="仿宋" w:hAnsi="仿宋" w:eastAsia="仿宋"/>
          <w:sz w:val="30"/>
          <w:szCs w:val="30"/>
          <w:lang w:eastAsia="zh-CN"/>
        </w:rPr>
        <w:t>其中：一般公共预算财政拨款收入年初预算611.20万元，比上年增加193.42万元，</w:t>
      </w:r>
      <w:r>
        <w:rPr>
          <w:rFonts w:hint="eastAsia" w:ascii="仿宋" w:hAnsi="仿宋" w:eastAsia="仿宋"/>
          <w:sz w:val="30"/>
          <w:szCs w:val="30"/>
          <w:lang w:val="zh-CN" w:eastAsia="zh-CN"/>
        </w:rPr>
        <w:t>增减变化的主要原因是：经费增加。</w:t>
      </w:r>
      <w:r>
        <w:rPr>
          <w:rFonts w:hint="eastAsia" w:ascii="仿宋" w:hAnsi="仿宋" w:eastAsia="仿宋"/>
          <w:sz w:val="30"/>
          <w:szCs w:val="30"/>
          <w:lang w:eastAsia="zh-CN"/>
        </w:rPr>
        <w:t>因单位机构改革，职责职能发生变化，根据上级要求启动了“互联网+政务服务”项目建设，扩建了办事大厅、增加了窗口单位和工作人员等。</w:t>
      </w:r>
    </w:p>
    <w:p>
      <w:pPr>
        <w:snapToGrid w:val="0"/>
        <w:spacing w:line="60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2019年本部门年初预算支出611.20万元（基本支出</w:t>
      </w:r>
      <w:r>
        <w:rPr>
          <w:rFonts w:hint="eastAsia" w:ascii="仿宋" w:hAnsi="仿宋" w:eastAsia="仿宋"/>
          <w:sz w:val="30"/>
          <w:szCs w:val="30"/>
          <w:lang w:val="en-US" w:eastAsia="zh-CN"/>
        </w:rPr>
        <w:t>201.20万元，项目支出410万元</w:t>
      </w:r>
      <w:r>
        <w:rPr>
          <w:rFonts w:hint="eastAsia" w:ascii="仿宋" w:hAnsi="仿宋" w:eastAsia="仿宋"/>
          <w:sz w:val="30"/>
          <w:szCs w:val="30"/>
          <w:lang w:eastAsia="zh-CN"/>
        </w:rPr>
        <w:t>），比上年增加193.24万元，增加46.3</w:t>
      </w:r>
      <w:r>
        <w:rPr>
          <w:rFonts w:hint="eastAsia" w:ascii="仿宋" w:hAnsi="仿宋" w:eastAsia="仿宋"/>
          <w:sz w:val="30"/>
          <w:szCs w:val="30"/>
          <w:lang w:val="zh-CN" w:eastAsia="zh-CN"/>
        </w:rPr>
        <w:t>%。</w:t>
      </w:r>
      <w:r>
        <w:rPr>
          <w:rFonts w:hint="eastAsia" w:ascii="仿宋" w:hAnsi="仿宋" w:eastAsia="仿宋"/>
          <w:sz w:val="30"/>
          <w:szCs w:val="30"/>
          <w:lang w:eastAsia="zh-CN"/>
        </w:rPr>
        <w:t>其中：基本</w:t>
      </w:r>
      <w:r>
        <w:rPr>
          <w:rFonts w:hint="eastAsia" w:ascii="仿宋" w:hAnsi="仿宋" w:eastAsia="仿宋"/>
          <w:sz w:val="30"/>
          <w:szCs w:val="30"/>
          <w:lang w:val="zh-CN" w:eastAsia="zh-CN"/>
        </w:rPr>
        <w:t>支出</w:t>
      </w:r>
      <w:r>
        <w:rPr>
          <w:rFonts w:hint="eastAsia" w:ascii="仿宋" w:hAnsi="仿宋" w:eastAsia="仿宋"/>
          <w:sz w:val="30"/>
          <w:szCs w:val="30"/>
          <w:lang w:eastAsia="zh-CN"/>
        </w:rPr>
        <w:t>年初预算611.20万元，比上年增减193.24万元，增加46.3</w:t>
      </w:r>
      <w:r>
        <w:rPr>
          <w:rFonts w:hint="eastAsia" w:ascii="仿宋" w:hAnsi="仿宋" w:eastAsia="仿宋"/>
          <w:sz w:val="30"/>
          <w:szCs w:val="30"/>
          <w:lang w:val="zh-CN" w:eastAsia="zh-CN"/>
        </w:rPr>
        <w:t>%</w:t>
      </w:r>
      <w:r>
        <w:rPr>
          <w:rFonts w:hint="eastAsia" w:ascii="仿宋" w:hAnsi="仿宋" w:eastAsia="仿宋"/>
          <w:sz w:val="30"/>
          <w:szCs w:val="30"/>
          <w:lang w:eastAsia="zh-CN"/>
        </w:rPr>
        <w:t>。</w:t>
      </w:r>
      <w:r>
        <w:rPr>
          <w:rFonts w:hint="eastAsia" w:ascii="仿宋" w:hAnsi="仿宋" w:eastAsia="仿宋"/>
          <w:sz w:val="30"/>
          <w:szCs w:val="30"/>
          <w:lang w:val="zh-CN" w:eastAsia="zh-CN"/>
        </w:rPr>
        <w:t>增减变化的主要原因是：经费支出增加。</w:t>
      </w:r>
      <w:r>
        <w:rPr>
          <w:rFonts w:hint="eastAsia" w:ascii="仿宋" w:hAnsi="仿宋" w:eastAsia="仿宋"/>
          <w:sz w:val="30"/>
          <w:szCs w:val="30"/>
          <w:lang w:eastAsia="zh-CN"/>
        </w:rPr>
        <w:t>因单位机构改革，职责职能发生变化，根据上级要求启动了“互联网+政务服务”项目建设，扩建了办事大厅、增加了窗口单位和工作人员等。</w:t>
      </w:r>
    </w:p>
    <w:p>
      <w:pPr>
        <w:snapToGrid w:val="0"/>
        <w:spacing w:line="60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2、年中追加和调减预算情况</w:t>
      </w:r>
    </w:p>
    <w:p>
      <w:pPr>
        <w:snapToGrid w:val="0"/>
        <w:spacing w:line="600" w:lineRule="exact"/>
        <w:ind w:firstLine="600" w:firstLineChars="200"/>
        <w:rPr>
          <w:rFonts w:hint="default" w:ascii="仿宋" w:hAnsi="仿宋" w:eastAsia="仿宋"/>
          <w:sz w:val="30"/>
          <w:szCs w:val="30"/>
          <w:lang w:val="en-US" w:eastAsia="zh-CN"/>
        </w:rPr>
      </w:pPr>
      <w:r>
        <w:rPr>
          <w:rFonts w:hint="eastAsia" w:ascii="仿宋" w:hAnsi="仿宋" w:eastAsia="仿宋"/>
          <w:sz w:val="30"/>
          <w:szCs w:val="30"/>
          <w:lang w:eastAsia="zh-CN"/>
        </w:rPr>
        <w:t>年中追加预算</w:t>
      </w:r>
      <w:r>
        <w:rPr>
          <w:rFonts w:hint="eastAsia" w:ascii="仿宋" w:hAnsi="仿宋" w:eastAsia="仿宋"/>
          <w:sz w:val="30"/>
          <w:szCs w:val="30"/>
          <w:lang w:val="en-US" w:eastAsia="zh-CN"/>
        </w:rPr>
        <w:t>1002.17</w:t>
      </w:r>
      <w:r>
        <w:rPr>
          <w:rFonts w:hint="eastAsia" w:ascii="仿宋" w:hAnsi="仿宋" w:eastAsia="仿宋"/>
          <w:sz w:val="30"/>
          <w:szCs w:val="30"/>
          <w:lang w:eastAsia="zh-CN"/>
        </w:rPr>
        <w:t>万元，其中基本支出预算调增</w:t>
      </w:r>
      <w:r>
        <w:rPr>
          <w:rFonts w:hint="eastAsia" w:ascii="仿宋" w:hAnsi="仿宋" w:eastAsia="仿宋"/>
          <w:sz w:val="30"/>
          <w:szCs w:val="30"/>
          <w:lang w:val="en-US" w:eastAsia="zh-CN"/>
        </w:rPr>
        <w:t>202.17万元</w:t>
      </w:r>
      <w:r>
        <w:rPr>
          <w:rFonts w:hint="eastAsia" w:ascii="仿宋" w:hAnsi="仿宋" w:eastAsia="仿宋"/>
          <w:sz w:val="30"/>
          <w:szCs w:val="30"/>
          <w:lang w:eastAsia="zh-CN"/>
        </w:rPr>
        <w:t>，其中主要有指标划转增加</w:t>
      </w:r>
      <w:r>
        <w:rPr>
          <w:rFonts w:hint="eastAsia" w:ascii="仿宋" w:hAnsi="仿宋" w:eastAsia="仿宋"/>
          <w:sz w:val="30"/>
          <w:szCs w:val="30"/>
          <w:lang w:val="en-US" w:eastAsia="zh-CN"/>
        </w:rPr>
        <w:t>100万元，2019年1-12月窗口单位岗位津贴划转23.04万元，</w:t>
      </w:r>
      <w:r>
        <w:rPr>
          <w:rFonts w:hint="eastAsia" w:ascii="仿宋" w:hAnsi="仿宋" w:eastAsia="仿宋"/>
          <w:sz w:val="30"/>
          <w:szCs w:val="30"/>
          <w:lang w:eastAsia="zh-CN"/>
        </w:rPr>
        <w:t>解决人员异动增加</w:t>
      </w:r>
      <w:r>
        <w:rPr>
          <w:rFonts w:hint="eastAsia" w:ascii="仿宋" w:hAnsi="仿宋" w:eastAsia="仿宋"/>
          <w:sz w:val="30"/>
          <w:szCs w:val="30"/>
          <w:lang w:val="en-US" w:eastAsia="zh-CN"/>
        </w:rPr>
        <w:t>21.74</w:t>
      </w:r>
      <w:r>
        <w:rPr>
          <w:rFonts w:hint="eastAsia" w:ascii="仿宋" w:hAnsi="仿宋" w:eastAsia="仿宋"/>
          <w:sz w:val="30"/>
          <w:szCs w:val="30"/>
          <w:lang w:eastAsia="zh-CN"/>
        </w:rPr>
        <w:t>万元</w:t>
      </w:r>
      <w:r>
        <w:rPr>
          <w:rFonts w:hint="eastAsia" w:ascii="仿宋" w:hAnsi="仿宋" w:eastAsia="仿宋"/>
          <w:sz w:val="30"/>
          <w:szCs w:val="30"/>
          <w:lang w:val="en-US" w:eastAsia="zh-CN"/>
        </w:rPr>
        <w:t>;项目支出预算调增800万元，系追加建设经费800万元。</w:t>
      </w:r>
    </w:p>
    <w:p>
      <w:pPr>
        <w:snapToGrid w:val="0"/>
        <w:spacing w:line="60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3、全年总预算情况</w:t>
      </w:r>
    </w:p>
    <w:p>
      <w:pPr>
        <w:snapToGrid w:val="0"/>
        <w:spacing w:line="600" w:lineRule="exact"/>
        <w:ind w:firstLine="600" w:firstLineChars="200"/>
        <w:rPr>
          <w:rFonts w:hint="default"/>
          <w:lang w:val="en-US" w:eastAsia="zh-CN"/>
        </w:rPr>
      </w:pPr>
      <w:r>
        <w:rPr>
          <w:rFonts w:hint="eastAsia" w:ascii="仿宋" w:hAnsi="仿宋" w:eastAsia="仿宋"/>
          <w:sz w:val="30"/>
          <w:szCs w:val="30"/>
          <w:lang w:eastAsia="zh-CN"/>
        </w:rPr>
        <w:t>全年总预算收入</w:t>
      </w:r>
      <w:r>
        <w:rPr>
          <w:rFonts w:hint="eastAsia" w:ascii="仿宋" w:hAnsi="仿宋" w:eastAsia="仿宋"/>
          <w:sz w:val="30"/>
          <w:szCs w:val="30"/>
          <w:lang w:val="en-US" w:eastAsia="zh-CN"/>
        </w:rPr>
        <w:t>1812.47万元，其中一般公共预算财政拨款收入1613.37万元、其他收入199.10万元。</w:t>
      </w:r>
    </w:p>
    <w:p>
      <w:pPr>
        <w:snapToGrid w:val="0"/>
        <w:spacing w:line="600" w:lineRule="exact"/>
        <w:ind w:firstLine="600" w:firstLineChars="200"/>
        <w:rPr>
          <w:rFonts w:ascii="仿宋" w:hAnsi="仿宋" w:eastAsia="楷体_GB2312"/>
          <w:b/>
          <w:sz w:val="30"/>
          <w:szCs w:val="30"/>
        </w:rPr>
      </w:pPr>
      <w:r>
        <w:rPr>
          <w:rFonts w:ascii="仿宋" w:hAnsi="仿宋" w:eastAsia="楷体_GB2312"/>
          <w:b/>
          <w:sz w:val="30"/>
          <w:szCs w:val="30"/>
        </w:rPr>
        <w:t>（二）预算执行情况</w:t>
      </w:r>
    </w:p>
    <w:p>
      <w:pPr>
        <w:widowControl/>
        <w:wordWrap w:val="0"/>
        <w:spacing w:line="600" w:lineRule="atLeast"/>
        <w:ind w:firstLine="600" w:firstLineChars="200"/>
        <w:jc w:val="left"/>
        <w:rPr>
          <w:rFonts w:hint="eastAsia" w:ascii="仿宋" w:hAnsi="仿宋" w:eastAsia="仿宋" w:cs="仿宋"/>
          <w:kern w:val="0"/>
          <w:sz w:val="30"/>
          <w:szCs w:val="30"/>
          <w:shd w:val="clear" w:color="auto" w:fill="FFFFFF"/>
        </w:rPr>
      </w:pPr>
      <w:r>
        <w:rPr>
          <w:rFonts w:hint="eastAsia" w:ascii="仿宋" w:hAnsi="仿宋" w:eastAsia="仿宋" w:cs="仿宋"/>
          <w:kern w:val="0"/>
          <w:sz w:val="30"/>
          <w:szCs w:val="30"/>
          <w:shd w:val="clear" w:color="auto" w:fill="FFFFFF"/>
        </w:rPr>
        <w:t xml:space="preserve"> 201</w:t>
      </w:r>
      <w:r>
        <w:rPr>
          <w:rFonts w:hint="eastAsia" w:ascii="仿宋" w:hAnsi="仿宋" w:eastAsia="仿宋" w:cs="仿宋"/>
          <w:kern w:val="0"/>
          <w:sz w:val="30"/>
          <w:szCs w:val="30"/>
          <w:shd w:val="clear" w:color="auto" w:fill="FFFFFF"/>
          <w:lang w:val="en-US" w:eastAsia="zh-CN"/>
        </w:rPr>
        <w:t>9</w:t>
      </w:r>
      <w:r>
        <w:rPr>
          <w:rFonts w:hint="eastAsia" w:ascii="仿宋" w:hAnsi="仿宋" w:eastAsia="仿宋" w:cs="仿宋"/>
          <w:kern w:val="0"/>
          <w:sz w:val="30"/>
          <w:szCs w:val="30"/>
          <w:shd w:val="clear" w:color="auto" w:fill="FFFFFF"/>
        </w:rPr>
        <w:t>年我局</w:t>
      </w:r>
      <w:r>
        <w:rPr>
          <w:rFonts w:hint="eastAsia" w:ascii="仿宋" w:hAnsi="仿宋" w:eastAsia="仿宋" w:cs="仿宋"/>
          <w:kern w:val="0"/>
          <w:sz w:val="30"/>
          <w:szCs w:val="30"/>
          <w:shd w:val="clear" w:color="auto" w:fill="FFFFFF"/>
          <w:lang w:eastAsia="zh-CN"/>
        </w:rPr>
        <w:t>预算总</w:t>
      </w:r>
      <w:r>
        <w:rPr>
          <w:rFonts w:hint="eastAsia" w:ascii="仿宋" w:hAnsi="仿宋" w:eastAsia="仿宋" w:cs="仿宋"/>
          <w:kern w:val="0"/>
          <w:sz w:val="30"/>
          <w:szCs w:val="30"/>
          <w:shd w:val="clear" w:color="auto" w:fill="FFFFFF"/>
        </w:rPr>
        <w:t>收入</w:t>
      </w:r>
      <w:r>
        <w:rPr>
          <w:rFonts w:hint="eastAsia" w:ascii="仿宋" w:hAnsi="仿宋" w:eastAsia="仿宋" w:cs="仿宋"/>
          <w:kern w:val="0"/>
          <w:sz w:val="30"/>
          <w:szCs w:val="30"/>
          <w:shd w:val="clear" w:color="auto" w:fill="FFFFFF"/>
          <w:lang w:val="en-US" w:eastAsia="zh-CN"/>
        </w:rPr>
        <w:t>1812.47</w:t>
      </w:r>
      <w:r>
        <w:rPr>
          <w:rFonts w:hint="eastAsia" w:ascii="仿宋" w:hAnsi="仿宋" w:eastAsia="仿宋" w:cs="仿宋"/>
          <w:kern w:val="0"/>
          <w:sz w:val="30"/>
          <w:szCs w:val="30"/>
          <w:shd w:val="clear" w:color="auto" w:fill="FFFFFF"/>
        </w:rPr>
        <w:t>万元,已于当年100%到位,我局</w:t>
      </w:r>
      <w:r>
        <w:rPr>
          <w:rFonts w:hint="eastAsia" w:ascii="仿宋" w:hAnsi="仿宋" w:eastAsia="仿宋" w:cs="仿宋"/>
          <w:kern w:val="0"/>
          <w:sz w:val="30"/>
          <w:szCs w:val="30"/>
          <w:shd w:val="clear" w:color="auto" w:fill="FFFFFF"/>
          <w:lang w:eastAsia="zh-CN"/>
        </w:rPr>
        <w:t>总</w:t>
      </w:r>
      <w:r>
        <w:rPr>
          <w:rFonts w:hint="eastAsia" w:ascii="仿宋" w:hAnsi="仿宋" w:eastAsia="仿宋" w:cs="仿宋"/>
          <w:kern w:val="0"/>
          <w:sz w:val="30"/>
          <w:szCs w:val="30"/>
          <w:shd w:val="clear" w:color="auto" w:fill="FFFFFF"/>
        </w:rPr>
        <w:t>支出</w:t>
      </w:r>
      <w:r>
        <w:rPr>
          <w:rFonts w:hint="eastAsia" w:ascii="仿宋" w:hAnsi="仿宋" w:eastAsia="仿宋" w:cs="仿宋"/>
          <w:kern w:val="0"/>
          <w:sz w:val="30"/>
          <w:szCs w:val="30"/>
          <w:shd w:val="clear" w:color="auto" w:fill="FFFFFF"/>
          <w:lang w:val="en-US" w:eastAsia="zh-CN"/>
        </w:rPr>
        <w:t>1913.48</w:t>
      </w:r>
      <w:r>
        <w:rPr>
          <w:rFonts w:hint="eastAsia" w:ascii="仿宋" w:hAnsi="仿宋" w:eastAsia="仿宋" w:cs="仿宋"/>
          <w:kern w:val="0"/>
          <w:sz w:val="30"/>
          <w:szCs w:val="30"/>
          <w:shd w:val="clear" w:color="auto" w:fill="FFFFFF"/>
        </w:rPr>
        <w:t>万元,其中：基本支出</w:t>
      </w:r>
      <w:r>
        <w:rPr>
          <w:rFonts w:hint="eastAsia" w:ascii="仿宋" w:hAnsi="仿宋" w:eastAsia="仿宋" w:cs="仿宋"/>
          <w:kern w:val="0"/>
          <w:sz w:val="30"/>
          <w:szCs w:val="30"/>
          <w:shd w:val="clear" w:color="auto" w:fill="FFFFFF"/>
          <w:lang w:val="en-US" w:eastAsia="zh-CN"/>
        </w:rPr>
        <w:t>626.44</w:t>
      </w:r>
      <w:r>
        <w:rPr>
          <w:rFonts w:hint="eastAsia" w:ascii="仿宋" w:hAnsi="仿宋" w:eastAsia="仿宋" w:cs="仿宋"/>
          <w:kern w:val="0"/>
          <w:sz w:val="30"/>
          <w:szCs w:val="30"/>
          <w:shd w:val="clear" w:color="auto" w:fill="FFFFFF"/>
        </w:rPr>
        <w:t>万元,项目支出</w:t>
      </w:r>
      <w:r>
        <w:rPr>
          <w:rFonts w:hint="eastAsia" w:ascii="仿宋" w:hAnsi="仿宋" w:eastAsia="仿宋" w:cs="仿宋"/>
          <w:kern w:val="0"/>
          <w:sz w:val="30"/>
          <w:szCs w:val="30"/>
          <w:shd w:val="clear" w:color="auto" w:fill="FFFFFF"/>
          <w:lang w:val="en-US" w:eastAsia="zh-CN"/>
        </w:rPr>
        <w:t>1287.04</w:t>
      </w:r>
      <w:r>
        <w:rPr>
          <w:rFonts w:hint="eastAsia" w:ascii="仿宋" w:hAnsi="仿宋" w:eastAsia="仿宋" w:cs="仿宋"/>
          <w:kern w:val="0"/>
          <w:sz w:val="30"/>
          <w:szCs w:val="30"/>
          <w:shd w:val="clear" w:color="auto" w:fill="FFFFFF"/>
        </w:rPr>
        <w:t>万元。</w:t>
      </w:r>
    </w:p>
    <w:p>
      <w:pPr>
        <w:snapToGrid w:val="0"/>
        <w:spacing w:line="600" w:lineRule="exact"/>
        <w:ind w:firstLine="600" w:firstLineChars="200"/>
        <w:rPr>
          <w:rFonts w:ascii="仿宋" w:hAnsi="仿宋" w:eastAsia="黑体"/>
          <w:sz w:val="30"/>
          <w:szCs w:val="30"/>
        </w:rPr>
      </w:pPr>
      <w:r>
        <w:rPr>
          <w:rFonts w:ascii="仿宋" w:hAnsi="仿宋" w:eastAsia="黑体"/>
          <w:sz w:val="30"/>
          <w:szCs w:val="30"/>
        </w:rPr>
        <w:t>三、部门整体支出绩效情况</w:t>
      </w:r>
    </w:p>
    <w:p>
      <w:pPr>
        <w:pStyle w:val="6"/>
        <w:widowControl/>
        <w:spacing w:line="360" w:lineRule="auto"/>
        <w:ind w:left="476" w:leftChars="227"/>
        <w:jc w:val="both"/>
        <w:rPr>
          <w:rFonts w:hint="eastAsia" w:ascii="仿宋" w:hAnsi="仿宋" w:eastAsia="仿宋" w:cs="楷体_GB2312"/>
          <w:b/>
          <w:bCs/>
          <w:color w:val="010101"/>
          <w:sz w:val="32"/>
          <w:szCs w:val="32"/>
        </w:rPr>
      </w:pPr>
      <w:r>
        <w:rPr>
          <w:rFonts w:hint="eastAsia" w:ascii="仿宋" w:hAnsi="仿宋" w:eastAsia="仿宋" w:cs="楷体_GB2312"/>
          <w:b/>
          <w:bCs/>
          <w:color w:val="010101"/>
          <w:sz w:val="32"/>
          <w:szCs w:val="32"/>
        </w:rPr>
        <w:t>（一）单位工作开展情况</w:t>
      </w:r>
    </w:p>
    <w:p>
      <w:pPr>
        <w:spacing w:line="560" w:lineRule="exact"/>
        <w:ind w:firstLine="640" w:firstLineChars="200"/>
        <w:rPr>
          <w:rFonts w:hint="eastAsia" w:ascii="仿宋" w:hAnsi="仿宋" w:eastAsia="仿宋" w:cs="仿宋"/>
          <w:b w:val="0"/>
          <w:bCs w:val="0"/>
          <w:sz w:val="32"/>
          <w:szCs w:val="32"/>
        </w:rPr>
      </w:pPr>
      <w:r>
        <w:rPr>
          <w:rFonts w:hint="eastAsia" w:ascii="仿宋" w:hAnsi="仿宋" w:eastAsia="仿宋" w:cs="楷体_GB2312"/>
          <w:b/>
          <w:bCs/>
          <w:color w:val="010101"/>
          <w:sz w:val="32"/>
          <w:szCs w:val="32"/>
        </w:rPr>
        <w:t xml:space="preserve"> </w:t>
      </w:r>
      <w:r>
        <w:rPr>
          <w:rFonts w:hint="eastAsia" w:ascii="仿宋" w:hAnsi="仿宋" w:eastAsia="仿宋" w:cs="仿宋"/>
          <w:b w:val="0"/>
          <w:bCs w:val="0"/>
          <w:color w:val="010101"/>
          <w:sz w:val="32"/>
          <w:szCs w:val="32"/>
          <w:lang w:val="en-US" w:eastAsia="zh-CN"/>
        </w:rPr>
        <w:t>1、</w:t>
      </w:r>
      <w:r>
        <w:rPr>
          <w:rFonts w:hint="eastAsia" w:ascii="仿宋" w:hAnsi="仿宋" w:eastAsia="仿宋" w:cs="仿宋"/>
          <w:b w:val="0"/>
          <w:bCs w:val="0"/>
          <w:sz w:val="32"/>
          <w:szCs w:val="32"/>
        </w:rPr>
        <w:t>以全面深化“放管服”改革为重心，开创行政审批服务工作新局面。一是强力推进“一件事一次办”改革。</w:t>
      </w:r>
      <w:r>
        <w:rPr>
          <w:rFonts w:hint="eastAsia" w:ascii="仿宋" w:hAnsi="仿宋" w:eastAsia="仿宋" w:cs="仿宋"/>
          <w:b w:val="0"/>
          <w:bCs w:val="0"/>
          <w:kern w:val="0"/>
          <w:sz w:val="32"/>
          <w:szCs w:val="32"/>
          <w:lang w:bidi="ar"/>
        </w:rPr>
        <w:t>出台了《湘乡市“一件事一次办”改革工作实施方案》（湘乡政办发〔2019〕14号），首批99项“一件事一次办”事项全面落地运行，设置“一件事一次办”综合受理窗口，跑腿次数减少80%、全流程办理时间压缩49%，审批环节压减74%，申请材料精简55%。共计减少各类申请材料121件，压减办事环节56个，压缩办理时间462个工作日。累计办件32万余件，</w:t>
      </w:r>
      <w:r>
        <w:rPr>
          <w:rFonts w:hint="eastAsia" w:ascii="仿宋" w:hAnsi="仿宋" w:eastAsia="仿宋" w:cs="仿宋"/>
          <w:b w:val="0"/>
          <w:bCs w:val="0"/>
          <w:kern w:val="0"/>
          <w:sz w:val="32"/>
          <w:szCs w:val="32"/>
          <w:lang w:eastAsia="zh-CN" w:bidi="ar"/>
        </w:rPr>
        <w:t>及时</w:t>
      </w:r>
      <w:r>
        <w:rPr>
          <w:rFonts w:hint="eastAsia" w:ascii="仿宋" w:hAnsi="仿宋" w:eastAsia="仿宋" w:cs="仿宋"/>
          <w:b w:val="0"/>
          <w:bCs w:val="0"/>
          <w:kern w:val="0"/>
          <w:sz w:val="32"/>
          <w:szCs w:val="32"/>
          <w:lang w:bidi="ar"/>
        </w:rPr>
        <w:t>办结率、满意率均达100%。</w:t>
      </w:r>
      <w:r>
        <w:rPr>
          <w:rFonts w:hint="eastAsia" w:ascii="仿宋" w:hAnsi="仿宋" w:eastAsia="仿宋" w:cs="仿宋"/>
          <w:b w:val="0"/>
          <w:bCs w:val="0"/>
          <w:sz w:val="32"/>
          <w:szCs w:val="32"/>
        </w:rPr>
        <w:t>目前，正进一步加大改革力度，加快推进第二批“一件事”落地，</w:t>
      </w:r>
      <w:r>
        <w:rPr>
          <w:rFonts w:hint="eastAsia" w:ascii="仿宋" w:hAnsi="仿宋" w:eastAsia="仿宋" w:cs="仿宋"/>
          <w:b w:val="0"/>
          <w:bCs w:val="0"/>
          <w:kern w:val="0"/>
          <w:sz w:val="32"/>
          <w:szCs w:val="32"/>
          <w:lang w:bidi="ar"/>
        </w:rPr>
        <w:t>并先后两次组织干部职工赴常德市民之家、澧县行政审批局学习交流“一件事一次办”改革经验，今后我们将逐步推进与企业群众生产生活密切相关的重点领域和办件量较大的高频繁事项基本实现“一件事一次办”。</w:t>
      </w:r>
      <w:r>
        <w:rPr>
          <w:rFonts w:hint="eastAsia" w:ascii="仿宋" w:hAnsi="仿宋" w:eastAsia="仿宋" w:cs="仿宋"/>
          <w:b w:val="0"/>
          <w:bCs w:val="0"/>
          <w:sz w:val="32"/>
          <w:szCs w:val="32"/>
        </w:rPr>
        <w:t>二是不断深化“三集中、三到位”改革。按照“应进尽进”的原则，窗口增至60个，入驻单位增至30家，</w:t>
      </w:r>
      <w:r>
        <w:rPr>
          <w:rFonts w:hint="eastAsia" w:ascii="仿宋" w:hAnsi="仿宋" w:eastAsia="仿宋" w:cs="仿宋"/>
          <w:b w:val="0"/>
          <w:bCs w:val="0"/>
          <w:kern w:val="0"/>
          <w:sz w:val="32"/>
          <w:szCs w:val="32"/>
          <w:lang w:bidi="ar"/>
        </w:rPr>
        <w:t>窗口工作人员增至279人，</w:t>
      </w:r>
      <w:r>
        <w:rPr>
          <w:rFonts w:hint="eastAsia" w:ascii="仿宋" w:hAnsi="仿宋" w:eastAsia="仿宋" w:cs="仿宋"/>
          <w:b w:val="0"/>
          <w:bCs w:val="0"/>
          <w:sz w:val="32"/>
          <w:szCs w:val="32"/>
        </w:rPr>
        <w:t>入驻事项增至1005项，基本实现政务服务事项应进尽进。目前因政务大厅场地限制除残联、司法局、民宗办、公积金中心、公安的机动车等部分事项因场地限制没有入驻，其他具有行政审批职能部门都成立政务服务股，确定了进驻事项，明确了分管领导和进驻市政务大厅窗口组长及工作人员。同时各行政审批单位均向行政审批服务局报送了本单位“三集中三到位”改革工作方案和行政审批授权书，通过充分授权，打造集行政审批、公共服务、网上审批、效能监察为一体的综合服务平台，最大限度减少企业和群众跑路的次数。2019年，市政务大厅办件101万件，收费12.76亿元（不包含土地价款），办结率、满意率均达100%。三是大力推进“一窗受理、集成服务”改革。</w:t>
      </w:r>
      <w:r>
        <w:rPr>
          <w:rFonts w:hint="eastAsia" w:ascii="仿宋" w:hAnsi="仿宋" w:eastAsia="仿宋" w:cs="仿宋"/>
          <w:b w:val="0"/>
          <w:bCs w:val="0"/>
          <w:kern w:val="0"/>
          <w:sz w:val="32"/>
          <w:szCs w:val="32"/>
          <w:lang w:bidi="ar"/>
        </w:rPr>
        <w:t>印发《关于全面推进湘乡市“马上办、网上办、就近办、一次办”改革工作的通知》（湘乡政办发〔2018〕54号），公布了湘乡市“马上办、网上办、就近办、一次办”事项目录清单1026项。出台《湘乡市政务服务大厅“一窗受理、集成服务”改革的实施方案（试行）的通知》（</w:t>
      </w:r>
      <w:r>
        <w:rPr>
          <w:rFonts w:hint="eastAsia" w:ascii="仿宋" w:hAnsi="仿宋" w:eastAsia="仿宋" w:cs="仿宋"/>
          <w:b w:val="0"/>
          <w:bCs w:val="0"/>
          <w:color w:val="000000"/>
          <w:kern w:val="0"/>
          <w:sz w:val="32"/>
          <w:szCs w:val="32"/>
        </w:rPr>
        <w:t>湘乡政开办</w:t>
      </w:r>
      <w:r>
        <w:rPr>
          <w:rFonts w:hint="eastAsia" w:ascii="仿宋" w:hAnsi="仿宋" w:eastAsia="仿宋" w:cs="仿宋"/>
          <w:b w:val="0"/>
          <w:bCs w:val="0"/>
          <w:sz w:val="32"/>
          <w:szCs w:val="32"/>
        </w:rPr>
        <w:t>〔2019〕4号）</w:t>
      </w:r>
      <w:r>
        <w:rPr>
          <w:rFonts w:hint="eastAsia" w:ascii="仿宋" w:hAnsi="仿宋" w:eastAsia="仿宋" w:cs="仿宋"/>
          <w:b w:val="0"/>
          <w:bCs w:val="0"/>
          <w:kern w:val="0"/>
          <w:sz w:val="32"/>
          <w:szCs w:val="32"/>
          <w:lang w:bidi="ar"/>
        </w:rPr>
        <w:t>。严格按照“前台综合受理、后台分类审批、综合窗口出件”的工作模式和“一窗受理、集成服务”的要求，优化调整窗口设置，将政务服务大厅设为9个功能分区，目前不动产登记区、商事区、综合审批区等已推行“一窗受理、集成服务”改革，实现前台后台、线上线下无缝对接、高效运转。组织相关科室业务骨干与所有帮代办人员赴湘潭市行政审批服务局进行为期一星期的“一窗受理、集成服务”业务培训、集中充电，学习湘潭的先进经验做法，尽力为企业和群众提供全程无忧帮代办服务。</w:t>
      </w:r>
      <w:r>
        <w:rPr>
          <w:rFonts w:hint="eastAsia" w:ascii="仿宋" w:hAnsi="仿宋" w:eastAsia="仿宋" w:cs="仿宋"/>
          <w:b w:val="0"/>
          <w:bCs w:val="0"/>
          <w:sz w:val="32"/>
          <w:szCs w:val="32"/>
        </w:rPr>
        <w:t>四是积极推进“闭环审批”改革。</w:t>
      </w:r>
      <w:r>
        <w:rPr>
          <w:rFonts w:hint="eastAsia" w:ascii="仿宋" w:hAnsi="仿宋" w:eastAsia="仿宋" w:cs="仿宋"/>
          <w:b w:val="0"/>
          <w:bCs w:val="0"/>
          <w:kern w:val="0"/>
          <w:sz w:val="32"/>
          <w:szCs w:val="32"/>
          <w:lang w:bidi="ar"/>
        </w:rPr>
        <w:t>开展经开区产业项目闭环审批工作改革，实现“园区事园区办”，对照湘潭市政府最新公布的目录，初步确定了要求市委、市政府下放到经开区的行政审批权40项。组成调研组，赴埃普特、绿营环保等企业进行调研，并与经开区管委会相关人员进行了多轮协商。今年以来，我局主要负责人带队到经开区对接和指导放管服工作3次，并向平江高新区、湘潭经开区、浏阳经开区学习有关经验；组织相关职能部门的分管副职和业务股室负责人对审批事项清单作了进一步审核，召开了多次征求意见会，根据征求意见，最终确定了经开区产业项目“闭环审批”的事项清单、一次性告知清单和并联审批工作时限表，涉及15个市直职能部门的40项审批事项，分为立项用地规划许可阶段、工程建设许可阶段、施工许可阶段、竣工验收阶段等四个阶段，按照30天以内完成并联审批的要求，确定工作时限，减少审批内容，简化审批程序，缩短审批时限，进一步优化营商环境，提高了经开区核心竞争力，为经开区高质量发展提供保障。</w:t>
      </w:r>
      <w:r>
        <w:rPr>
          <w:rFonts w:hint="eastAsia" w:ascii="仿宋" w:hAnsi="仿宋" w:eastAsia="仿宋" w:cs="仿宋"/>
          <w:b w:val="0"/>
          <w:bCs w:val="0"/>
          <w:sz w:val="32"/>
          <w:szCs w:val="32"/>
        </w:rPr>
        <w:t>五是扎实抓好“互联网+政务服务”工作。</w:t>
      </w:r>
      <w:r>
        <w:rPr>
          <w:rFonts w:hint="eastAsia" w:ascii="仿宋" w:hAnsi="仿宋" w:eastAsia="仿宋" w:cs="仿宋"/>
          <w:b w:val="0"/>
          <w:bCs w:val="0"/>
          <w:kern w:val="0"/>
          <w:sz w:val="32"/>
          <w:szCs w:val="32"/>
          <w:lang w:bidi="ar"/>
        </w:rPr>
        <w:t>按照“应上尽上、全程在线”要求，逐步将全市各部门单位的行政权利事项和公共服务事项纳入“互联网+政务服务”一体化平台统一发布，按照“三级四同”原则，扎实推进一体化平台工作。多次组织相关单位召开推进会对我市政务服务事项与国家政务服务平台对接、一体化平台事项录入等相关工作进行安排部署、培训讲解、督办通报。并将11家单位的电子证照近19万条数据汇聚到省一体化平台，完成好34个市直相关单位、344个乡镇（街道）、村（社区）的行政印章印模的收集。</w:t>
      </w:r>
      <w:r>
        <w:rPr>
          <w:rFonts w:hint="eastAsia" w:ascii="仿宋" w:hAnsi="仿宋" w:eastAsia="仿宋" w:cs="仿宋"/>
          <w:b w:val="0"/>
          <w:bCs w:val="0"/>
          <w:sz w:val="32"/>
          <w:szCs w:val="32"/>
        </w:rPr>
        <w:t>完成一体化平台政务服务事项实施清单填报总计4689项，发布依申请类事项1798项，引用率、匹配率、填报率、发布率均达100%。组织市直单位进行“互联网+政务服务”一体化平台操作培训，运用平台进行事项的网上受理、办理，对汇聚数据到一体化平台进行技术指导。2019年共在一体化平台受理业务12万余件，</w:t>
      </w:r>
      <w:r>
        <w:rPr>
          <w:rFonts w:hint="eastAsia" w:ascii="仿宋" w:hAnsi="仿宋" w:eastAsia="仿宋" w:cs="仿宋"/>
          <w:b w:val="0"/>
          <w:bCs w:val="0"/>
          <w:kern w:val="0"/>
          <w:sz w:val="32"/>
          <w:szCs w:val="32"/>
          <w:lang w:bidi="ar"/>
        </w:rPr>
        <w:t>办结数量名列湘潭市第一。</w:t>
      </w:r>
      <w:r>
        <w:rPr>
          <w:rFonts w:hint="eastAsia" w:ascii="仿宋" w:hAnsi="仿宋" w:eastAsia="仿宋" w:cs="仿宋"/>
          <w:b w:val="0"/>
          <w:bCs w:val="0"/>
          <w:sz w:val="32"/>
          <w:szCs w:val="32"/>
        </w:rPr>
        <w:t xml:space="preserve">六是健全完善政务服务体系。 </w:t>
      </w:r>
      <w:r>
        <w:rPr>
          <w:rFonts w:hint="eastAsia" w:ascii="仿宋" w:hAnsi="仿宋" w:eastAsia="仿宋" w:cs="仿宋"/>
          <w:b w:val="0"/>
          <w:bCs w:val="0"/>
          <w:kern w:val="0"/>
          <w:sz w:val="32"/>
          <w:szCs w:val="32"/>
          <w:lang w:bidi="ar"/>
        </w:rPr>
        <w:t>我市所辖22个乡镇办已全部建立政务服务中心，所辖村（社区）有344个建立了便民服务中心，形成市、乡、村三级政务服务平台体系，基本达到“全覆盖”。与群众密切相关的事项有47项，已全部入驻新建政务中心大厅，真正实现了就近办、同城通办、无偿代办。下发了《关于做好政务服务大厅“母婴关爱室”建设工作的方案（征求意见稿）》的函。其中我市本级政务服务大厅、泉塘镇、翻江镇、白田镇3个乡镇已经建设好具备基本配置的“母婴关爱室”，并投入使用。</w:t>
      </w:r>
    </w:p>
    <w:p>
      <w:pPr>
        <w:spacing w:line="560" w:lineRule="exact"/>
        <w:ind w:firstLine="960" w:firstLineChars="3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rPr>
        <w:t>以“四减”为突破口，全力优化营商环境。聚焦群众反应突出的手续繁、时限长、材料多等民生堵点痛点，切实围绕“减”字做文章，减环节、减材料、减时限、减跑动，以权力的“减法”，换取群众满意度的“加法”，激发市场活力的“乘法”。一是全面优化服务环境。以建设“一流标准、一流服务、一流形象”的政务服务窗口为目标，配优窗口工作人员，各进驻单位选派一批纪律强、业务精、素质高、形象好的年轻干部到窗口工作。以管理和学习培训为支撑，不断提升整体服务水平，努力实现服务受理“零”推诿、服务方式“零”距离、服务质量“零”差错、服务结果“零”投诉。二是全程提供帮办代办。我市成立了行政审批和政务服务帮代办中心，采取政府购买服务的方式，向社会公开招聘帮代办人员15人，经过严格的上岗培训，为企业和群众提供“一对一”“店小二”式贴心帮办代办服务，变“群众跑腿”为“代办员跑腿”，有效打通服务群众最后一公里。三是全心帮扶特殊群体。对特殊企业和群众，提供“绿色通道加急办理”服务，为老弱病残等群体提供“上门受理服务”，为特殊业务、批量业务的企业和群众提供“非工作日预约服务”“上门集体面签服务”，为节假日返乡人员提供预约服务和加班延时服务，让老百姓切实感受到了“湘乡温度”和“湘乡速度”。四是企业开办简手续。逐项细化和精简申请材料。“多证合一、一照一码”登记改革，将20个部门的30个证照，统一整合到有社会信用代码的营业执照上。企业名称登记时间缩短到3分钟、企业开办时间压缩到3日以内，需提交材料减少80%以上。五是报建审批省时间。投资项目报建审批事项由43项压减至35项，清理规范行政审批中介服务事项71项，取消证明材料8项。进一步提高项目审批效率，社会投资项目审批办理时限压缩在47个工作日以内，加强对产业项目审批工作的统筹协调，建立联席会议制、任务交办制、问题销号制度等相关制度，园区产业项目审批时限控制在30个工作日以内。六是不动产登记四次提速。不动产登记中心经过5次提速，初始登记由30个工作日提速到4个工作日，转移登记由15个工作日提速到3个工作日，抵押登记由10个工作日提速到2个工作日。七是实现“三测合一”。10月30日，“三测合一”窗口正式入驻政务大厅，我市率先在湘潭市乃至全省，实现了“国土测绘、规划测绘、房产测绘”三测合一，将原来分散在三家单位的测绘服务机构整合到市自然资源局测绘队一个部门，统一提供测绘委托服务，真正实现了"一次委托、一次收费、成果共享”，做到让数据多跑路、群众少跑腿，切实让"最多跑一次”落到实处，缩短办理时限在30个工作日以上，11月18日，我市“交房即交证” 改革已正式落地。</w:t>
      </w:r>
    </w:p>
    <w:p>
      <w:pPr>
        <w:spacing w:line="56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rPr>
        <w:t>以树立优质高效政务形象为目标，扎实做好政务公开政务服务各项工作。一是全天畅通民意渠道。</w:t>
      </w:r>
      <w:r>
        <w:rPr>
          <w:rFonts w:hint="eastAsia" w:ascii="仿宋" w:hAnsi="仿宋" w:eastAsia="仿宋" w:cs="仿宋"/>
          <w:b w:val="0"/>
          <w:bCs w:val="0"/>
          <w:kern w:val="0"/>
          <w:sz w:val="32"/>
          <w:szCs w:val="32"/>
          <w:lang w:bidi="ar"/>
        </w:rPr>
        <w:t>为进一步提高政府公共服务水平，更好地便民利民，服务经济社会发展，我市在原“56612345”市长热线电话资源的基础上，整合全市非紧急报警类政务服务热线电话，建设“12345”政务服务热线并已正式投入使用，通过对热线诉求件的梳理，汇集广大群众所反映的热点和难点等事宜，使广大群众反映的热点、难点问题得到妥善解决。2019年，12345政务服务热线（便民服务综合平台）共接到群众诉求21972件次,其中湘乡市书记、市长信箱受理206件次,湘潭市长信箱转办33件次，湘潭市长热线交办288件次，按期办结率97%，满意度90%。坚持每月编发《政务服务热线》，</w:t>
      </w:r>
      <w:r>
        <w:rPr>
          <w:rFonts w:hint="eastAsia" w:ascii="仿宋" w:hAnsi="仿宋" w:eastAsia="仿宋" w:cs="仿宋"/>
          <w:b w:val="0"/>
          <w:bCs w:val="0"/>
          <w:kern w:val="0"/>
          <w:sz w:val="32"/>
          <w:szCs w:val="32"/>
          <w:lang w:val="zh-CN" w:bidi="ar"/>
        </w:rPr>
        <w:t>将</w:t>
      </w:r>
      <w:r>
        <w:rPr>
          <w:rFonts w:hint="eastAsia" w:ascii="仿宋" w:hAnsi="仿宋" w:eastAsia="仿宋" w:cs="仿宋"/>
          <w:b w:val="0"/>
          <w:bCs w:val="0"/>
          <w:kern w:val="0"/>
          <w:sz w:val="32"/>
          <w:szCs w:val="32"/>
          <w:lang w:bidi="ar"/>
        </w:rPr>
        <w:t>逾期办结件数和</w:t>
      </w:r>
      <w:r>
        <w:rPr>
          <w:rFonts w:hint="eastAsia" w:ascii="仿宋" w:hAnsi="仿宋" w:eastAsia="仿宋" w:cs="仿宋"/>
          <w:b w:val="0"/>
          <w:bCs w:val="0"/>
          <w:kern w:val="0"/>
          <w:sz w:val="32"/>
          <w:szCs w:val="32"/>
          <w:lang w:val="zh-CN" w:bidi="ar"/>
        </w:rPr>
        <w:t>回访满意度在《</w:t>
      </w:r>
      <w:r>
        <w:rPr>
          <w:rFonts w:hint="eastAsia" w:ascii="仿宋" w:hAnsi="仿宋" w:eastAsia="仿宋" w:cs="仿宋"/>
          <w:b w:val="0"/>
          <w:bCs w:val="0"/>
          <w:kern w:val="0"/>
          <w:sz w:val="32"/>
          <w:szCs w:val="32"/>
          <w:lang w:bidi="ar"/>
        </w:rPr>
        <w:t>政务服务</w:t>
      </w:r>
      <w:r>
        <w:rPr>
          <w:rFonts w:hint="eastAsia" w:ascii="仿宋" w:hAnsi="仿宋" w:eastAsia="仿宋" w:cs="仿宋"/>
          <w:b w:val="0"/>
          <w:bCs w:val="0"/>
          <w:kern w:val="0"/>
          <w:sz w:val="32"/>
          <w:szCs w:val="32"/>
          <w:lang w:val="zh-CN" w:bidi="ar"/>
        </w:rPr>
        <w:t>热线》通报中</w:t>
      </w:r>
      <w:r>
        <w:rPr>
          <w:rFonts w:hint="eastAsia" w:ascii="仿宋" w:hAnsi="仿宋" w:eastAsia="仿宋" w:cs="仿宋"/>
          <w:b w:val="0"/>
          <w:bCs w:val="0"/>
          <w:kern w:val="0"/>
          <w:sz w:val="32"/>
          <w:szCs w:val="32"/>
          <w:lang w:bidi="ar"/>
        </w:rPr>
        <w:t>进行</w:t>
      </w:r>
      <w:r>
        <w:rPr>
          <w:rFonts w:hint="eastAsia" w:ascii="仿宋" w:hAnsi="仿宋" w:eastAsia="仿宋" w:cs="仿宋"/>
          <w:b w:val="0"/>
          <w:bCs w:val="0"/>
          <w:kern w:val="0"/>
          <w:sz w:val="32"/>
          <w:szCs w:val="32"/>
          <w:lang w:val="zh-CN" w:bidi="ar"/>
        </w:rPr>
        <w:t>总结排名，</w:t>
      </w:r>
      <w:r>
        <w:rPr>
          <w:rFonts w:hint="eastAsia" w:ascii="仿宋" w:hAnsi="仿宋" w:eastAsia="仿宋" w:cs="仿宋"/>
          <w:b w:val="0"/>
          <w:bCs w:val="0"/>
          <w:kern w:val="0"/>
          <w:sz w:val="32"/>
          <w:szCs w:val="32"/>
          <w:lang w:bidi="ar"/>
        </w:rPr>
        <w:t>作为年终绩效考核的重要指标。</w:t>
      </w:r>
      <w:r>
        <w:rPr>
          <w:rFonts w:hint="eastAsia" w:ascii="仿宋" w:hAnsi="仿宋" w:eastAsia="仿宋" w:cs="仿宋"/>
          <w:b w:val="0"/>
          <w:bCs w:val="0"/>
          <w:sz w:val="32"/>
          <w:szCs w:val="32"/>
        </w:rPr>
        <w:t>二是电子政务工作有条不紊。</w:t>
      </w:r>
      <w:r>
        <w:rPr>
          <w:rFonts w:hint="eastAsia" w:ascii="仿宋" w:hAnsi="仿宋" w:eastAsia="仿宋" w:cs="仿宋"/>
          <w:b w:val="0"/>
          <w:bCs w:val="0"/>
          <w:kern w:val="0"/>
          <w:sz w:val="32"/>
          <w:szCs w:val="32"/>
          <w:lang w:bidi="ar"/>
        </w:rPr>
        <w:t>全年共计处理解决全市电子政务外网各类问题故障460多宗，业务范围涵盖市直单位、乡镇办事处、园区经开区和部分大型国企，确保全市骨干级通信链路的通信顺畅。按照《关于印发&lt;湘潭市深化政府网站集约化暨“一市一平台”建设实施方案&gt;的通知》（潭政办函〔2019〕26号）要求，我市政府门户网站于9月27日晚成功整体迁移至湘潭市政府网站集约化平台，落实了与湘潭市平台统一标准体系、统一技术平台、统一安全防护、统一运营维护监管的要求，推进了数据融通、服务融通、应用融通。“互联网+监督”平台升级后，对全市近60个单位及22个乡镇办事处的 “互联网+监督”平台账号、网络进行日常维护，保障平台运营管理良好。</w:t>
      </w:r>
      <w:r>
        <w:rPr>
          <w:rFonts w:hint="eastAsia" w:ascii="仿宋" w:hAnsi="仿宋" w:eastAsia="仿宋" w:cs="仿宋"/>
          <w:b w:val="0"/>
          <w:bCs w:val="0"/>
          <w:sz w:val="32"/>
          <w:szCs w:val="32"/>
        </w:rPr>
        <w:t>三是政务公开工作持续开展。</w:t>
      </w:r>
      <w:r>
        <w:rPr>
          <w:rFonts w:hint="eastAsia" w:ascii="仿宋" w:hAnsi="仿宋" w:eastAsia="仿宋" w:cs="仿宋"/>
          <w:b w:val="0"/>
          <w:bCs w:val="0"/>
          <w:kern w:val="0"/>
          <w:sz w:val="32"/>
          <w:szCs w:val="32"/>
          <w:lang w:bidi="ar"/>
        </w:rPr>
        <w:t>对政府及其部门制定的政策，除依法需要保密的外，做到了依规、依程序及时、准确、全面公开，以公开促进依法行政和政策落地见效，并做好了政府文件的解读等工作。在市政府门户网站设立了依申请公开专栏，开通了现场申请、电子申请、信函申请渠道，公开依申请公开的受理部门、程序、办理时限等内容，依法依规办理公众的政府信息公开申请。全年共受理依申请公开申请16件，其中湘潭市政府网网上受理14起，信函受理2起，均在规定时限内及时答复好申请人，办结率、满意率均达100%。</w:t>
      </w:r>
      <w:r>
        <w:rPr>
          <w:rFonts w:hint="eastAsia" w:ascii="仿宋" w:hAnsi="仿宋" w:eastAsia="仿宋" w:cs="仿宋"/>
          <w:b w:val="0"/>
          <w:bCs w:val="0"/>
          <w:sz w:val="32"/>
          <w:szCs w:val="32"/>
        </w:rPr>
        <w:t>四是大厅考核管理严格落实。</w:t>
      </w:r>
      <w:r>
        <w:rPr>
          <w:rFonts w:hint="eastAsia" w:ascii="仿宋" w:hAnsi="仿宋" w:eastAsia="仿宋" w:cs="仿宋"/>
          <w:b w:val="0"/>
          <w:bCs w:val="0"/>
          <w:kern w:val="0"/>
          <w:sz w:val="32"/>
          <w:szCs w:val="32"/>
          <w:lang w:bidi="ar"/>
        </w:rPr>
        <w:t>在政务服务大厅开展窗口治“冷”行动，通过建立健全“首问责任制”等各项规章制度，开展“亮身份、亮职责、亮承诺”、“比服务、比作风、比业绩”、“评党员先锋岗、评服务明星、评红旗窗口”的“三亮三比三评”活动，推行服务细节温情化、提升窗口工作效率等多项具体举措，实现窗口文明优质高效服务工作常态化、长效化，做到来有迎声、去有笑声，确保“微笑服务”。坚持了对窗口单位和工作人员实行月通报、季度讲评，年度考核的制度。根据《考核办法》对工作人员按ABC三类对窗口单位进行排名。</w:t>
      </w:r>
      <w:r>
        <w:rPr>
          <w:rFonts w:hint="eastAsia" w:ascii="仿宋" w:hAnsi="仿宋" w:eastAsia="仿宋" w:cs="仿宋"/>
          <w:b w:val="0"/>
          <w:bCs w:val="0"/>
          <w:sz w:val="32"/>
          <w:szCs w:val="32"/>
        </w:rPr>
        <w:t>今年共评选出“红旗窗口”9个、“服务明星”50名。五是强化舆论引导传播正能量。加强正面引导，积极回应社会关切问题，汇聚社会正能量。今年，我局在新华网专题报道1篇，湖南日报、中国民生新闻网推介各1篇，中国湘乡网发表信息14篇，湘乡电视台专题采访报道8次，编发内部刊物《湘乡政务服务》1期，《湘乡市“一件事一次办”改革真抓实干督查激励推荐材料》2册，《政务服务热线》通报6期、《市长热线》通报5期。</w:t>
      </w:r>
    </w:p>
    <w:p>
      <w:pPr>
        <w:spacing w:line="600" w:lineRule="exact"/>
        <w:ind w:firstLine="640" w:firstLineChars="200"/>
        <w:rPr>
          <w:rFonts w:hint="eastAsia" w:ascii="仿宋" w:hAnsi="仿宋" w:eastAsia="仿宋" w:cs="仿宋_GB2312"/>
          <w:color w:val="000000"/>
          <w:sz w:val="32"/>
          <w:szCs w:val="32"/>
        </w:rPr>
      </w:pPr>
    </w:p>
    <w:p>
      <w:pPr>
        <w:pStyle w:val="6"/>
        <w:widowControl/>
        <w:spacing w:line="360" w:lineRule="auto"/>
        <w:ind w:firstLine="729" w:firstLineChars="228"/>
        <w:jc w:val="both"/>
        <w:rPr>
          <w:rFonts w:hint="eastAsia" w:ascii="仿宋" w:hAnsi="仿宋" w:eastAsia="仿宋" w:cs="楷体_GB2312"/>
          <w:b/>
          <w:bCs/>
          <w:color w:val="010101"/>
          <w:sz w:val="32"/>
          <w:szCs w:val="32"/>
        </w:rPr>
      </w:pPr>
      <w:r>
        <w:rPr>
          <w:rFonts w:hint="eastAsia" w:ascii="仿宋" w:hAnsi="仿宋" w:eastAsia="仿宋" w:cs="楷体_GB2312"/>
          <w:b/>
          <w:bCs/>
          <w:color w:val="010101"/>
          <w:sz w:val="32"/>
          <w:szCs w:val="32"/>
        </w:rPr>
        <w:t>（二）制度建设情况</w:t>
      </w:r>
    </w:p>
    <w:p>
      <w:pPr>
        <w:spacing w:line="360" w:lineRule="auto"/>
        <w:ind w:firstLine="640" w:firstLineChars="200"/>
        <w:rPr>
          <w:rFonts w:hint="eastAsia" w:ascii="仿宋" w:hAnsi="仿宋" w:eastAsia="仿宋" w:cs="华文仿宋"/>
          <w:sz w:val="32"/>
          <w:szCs w:val="32"/>
          <w:lang w:val="en-US" w:eastAsia="zh-CN"/>
        </w:rPr>
      </w:pPr>
      <w:r>
        <w:rPr>
          <w:rFonts w:hint="eastAsia" w:ascii="仿宋" w:hAnsi="仿宋" w:eastAsia="仿宋" w:cs="华文仿宋"/>
          <w:sz w:val="32"/>
          <w:szCs w:val="32"/>
          <w:lang w:eastAsia="zh-CN"/>
        </w:rPr>
        <w:t>我</w:t>
      </w:r>
      <w:r>
        <w:rPr>
          <w:rFonts w:hint="eastAsia" w:ascii="仿宋" w:hAnsi="仿宋" w:eastAsia="仿宋" w:cs="华文仿宋"/>
          <w:sz w:val="32"/>
          <w:szCs w:val="32"/>
        </w:rPr>
        <w:t>局</w:t>
      </w:r>
      <w:r>
        <w:rPr>
          <w:rFonts w:hint="eastAsia" w:ascii="仿宋" w:hAnsi="仿宋" w:eastAsia="仿宋" w:cs="华文仿宋"/>
          <w:sz w:val="32"/>
          <w:szCs w:val="32"/>
          <w:highlight w:val="none"/>
        </w:rPr>
        <w:t>为保证各项工作任务的顺利完成，加强财务管理</w:t>
      </w:r>
      <w:r>
        <w:rPr>
          <w:rFonts w:hint="eastAsia" w:ascii="仿宋" w:hAnsi="仿宋" w:eastAsia="仿宋" w:cs="华文仿宋"/>
          <w:sz w:val="32"/>
          <w:szCs w:val="32"/>
          <w:highlight w:val="none"/>
          <w:lang w:eastAsia="zh-CN"/>
        </w:rPr>
        <w:t>和内部控制</w:t>
      </w:r>
      <w:r>
        <w:rPr>
          <w:rFonts w:hint="eastAsia" w:ascii="仿宋" w:hAnsi="仿宋" w:eastAsia="仿宋" w:cs="华文仿宋"/>
          <w:sz w:val="32"/>
          <w:szCs w:val="32"/>
          <w:highlight w:val="none"/>
        </w:rPr>
        <w:t>，全面规范财务行为，提高资金使用效益</w:t>
      </w:r>
      <w:r>
        <w:rPr>
          <w:rFonts w:hint="eastAsia" w:ascii="仿宋" w:hAnsi="仿宋" w:eastAsia="仿宋" w:cs="华文仿宋"/>
          <w:sz w:val="32"/>
          <w:szCs w:val="32"/>
          <w:highlight w:val="none"/>
          <w:lang w:eastAsia="zh-CN"/>
        </w:rPr>
        <w:t>制定了一系列具体制度</w:t>
      </w:r>
      <w:r>
        <w:rPr>
          <w:rFonts w:hint="eastAsia" w:ascii="仿宋" w:hAnsi="仿宋" w:eastAsia="仿宋" w:cs="华文仿宋"/>
          <w:sz w:val="32"/>
          <w:szCs w:val="32"/>
          <w:highlight w:val="none"/>
          <w:lang w:val="en-US" w:eastAsia="zh-CN"/>
        </w:rPr>
        <w:t>,</w:t>
      </w:r>
      <w:r>
        <w:rPr>
          <w:rFonts w:hint="eastAsia" w:ascii="仿宋" w:hAnsi="仿宋" w:eastAsia="仿宋" w:cs="华文仿宋"/>
          <w:sz w:val="32"/>
          <w:szCs w:val="32"/>
          <w:lang w:eastAsia="zh-CN"/>
        </w:rPr>
        <w:t>包括</w:t>
      </w:r>
      <w:r>
        <w:rPr>
          <w:rFonts w:hint="eastAsia" w:ascii="仿宋" w:hAnsi="仿宋" w:eastAsia="仿宋" w:cs="华文仿宋"/>
          <w:sz w:val="32"/>
          <w:szCs w:val="32"/>
          <w:lang w:val="en-US" w:eastAsia="zh-CN"/>
        </w:rPr>
        <w:t>:《预算资金管理办法》、《会计核算制度》、《财务监管制度》、《内部财务管理制度》、《资产管理办法》、《经济合同管理办法》、《专项资金管理制度》、《项目管理办法》等。</w:t>
      </w:r>
    </w:p>
    <w:p>
      <w:pPr>
        <w:pStyle w:val="6"/>
        <w:widowControl/>
        <w:wordWrap w:val="0"/>
        <w:spacing w:line="360" w:lineRule="auto"/>
        <w:rPr>
          <w:rFonts w:hint="eastAsia" w:ascii="仿宋" w:hAnsi="仿宋" w:eastAsia="仿宋" w:cs="仿宋_GB2312"/>
          <w:b/>
          <w:bCs/>
          <w:color w:val="010101"/>
          <w:sz w:val="32"/>
          <w:szCs w:val="32"/>
        </w:rPr>
      </w:pPr>
      <w:r>
        <w:rPr>
          <w:rFonts w:hint="eastAsia" w:ascii="仿宋" w:hAnsi="仿宋" w:eastAsia="仿宋" w:cs="华文仿宋"/>
          <w:color w:val="000000"/>
          <w:kern w:val="2"/>
          <w:sz w:val="32"/>
          <w:szCs w:val="32"/>
        </w:rPr>
        <w:t xml:space="preserve">    </w:t>
      </w:r>
      <w:r>
        <w:rPr>
          <w:rFonts w:hint="eastAsia" w:ascii="仿宋" w:hAnsi="仿宋" w:eastAsia="仿宋" w:cs="仿宋_GB2312"/>
          <w:b/>
          <w:bCs/>
          <w:color w:val="010101"/>
          <w:sz w:val="32"/>
          <w:szCs w:val="32"/>
        </w:rPr>
        <w:t>（三）“三公”经费情况</w:t>
      </w:r>
    </w:p>
    <w:p>
      <w:pPr>
        <w:ind w:firstLine="729" w:firstLineChars="228"/>
        <w:rPr>
          <w:rFonts w:hint="eastAsia" w:ascii="仿宋" w:hAnsi="仿宋" w:eastAsia="仿宋" w:cs="华文仿宋"/>
          <w:color w:val="000000"/>
          <w:sz w:val="32"/>
          <w:szCs w:val="32"/>
        </w:rPr>
      </w:pPr>
      <w:r>
        <w:rPr>
          <w:rFonts w:hint="eastAsia" w:ascii="仿宋" w:hAnsi="仿宋" w:eastAsia="仿宋" w:cs="华文仿宋"/>
          <w:color w:val="000000"/>
          <w:sz w:val="32"/>
          <w:szCs w:val="32"/>
        </w:rPr>
        <w:t>201</w:t>
      </w:r>
      <w:r>
        <w:rPr>
          <w:rFonts w:hint="eastAsia" w:ascii="仿宋" w:hAnsi="仿宋" w:eastAsia="仿宋" w:cs="华文仿宋"/>
          <w:color w:val="000000"/>
          <w:sz w:val="32"/>
          <w:szCs w:val="32"/>
          <w:lang w:val="en-US" w:eastAsia="zh-CN"/>
        </w:rPr>
        <w:t>9</w:t>
      </w:r>
      <w:r>
        <w:rPr>
          <w:rFonts w:hint="eastAsia" w:ascii="仿宋" w:hAnsi="仿宋" w:eastAsia="仿宋" w:cs="华文仿宋"/>
          <w:color w:val="000000"/>
          <w:sz w:val="32"/>
          <w:szCs w:val="32"/>
        </w:rPr>
        <w:t>年财政批复“三公”经费预算数为</w:t>
      </w:r>
      <w:r>
        <w:rPr>
          <w:rFonts w:hint="eastAsia" w:ascii="仿宋" w:hAnsi="仿宋" w:eastAsia="仿宋" w:cs="华文仿宋"/>
          <w:color w:val="000000"/>
          <w:sz w:val="32"/>
          <w:szCs w:val="32"/>
          <w:lang w:val="en-US" w:eastAsia="zh-CN"/>
        </w:rPr>
        <w:t>8</w:t>
      </w:r>
      <w:r>
        <w:rPr>
          <w:rFonts w:hint="eastAsia" w:ascii="仿宋" w:hAnsi="仿宋" w:eastAsia="仿宋" w:cs="华文仿宋"/>
          <w:color w:val="000000"/>
          <w:sz w:val="32"/>
          <w:szCs w:val="32"/>
        </w:rPr>
        <w:t>万元，其中公务接待费</w:t>
      </w:r>
      <w:r>
        <w:rPr>
          <w:rFonts w:hint="eastAsia" w:ascii="仿宋" w:hAnsi="仿宋" w:eastAsia="仿宋" w:cs="华文仿宋"/>
          <w:color w:val="000000"/>
          <w:sz w:val="32"/>
          <w:szCs w:val="32"/>
          <w:lang w:val="en-US" w:eastAsia="zh-CN"/>
        </w:rPr>
        <w:t>8</w:t>
      </w:r>
      <w:r>
        <w:rPr>
          <w:rFonts w:hint="eastAsia" w:ascii="仿宋" w:hAnsi="仿宋" w:eastAsia="仿宋" w:cs="华文仿宋"/>
          <w:color w:val="000000"/>
          <w:sz w:val="32"/>
          <w:szCs w:val="32"/>
        </w:rPr>
        <w:t>万元，</w:t>
      </w:r>
      <w:r>
        <w:rPr>
          <w:rFonts w:hint="eastAsia" w:ascii="仿宋" w:hAnsi="仿宋" w:eastAsia="仿宋" w:cs="华文仿宋"/>
          <w:color w:val="000000"/>
          <w:sz w:val="32"/>
          <w:szCs w:val="32"/>
          <w:lang w:val="en-US" w:eastAsia="zh-CN"/>
        </w:rPr>
        <w:t>2018年</w:t>
      </w:r>
      <w:r>
        <w:rPr>
          <w:rFonts w:hint="eastAsia" w:ascii="仿宋" w:hAnsi="仿宋" w:eastAsia="仿宋" w:cs="华文仿宋"/>
          <w:color w:val="000000"/>
          <w:sz w:val="32"/>
          <w:szCs w:val="32"/>
        </w:rPr>
        <w:t>“三公”经费预算数</w:t>
      </w:r>
      <w:r>
        <w:rPr>
          <w:rFonts w:hint="eastAsia" w:ascii="仿宋" w:hAnsi="仿宋" w:eastAsia="仿宋" w:cs="华文仿宋"/>
          <w:color w:val="000000"/>
          <w:sz w:val="32"/>
          <w:szCs w:val="32"/>
          <w:lang w:val="en-US" w:eastAsia="zh-CN"/>
        </w:rPr>
        <w:t>8</w:t>
      </w:r>
      <w:r>
        <w:rPr>
          <w:rFonts w:hint="eastAsia" w:ascii="仿宋" w:hAnsi="仿宋" w:eastAsia="仿宋" w:cs="华文仿宋"/>
          <w:color w:val="000000"/>
          <w:sz w:val="32"/>
          <w:szCs w:val="32"/>
        </w:rPr>
        <w:t>万元。</w:t>
      </w:r>
    </w:p>
    <w:p>
      <w:pPr>
        <w:ind w:firstLine="729" w:firstLineChars="228"/>
        <w:rPr>
          <w:rFonts w:hint="eastAsia" w:ascii="仿宋" w:hAnsi="仿宋" w:eastAsia="仿宋" w:cs="华文仿宋"/>
          <w:sz w:val="28"/>
          <w:szCs w:val="28"/>
        </w:rPr>
      </w:pPr>
      <w:r>
        <w:rPr>
          <w:rFonts w:hint="eastAsia" w:ascii="仿宋" w:hAnsi="仿宋" w:eastAsia="仿宋" w:cs="华文仿宋"/>
          <w:color w:val="000000"/>
          <w:sz w:val="32"/>
          <w:szCs w:val="32"/>
        </w:rPr>
        <w:t>201</w:t>
      </w:r>
      <w:r>
        <w:rPr>
          <w:rFonts w:hint="eastAsia" w:ascii="仿宋" w:hAnsi="仿宋" w:eastAsia="仿宋" w:cs="华文仿宋"/>
          <w:color w:val="000000"/>
          <w:sz w:val="32"/>
          <w:szCs w:val="32"/>
          <w:lang w:val="en-US" w:eastAsia="zh-CN"/>
        </w:rPr>
        <w:t>9</w:t>
      </w:r>
      <w:r>
        <w:rPr>
          <w:rFonts w:hint="eastAsia" w:ascii="仿宋" w:hAnsi="仿宋" w:eastAsia="仿宋" w:cs="华文仿宋"/>
          <w:color w:val="000000"/>
          <w:sz w:val="32"/>
          <w:szCs w:val="32"/>
        </w:rPr>
        <w:t>年全年决算支出“三公”经费</w:t>
      </w:r>
      <w:r>
        <w:rPr>
          <w:rFonts w:hint="eastAsia" w:ascii="仿宋" w:hAnsi="仿宋" w:eastAsia="仿宋" w:cs="华文仿宋"/>
          <w:color w:val="000000"/>
          <w:sz w:val="32"/>
          <w:szCs w:val="32"/>
          <w:lang w:val="en-US" w:eastAsia="zh-CN"/>
        </w:rPr>
        <w:t>0.6</w:t>
      </w:r>
      <w:r>
        <w:rPr>
          <w:rFonts w:hint="eastAsia" w:ascii="仿宋" w:hAnsi="仿宋" w:eastAsia="仿宋" w:cs="华文仿宋"/>
          <w:color w:val="000000"/>
          <w:sz w:val="32"/>
          <w:szCs w:val="32"/>
        </w:rPr>
        <w:t>万元。</w:t>
      </w:r>
    </w:p>
    <w:p>
      <w:pPr>
        <w:ind w:firstLine="729" w:firstLineChars="228"/>
        <w:rPr>
          <w:rFonts w:hint="eastAsia" w:ascii="仿宋" w:hAnsi="仿宋" w:eastAsia="仿宋" w:cs="仿宋_GB2312"/>
          <w:b/>
          <w:bCs/>
          <w:color w:val="010101"/>
          <w:sz w:val="32"/>
          <w:szCs w:val="32"/>
        </w:rPr>
      </w:pPr>
      <w:r>
        <w:rPr>
          <w:rFonts w:hint="eastAsia" w:ascii="仿宋" w:hAnsi="仿宋" w:eastAsia="仿宋" w:cs="仿宋_GB2312"/>
          <w:b/>
          <w:bCs/>
          <w:color w:val="010101"/>
          <w:sz w:val="32"/>
          <w:szCs w:val="32"/>
        </w:rPr>
        <w:t>（</w:t>
      </w:r>
      <w:r>
        <w:rPr>
          <w:rFonts w:hint="eastAsia" w:ascii="仿宋" w:hAnsi="仿宋" w:eastAsia="仿宋" w:cs="仿宋_GB2312"/>
          <w:b/>
          <w:bCs/>
          <w:color w:val="010101"/>
          <w:sz w:val="32"/>
          <w:szCs w:val="32"/>
          <w:lang w:val="en-US" w:eastAsia="zh-CN"/>
        </w:rPr>
        <w:t>四</w:t>
      </w:r>
      <w:r>
        <w:rPr>
          <w:rFonts w:hint="eastAsia" w:ascii="仿宋" w:hAnsi="仿宋" w:eastAsia="仿宋" w:cs="仿宋_GB2312"/>
          <w:b/>
          <w:bCs/>
          <w:color w:val="010101"/>
          <w:sz w:val="32"/>
          <w:szCs w:val="32"/>
        </w:rPr>
        <w:t>）年末结转和结余情况</w:t>
      </w:r>
    </w:p>
    <w:p>
      <w:pPr>
        <w:ind w:firstLine="729" w:firstLineChars="228"/>
        <w:rPr>
          <w:rFonts w:hint="eastAsia" w:ascii="仿宋" w:hAnsi="仿宋" w:eastAsia="仿宋" w:cs="华文仿宋"/>
          <w:color w:val="000000"/>
          <w:sz w:val="32"/>
          <w:szCs w:val="32"/>
          <w:lang w:eastAsia="zh-CN"/>
        </w:rPr>
      </w:pPr>
      <w:r>
        <w:rPr>
          <w:rFonts w:hint="eastAsia" w:ascii="仿宋" w:hAnsi="仿宋" w:eastAsia="仿宋" w:cs="华文仿宋"/>
          <w:color w:val="000000"/>
          <w:sz w:val="32"/>
          <w:szCs w:val="32"/>
          <w:lang w:eastAsia="zh-CN"/>
        </w:rPr>
        <w:t>2019年本单位年末结转和结余资金2420.09元，比上年减少</w:t>
      </w:r>
      <w:r>
        <w:rPr>
          <w:rFonts w:hint="eastAsia" w:ascii="仿宋" w:hAnsi="仿宋" w:eastAsia="仿宋" w:cs="华文仿宋"/>
          <w:color w:val="000000"/>
          <w:sz w:val="32"/>
          <w:szCs w:val="32"/>
          <w:lang w:val="en-US" w:eastAsia="zh-CN"/>
        </w:rPr>
        <w:t>101</w:t>
      </w:r>
      <w:r>
        <w:rPr>
          <w:rFonts w:hint="eastAsia" w:ascii="仿宋" w:hAnsi="仿宋" w:eastAsia="仿宋" w:cs="华文仿宋"/>
          <w:color w:val="000000"/>
          <w:sz w:val="32"/>
          <w:szCs w:val="32"/>
          <w:lang w:eastAsia="zh-CN"/>
        </w:rPr>
        <w:t>0098.46元，下降99.76%，增减变化的主要原因是：少部分商品服务支出待支付。</w:t>
      </w:r>
    </w:p>
    <w:p>
      <w:pPr>
        <w:ind w:firstLine="729" w:firstLineChars="228"/>
        <w:rPr>
          <w:rFonts w:hint="eastAsia" w:ascii="仿宋" w:hAnsi="仿宋" w:eastAsia="仿宋" w:cs="华文仿宋"/>
          <w:color w:val="000000"/>
          <w:sz w:val="32"/>
          <w:szCs w:val="32"/>
          <w:lang w:eastAsia="zh-CN"/>
        </w:rPr>
      </w:pPr>
      <w:r>
        <w:rPr>
          <w:rFonts w:hint="eastAsia" w:ascii="仿宋" w:hAnsi="仿宋" w:eastAsia="仿宋" w:cs="华文仿宋"/>
          <w:color w:val="000000"/>
          <w:sz w:val="32"/>
          <w:szCs w:val="32"/>
          <w:lang w:eastAsia="zh-CN"/>
        </w:rPr>
        <w:t>评价结论：我局201</w:t>
      </w:r>
      <w:r>
        <w:rPr>
          <w:rFonts w:hint="eastAsia" w:ascii="仿宋" w:hAnsi="仿宋" w:eastAsia="仿宋" w:cs="华文仿宋"/>
          <w:color w:val="000000"/>
          <w:sz w:val="32"/>
          <w:szCs w:val="32"/>
          <w:lang w:val="en-US" w:eastAsia="zh-CN"/>
        </w:rPr>
        <w:t>9</w:t>
      </w:r>
      <w:r>
        <w:rPr>
          <w:rFonts w:hint="eastAsia" w:ascii="仿宋" w:hAnsi="仿宋" w:eastAsia="仿宋" w:cs="华文仿宋"/>
          <w:color w:val="000000"/>
          <w:sz w:val="32"/>
          <w:szCs w:val="32"/>
          <w:lang w:eastAsia="zh-CN"/>
        </w:rPr>
        <w:t>年度部门整体支出指标体系得分9</w:t>
      </w:r>
      <w:r>
        <w:rPr>
          <w:rFonts w:hint="eastAsia" w:ascii="仿宋" w:hAnsi="仿宋" w:eastAsia="仿宋" w:cs="华文仿宋"/>
          <w:color w:val="000000"/>
          <w:sz w:val="32"/>
          <w:szCs w:val="32"/>
          <w:lang w:val="en-US" w:eastAsia="zh-CN"/>
        </w:rPr>
        <w:t>3</w:t>
      </w:r>
      <w:r>
        <w:rPr>
          <w:rFonts w:hint="eastAsia" w:ascii="仿宋" w:hAnsi="仿宋" w:eastAsia="仿宋" w:cs="华文仿宋"/>
          <w:color w:val="000000"/>
          <w:sz w:val="32"/>
          <w:szCs w:val="32"/>
          <w:lang w:eastAsia="zh-CN"/>
        </w:rPr>
        <w:t>分，评价结果为优，各项年初绩效目标基本完成，社会效益有所提高，项目组织管理和财务管理基本健全规范，未发生违法行为，人民安居乐业，满意度明显提高。</w:t>
      </w:r>
    </w:p>
    <w:p>
      <w:pPr>
        <w:ind w:firstLine="640" w:firstLineChars="200"/>
        <w:jc w:val="left"/>
        <w:rPr>
          <w:rFonts w:cs="黑体" w:asciiTheme="minorEastAsia" w:hAnsiTheme="minorEastAsia"/>
          <w:color w:val="000000"/>
          <w:kern w:val="0"/>
          <w:sz w:val="32"/>
          <w:szCs w:val="32"/>
        </w:rPr>
      </w:pPr>
      <w:r>
        <w:rPr>
          <w:rFonts w:hint="eastAsia" w:ascii="仿宋" w:hAnsi="仿宋" w:eastAsia="仿宋" w:cs="华文仿宋"/>
          <w:color w:val="000000"/>
          <w:sz w:val="32"/>
          <w:szCs w:val="32"/>
          <w:lang w:val="en-US" w:eastAsia="zh-CN"/>
        </w:rPr>
        <w:t xml:space="preserve">                            </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AA973"/>
    <w:multiLevelType w:val="singleLevel"/>
    <w:tmpl w:val="CACAA973"/>
    <w:lvl w:ilvl="0" w:tentative="0">
      <w:start w:val="2"/>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CFC7FFE"/>
    <w:multiLevelType w:val="singleLevel"/>
    <w:tmpl w:val="6CFC7FFE"/>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AA48FD"/>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36B6F07"/>
    <w:rsid w:val="04E65BC9"/>
    <w:rsid w:val="053F2793"/>
    <w:rsid w:val="05C20E83"/>
    <w:rsid w:val="05E749EA"/>
    <w:rsid w:val="05EA73BF"/>
    <w:rsid w:val="06AC39DD"/>
    <w:rsid w:val="07BC5329"/>
    <w:rsid w:val="07F83DA2"/>
    <w:rsid w:val="08A04A06"/>
    <w:rsid w:val="08C517C4"/>
    <w:rsid w:val="08CC6558"/>
    <w:rsid w:val="08D76827"/>
    <w:rsid w:val="0E92503D"/>
    <w:rsid w:val="0F143273"/>
    <w:rsid w:val="10710E61"/>
    <w:rsid w:val="17217CEB"/>
    <w:rsid w:val="17C03299"/>
    <w:rsid w:val="18180A53"/>
    <w:rsid w:val="188B38AD"/>
    <w:rsid w:val="18AD20A6"/>
    <w:rsid w:val="1A0C01D5"/>
    <w:rsid w:val="1A323F72"/>
    <w:rsid w:val="1C285ABB"/>
    <w:rsid w:val="1D8B433B"/>
    <w:rsid w:val="1ED746A9"/>
    <w:rsid w:val="24763016"/>
    <w:rsid w:val="25E80949"/>
    <w:rsid w:val="260B030D"/>
    <w:rsid w:val="28DF0CF6"/>
    <w:rsid w:val="2C1208D6"/>
    <w:rsid w:val="2CF63F28"/>
    <w:rsid w:val="2D8C0A9C"/>
    <w:rsid w:val="2DBC169C"/>
    <w:rsid w:val="2E906B05"/>
    <w:rsid w:val="2FCA2BB9"/>
    <w:rsid w:val="37B33389"/>
    <w:rsid w:val="399062A3"/>
    <w:rsid w:val="3A031111"/>
    <w:rsid w:val="3A6C4AF1"/>
    <w:rsid w:val="3C7E7D9A"/>
    <w:rsid w:val="3F6A2DCF"/>
    <w:rsid w:val="3F73055C"/>
    <w:rsid w:val="400E012A"/>
    <w:rsid w:val="407C1776"/>
    <w:rsid w:val="435B6420"/>
    <w:rsid w:val="45AF2195"/>
    <w:rsid w:val="47E61791"/>
    <w:rsid w:val="4A387F9C"/>
    <w:rsid w:val="4B6B34C9"/>
    <w:rsid w:val="4CCE23F8"/>
    <w:rsid w:val="4D3839F6"/>
    <w:rsid w:val="4DF06E05"/>
    <w:rsid w:val="5218217A"/>
    <w:rsid w:val="52661968"/>
    <w:rsid w:val="52CA28B1"/>
    <w:rsid w:val="53DD03B0"/>
    <w:rsid w:val="53E2276E"/>
    <w:rsid w:val="55F617DC"/>
    <w:rsid w:val="59086AFD"/>
    <w:rsid w:val="5A716A92"/>
    <w:rsid w:val="5D940BF6"/>
    <w:rsid w:val="5DCE4DBF"/>
    <w:rsid w:val="60F34222"/>
    <w:rsid w:val="61EF19BE"/>
    <w:rsid w:val="6202013C"/>
    <w:rsid w:val="64C203A4"/>
    <w:rsid w:val="653C3ADB"/>
    <w:rsid w:val="65B127FE"/>
    <w:rsid w:val="66F56480"/>
    <w:rsid w:val="67675EB5"/>
    <w:rsid w:val="67C92962"/>
    <w:rsid w:val="67E27164"/>
    <w:rsid w:val="6BFC3678"/>
    <w:rsid w:val="6EB22DC6"/>
    <w:rsid w:val="76C7213B"/>
    <w:rsid w:val="78240679"/>
    <w:rsid w:val="795E6DAD"/>
    <w:rsid w:val="7A6F4B41"/>
    <w:rsid w:val="7EDA52CB"/>
    <w:rsid w:val="7F01344B"/>
    <w:rsid w:val="7F104F84"/>
    <w:rsid w:val="7F105683"/>
    <w:rsid w:val="7FE25F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customStyle="1" w:styleId="2">
    <w:name w:val="正文-公1"/>
    <w:basedOn w:val="1"/>
    <w:qFormat/>
    <w:uiPriority w:val="0"/>
    <w:pPr>
      <w:ind w:firstLine="200" w:firstLineChars="200"/>
    </w:pPr>
    <w:rPr>
      <w:rFonts w:ascii="Calibri" w:hAnsi="Calibri" w:eastAsia="宋体" w:cs="Arial"/>
    </w:rPr>
  </w:style>
  <w:style w:type="paragraph" w:styleId="3">
    <w:name w:val="Balloon Text"/>
    <w:basedOn w:val="1"/>
    <w:link w:val="13"/>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default" w:ascii="Arial" w:hAnsi="Arial" w:cs="Arial"/>
      <w:color w:val="333333"/>
      <w:kern w:val="0"/>
      <w:sz w:val="18"/>
      <w:szCs w:val="18"/>
      <w:lang w:val="en-US" w:eastAsia="zh-CN" w:bidi="ar"/>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1258</Words>
  <Characters>7176</Characters>
  <Lines>59</Lines>
  <Paragraphs>16</Paragraphs>
  <TotalTime>8</TotalTime>
  <ScaleCrop>false</ScaleCrop>
  <LinksUpToDate>false</LinksUpToDate>
  <CharactersWithSpaces>8418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贺小婷</cp:lastModifiedBy>
  <cp:lastPrinted>2020-07-15T07:25:00Z</cp:lastPrinted>
  <dcterms:modified xsi:type="dcterms:W3CDTF">2021-07-02T05:09:36Z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743A80C1D38845908BF9AF5527E52890</vt:lpwstr>
  </property>
</Properties>
</file>