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仿宋" w:hAnsi="仿宋" w:eastAsia="仿宋"/>
          <w:b/>
          <w:bCs/>
          <w:kern w:val="0"/>
          <w:sz w:val="44"/>
          <w:szCs w:val="44"/>
        </w:rPr>
      </w:pPr>
      <w:r>
        <w:rPr>
          <w:rFonts w:hint="eastAsia" w:ascii="仿宋" w:hAnsi="仿宋" w:eastAsia="仿宋" w:cs="宋体"/>
          <w:b/>
          <w:bCs/>
          <w:kern w:val="0"/>
          <w:sz w:val="44"/>
          <w:szCs w:val="44"/>
        </w:rPr>
        <w:t>湘乡市人力资源和社会保障局</w:t>
      </w:r>
      <w:r>
        <w:rPr>
          <w:rFonts w:ascii="仿宋" w:hAnsi="仿宋" w:eastAsia="仿宋"/>
          <w:b/>
          <w:bCs/>
          <w:kern w:val="0"/>
          <w:sz w:val="44"/>
          <w:szCs w:val="44"/>
        </w:rPr>
        <w:t>201</w:t>
      </w:r>
      <w:r>
        <w:rPr>
          <w:rFonts w:hint="eastAsia" w:ascii="仿宋" w:hAnsi="仿宋" w:eastAsia="仿宋"/>
          <w:b/>
          <w:bCs/>
          <w:kern w:val="0"/>
          <w:sz w:val="44"/>
          <w:szCs w:val="44"/>
        </w:rPr>
        <w:t>8</w:t>
      </w:r>
      <w:r>
        <w:rPr>
          <w:rFonts w:hint="eastAsia" w:ascii="仿宋" w:hAnsi="仿宋" w:eastAsia="仿宋" w:cs="宋体"/>
          <w:b/>
          <w:bCs/>
          <w:kern w:val="0"/>
          <w:sz w:val="44"/>
          <w:szCs w:val="44"/>
        </w:rPr>
        <w:t>年度部门决算公开目录</w:t>
      </w:r>
    </w:p>
    <w:p>
      <w:pPr>
        <w:widowControl/>
        <w:jc w:val="center"/>
        <w:rPr>
          <w:b/>
          <w:bCs/>
          <w:kern w:val="0"/>
          <w:sz w:val="44"/>
          <w:szCs w:val="44"/>
        </w:rPr>
      </w:pPr>
    </w:p>
    <w:p>
      <w:pPr>
        <w:widowControl/>
        <w:rPr>
          <w:rFonts w:ascii="仿宋" w:hAnsi="仿宋" w:eastAsia="仿宋"/>
          <w:b/>
          <w:bCs/>
          <w:kern w:val="0"/>
          <w:sz w:val="32"/>
          <w:szCs w:val="32"/>
        </w:rPr>
      </w:pPr>
      <w:r>
        <w:rPr>
          <w:rFonts w:hint="eastAsia" w:ascii="仿宋" w:hAnsi="仿宋" w:eastAsia="仿宋" w:cs="仿宋_GB2312"/>
          <w:b/>
          <w:bCs/>
          <w:kern w:val="0"/>
          <w:sz w:val="32"/>
          <w:szCs w:val="32"/>
        </w:rPr>
        <w:t>第一部分</w:t>
      </w:r>
      <w:r>
        <w:rPr>
          <w:rFonts w:ascii="仿宋" w:hAnsi="仿宋" w:eastAsia="仿宋" w:cs="仿宋_GB2312"/>
          <w:b/>
          <w:bCs/>
          <w:kern w:val="0"/>
          <w:sz w:val="32"/>
          <w:szCs w:val="32"/>
        </w:rPr>
        <w:t xml:space="preserve">  </w:t>
      </w:r>
      <w:r>
        <w:rPr>
          <w:rFonts w:hint="eastAsia" w:ascii="仿宋" w:hAnsi="仿宋" w:eastAsia="仿宋" w:cs="仿宋_GB2312"/>
          <w:b/>
          <w:bCs/>
          <w:kern w:val="0"/>
          <w:sz w:val="32"/>
          <w:szCs w:val="32"/>
        </w:rPr>
        <w:t>湘乡市人力资源和社会保障局概况</w:t>
      </w:r>
    </w:p>
    <w:p>
      <w:pPr>
        <w:widowControl/>
        <w:rPr>
          <w:rFonts w:ascii="仿宋" w:hAnsi="仿宋" w:eastAsia="仿宋"/>
          <w:kern w:val="0"/>
          <w:sz w:val="32"/>
          <w:szCs w:val="32"/>
        </w:rPr>
      </w:pPr>
      <w:r>
        <w:rPr>
          <w:rFonts w:hint="eastAsia" w:ascii="仿宋" w:hAnsi="仿宋" w:eastAsia="仿宋" w:cs="仿宋_GB2312"/>
          <w:kern w:val="0"/>
          <w:sz w:val="32"/>
          <w:szCs w:val="32"/>
        </w:rPr>
        <w:t>一、主要职能</w:t>
      </w:r>
    </w:p>
    <w:p>
      <w:pPr>
        <w:widowControl/>
        <w:rPr>
          <w:rFonts w:ascii="仿宋" w:hAnsi="仿宋" w:eastAsia="仿宋"/>
          <w:kern w:val="0"/>
          <w:sz w:val="32"/>
          <w:szCs w:val="32"/>
        </w:rPr>
      </w:pPr>
      <w:r>
        <w:rPr>
          <w:rFonts w:hint="eastAsia" w:ascii="仿宋" w:hAnsi="仿宋" w:eastAsia="仿宋" w:cs="仿宋_GB2312"/>
          <w:kern w:val="0"/>
          <w:sz w:val="32"/>
          <w:szCs w:val="32"/>
        </w:rPr>
        <w:t>二、部门决算单位构成</w:t>
      </w:r>
    </w:p>
    <w:p>
      <w:pPr>
        <w:widowControl/>
        <w:rPr>
          <w:rFonts w:ascii="仿宋" w:hAnsi="仿宋" w:eastAsia="仿宋"/>
          <w:b/>
          <w:bCs/>
          <w:kern w:val="0"/>
          <w:sz w:val="32"/>
          <w:szCs w:val="32"/>
        </w:rPr>
      </w:pPr>
      <w:r>
        <w:rPr>
          <w:rFonts w:hint="eastAsia" w:ascii="仿宋" w:hAnsi="仿宋" w:eastAsia="仿宋" w:cs="仿宋_GB2312"/>
          <w:b/>
          <w:bCs/>
          <w:kern w:val="0"/>
          <w:sz w:val="32"/>
          <w:szCs w:val="32"/>
        </w:rPr>
        <w:t>第二部分</w:t>
      </w:r>
      <w:r>
        <w:rPr>
          <w:rFonts w:ascii="仿宋" w:hAnsi="仿宋" w:eastAsia="仿宋" w:cs="仿宋_GB2312"/>
          <w:b/>
          <w:bCs/>
          <w:kern w:val="0"/>
          <w:sz w:val="32"/>
          <w:szCs w:val="32"/>
        </w:rPr>
        <w:t xml:space="preserve">  </w:t>
      </w:r>
      <w:r>
        <w:rPr>
          <w:rFonts w:hint="eastAsia" w:ascii="仿宋" w:hAnsi="仿宋" w:eastAsia="仿宋" w:cs="仿宋_GB2312"/>
          <w:b/>
          <w:bCs/>
          <w:kern w:val="0"/>
          <w:sz w:val="32"/>
          <w:szCs w:val="32"/>
        </w:rPr>
        <w:t>湘乡市人力资源和社会保障局</w:t>
      </w:r>
      <w:r>
        <w:rPr>
          <w:rFonts w:ascii="仿宋" w:hAnsi="仿宋" w:eastAsia="仿宋" w:cs="仿宋_GB2312"/>
          <w:b/>
          <w:bCs/>
          <w:kern w:val="0"/>
          <w:sz w:val="32"/>
          <w:szCs w:val="32"/>
        </w:rPr>
        <w:t>201</w:t>
      </w:r>
      <w:r>
        <w:rPr>
          <w:rFonts w:hint="eastAsia" w:ascii="仿宋" w:hAnsi="仿宋" w:eastAsia="仿宋" w:cs="仿宋_GB2312"/>
          <w:b/>
          <w:bCs/>
          <w:kern w:val="0"/>
          <w:sz w:val="32"/>
          <w:szCs w:val="32"/>
        </w:rPr>
        <w:t>8年度部门决算情况说明</w:t>
      </w:r>
    </w:p>
    <w:p>
      <w:pPr>
        <w:widowControl/>
        <w:rPr>
          <w:rFonts w:ascii="仿宋" w:hAnsi="仿宋" w:eastAsia="仿宋"/>
          <w:b/>
          <w:bCs/>
          <w:kern w:val="0"/>
          <w:sz w:val="32"/>
          <w:szCs w:val="32"/>
        </w:rPr>
      </w:pPr>
      <w:r>
        <w:rPr>
          <w:rFonts w:hint="eastAsia" w:ascii="仿宋" w:hAnsi="仿宋" w:eastAsia="仿宋" w:cs="仿宋_GB2312"/>
          <w:b/>
          <w:bCs/>
          <w:kern w:val="0"/>
          <w:sz w:val="32"/>
          <w:szCs w:val="32"/>
        </w:rPr>
        <w:t>第三部分</w:t>
      </w:r>
      <w:r>
        <w:rPr>
          <w:rFonts w:ascii="仿宋" w:hAnsi="仿宋" w:eastAsia="仿宋" w:cs="仿宋_GB2312"/>
          <w:b/>
          <w:bCs/>
          <w:kern w:val="0"/>
          <w:sz w:val="32"/>
          <w:szCs w:val="32"/>
        </w:rPr>
        <w:t xml:space="preserve">  </w:t>
      </w:r>
      <w:r>
        <w:rPr>
          <w:rFonts w:hint="eastAsia" w:ascii="仿宋" w:hAnsi="仿宋" w:eastAsia="仿宋" w:cs="仿宋_GB2312"/>
          <w:b/>
          <w:bCs/>
          <w:kern w:val="0"/>
          <w:sz w:val="32"/>
          <w:szCs w:val="32"/>
        </w:rPr>
        <w:t>名称解释</w:t>
      </w:r>
    </w:p>
    <w:p>
      <w:pPr>
        <w:widowControl/>
        <w:rPr>
          <w:rFonts w:ascii="仿宋" w:hAnsi="仿宋" w:eastAsia="仿宋"/>
          <w:b/>
          <w:bCs/>
          <w:kern w:val="0"/>
          <w:sz w:val="32"/>
          <w:szCs w:val="32"/>
        </w:rPr>
      </w:pPr>
      <w:r>
        <w:rPr>
          <w:rFonts w:hint="eastAsia" w:ascii="仿宋" w:hAnsi="仿宋" w:eastAsia="仿宋" w:cs="仿宋_GB2312"/>
          <w:b/>
          <w:bCs/>
          <w:kern w:val="0"/>
          <w:sz w:val="32"/>
          <w:szCs w:val="32"/>
        </w:rPr>
        <w:t>第四部分</w:t>
      </w:r>
      <w:r>
        <w:rPr>
          <w:rFonts w:ascii="仿宋" w:hAnsi="仿宋" w:eastAsia="仿宋" w:cs="仿宋_GB2312"/>
          <w:b/>
          <w:bCs/>
          <w:kern w:val="0"/>
          <w:sz w:val="32"/>
          <w:szCs w:val="32"/>
        </w:rPr>
        <w:t xml:space="preserve">  </w:t>
      </w:r>
      <w:r>
        <w:rPr>
          <w:rFonts w:hint="eastAsia" w:ascii="仿宋" w:hAnsi="仿宋" w:eastAsia="仿宋" w:cs="仿宋_GB2312"/>
          <w:b/>
          <w:bCs/>
          <w:kern w:val="0"/>
          <w:sz w:val="32"/>
          <w:szCs w:val="32"/>
        </w:rPr>
        <w:t>湘乡市人力资源和社会保障局2</w:t>
      </w:r>
      <w:r>
        <w:rPr>
          <w:rFonts w:ascii="仿宋" w:hAnsi="仿宋" w:eastAsia="仿宋" w:cs="仿宋_GB2312"/>
          <w:b/>
          <w:bCs/>
          <w:kern w:val="0"/>
          <w:sz w:val="32"/>
          <w:szCs w:val="32"/>
        </w:rPr>
        <w:t>01</w:t>
      </w:r>
      <w:r>
        <w:rPr>
          <w:rFonts w:hint="eastAsia" w:ascii="仿宋" w:hAnsi="仿宋" w:eastAsia="仿宋" w:cs="仿宋_GB2312"/>
          <w:b/>
          <w:bCs/>
          <w:kern w:val="0"/>
          <w:sz w:val="32"/>
          <w:szCs w:val="32"/>
        </w:rPr>
        <w:t>8年度部门决算表</w:t>
      </w:r>
    </w:p>
    <w:p>
      <w:pPr>
        <w:widowControl/>
        <w:rPr>
          <w:rFonts w:ascii="仿宋" w:hAnsi="仿宋" w:eastAsia="仿宋"/>
          <w:kern w:val="0"/>
          <w:sz w:val="32"/>
          <w:szCs w:val="32"/>
        </w:rPr>
      </w:pPr>
      <w:r>
        <w:rPr>
          <w:rFonts w:hint="eastAsia" w:ascii="仿宋" w:hAnsi="仿宋" w:eastAsia="仿宋" w:cs="仿宋_GB2312"/>
          <w:kern w:val="0"/>
          <w:sz w:val="32"/>
          <w:szCs w:val="32"/>
        </w:rPr>
        <w:t>一、收入支出决算总表</w:t>
      </w:r>
    </w:p>
    <w:p>
      <w:pPr>
        <w:widowControl/>
        <w:rPr>
          <w:rFonts w:ascii="仿宋" w:hAnsi="仿宋" w:eastAsia="仿宋"/>
          <w:kern w:val="0"/>
          <w:sz w:val="32"/>
          <w:szCs w:val="32"/>
        </w:rPr>
      </w:pPr>
      <w:r>
        <w:rPr>
          <w:rFonts w:hint="eastAsia" w:ascii="仿宋" w:hAnsi="仿宋" w:eastAsia="仿宋" w:cs="仿宋_GB2312"/>
          <w:kern w:val="0"/>
          <w:sz w:val="32"/>
          <w:szCs w:val="32"/>
        </w:rPr>
        <w:t>二、收入决算表</w:t>
      </w:r>
    </w:p>
    <w:p>
      <w:pPr>
        <w:widowControl/>
        <w:rPr>
          <w:rFonts w:ascii="仿宋" w:hAnsi="仿宋" w:eastAsia="仿宋"/>
          <w:kern w:val="0"/>
          <w:sz w:val="32"/>
          <w:szCs w:val="32"/>
        </w:rPr>
      </w:pPr>
      <w:r>
        <w:rPr>
          <w:rFonts w:hint="eastAsia" w:ascii="仿宋" w:hAnsi="仿宋" w:eastAsia="仿宋" w:cs="仿宋_GB2312"/>
          <w:kern w:val="0"/>
          <w:sz w:val="32"/>
          <w:szCs w:val="32"/>
        </w:rPr>
        <w:t>三、支出决算表</w:t>
      </w:r>
    </w:p>
    <w:p>
      <w:pPr>
        <w:widowControl/>
        <w:rPr>
          <w:rFonts w:ascii="仿宋" w:hAnsi="仿宋" w:eastAsia="仿宋"/>
          <w:kern w:val="0"/>
          <w:sz w:val="32"/>
          <w:szCs w:val="32"/>
        </w:rPr>
      </w:pPr>
      <w:r>
        <w:rPr>
          <w:rFonts w:hint="eastAsia" w:ascii="仿宋" w:hAnsi="仿宋" w:eastAsia="仿宋" w:cs="仿宋_GB2312"/>
          <w:kern w:val="0"/>
          <w:sz w:val="32"/>
          <w:szCs w:val="32"/>
        </w:rPr>
        <w:t>四、财政拨款收入支出决算总表</w:t>
      </w:r>
    </w:p>
    <w:p>
      <w:pPr>
        <w:widowControl/>
        <w:rPr>
          <w:rFonts w:ascii="仿宋" w:hAnsi="仿宋" w:eastAsia="仿宋"/>
          <w:kern w:val="0"/>
          <w:sz w:val="32"/>
          <w:szCs w:val="32"/>
        </w:rPr>
      </w:pPr>
      <w:r>
        <w:rPr>
          <w:rFonts w:hint="eastAsia" w:ascii="仿宋" w:hAnsi="仿宋" w:eastAsia="仿宋" w:cs="仿宋_GB2312"/>
          <w:kern w:val="0"/>
          <w:sz w:val="32"/>
          <w:szCs w:val="32"/>
        </w:rPr>
        <w:t>五、一般公共预算财政拨款支出决算表</w:t>
      </w:r>
    </w:p>
    <w:p>
      <w:pPr>
        <w:widowControl/>
        <w:rPr>
          <w:rFonts w:ascii="仿宋" w:hAnsi="仿宋" w:eastAsia="仿宋"/>
          <w:kern w:val="0"/>
          <w:sz w:val="32"/>
          <w:szCs w:val="32"/>
        </w:rPr>
      </w:pPr>
      <w:r>
        <w:rPr>
          <w:rFonts w:hint="eastAsia" w:ascii="仿宋" w:hAnsi="仿宋" w:eastAsia="仿宋" w:cs="仿宋_GB2312"/>
          <w:kern w:val="0"/>
          <w:sz w:val="32"/>
          <w:szCs w:val="32"/>
        </w:rPr>
        <w:t>六、一般公共预算财政拨款基本支出决算表</w:t>
      </w:r>
    </w:p>
    <w:p>
      <w:pPr>
        <w:widowControl/>
        <w:rPr>
          <w:rFonts w:ascii="仿宋" w:hAnsi="仿宋" w:eastAsia="仿宋"/>
          <w:kern w:val="0"/>
          <w:sz w:val="32"/>
          <w:szCs w:val="32"/>
        </w:rPr>
      </w:pPr>
      <w:r>
        <w:rPr>
          <w:rFonts w:hint="eastAsia" w:ascii="仿宋" w:hAnsi="仿宋" w:eastAsia="仿宋" w:cs="仿宋_GB2312"/>
          <w:kern w:val="0"/>
          <w:sz w:val="32"/>
          <w:szCs w:val="32"/>
        </w:rPr>
        <w:t>七、一般公共预算财政拨款“三公”经费支出决算表</w:t>
      </w:r>
    </w:p>
    <w:p>
      <w:pPr>
        <w:widowControl/>
        <w:rPr>
          <w:rFonts w:ascii="仿宋" w:hAnsi="仿宋" w:eastAsia="仿宋"/>
          <w:b/>
          <w:bCs/>
          <w:kern w:val="0"/>
          <w:sz w:val="32"/>
          <w:szCs w:val="32"/>
        </w:rPr>
      </w:pPr>
      <w:r>
        <w:rPr>
          <w:rFonts w:hint="eastAsia" w:ascii="仿宋" w:hAnsi="仿宋" w:eastAsia="仿宋" w:cs="仿宋_GB2312"/>
          <w:kern w:val="0"/>
          <w:sz w:val="32"/>
          <w:szCs w:val="32"/>
        </w:rPr>
        <w:t>八、政府性基金预算财政拨款收入支出决算表</w:t>
      </w:r>
    </w:p>
    <w:p>
      <w:pPr>
        <w:spacing w:line="620" w:lineRule="exact"/>
        <w:ind w:firstLine="643" w:firstLineChars="200"/>
        <w:jc w:val="center"/>
        <w:rPr>
          <w:rFonts w:ascii="仿宋" w:hAnsi="仿宋" w:eastAsia="仿宋"/>
          <w:b/>
          <w:bCs/>
          <w:sz w:val="32"/>
          <w:szCs w:val="32"/>
        </w:rPr>
      </w:pPr>
    </w:p>
    <w:p>
      <w:pPr>
        <w:spacing w:line="620" w:lineRule="exact"/>
        <w:ind w:firstLine="883" w:firstLineChars="200"/>
        <w:jc w:val="center"/>
        <w:rPr>
          <w:rFonts w:ascii="仿宋" w:hAnsi="仿宋" w:eastAsia="仿宋" w:cs="仿宋"/>
          <w:b/>
          <w:bCs/>
          <w:sz w:val="44"/>
          <w:szCs w:val="44"/>
        </w:rPr>
      </w:pPr>
      <w:r>
        <w:rPr>
          <w:rFonts w:hint="eastAsia" w:ascii="仿宋" w:hAnsi="仿宋" w:eastAsia="仿宋" w:cs="仿宋"/>
          <w:b/>
          <w:bCs/>
          <w:sz w:val="44"/>
          <w:szCs w:val="44"/>
        </w:rPr>
        <w:t>第一部份</w:t>
      </w:r>
      <w:r>
        <w:rPr>
          <w:rFonts w:ascii="仿宋" w:hAnsi="仿宋" w:eastAsia="仿宋" w:cs="仿宋"/>
          <w:b/>
          <w:bCs/>
          <w:sz w:val="44"/>
          <w:szCs w:val="44"/>
        </w:rPr>
        <w:t xml:space="preserve">  </w:t>
      </w:r>
      <w:r>
        <w:rPr>
          <w:rFonts w:hint="eastAsia" w:ascii="仿宋" w:hAnsi="仿宋" w:eastAsia="仿宋" w:cs="仿宋"/>
          <w:b/>
          <w:bCs/>
          <w:sz w:val="44"/>
          <w:szCs w:val="44"/>
        </w:rPr>
        <w:t>湘乡市人力资源和社会</w:t>
      </w:r>
    </w:p>
    <w:p>
      <w:pPr>
        <w:spacing w:line="620" w:lineRule="exact"/>
        <w:ind w:firstLine="883" w:firstLineChars="200"/>
        <w:jc w:val="center"/>
        <w:rPr>
          <w:rFonts w:ascii="仿宋" w:hAnsi="仿宋" w:eastAsia="仿宋"/>
          <w:b/>
          <w:bCs/>
          <w:sz w:val="44"/>
          <w:szCs w:val="44"/>
        </w:rPr>
      </w:pPr>
      <w:r>
        <w:rPr>
          <w:rFonts w:hint="eastAsia" w:ascii="仿宋" w:hAnsi="仿宋" w:eastAsia="仿宋" w:cs="仿宋"/>
          <w:b/>
          <w:bCs/>
          <w:sz w:val="44"/>
          <w:szCs w:val="44"/>
        </w:rPr>
        <w:t>保障局概况</w:t>
      </w:r>
    </w:p>
    <w:p>
      <w:pPr>
        <w:widowControl/>
        <w:wordWrap w:val="0"/>
        <w:adjustRightInd w:val="0"/>
        <w:spacing w:line="600" w:lineRule="atLeast"/>
        <w:rPr>
          <w:rFonts w:ascii="仿宋" w:hAnsi="仿宋" w:eastAsia="仿宋" w:cs="仿宋_GB2312"/>
          <w:sz w:val="32"/>
          <w:szCs w:val="32"/>
        </w:rPr>
      </w:pPr>
    </w:p>
    <w:p>
      <w:pPr>
        <w:widowControl/>
        <w:spacing w:line="240" w:lineRule="atLeast"/>
        <w:ind w:firstLine="640"/>
        <w:jc w:val="left"/>
        <w:rPr>
          <w:rFonts w:hint="eastAsia" w:ascii="仿宋" w:hAnsi="仿宋" w:eastAsia="仿宋" w:cs="仿宋"/>
          <w:sz w:val="32"/>
          <w:szCs w:val="32"/>
        </w:rPr>
      </w:pPr>
      <w:r>
        <w:rPr>
          <w:rFonts w:hint="eastAsia" w:ascii="仿宋" w:hAnsi="仿宋" w:eastAsia="仿宋" w:cs="仿宋"/>
          <w:color w:val="000000"/>
          <w:kern w:val="0"/>
          <w:sz w:val="32"/>
          <w:szCs w:val="32"/>
          <w:lang w:eastAsia="zh-CN"/>
        </w:rPr>
        <w:t>一、</w:t>
      </w:r>
      <w:r>
        <w:rPr>
          <w:rFonts w:hint="eastAsia" w:ascii="仿宋" w:hAnsi="仿宋" w:eastAsia="仿宋" w:cs="仿宋"/>
          <w:color w:val="000000"/>
          <w:kern w:val="0"/>
          <w:sz w:val="32"/>
          <w:szCs w:val="32"/>
        </w:rPr>
        <w:t>我局</w:t>
      </w:r>
      <w:r>
        <w:rPr>
          <w:rFonts w:hint="eastAsia" w:ascii="仿宋" w:hAnsi="仿宋" w:eastAsia="仿宋" w:cs="仿宋"/>
          <w:sz w:val="32"/>
          <w:szCs w:val="32"/>
        </w:rPr>
        <w:t>主要工作职责：</w:t>
      </w:r>
    </w:p>
    <w:p>
      <w:pPr>
        <w:widowControl/>
        <w:spacing w:line="240" w:lineRule="atLeast"/>
        <w:ind w:firstLine="64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贯彻执行国家、省人力资源和社会保障方针政策和法律法规，拟定具体实施方案、编制全市人力资源和社会保障事业发展规划和年度工作计划并组织实施、对全市人力资源和社会保障工作进行综合管理、监督指导、协调服务；负责全市人力资源开发综合管理。组织实施人力资源市场发展规划和人力资源流动政策，建立规范的人力资源市场，促进人力资源合理流动、有效配置；负责促进就业工作。执行统筹城乡的就业发展规划和政策，完善公共就业服务体系、组织落实就业援助制度、承担全市创业培训服务工作的总体计划、技术指导、组织实施和质量监控、协调、监督创业扶助政策的落实、负责创业贷款的管理和贴息服务工作、组织落实职业资格制度相关政策，统筹建立面向城乡劳动者的职业培训制度、贯彻执行高校毕业生就业政策，执行高技能人才、农村实用人才培养和激励政策；统筹建立覆盖城乡的社会保障体系，组织实施城乡社会保险及其补充保险政策和标准、贯彻执行机关企事业单位基本养老保险政策、对全市社会保险及其补充保险基金管理实施监督和内部审计、编制全市社会保险基金预决算草案；负责全市就业、失业、社会保险基金预测预警和信息报送，拟订应对预案，实施预防和控制，保持就业形势稳定和社会保险基金总体收支平衡；负责全市机关企事业单位工资收入分配综合管理，贯彻执行机关、事业单位人员工资收入分配政策、建立机关企事业单位人员工资正常增长和支付保障机制、配合相关部门审核纳入市级财政统一发放工资范围的同级机关、事业单位及人员的工资、奖金、津补贴标准和离退休费，执行机关企事业单位人员福利和离退休政策；负责全市公务员的综合管理、协助上级主管部门做好公务员的考试录用工作，负责公务员培训、考核、奖惩、任免、辞职、辞退、执行有关人员调配政策和特殊人员安置政策、根据市政府授权综合管理全市行政奖励表彰工作、承办以市政府名义任免工作人员的有关工作；会同有关部门指导事业单位人事制度改革，组织实施事业单位人员和机关工勤人员管理政策、参与人才管理工作，综合管理全市专业技术人员和专业技术队伍建设工作，综合管理全市专业技术人员和机关事业单位工勤人员的培训和继续教育工作、牵头推进深化职称制度改革，归口管理专业技术人员的职称工作；协助上级做好外国专家管理和引进国外智力的服务工作；组织实施全市军队转业干部安置政策及安置计划，负责军队转业干部教育培训工作、组织实施部分企业军队转业干部解困政策，配合有关部门做好维稳工作、负责自主择业军队转业干部管理服务工作；贯彻执行农民工工作综合性政策和规划，推动农民工相关政策的落实，会同有关部门协调解决重点难点问题，维护农民工合法权益；统筹实施劳动、人事争议调解仲裁制度、执行劳动关系政策，完善劳动关系协调机制、监督落实消除非法使用童工政策和女工、未成年工的特殊劳动保护政策、组织实施劳动监察，受理、协调劳动者维权工作，依法查处劳动人事违法侵权案件。</w:t>
      </w:r>
    </w:p>
    <w:p>
      <w:pPr>
        <w:widowControl/>
        <w:spacing w:line="600" w:lineRule="exact"/>
        <w:ind w:firstLine="640" w:firstLineChars="200"/>
        <w:rPr>
          <w:rFonts w:hint="eastAsia" w:ascii="仿宋" w:hAnsi="仿宋" w:eastAsia="仿宋" w:cs="仿宋"/>
          <w:bCs/>
          <w:kern w:val="0"/>
          <w:sz w:val="32"/>
          <w:szCs w:val="32"/>
        </w:rPr>
      </w:pPr>
      <w:r>
        <w:rPr>
          <w:rFonts w:hint="eastAsia" w:ascii="仿宋" w:hAnsi="仿宋" w:eastAsia="仿宋" w:cs="仿宋"/>
          <w:bCs/>
          <w:kern w:val="0"/>
          <w:sz w:val="32"/>
          <w:szCs w:val="32"/>
        </w:rPr>
        <w:t>二、机构设置及决算单位构成</w:t>
      </w:r>
    </w:p>
    <w:p>
      <w:pPr>
        <w:ind w:firstLine="640" w:firstLineChars="200"/>
        <w:rPr>
          <w:rFonts w:hint="eastAsia" w:ascii="仿宋" w:hAnsi="仿宋" w:eastAsia="仿宋" w:cs="仿宋"/>
          <w:sz w:val="32"/>
          <w:szCs w:val="32"/>
        </w:rPr>
      </w:pPr>
      <w:r>
        <w:rPr>
          <w:rFonts w:hint="eastAsia" w:ascii="仿宋" w:hAnsi="仿宋" w:eastAsia="仿宋" w:cs="仿宋"/>
          <w:bCs/>
          <w:kern w:val="0"/>
          <w:sz w:val="32"/>
          <w:szCs w:val="32"/>
        </w:rPr>
        <w:t>（一）内设机构设置。</w:t>
      </w:r>
    </w:p>
    <w:p>
      <w:pPr>
        <w:ind w:firstLine="600" w:firstLineChars="200"/>
        <w:rPr>
          <w:rFonts w:hint="eastAsia" w:ascii="仿宋" w:hAnsi="仿宋" w:eastAsia="仿宋" w:cs="仿宋"/>
          <w:sz w:val="30"/>
          <w:szCs w:val="30"/>
          <w:highlight w:val="none"/>
        </w:rPr>
      </w:pPr>
      <w:r>
        <w:rPr>
          <w:rFonts w:hint="eastAsia" w:ascii="仿宋" w:hAnsi="仿宋" w:eastAsia="仿宋" w:cs="仿宋"/>
          <w:sz w:val="30"/>
          <w:szCs w:val="30"/>
        </w:rPr>
        <w:t>湘乡市人力资源社会保障局有本级及二级机构湘乡市医疗</w:t>
      </w:r>
      <w:r>
        <w:rPr>
          <w:rFonts w:hint="eastAsia" w:ascii="仿宋" w:hAnsi="仿宋" w:eastAsia="仿宋" w:cs="仿宋"/>
          <w:sz w:val="30"/>
          <w:szCs w:val="30"/>
          <w:highlight w:val="none"/>
        </w:rPr>
        <w:t>生育保险管理服务局（机构改革后分出）纳入一级部门预算单位。下辖湘乡市机关事业单位养老保险管理服务局、湘乡市企业社会养老保险管理服务局、湘乡市工伤保险管理服务中心、湘乡市就业管理服务局、湘乡市劳动保障监察大队、湘乡市医疗生育保险管理服务局（机构改革后分出）、保险湘乡市城乡居民养老保险管理服务中心、人力资源和社会保障信息中心、湘乡市人力资源服务中心、湘乡市考试和职业技能鉴定中心11个二级机构。有办公室、政工股、财务股等13个内设股室。</w:t>
      </w:r>
    </w:p>
    <w:p>
      <w:pPr>
        <w:widowControl/>
        <w:spacing w:line="600" w:lineRule="exact"/>
        <w:ind w:firstLine="640" w:firstLineChars="200"/>
        <w:rPr>
          <w:rFonts w:hint="eastAsia" w:ascii="仿宋" w:hAnsi="仿宋" w:eastAsia="仿宋" w:cs="仿宋"/>
          <w:sz w:val="28"/>
          <w:szCs w:val="28"/>
          <w:highlight w:val="none"/>
        </w:rPr>
      </w:pPr>
      <w:r>
        <w:rPr>
          <w:rFonts w:hint="eastAsia" w:ascii="仿宋" w:hAnsi="仿宋" w:eastAsia="仿宋" w:cs="仿宋"/>
          <w:bCs/>
          <w:kern w:val="0"/>
          <w:sz w:val="32"/>
          <w:szCs w:val="32"/>
          <w:highlight w:val="none"/>
        </w:rPr>
        <w:t>（二）决算单位构成。</w:t>
      </w:r>
      <w:r>
        <w:rPr>
          <w:rFonts w:hint="eastAsia" w:ascii="仿宋" w:hAnsi="仿宋" w:eastAsia="仿宋" w:cs="仿宋"/>
          <w:sz w:val="30"/>
          <w:szCs w:val="30"/>
          <w:highlight w:val="none"/>
        </w:rPr>
        <w:t>湘乡市人力资源社会保障局</w:t>
      </w:r>
      <w:r>
        <w:rPr>
          <w:rFonts w:hint="eastAsia" w:ascii="仿宋" w:hAnsi="仿宋" w:eastAsia="仿宋" w:cs="仿宋"/>
          <w:bCs/>
          <w:kern w:val="0"/>
          <w:sz w:val="32"/>
          <w:szCs w:val="32"/>
          <w:highlight w:val="none"/>
        </w:rPr>
        <w:t>201</w:t>
      </w:r>
      <w:r>
        <w:rPr>
          <w:rFonts w:hint="eastAsia" w:ascii="仿宋" w:hAnsi="仿宋" w:eastAsia="仿宋" w:cs="仿宋"/>
          <w:bCs/>
          <w:kern w:val="0"/>
          <w:sz w:val="32"/>
          <w:szCs w:val="32"/>
          <w:highlight w:val="none"/>
          <w:lang w:val="en-US" w:eastAsia="zh-CN"/>
        </w:rPr>
        <w:t>8</w:t>
      </w:r>
      <w:r>
        <w:rPr>
          <w:rFonts w:hint="eastAsia" w:ascii="仿宋" w:hAnsi="仿宋" w:eastAsia="仿宋" w:cs="仿宋"/>
          <w:bCs/>
          <w:kern w:val="0"/>
          <w:sz w:val="32"/>
          <w:szCs w:val="32"/>
          <w:highlight w:val="none"/>
        </w:rPr>
        <w:t>年部门决算汇总公开单位构成包括：</w:t>
      </w:r>
      <w:r>
        <w:rPr>
          <w:rFonts w:hint="eastAsia" w:ascii="仿宋" w:hAnsi="仿宋" w:eastAsia="仿宋" w:cs="仿宋"/>
          <w:sz w:val="30"/>
          <w:szCs w:val="30"/>
          <w:highlight w:val="none"/>
        </w:rPr>
        <w:t>湘乡市人力资源</w:t>
      </w:r>
      <w:r>
        <w:rPr>
          <w:rFonts w:hint="eastAsia" w:ascii="仿宋" w:hAnsi="仿宋" w:eastAsia="仿宋" w:cs="仿宋"/>
          <w:sz w:val="30"/>
          <w:szCs w:val="30"/>
          <w:highlight w:val="none"/>
          <w:lang w:eastAsia="zh-CN"/>
        </w:rPr>
        <w:t>和</w:t>
      </w:r>
      <w:r>
        <w:rPr>
          <w:rFonts w:hint="eastAsia" w:ascii="仿宋" w:hAnsi="仿宋" w:eastAsia="仿宋" w:cs="仿宋"/>
          <w:sz w:val="30"/>
          <w:szCs w:val="30"/>
          <w:highlight w:val="none"/>
        </w:rPr>
        <w:t>社会保障局</w:t>
      </w:r>
      <w:r>
        <w:rPr>
          <w:rFonts w:hint="eastAsia" w:ascii="仿宋" w:hAnsi="仿宋" w:eastAsia="仿宋" w:cs="仿宋"/>
          <w:bCs/>
          <w:kern w:val="0"/>
          <w:sz w:val="32"/>
          <w:szCs w:val="32"/>
          <w:highlight w:val="none"/>
        </w:rPr>
        <w:t>。</w:t>
      </w:r>
    </w:p>
    <w:p>
      <w:pPr>
        <w:widowControl/>
        <w:spacing w:line="240" w:lineRule="atLeast"/>
        <w:ind w:firstLine="640"/>
        <w:jc w:val="left"/>
        <w:rPr>
          <w:rFonts w:hint="eastAsia" w:ascii="仿宋" w:hAnsi="仿宋" w:eastAsia="仿宋" w:cs="仿宋"/>
          <w:color w:val="000000"/>
          <w:kern w:val="0"/>
          <w:sz w:val="32"/>
          <w:szCs w:val="32"/>
          <w:highlight w:val="none"/>
        </w:rPr>
      </w:pPr>
    </w:p>
    <w:p>
      <w:pPr>
        <w:widowControl/>
        <w:jc w:val="center"/>
        <w:rPr>
          <w:rFonts w:hint="eastAsia" w:ascii="仿宋" w:hAnsi="仿宋" w:eastAsia="仿宋" w:cs="仿宋"/>
          <w:b/>
          <w:bCs/>
          <w:kern w:val="0"/>
          <w:sz w:val="36"/>
          <w:szCs w:val="36"/>
          <w:highlight w:val="none"/>
        </w:rPr>
      </w:pPr>
      <w:r>
        <w:rPr>
          <w:rFonts w:hint="eastAsia" w:ascii="仿宋" w:hAnsi="仿宋" w:eastAsia="仿宋" w:cs="仿宋"/>
          <w:b/>
          <w:bCs/>
          <w:kern w:val="0"/>
          <w:sz w:val="36"/>
          <w:szCs w:val="36"/>
          <w:highlight w:val="none"/>
        </w:rPr>
        <w:t>第二部份   湘乡市人力资源和社会保障局</w:t>
      </w:r>
    </w:p>
    <w:p>
      <w:pPr>
        <w:widowControl/>
        <w:jc w:val="center"/>
        <w:rPr>
          <w:rFonts w:hint="eastAsia" w:ascii="仿宋" w:hAnsi="仿宋" w:eastAsia="仿宋" w:cs="仿宋"/>
          <w:b/>
          <w:bCs/>
          <w:kern w:val="0"/>
          <w:sz w:val="36"/>
          <w:szCs w:val="36"/>
          <w:highlight w:val="none"/>
        </w:rPr>
      </w:pPr>
      <w:r>
        <w:rPr>
          <w:rFonts w:hint="eastAsia" w:ascii="仿宋" w:hAnsi="仿宋" w:eastAsia="仿宋" w:cs="仿宋"/>
          <w:b/>
          <w:bCs/>
          <w:kern w:val="0"/>
          <w:sz w:val="36"/>
          <w:szCs w:val="36"/>
          <w:highlight w:val="none"/>
        </w:rPr>
        <w:t>2018年度部门决算情况说明</w:t>
      </w:r>
    </w:p>
    <w:p>
      <w:pPr>
        <w:widowControl/>
        <w:ind w:firstLine="627" w:firstLineChars="196"/>
        <w:rPr>
          <w:rFonts w:hint="eastAsia" w:ascii="仿宋" w:hAnsi="仿宋" w:eastAsia="仿宋" w:cs="仿宋"/>
          <w:b/>
          <w:bCs/>
          <w:kern w:val="0"/>
          <w:sz w:val="32"/>
          <w:szCs w:val="32"/>
          <w:highlight w:val="none"/>
        </w:rPr>
      </w:pPr>
      <w:r>
        <w:rPr>
          <w:rFonts w:hint="eastAsia" w:ascii="仿宋" w:hAnsi="仿宋" w:eastAsia="仿宋" w:cs="仿宋"/>
          <w:kern w:val="0"/>
          <w:sz w:val="32"/>
          <w:szCs w:val="32"/>
          <w:highlight w:val="none"/>
        </w:rPr>
        <w:t>一、关于我局2018年度收入支出决算总体情况说明</w:t>
      </w:r>
    </w:p>
    <w:p>
      <w:pPr>
        <w:widowControl/>
        <w:ind w:firstLine="627" w:firstLineChars="196"/>
        <w:rPr>
          <w:rFonts w:hint="eastAsia" w:ascii="仿宋" w:hAnsi="仿宋" w:eastAsia="仿宋" w:cs="仿宋"/>
          <w:b/>
          <w:bCs/>
          <w:kern w:val="0"/>
          <w:sz w:val="32"/>
          <w:szCs w:val="32"/>
          <w:highlight w:val="none"/>
        </w:rPr>
      </w:pPr>
      <w:r>
        <w:rPr>
          <w:rFonts w:hint="eastAsia" w:ascii="仿宋" w:hAnsi="仿宋" w:eastAsia="仿宋" w:cs="仿宋"/>
          <w:sz w:val="32"/>
          <w:szCs w:val="32"/>
          <w:highlight w:val="none"/>
        </w:rPr>
        <w:t>2018年度收入总计2682.29万元，比上年相比，减少收入348.37万元（主要是医保局单列预算），2018年度支出总计2892.01万元。本年度年初结转699.59万元，年末结转489.88万元。</w:t>
      </w:r>
    </w:p>
    <w:p>
      <w:pPr>
        <w:widowControl/>
        <w:ind w:firstLine="627" w:firstLineChars="196"/>
        <w:rPr>
          <w:rFonts w:hint="eastAsia" w:ascii="仿宋" w:hAnsi="仿宋" w:eastAsia="仿宋" w:cs="仿宋"/>
          <w:b/>
          <w:bCs/>
          <w:kern w:val="0"/>
          <w:sz w:val="32"/>
          <w:szCs w:val="32"/>
          <w:highlight w:val="none"/>
        </w:rPr>
      </w:pPr>
      <w:r>
        <w:rPr>
          <w:rFonts w:hint="eastAsia" w:ascii="仿宋" w:hAnsi="仿宋" w:eastAsia="仿宋" w:cs="仿宋"/>
          <w:kern w:val="0"/>
          <w:sz w:val="32"/>
          <w:szCs w:val="32"/>
          <w:highlight w:val="none"/>
        </w:rPr>
        <w:t>二、关于我局2018年度收入决算情况说明</w:t>
      </w:r>
    </w:p>
    <w:p>
      <w:pPr>
        <w:widowControl/>
        <w:spacing w:line="600" w:lineRule="exact"/>
        <w:ind w:firstLine="627" w:firstLineChars="196"/>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2018年收入总计2682.29万元，其中财政拨款收入2612.71万元，其他收入69.58万元。</w:t>
      </w:r>
    </w:p>
    <w:p>
      <w:pPr>
        <w:widowControl/>
        <w:spacing w:line="600" w:lineRule="exact"/>
        <w:ind w:firstLine="627" w:firstLineChars="196"/>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三、关于我局2018年度支出决算情况说明</w:t>
      </w:r>
    </w:p>
    <w:p>
      <w:pPr>
        <w:widowControl/>
        <w:spacing w:line="600" w:lineRule="exact"/>
        <w:ind w:firstLine="627" w:firstLineChars="196"/>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2018年支出2892.01万元，其中： 1、一般公共服务支出44.2万元，2、社会保障和就业支出2642.4万元，3、医疗卫生支出78.96万元，4、农林水支出（就业困难人员一次性交通补贴）32.83万元，5、住房保障支出93.62万元。</w:t>
      </w:r>
    </w:p>
    <w:p>
      <w:pPr>
        <w:widowControl/>
        <w:spacing w:line="600" w:lineRule="exact"/>
        <w:ind w:firstLine="627" w:firstLineChars="196"/>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四、关于我局2018年度财政拨款收入支出决算总体情况说明</w:t>
      </w:r>
    </w:p>
    <w:p>
      <w:pPr>
        <w:widowControl/>
        <w:spacing w:line="600" w:lineRule="exact"/>
        <w:ind w:firstLine="627" w:firstLineChars="196"/>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2018年财政拨款收入总计2612.71万元，2018年财政拨款支出总计2802.54万元。</w:t>
      </w:r>
    </w:p>
    <w:p>
      <w:pPr>
        <w:widowControl/>
        <w:spacing w:line="600" w:lineRule="exact"/>
        <w:ind w:firstLine="627" w:firstLineChars="196"/>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五、关于我局2018年度一般公共预算财政拨款支出决算情况说明</w:t>
      </w:r>
    </w:p>
    <w:p>
      <w:pPr>
        <w:widowControl/>
        <w:spacing w:line="600" w:lineRule="exact"/>
        <w:ind w:firstLine="627" w:firstLineChars="196"/>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（一）财政拨款支出决算总体情况。</w:t>
      </w:r>
    </w:p>
    <w:p>
      <w:pPr>
        <w:widowControl/>
        <w:spacing w:line="600" w:lineRule="exact"/>
        <w:ind w:firstLine="640" w:firstLineChars="200"/>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2018年财政拨款支出计2802.54万元，其中基本支出2380.87万元，业务项目支出421.67万元。</w:t>
      </w:r>
    </w:p>
    <w:p>
      <w:pPr>
        <w:widowControl/>
        <w:spacing w:line="600" w:lineRule="exact"/>
        <w:ind w:firstLine="627" w:firstLineChars="196"/>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（二）财政拨款支出决算结构情况。</w:t>
      </w:r>
    </w:p>
    <w:p>
      <w:pPr>
        <w:widowControl/>
        <w:spacing w:line="600" w:lineRule="exact"/>
        <w:ind w:firstLine="627" w:firstLineChars="196"/>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2018年财政拨款支出2802.54万元，其中：基本支出2380.87万元，包括人员经费2067.22万元，公用经费支出313.65万元，业务项目支出421.67万元，主要是各社会保险经办机构业务费用。</w:t>
      </w:r>
    </w:p>
    <w:p>
      <w:pPr>
        <w:widowControl/>
        <w:spacing w:line="600" w:lineRule="exact"/>
        <w:ind w:firstLine="627" w:firstLineChars="196"/>
        <w:jc w:val="left"/>
        <w:rPr>
          <w:rFonts w:hint="eastAsia" w:ascii="仿宋" w:hAnsi="仿宋" w:eastAsia="仿宋" w:cs="仿宋"/>
          <w:kern w:val="0"/>
          <w:sz w:val="32"/>
          <w:szCs w:val="32"/>
          <w:highlight w:val="none"/>
        </w:rPr>
      </w:pPr>
    </w:p>
    <w:p>
      <w:pPr>
        <w:widowControl/>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六、关于我局2018年度一般公共预算财政拨款基本支出决算情况说明</w:t>
      </w:r>
    </w:p>
    <w:p>
      <w:pPr>
        <w:widowControl/>
        <w:spacing w:line="600" w:lineRule="exact"/>
        <w:ind w:firstLine="482" w:firstLineChars="150"/>
        <w:jc w:val="left"/>
        <w:rPr>
          <w:rFonts w:hint="eastAsia" w:ascii="仿宋" w:hAnsi="仿宋" w:eastAsia="仿宋" w:cs="仿宋"/>
          <w:kern w:val="0"/>
          <w:sz w:val="32"/>
          <w:szCs w:val="32"/>
          <w:highlight w:val="none"/>
        </w:rPr>
      </w:pPr>
      <w:r>
        <w:rPr>
          <w:rFonts w:hint="eastAsia" w:ascii="仿宋" w:hAnsi="仿宋" w:eastAsia="仿宋" w:cs="仿宋"/>
          <w:b/>
          <w:bCs/>
          <w:kern w:val="0"/>
          <w:sz w:val="32"/>
          <w:szCs w:val="32"/>
          <w:highlight w:val="none"/>
        </w:rPr>
        <w:t xml:space="preserve"> </w:t>
      </w:r>
      <w:r>
        <w:rPr>
          <w:rFonts w:hint="eastAsia" w:ascii="仿宋" w:hAnsi="仿宋" w:eastAsia="仿宋" w:cs="仿宋"/>
          <w:kern w:val="0"/>
          <w:sz w:val="32"/>
          <w:szCs w:val="32"/>
          <w:highlight w:val="none"/>
        </w:rPr>
        <w:t>2018年财政拨款支出2802.54万元，其中：基本支出2380.87万元，包括人员经费2067.22万元，占支出的73.76%，公用经费支出313.65万元，占支出的11.19%，业务项目支出421.67万元，占支出的15.05%。</w:t>
      </w:r>
    </w:p>
    <w:p>
      <w:pPr>
        <w:widowControl/>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七、关于我局2018年度一般公共预算财政拨款“三公”经费支出决算情况说明</w:t>
      </w:r>
    </w:p>
    <w:p>
      <w:pPr>
        <w:widowControl/>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（一）“三公”经费财政拨款支出决算总体情况说明。</w:t>
      </w:r>
    </w:p>
    <w:p>
      <w:pPr>
        <w:pStyle w:val="14"/>
        <w:ind w:firstLine="800" w:firstLineChars="25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我局本年度“三公”经费9.69万元，其中公务用车运行费9.02万元，公务接待费0.67万元。</w:t>
      </w:r>
    </w:p>
    <w:p>
      <w:pPr>
        <w:widowControl/>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（二）“三公”经费财政拨款支出决算具体情况说明。</w:t>
      </w:r>
    </w:p>
    <w:p>
      <w:pPr>
        <w:widowControl/>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公务用车购置费及运行维护费支出决算为</w:t>
      </w:r>
      <w:r>
        <w:rPr>
          <w:rFonts w:hint="eastAsia" w:ascii="仿宋" w:hAnsi="仿宋" w:eastAsia="仿宋" w:cs="仿宋"/>
          <w:kern w:val="0"/>
          <w:sz w:val="32"/>
          <w:szCs w:val="32"/>
          <w:highlight w:val="none"/>
          <w:lang w:val="en-US" w:eastAsia="zh-CN"/>
        </w:rPr>
        <w:t>9.62</w:t>
      </w:r>
      <w:r>
        <w:rPr>
          <w:rFonts w:hint="eastAsia" w:ascii="仿宋" w:hAnsi="仿宋" w:eastAsia="仿宋" w:cs="仿宋"/>
          <w:kern w:val="0"/>
          <w:sz w:val="32"/>
          <w:szCs w:val="32"/>
          <w:highlight w:val="none"/>
        </w:rPr>
        <w:t>万元，其中：公务用车购置费</w:t>
      </w:r>
      <w:r>
        <w:rPr>
          <w:rFonts w:hint="eastAsia" w:ascii="仿宋" w:hAnsi="仿宋" w:eastAsia="仿宋" w:cs="仿宋"/>
          <w:kern w:val="0"/>
          <w:sz w:val="32"/>
          <w:szCs w:val="32"/>
          <w:highlight w:val="none"/>
          <w:lang w:val="en-US" w:eastAsia="zh-CN"/>
        </w:rPr>
        <w:t>0</w:t>
      </w:r>
      <w:r>
        <w:rPr>
          <w:rFonts w:hint="eastAsia" w:ascii="仿宋" w:hAnsi="仿宋" w:eastAsia="仿宋" w:cs="仿宋"/>
          <w:kern w:val="0"/>
          <w:sz w:val="32"/>
          <w:szCs w:val="32"/>
          <w:highlight w:val="none"/>
        </w:rPr>
        <w:t>万元，公务用车运行维护费</w:t>
      </w:r>
      <w:r>
        <w:rPr>
          <w:rFonts w:hint="eastAsia" w:ascii="仿宋" w:hAnsi="仿宋" w:eastAsia="仿宋" w:cs="仿宋"/>
          <w:kern w:val="0"/>
          <w:sz w:val="32"/>
          <w:szCs w:val="32"/>
          <w:highlight w:val="none"/>
          <w:lang w:val="en-US" w:eastAsia="zh-CN"/>
        </w:rPr>
        <w:t>9.62</w:t>
      </w:r>
      <w:r>
        <w:rPr>
          <w:rFonts w:hint="eastAsia" w:ascii="仿宋" w:hAnsi="仿宋" w:eastAsia="仿宋" w:cs="仿宋"/>
          <w:kern w:val="0"/>
          <w:sz w:val="32"/>
          <w:szCs w:val="32"/>
          <w:highlight w:val="none"/>
        </w:rPr>
        <w:t>万元，截止</w:t>
      </w:r>
      <w:r>
        <w:rPr>
          <w:rFonts w:hint="eastAsia" w:ascii="仿宋" w:hAnsi="仿宋" w:eastAsia="仿宋" w:cs="仿宋"/>
          <w:kern w:val="0"/>
          <w:sz w:val="32"/>
          <w:szCs w:val="32"/>
          <w:highlight w:val="none"/>
          <w:lang w:val="en-US" w:eastAsia="zh-CN"/>
        </w:rPr>
        <w:t>2018</w:t>
      </w:r>
      <w:r>
        <w:rPr>
          <w:rFonts w:hint="eastAsia" w:ascii="仿宋" w:hAnsi="仿宋" w:eastAsia="仿宋" w:cs="仿宋"/>
          <w:kern w:val="0"/>
          <w:sz w:val="32"/>
          <w:szCs w:val="32"/>
          <w:highlight w:val="none"/>
        </w:rPr>
        <w:t>年 12月31日，我单位开支财政拨款的公务用车保有量为</w:t>
      </w:r>
      <w:r>
        <w:rPr>
          <w:rFonts w:hint="eastAsia" w:ascii="仿宋" w:hAnsi="仿宋" w:eastAsia="仿宋" w:cs="仿宋"/>
          <w:kern w:val="0"/>
          <w:sz w:val="32"/>
          <w:szCs w:val="32"/>
          <w:highlight w:val="none"/>
          <w:lang w:val="en-US" w:eastAsia="zh-CN"/>
        </w:rPr>
        <w:t>1</w:t>
      </w:r>
      <w:r>
        <w:rPr>
          <w:rFonts w:hint="eastAsia" w:ascii="仿宋" w:hAnsi="仿宋" w:eastAsia="仿宋" w:cs="仿宋"/>
          <w:kern w:val="0"/>
          <w:sz w:val="32"/>
          <w:szCs w:val="32"/>
          <w:highlight w:val="none"/>
        </w:rPr>
        <w:t>辆。</w:t>
      </w:r>
    </w:p>
    <w:p>
      <w:pPr>
        <w:widowControl/>
        <w:ind w:firstLine="640" w:firstLineChars="200"/>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rPr>
        <w:t>2018年公务接待166人次，18批次，共计公务接待支出0.67万元。</w:t>
      </w:r>
      <w:r>
        <w:rPr>
          <w:rFonts w:hint="eastAsia" w:ascii="仿宋" w:hAnsi="仿宋" w:eastAsia="仿宋" w:cs="仿宋"/>
          <w:kern w:val="0"/>
          <w:sz w:val="32"/>
          <w:szCs w:val="32"/>
          <w:highlight w:val="none"/>
          <w:lang w:eastAsia="zh-CN"/>
        </w:rPr>
        <w:t>无因公出国团组数及人数。</w:t>
      </w:r>
      <w:bookmarkStart w:id="0" w:name="_GoBack"/>
      <w:bookmarkEnd w:id="0"/>
    </w:p>
    <w:p>
      <w:pPr>
        <w:widowControl/>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八、关于我局2018年度政府性基金预算收入支出决算情况</w:t>
      </w:r>
    </w:p>
    <w:p>
      <w:pPr>
        <w:widowControl/>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2018年度我局无政府性基金收入支出。</w:t>
      </w:r>
    </w:p>
    <w:p>
      <w:pPr>
        <w:widowControl/>
        <w:ind w:firstLine="66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九、其他重要事项</w:t>
      </w:r>
    </w:p>
    <w:p>
      <w:pPr>
        <w:autoSpaceDE w:val="0"/>
        <w:autoSpaceDN w:val="0"/>
        <w:adjustRightInd w:val="0"/>
        <w:ind w:firstLine="640" w:firstLineChars="200"/>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（一）机关运行经费支出情况</w:t>
      </w:r>
    </w:p>
    <w:p>
      <w:pPr>
        <w:autoSpaceDE w:val="0"/>
        <w:autoSpaceDN w:val="0"/>
        <w:adjustRightInd w:val="0"/>
        <w:ind w:firstLine="640" w:firstLineChars="200"/>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2018年度机关行政运行经费支出313.65万元，比2017年减少了154.49万元，主要是控制了支出，“三公”经费减少；有部份开支末结算</w:t>
      </w:r>
      <w:r>
        <w:rPr>
          <w:rFonts w:hint="eastAsia" w:ascii="仿宋" w:hAnsi="仿宋" w:eastAsia="仿宋" w:cs="仿宋"/>
          <w:kern w:val="0"/>
          <w:sz w:val="32"/>
          <w:szCs w:val="32"/>
          <w:highlight w:val="none"/>
          <w:lang w:eastAsia="zh-CN"/>
        </w:rPr>
        <w:t>等</w:t>
      </w:r>
      <w:r>
        <w:rPr>
          <w:rFonts w:hint="eastAsia" w:ascii="仿宋" w:hAnsi="仿宋" w:eastAsia="仿宋" w:cs="仿宋"/>
          <w:kern w:val="0"/>
          <w:sz w:val="32"/>
          <w:szCs w:val="32"/>
          <w:highlight w:val="none"/>
        </w:rPr>
        <w:t>。</w:t>
      </w:r>
    </w:p>
    <w:p>
      <w:pPr>
        <w:autoSpaceDE w:val="0"/>
        <w:autoSpaceDN w:val="0"/>
        <w:adjustRightInd w:val="0"/>
        <w:ind w:firstLine="640" w:firstLineChars="200"/>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（二）政府采购支出情况</w:t>
      </w:r>
    </w:p>
    <w:p>
      <w:pPr>
        <w:autoSpaceDE w:val="0"/>
        <w:autoSpaceDN w:val="0"/>
        <w:adjustRightInd w:val="0"/>
        <w:ind w:firstLine="640" w:firstLineChars="200"/>
        <w:jc w:val="left"/>
        <w:rPr>
          <w:rFonts w:hint="eastAsia" w:ascii="仿宋" w:hAnsi="仿宋" w:eastAsia="仿宋" w:cs="仿宋"/>
          <w:kern w:val="0"/>
          <w:sz w:val="32"/>
          <w:szCs w:val="32"/>
          <w:highlight w:val="none"/>
          <w:lang w:eastAsia="zh-CN"/>
        </w:rPr>
      </w:pPr>
      <w:r>
        <w:rPr>
          <w:rFonts w:hint="eastAsia" w:ascii="仿宋" w:hAnsi="仿宋" w:eastAsia="仿宋" w:cs="仿宋"/>
          <w:kern w:val="0"/>
          <w:sz w:val="32"/>
          <w:szCs w:val="32"/>
          <w:highlight w:val="none"/>
        </w:rPr>
        <w:t>我局2018年度政府采购支出总额23.42万元，其中：政府采购货物支出23.42万元。授予中小企业合同金额</w:t>
      </w:r>
      <w:r>
        <w:rPr>
          <w:rFonts w:hint="eastAsia" w:ascii="仿宋" w:hAnsi="仿宋" w:eastAsia="仿宋" w:cs="仿宋"/>
          <w:kern w:val="0"/>
          <w:sz w:val="32"/>
          <w:szCs w:val="32"/>
          <w:highlight w:val="none"/>
          <w:lang w:val="en-US" w:eastAsia="zh-CN"/>
        </w:rPr>
        <w:t>0</w:t>
      </w:r>
      <w:r>
        <w:rPr>
          <w:rFonts w:hint="eastAsia" w:ascii="仿宋" w:hAnsi="仿宋" w:eastAsia="仿宋" w:cs="仿宋"/>
          <w:kern w:val="0"/>
          <w:sz w:val="32"/>
          <w:szCs w:val="32"/>
          <w:highlight w:val="none"/>
        </w:rPr>
        <w:t>万元，占政府采购支出总额的</w:t>
      </w:r>
      <w:r>
        <w:rPr>
          <w:rFonts w:hint="eastAsia" w:ascii="仿宋" w:hAnsi="仿宋" w:eastAsia="仿宋" w:cs="仿宋"/>
          <w:kern w:val="0"/>
          <w:sz w:val="32"/>
          <w:szCs w:val="32"/>
          <w:highlight w:val="none"/>
          <w:lang w:val="en-US" w:eastAsia="zh-CN"/>
        </w:rPr>
        <w:t>0</w:t>
      </w:r>
      <w:r>
        <w:rPr>
          <w:rFonts w:hint="eastAsia" w:ascii="仿宋" w:hAnsi="仿宋" w:eastAsia="仿宋" w:cs="仿宋"/>
          <w:kern w:val="0"/>
          <w:sz w:val="32"/>
          <w:szCs w:val="32"/>
          <w:highlight w:val="none"/>
        </w:rPr>
        <w:t>%</w:t>
      </w:r>
      <w:r>
        <w:rPr>
          <w:rFonts w:hint="eastAsia" w:ascii="仿宋" w:hAnsi="仿宋" w:eastAsia="仿宋" w:cs="仿宋"/>
          <w:kern w:val="0"/>
          <w:sz w:val="32"/>
          <w:szCs w:val="32"/>
          <w:highlight w:val="none"/>
          <w:lang w:eastAsia="zh-CN"/>
        </w:rPr>
        <w:t>。</w:t>
      </w:r>
    </w:p>
    <w:p>
      <w:pPr>
        <w:autoSpaceDE w:val="0"/>
        <w:autoSpaceDN w:val="0"/>
        <w:adjustRightInd w:val="0"/>
        <w:ind w:firstLine="640" w:firstLineChars="200"/>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（三）国有资产占用情况</w:t>
      </w:r>
    </w:p>
    <w:p>
      <w:pPr>
        <w:autoSpaceDE w:val="0"/>
        <w:autoSpaceDN w:val="0"/>
        <w:adjustRightInd w:val="0"/>
        <w:ind w:firstLine="640" w:firstLineChars="200"/>
        <w:jc w:val="left"/>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截至2018年12 月31 日，我局账面共有车辆3辆（其中2辆已收缴待处置），其中：一般公务用车1辆，没有单位价值50 万元以上通用设备和单价100 万元以上专用设备。</w:t>
      </w:r>
    </w:p>
    <w:p>
      <w:pPr>
        <w:widowControl/>
        <w:ind w:firstLine="640" w:firstLineChars="200"/>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（四）预算绩效情况的说明。</w:t>
      </w:r>
    </w:p>
    <w:p>
      <w:pPr>
        <w:spacing w:line="540" w:lineRule="exact"/>
        <w:ind w:firstLine="645"/>
        <w:rPr>
          <w:rFonts w:hint="eastAsia" w:ascii="仿宋" w:hAnsi="仿宋" w:eastAsia="仿宋" w:cs="仿宋"/>
          <w:sz w:val="32"/>
          <w:szCs w:val="32"/>
          <w:highlight w:val="none"/>
        </w:rPr>
      </w:pPr>
      <w:r>
        <w:rPr>
          <w:rFonts w:hint="eastAsia" w:ascii="仿宋" w:hAnsi="仿宋" w:eastAsia="仿宋" w:cs="仿宋"/>
          <w:kern w:val="0"/>
          <w:sz w:val="32"/>
          <w:szCs w:val="32"/>
          <w:highlight w:val="none"/>
        </w:rPr>
        <w:t>2018年度，我局除维持局机关正常运转外，资金大部份投向社会保险基金的宣传、征缴、发放、稽核、</w:t>
      </w:r>
      <w:r>
        <w:rPr>
          <w:rFonts w:hint="eastAsia" w:ascii="仿宋" w:hAnsi="仿宋" w:eastAsia="仿宋" w:cs="仿宋"/>
          <w:color w:val="000000"/>
          <w:kern w:val="0"/>
          <w:sz w:val="32"/>
          <w:szCs w:val="32"/>
          <w:highlight w:val="none"/>
        </w:rPr>
        <w:t>维护</w:t>
      </w:r>
      <w:r>
        <w:rPr>
          <w:rFonts w:hint="eastAsia" w:ascii="仿宋" w:hAnsi="仿宋" w:eastAsia="仿宋" w:cs="仿宋"/>
          <w:color w:val="000000"/>
          <w:sz w:val="32"/>
          <w:szCs w:val="32"/>
          <w:highlight w:val="none"/>
        </w:rPr>
        <w:t>劳动者</w:t>
      </w:r>
      <w:r>
        <w:rPr>
          <w:rFonts w:hint="eastAsia" w:ascii="仿宋" w:hAnsi="仿宋" w:eastAsia="仿宋" w:cs="仿宋"/>
          <w:color w:val="000000"/>
          <w:kern w:val="0"/>
          <w:sz w:val="32"/>
          <w:szCs w:val="32"/>
          <w:highlight w:val="none"/>
        </w:rPr>
        <w:t>合法权益等，坚持“</w:t>
      </w:r>
      <w:r>
        <w:rPr>
          <w:rFonts w:hint="eastAsia" w:ascii="仿宋" w:hAnsi="仿宋" w:eastAsia="仿宋" w:cs="仿宋"/>
          <w:sz w:val="32"/>
          <w:szCs w:val="32"/>
          <w:highlight w:val="none"/>
        </w:rPr>
        <w:t>民生为本、人才优先”，为构建和谐劳动关系，提升基本公共服务能力和水平，推动人力资源和社会保障事业全面协调可持续发展提供支撑和保障。</w:t>
      </w:r>
    </w:p>
    <w:p>
      <w:pPr>
        <w:spacing w:line="540" w:lineRule="exact"/>
        <w:ind w:firstLine="645"/>
        <w:rPr>
          <w:rFonts w:hint="eastAsia" w:ascii="仿宋" w:hAnsi="仿宋" w:eastAsia="仿宋" w:cs="仿宋"/>
          <w:szCs w:val="32"/>
          <w:highlight w:val="none"/>
        </w:rPr>
      </w:pPr>
      <w:r>
        <w:rPr>
          <w:rFonts w:hint="eastAsia" w:ascii="仿宋" w:hAnsi="仿宋" w:eastAsia="仿宋" w:cs="仿宋"/>
          <w:sz w:val="32"/>
          <w:szCs w:val="32"/>
          <w:highlight w:val="none"/>
        </w:rPr>
        <w:t>2018年共完成了如下几个方面的主要工作：</w:t>
      </w:r>
    </w:p>
    <w:p>
      <w:pPr>
        <w:spacing w:line="540" w:lineRule="exact"/>
        <w:ind w:firstLine="645"/>
        <w:rPr>
          <w:rFonts w:hint="eastAsia" w:ascii="仿宋" w:hAnsi="仿宋" w:eastAsia="仿宋" w:cs="仿宋"/>
          <w:sz w:val="32"/>
          <w:szCs w:val="32"/>
          <w:highlight w:val="none"/>
        </w:rPr>
      </w:pPr>
      <w:r>
        <w:rPr>
          <w:rFonts w:hint="eastAsia" w:ascii="仿宋" w:hAnsi="仿宋" w:eastAsia="仿宋" w:cs="仿宋"/>
          <w:sz w:val="32"/>
          <w:szCs w:val="32"/>
          <w:highlight w:val="none"/>
        </w:rPr>
        <w:t>一是完成新增城镇就业人数7526人；就业困难人员再就业1872人；新增农村劳动力转移就业5084人；二是累计发放社会保障卡65万张；三是劳动人事争议仲裁立案结案128件，时效内结案率100%；四是全面推动企业工资集体协商提质工作，我市已建工会企业集体协商建制率达96%，加大劳动违法行为联合惩诫力度，全年处理举报、投诉案件99起，涉及约1100人，金额1400万元；五是全市全年招录公务员53人，事业单位招聘市直26人，教育系统106人，卫生系统65人；六是完成保险基金自征缴76455万元，发放保险基金待遇支出136784万元，</w:t>
      </w:r>
      <w:r>
        <w:rPr>
          <w:rFonts w:hint="eastAsia" w:ascii="仿宋" w:hAnsi="仿宋" w:eastAsia="仿宋" w:cs="仿宋"/>
          <w:sz w:val="32"/>
          <w:szCs w:val="32"/>
          <w:highlight w:val="none"/>
          <w:lang w:eastAsia="zh-CN"/>
        </w:rPr>
        <w:t>完成了年初申报的各项绩效目标任务。</w:t>
      </w:r>
      <w:r>
        <w:rPr>
          <w:rFonts w:hint="eastAsia" w:ascii="仿宋" w:hAnsi="仿宋" w:eastAsia="仿宋" w:cs="仿宋"/>
          <w:sz w:val="32"/>
          <w:szCs w:val="32"/>
          <w:highlight w:val="none"/>
        </w:rPr>
        <w:t>使我市社会保障体系继续完善，民生保障能力持续提升。</w:t>
      </w:r>
    </w:p>
    <w:p>
      <w:pPr>
        <w:autoSpaceDN w:val="0"/>
        <w:spacing w:line="360" w:lineRule="auto"/>
        <w:ind w:firstLine="652"/>
        <w:jc w:val="left"/>
        <w:rPr>
          <w:rFonts w:hint="eastAsia" w:ascii="仿宋" w:hAnsi="仿宋" w:eastAsia="仿宋" w:cs="仿宋"/>
          <w:sz w:val="32"/>
          <w:szCs w:val="32"/>
          <w:highlight w:val="none"/>
        </w:rPr>
      </w:pPr>
    </w:p>
    <w:p>
      <w:pPr>
        <w:shd w:val="clear" w:color="auto" w:fill="FFFFFF"/>
        <w:spacing w:line="600" w:lineRule="atLeast"/>
        <w:ind w:firstLine="600"/>
        <w:jc w:val="center"/>
        <w:rPr>
          <w:rFonts w:hint="eastAsia" w:ascii="仿宋" w:hAnsi="仿宋" w:eastAsia="仿宋" w:cs="仿宋"/>
          <w:b/>
          <w:bCs/>
          <w:kern w:val="0"/>
          <w:sz w:val="36"/>
          <w:szCs w:val="36"/>
          <w:highlight w:val="none"/>
        </w:rPr>
      </w:pPr>
      <w:r>
        <w:rPr>
          <w:rFonts w:hint="eastAsia" w:ascii="仿宋" w:hAnsi="仿宋" w:eastAsia="仿宋" w:cs="仿宋"/>
          <w:b/>
          <w:bCs/>
          <w:kern w:val="0"/>
          <w:sz w:val="36"/>
          <w:szCs w:val="36"/>
          <w:highlight w:val="none"/>
        </w:rPr>
        <w:t>第三部份   名词解释</w:t>
      </w:r>
    </w:p>
    <w:p>
      <w:pPr>
        <w:shd w:val="clear" w:color="auto" w:fill="FFFFFF"/>
        <w:spacing w:line="600" w:lineRule="atLeast"/>
        <w:ind w:firstLine="600"/>
        <w:rPr>
          <w:rFonts w:hint="eastAsia" w:ascii="仿宋" w:hAnsi="仿宋" w:eastAsia="仿宋" w:cs="仿宋"/>
          <w:color w:val="444444"/>
          <w:kern w:val="0"/>
          <w:sz w:val="32"/>
          <w:szCs w:val="32"/>
          <w:highlight w:val="none"/>
        </w:rPr>
      </w:pPr>
      <w:r>
        <w:rPr>
          <w:rFonts w:hint="eastAsia" w:ascii="仿宋" w:hAnsi="仿宋" w:eastAsia="仿宋" w:cs="仿宋"/>
          <w:color w:val="444444"/>
          <w:kern w:val="0"/>
          <w:sz w:val="32"/>
          <w:szCs w:val="32"/>
          <w:highlight w:val="none"/>
        </w:rPr>
        <w:t>(一)财政拨款收入：指同级财政当年拨付的预算拨款。</w:t>
      </w:r>
    </w:p>
    <w:p>
      <w:pPr>
        <w:widowControl/>
        <w:shd w:val="clear" w:color="auto" w:fill="FFFFFF"/>
        <w:spacing w:line="600" w:lineRule="atLeast"/>
        <w:ind w:firstLine="600"/>
        <w:jc w:val="left"/>
        <w:rPr>
          <w:rFonts w:hint="eastAsia" w:ascii="仿宋" w:hAnsi="仿宋" w:eastAsia="仿宋" w:cs="仿宋"/>
          <w:color w:val="444444"/>
          <w:kern w:val="0"/>
          <w:sz w:val="32"/>
          <w:szCs w:val="32"/>
          <w:highlight w:val="none"/>
        </w:rPr>
      </w:pPr>
      <w:r>
        <w:rPr>
          <w:rFonts w:hint="eastAsia" w:ascii="仿宋" w:hAnsi="仿宋" w:eastAsia="仿宋" w:cs="仿宋"/>
          <w:color w:val="444444"/>
          <w:kern w:val="0"/>
          <w:sz w:val="32"/>
          <w:szCs w:val="32"/>
          <w:highlight w:val="none"/>
        </w:rPr>
        <w:t>(二)基本支出：指为保障机构正常运转、完成日常工作任务而发生的人员支出和公用支出。</w:t>
      </w:r>
    </w:p>
    <w:p>
      <w:pPr>
        <w:widowControl/>
        <w:shd w:val="clear" w:color="auto" w:fill="FFFFFF"/>
        <w:spacing w:line="600" w:lineRule="atLeast"/>
        <w:ind w:firstLine="600"/>
        <w:jc w:val="left"/>
        <w:rPr>
          <w:rFonts w:hint="eastAsia" w:ascii="仿宋" w:hAnsi="仿宋" w:eastAsia="仿宋" w:cs="仿宋"/>
          <w:color w:val="444444"/>
          <w:kern w:val="0"/>
          <w:sz w:val="32"/>
          <w:szCs w:val="32"/>
          <w:highlight w:val="none"/>
        </w:rPr>
      </w:pPr>
      <w:r>
        <w:rPr>
          <w:rFonts w:hint="eastAsia" w:ascii="仿宋" w:hAnsi="仿宋" w:eastAsia="仿宋" w:cs="仿宋"/>
          <w:color w:val="444444"/>
          <w:kern w:val="0"/>
          <w:sz w:val="32"/>
          <w:szCs w:val="32"/>
          <w:highlight w:val="none"/>
        </w:rPr>
        <w:t>(三)项目支出：指在基本支出之外为完成特定行政任务和事业发展目标所发生的支出。</w:t>
      </w:r>
    </w:p>
    <w:p>
      <w:pPr>
        <w:widowControl/>
        <w:shd w:val="clear" w:color="auto" w:fill="FFFFFF"/>
        <w:spacing w:line="600" w:lineRule="atLeast"/>
        <w:ind w:hanging="160"/>
        <w:jc w:val="left"/>
        <w:rPr>
          <w:rFonts w:hint="eastAsia" w:ascii="仿宋" w:hAnsi="仿宋" w:eastAsia="仿宋" w:cs="仿宋"/>
          <w:color w:val="444444"/>
          <w:kern w:val="0"/>
          <w:sz w:val="32"/>
          <w:szCs w:val="32"/>
          <w:highlight w:val="none"/>
        </w:rPr>
      </w:pPr>
      <w:r>
        <w:rPr>
          <w:rFonts w:hint="eastAsia" w:ascii="仿宋" w:hAnsi="仿宋" w:eastAsia="仿宋" w:cs="仿宋"/>
          <w:color w:val="444444"/>
          <w:kern w:val="0"/>
          <w:sz w:val="32"/>
          <w:szCs w:val="32"/>
          <w:highlight w:val="none"/>
        </w:rPr>
        <w:t>    (四)“三公”经费：纳入同级财政预决算管理的“三公”经费是指用一般公共预算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widowControl/>
        <w:spacing w:line="600" w:lineRule="exact"/>
        <w:ind w:firstLine="660"/>
        <w:rPr>
          <w:rFonts w:hint="eastAsia" w:ascii="仿宋" w:hAnsi="仿宋" w:eastAsia="仿宋" w:cs="仿宋"/>
          <w:sz w:val="32"/>
          <w:szCs w:val="32"/>
          <w:highlight w:val="none"/>
        </w:rPr>
      </w:pPr>
      <w:r>
        <w:rPr>
          <w:rFonts w:hint="eastAsia" w:ascii="仿宋" w:hAnsi="仿宋" w:eastAsia="仿宋" w:cs="仿宋"/>
          <w:sz w:val="32"/>
          <w:szCs w:val="32"/>
          <w:highlight w:val="none"/>
        </w:rPr>
        <w:t>（五）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jc w:val="left"/>
        <w:rPr>
          <w:rFonts w:hint="eastAsia" w:ascii="仿宋" w:hAnsi="仿宋" w:eastAsia="仿宋" w:cs="仿宋"/>
          <w:i/>
          <w:color w:val="FF0000"/>
          <w:sz w:val="32"/>
          <w:szCs w:val="32"/>
          <w:highlight w:val="none"/>
        </w:rPr>
      </w:pPr>
      <w:r>
        <w:rPr>
          <w:rFonts w:hint="eastAsia" w:ascii="仿宋" w:hAnsi="仿宋" w:eastAsia="仿宋" w:cs="仿宋"/>
          <w:i/>
          <w:color w:val="FF0000"/>
          <w:sz w:val="32"/>
          <w:szCs w:val="32"/>
          <w:highlight w:val="none"/>
        </w:rPr>
        <w:br w:type="page"/>
      </w:r>
    </w:p>
    <w:p>
      <w:pPr>
        <w:widowControl/>
        <w:jc w:val="center"/>
        <w:rPr>
          <w:rFonts w:hint="eastAsia" w:ascii="仿宋" w:hAnsi="仿宋" w:eastAsia="仿宋" w:cs="仿宋"/>
          <w:b/>
          <w:bCs/>
          <w:kern w:val="0"/>
          <w:sz w:val="36"/>
          <w:szCs w:val="36"/>
          <w:lang w:val="en-US" w:eastAsia="zh-CN"/>
        </w:rPr>
      </w:pPr>
    </w:p>
    <w:p>
      <w:pPr>
        <w:widowControl/>
        <w:jc w:val="center"/>
        <w:rPr>
          <w:rFonts w:hint="eastAsia" w:ascii="仿宋" w:hAnsi="仿宋" w:eastAsia="仿宋" w:cs="仿宋"/>
          <w:b/>
          <w:bCs/>
          <w:kern w:val="0"/>
          <w:sz w:val="36"/>
          <w:szCs w:val="36"/>
        </w:rPr>
      </w:pPr>
      <w:r>
        <w:rPr>
          <w:rFonts w:hint="eastAsia" w:ascii="仿宋" w:hAnsi="仿宋" w:eastAsia="仿宋" w:cs="仿宋"/>
          <w:b/>
          <w:bCs/>
          <w:kern w:val="0"/>
          <w:sz w:val="36"/>
          <w:szCs w:val="36"/>
        </w:rPr>
        <w:t>第四部份   湘乡市人力资源和社会保障局201</w:t>
      </w:r>
      <w:r>
        <w:rPr>
          <w:rFonts w:hint="eastAsia" w:ascii="仿宋" w:hAnsi="仿宋" w:eastAsia="仿宋" w:cs="仿宋"/>
          <w:b/>
          <w:bCs/>
          <w:kern w:val="0"/>
          <w:sz w:val="36"/>
          <w:szCs w:val="36"/>
          <w:lang w:val="en-US" w:eastAsia="zh-CN"/>
        </w:rPr>
        <w:t>8</w:t>
      </w:r>
      <w:r>
        <w:rPr>
          <w:rFonts w:hint="eastAsia" w:ascii="仿宋" w:hAnsi="仿宋" w:eastAsia="仿宋" w:cs="仿宋"/>
          <w:b/>
          <w:bCs/>
          <w:kern w:val="0"/>
          <w:sz w:val="36"/>
          <w:szCs w:val="36"/>
        </w:rPr>
        <w:t>年度部门决算报表</w:t>
      </w:r>
    </w:p>
    <w:p>
      <w:pPr>
        <w:pStyle w:val="13"/>
        <w:widowControl/>
        <w:numPr>
          <w:ilvl w:val="0"/>
          <w:numId w:val="1"/>
        </w:numPr>
        <w:ind w:firstLineChars="0"/>
        <w:rPr>
          <w:rFonts w:hint="eastAsia" w:ascii="仿宋" w:hAnsi="仿宋" w:eastAsia="仿宋" w:cs="仿宋"/>
          <w:kern w:val="0"/>
          <w:sz w:val="32"/>
          <w:szCs w:val="32"/>
        </w:rPr>
      </w:pPr>
      <w:r>
        <w:rPr>
          <w:rFonts w:hint="eastAsia" w:ascii="仿宋" w:hAnsi="仿宋" w:eastAsia="仿宋" w:cs="仿宋"/>
          <w:kern w:val="0"/>
          <w:sz w:val="32"/>
          <w:szCs w:val="32"/>
        </w:rPr>
        <w:t>收入支出决算总表</w:t>
      </w:r>
    </w:p>
    <w:p>
      <w:pPr>
        <w:pStyle w:val="13"/>
        <w:widowControl/>
        <w:numPr>
          <w:ilvl w:val="0"/>
          <w:numId w:val="1"/>
        </w:numPr>
        <w:ind w:firstLineChars="0"/>
        <w:rPr>
          <w:rFonts w:hint="eastAsia" w:ascii="仿宋" w:hAnsi="仿宋" w:eastAsia="仿宋" w:cs="仿宋"/>
          <w:kern w:val="0"/>
          <w:sz w:val="32"/>
          <w:szCs w:val="32"/>
        </w:rPr>
      </w:pPr>
      <w:r>
        <w:rPr>
          <w:rFonts w:hint="eastAsia" w:ascii="仿宋" w:hAnsi="仿宋" w:eastAsia="仿宋" w:cs="仿宋"/>
          <w:kern w:val="0"/>
          <w:sz w:val="32"/>
          <w:szCs w:val="32"/>
        </w:rPr>
        <w:t>财政拨款收入支出决算总表</w:t>
      </w:r>
    </w:p>
    <w:p>
      <w:pPr>
        <w:pStyle w:val="13"/>
        <w:widowControl/>
        <w:numPr>
          <w:ilvl w:val="0"/>
          <w:numId w:val="1"/>
        </w:numPr>
        <w:ind w:firstLineChars="0"/>
        <w:rPr>
          <w:rFonts w:hint="eastAsia" w:ascii="仿宋" w:hAnsi="仿宋" w:eastAsia="仿宋" w:cs="仿宋"/>
          <w:kern w:val="0"/>
          <w:sz w:val="32"/>
          <w:szCs w:val="32"/>
        </w:rPr>
      </w:pPr>
      <w:r>
        <w:rPr>
          <w:rFonts w:hint="eastAsia" w:ascii="仿宋" w:hAnsi="仿宋" w:eastAsia="仿宋" w:cs="仿宋"/>
          <w:kern w:val="0"/>
          <w:sz w:val="32"/>
          <w:szCs w:val="32"/>
        </w:rPr>
        <w:t>收入决算表</w:t>
      </w:r>
    </w:p>
    <w:p>
      <w:pPr>
        <w:pStyle w:val="13"/>
        <w:widowControl/>
        <w:numPr>
          <w:ilvl w:val="0"/>
          <w:numId w:val="1"/>
        </w:numPr>
        <w:ind w:firstLineChars="0"/>
        <w:rPr>
          <w:rFonts w:hint="eastAsia" w:ascii="仿宋" w:hAnsi="仿宋" w:eastAsia="仿宋" w:cs="仿宋"/>
          <w:kern w:val="0"/>
          <w:sz w:val="32"/>
          <w:szCs w:val="32"/>
        </w:rPr>
      </w:pPr>
      <w:r>
        <w:rPr>
          <w:rFonts w:hint="eastAsia" w:ascii="仿宋" w:hAnsi="仿宋" w:eastAsia="仿宋" w:cs="仿宋"/>
          <w:kern w:val="0"/>
          <w:sz w:val="32"/>
          <w:szCs w:val="32"/>
        </w:rPr>
        <w:t>支出决算表</w:t>
      </w:r>
    </w:p>
    <w:p>
      <w:pPr>
        <w:pStyle w:val="13"/>
        <w:widowControl/>
        <w:numPr>
          <w:ilvl w:val="0"/>
          <w:numId w:val="1"/>
        </w:numPr>
        <w:ind w:firstLineChars="0"/>
        <w:rPr>
          <w:rFonts w:hint="eastAsia" w:ascii="仿宋" w:hAnsi="仿宋" w:eastAsia="仿宋" w:cs="仿宋"/>
          <w:kern w:val="0"/>
          <w:sz w:val="32"/>
          <w:szCs w:val="32"/>
        </w:rPr>
      </w:pPr>
      <w:r>
        <w:rPr>
          <w:rFonts w:hint="eastAsia" w:ascii="仿宋" w:hAnsi="仿宋" w:eastAsia="仿宋" w:cs="仿宋"/>
          <w:kern w:val="0"/>
          <w:sz w:val="32"/>
          <w:szCs w:val="32"/>
        </w:rPr>
        <w:t>一般公共预算财政拨款收入支出决算表</w:t>
      </w:r>
    </w:p>
    <w:p>
      <w:pPr>
        <w:pStyle w:val="13"/>
        <w:widowControl/>
        <w:numPr>
          <w:ilvl w:val="0"/>
          <w:numId w:val="1"/>
        </w:numPr>
        <w:ind w:firstLineChars="0"/>
        <w:rPr>
          <w:rFonts w:hint="eastAsia" w:ascii="仿宋" w:hAnsi="仿宋" w:eastAsia="仿宋" w:cs="仿宋"/>
          <w:kern w:val="0"/>
          <w:sz w:val="32"/>
          <w:szCs w:val="32"/>
        </w:rPr>
      </w:pPr>
      <w:r>
        <w:rPr>
          <w:rFonts w:hint="eastAsia" w:ascii="仿宋" w:hAnsi="仿宋" w:eastAsia="仿宋" w:cs="仿宋"/>
          <w:kern w:val="0"/>
          <w:sz w:val="32"/>
          <w:szCs w:val="32"/>
        </w:rPr>
        <w:t>一般公共预算财政拨款基本支出决算明细表</w:t>
      </w:r>
    </w:p>
    <w:p>
      <w:pPr>
        <w:pStyle w:val="13"/>
        <w:widowControl/>
        <w:numPr>
          <w:ilvl w:val="0"/>
          <w:numId w:val="1"/>
        </w:numPr>
        <w:ind w:firstLineChars="0"/>
        <w:rPr>
          <w:rFonts w:hint="eastAsia" w:ascii="仿宋" w:hAnsi="仿宋" w:eastAsia="仿宋" w:cs="仿宋"/>
          <w:kern w:val="0"/>
          <w:sz w:val="32"/>
          <w:szCs w:val="32"/>
        </w:rPr>
      </w:pPr>
      <w:r>
        <w:rPr>
          <w:rFonts w:hint="eastAsia" w:ascii="仿宋" w:hAnsi="仿宋" w:eastAsia="仿宋" w:cs="仿宋"/>
          <w:kern w:val="0"/>
          <w:sz w:val="32"/>
          <w:szCs w:val="32"/>
        </w:rPr>
        <w:t>政府性基金预算财政拨款收入支出决算表</w:t>
      </w:r>
    </w:p>
    <w:p>
      <w:pPr>
        <w:widowControl/>
        <w:numPr>
          <w:ilvl w:val="0"/>
          <w:numId w:val="1"/>
        </w:numPr>
        <w:rPr>
          <w:rFonts w:hint="eastAsia" w:ascii="仿宋" w:hAnsi="仿宋" w:eastAsia="仿宋" w:cs="仿宋"/>
          <w:bCs/>
          <w:kern w:val="0"/>
          <w:sz w:val="32"/>
          <w:szCs w:val="32"/>
        </w:rPr>
      </w:pPr>
      <w:r>
        <w:rPr>
          <w:rFonts w:hint="eastAsia" w:ascii="仿宋" w:hAnsi="仿宋" w:eastAsia="仿宋" w:cs="仿宋"/>
          <w:bCs/>
          <w:kern w:val="0"/>
          <w:sz w:val="32"/>
          <w:szCs w:val="32"/>
        </w:rPr>
        <w:t>一般公共预算财政拨款“三公”经费支出决算表</w:t>
      </w:r>
    </w:p>
    <w:p>
      <w:pPr>
        <w:widowControl/>
        <w:rPr>
          <w:rFonts w:hint="eastAsia" w:ascii="仿宋" w:hAnsi="仿宋" w:eastAsia="仿宋" w:cs="仿宋"/>
          <w:kern w:val="0"/>
          <w:sz w:val="32"/>
          <w:szCs w:val="3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7</w:t>
    </w:r>
    <w:r>
      <w:rPr>
        <w:rStyle w:val="9"/>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B7CDD"/>
    <w:rsid w:val="157C1B8E"/>
    <w:rsid w:val="25706D2E"/>
    <w:rsid w:val="33E4526B"/>
    <w:rsid w:val="3F1E00C6"/>
    <w:rsid w:val="69AB64EA"/>
    <w:rsid w:val="6E403ED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Balloon Text"/>
    <w:basedOn w:val="1"/>
    <w:link w:val="10"/>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99"/>
    <w:rPr>
      <w:b/>
      <w:bCs/>
    </w:rPr>
  </w:style>
  <w:style w:type="character" w:styleId="9">
    <w:name w:val="page number"/>
    <w:basedOn w:val="7"/>
    <w:qFormat/>
    <w:uiPriority w:val="99"/>
  </w:style>
  <w:style w:type="character" w:customStyle="1" w:styleId="10">
    <w:name w:val="批注框文本 Char"/>
    <w:basedOn w:val="7"/>
    <w:link w:val="2"/>
    <w:qFormat/>
    <w:uiPriority w:val="99"/>
    <w:rPr>
      <w:kern w:val="2"/>
      <w:sz w:val="18"/>
      <w:szCs w:val="18"/>
    </w:rPr>
  </w:style>
  <w:style w:type="character" w:customStyle="1" w:styleId="11">
    <w:name w:val="页脚 Char"/>
    <w:basedOn w:val="7"/>
    <w:link w:val="3"/>
    <w:qFormat/>
    <w:uiPriority w:val="99"/>
    <w:rPr>
      <w:sz w:val="18"/>
      <w:szCs w:val="18"/>
    </w:rPr>
  </w:style>
  <w:style w:type="character" w:customStyle="1" w:styleId="12">
    <w:name w:val="页眉 Char"/>
    <w:basedOn w:val="7"/>
    <w:link w:val="4"/>
    <w:qFormat/>
    <w:uiPriority w:val="99"/>
    <w:rPr>
      <w:kern w:val="2"/>
      <w:sz w:val="18"/>
      <w:szCs w:val="18"/>
    </w:rPr>
  </w:style>
  <w:style w:type="paragraph" w:styleId="13">
    <w:name w:val="List Paragraph"/>
    <w:basedOn w:val="1"/>
    <w:qFormat/>
    <w:uiPriority w:val="99"/>
    <w:pPr>
      <w:ind w:firstLine="420" w:firstLineChars="200"/>
    </w:pPr>
  </w:style>
  <w:style w:type="paragraph" w:customStyle="1" w:styleId="14">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b:Sources xmlns:b="http://schemas.openxmlformats.org/officeDocument/2006/bibliography" xmlns="http://schemas.openxmlformats.org/officeDocument/2006/bibliography" SelectedStyle="" StyleName=""/>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4039e9-7aca-4243-b1c5-28e03953d508}">
  <ds:schemaRefs/>
</ds:datastoreItem>
</file>

<file path=customXml/itemProps3.xml><?xml version="1.0" encoding="utf-8"?>
<ds:datastoreItem xmlns:ds="http://schemas.openxmlformats.org/officeDocument/2006/customXml" ds:itemID="{fb44e860-95f0-4163-97c9-a100b1ee1385}">
  <ds:schemaRefs/>
</ds:datastoreItem>
</file>

<file path=customXml/itemProps4.xml><?xml version="1.0" encoding="utf-8"?>
<ds:datastoreItem xmlns:ds="http://schemas.openxmlformats.org/officeDocument/2006/customXml" ds:itemID="{CA7CF6D5-302D-463B-AAA5-7870A920304D}">
  <ds:schemaRefs/>
</ds:datastoreItem>
</file>

<file path=customXml/itemProps5.xml><?xml version="1.0" encoding="utf-8"?>
<ds:datastoreItem xmlns:ds="http://schemas.openxmlformats.org/officeDocument/2006/customXml" ds:itemID="{8cff7c42-acce-4248-b077-97b7a67bd954}">
  <ds:schemaRefs/>
</ds:datastoreItem>
</file>

<file path=customXml/itemProps6.xml><?xml version="1.0" encoding="utf-8"?>
<ds:datastoreItem xmlns:ds="http://schemas.openxmlformats.org/officeDocument/2006/customXml" ds:itemID="{b7f8f46d-f7da-4547-8b05-ad80640199aa}">
  <ds:schemaRefs/>
</ds:datastoreItem>
</file>

<file path=customXml/itemProps7.xml><?xml version="1.0" encoding="utf-8"?>
<ds:datastoreItem xmlns:ds="http://schemas.openxmlformats.org/officeDocument/2006/customXml" ds:itemID="{ed4bdea5-38aa-4968-bd18-2d6a77037913}">
  <ds:schemaRefs/>
</ds:datastoreItem>
</file>

<file path=customXml/itemProps8.xml><?xml version="1.0" encoding="utf-8"?>
<ds:datastoreItem xmlns:ds="http://schemas.openxmlformats.org/officeDocument/2006/customXml" ds:itemID="{4c79ec19-3f18-4ae6-aae6-c7cbbdc29e71}">
  <ds:schemaRefs/>
</ds:datastoreItem>
</file>

<file path=customXml/itemProps9.xml><?xml version="1.0" encoding="utf-8"?>
<ds:datastoreItem xmlns:ds="http://schemas.openxmlformats.org/officeDocument/2006/customXml" ds:itemID="{56b4f62e-ba54-40a1-bbdf-f35df8c459c4}">
  <ds:schemaRefs/>
</ds:datastoreItem>
</file>

<file path=customXml/itemProps10.xml><?xml version="1.0" encoding="utf-8"?>
<ds:datastoreItem xmlns:ds="http://schemas.openxmlformats.org/officeDocument/2006/customXml" ds:itemID="{4d6f1b76-e2fa-419c-ad41-1ec53aa0fdfb}">
  <ds:schemaRefs/>
</ds:datastoreItem>
</file>

<file path=customXml/itemProps11.xml><?xml version="1.0" encoding="utf-8"?>
<ds:datastoreItem xmlns:ds="http://schemas.openxmlformats.org/officeDocument/2006/customXml" ds:itemID="{a58b2c98-265b-4c30-8222-7da89678ca49}">
  <ds:schemaRefs/>
</ds:datastoreItem>
</file>

<file path=customXml/itemProps12.xml><?xml version="1.0" encoding="utf-8"?>
<ds:datastoreItem xmlns:ds="http://schemas.openxmlformats.org/officeDocument/2006/customXml" ds:itemID="{ad5a01d8-f327-4049-82dc-500373c073a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3868</Words>
  <Characters>4214</Characters>
  <Paragraphs>95</Paragraphs>
  <TotalTime>2</TotalTime>
  <ScaleCrop>false</ScaleCrop>
  <LinksUpToDate>false</LinksUpToDate>
  <CharactersWithSpaces>4243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2017-09-09T13:42:00Z</dcterms:created>
  <dc:creator>Administrator</dc:creator>
  <cp:lastModifiedBy>Administrator</cp:lastModifiedBy>
  <cp:lastPrinted>2019-09-04T00:52:00Z</cp:lastPrinted>
  <dcterms:modified xsi:type="dcterms:W3CDTF">2021-07-21T09:17:25Z</dcterms:modified>
  <dc:title>科学技术部2012年部门预算</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8C2A1B1188324106999C77C84D0A21AE</vt:lpwstr>
  </property>
</Properties>
</file>