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widowControl/>
        <w:suppressLineNumbers w:val="0"/>
        <w:snapToGrid/>
        <w:spacing w:before="0" w:beforeAutospacing="0" w:after="0" w:afterAutospacing="0" w:line="240" w:lineRule="auto"/>
        <w:ind w:firstLine="843" w:firstLineChars="100"/>
        <w:jc w:val="left"/>
        <w:textAlignment w:val="baseline"/>
        <w:rPr>
          <w:rFonts w:hint="eastAsia" w:ascii="宋体" w:hAnsi="宋体" w:eastAsia="宋体" w:cs="宋体"/>
          <w:b/>
          <w:i w:val="0"/>
          <w:caps w:val="0"/>
          <w:color w:val="000000"/>
          <w:spacing w:val="0"/>
          <w:w w:val="100"/>
          <w:kern w:val="0"/>
          <w:sz w:val="84"/>
          <w:szCs w:val="84"/>
          <w:lang w:val="en-US" w:eastAsia="zh-CN" w:bidi="ar"/>
        </w:rPr>
      </w:pPr>
      <w:bookmarkStart w:id="0" w:name="_GoBack"/>
      <w:bookmarkEnd w:id="0"/>
    </w:p>
    <w:p>
      <w:pPr>
        <w:keepLines w:val="0"/>
        <w:widowControl/>
        <w:suppressLineNumbers w:val="0"/>
        <w:snapToGrid/>
        <w:spacing w:before="0" w:beforeAutospacing="0" w:after="0" w:afterAutospacing="0" w:line="240" w:lineRule="auto"/>
        <w:ind w:firstLine="843" w:firstLineChars="100"/>
        <w:jc w:val="left"/>
        <w:textAlignment w:val="baseline"/>
        <w:rPr>
          <w:rFonts w:hint="eastAsia" w:ascii="宋体" w:hAnsi="宋体" w:eastAsia="宋体" w:cs="宋体"/>
          <w:b/>
          <w:i w:val="0"/>
          <w:caps w:val="0"/>
          <w:color w:val="000000"/>
          <w:spacing w:val="0"/>
          <w:w w:val="100"/>
          <w:kern w:val="0"/>
          <w:sz w:val="84"/>
          <w:szCs w:val="84"/>
          <w:lang w:val="en-US" w:eastAsia="zh-CN" w:bidi="ar"/>
        </w:rPr>
      </w:pPr>
    </w:p>
    <w:p>
      <w:pPr>
        <w:keepLines w:val="0"/>
        <w:widowControl/>
        <w:suppressLineNumbers w:val="0"/>
        <w:snapToGrid/>
        <w:spacing w:before="0" w:beforeAutospacing="0" w:after="0" w:afterAutospacing="0" w:line="240" w:lineRule="auto"/>
        <w:ind w:firstLine="843" w:firstLineChars="100"/>
        <w:jc w:val="left"/>
        <w:textAlignment w:val="baseline"/>
        <w:rPr>
          <w:rFonts w:hint="eastAsia" w:ascii="宋体" w:hAnsi="宋体" w:eastAsia="宋体" w:cs="宋体"/>
          <w:b w:val="0"/>
          <w:i w:val="0"/>
          <w:caps w:val="0"/>
          <w:spacing w:val="0"/>
          <w:w w:val="100"/>
          <w:sz w:val="84"/>
          <w:szCs w:val="84"/>
        </w:rPr>
      </w:pPr>
      <w:r>
        <w:rPr>
          <w:rFonts w:hint="eastAsia" w:ascii="宋体" w:hAnsi="宋体" w:eastAsia="宋体" w:cs="宋体"/>
          <w:b/>
          <w:i w:val="0"/>
          <w:caps w:val="0"/>
          <w:color w:val="000000"/>
          <w:spacing w:val="0"/>
          <w:w w:val="100"/>
          <w:kern w:val="0"/>
          <w:sz w:val="84"/>
          <w:szCs w:val="84"/>
          <w:lang w:val="en-US" w:eastAsia="zh-CN" w:bidi="ar"/>
        </w:rPr>
        <w:t xml:space="preserve">湘乡市城乡规划局 </w:t>
      </w:r>
    </w:p>
    <w:p>
      <w:pPr>
        <w:keepLines w:val="0"/>
        <w:widowControl/>
        <w:suppressLineNumbers w:val="0"/>
        <w:snapToGrid/>
        <w:spacing w:before="0" w:beforeAutospacing="0" w:after="0" w:afterAutospacing="0" w:line="240" w:lineRule="auto"/>
        <w:ind w:firstLine="2530" w:firstLineChars="300"/>
        <w:jc w:val="left"/>
        <w:textAlignment w:val="baseline"/>
        <w:rPr>
          <w:rFonts w:hint="eastAsia" w:ascii="宋体" w:hAnsi="宋体" w:eastAsia="宋体" w:cs="宋体"/>
          <w:b w:val="0"/>
          <w:i w:val="0"/>
          <w:caps w:val="0"/>
          <w:spacing w:val="0"/>
          <w:w w:val="100"/>
          <w:sz w:val="84"/>
          <w:szCs w:val="84"/>
        </w:rPr>
      </w:pPr>
      <w:r>
        <w:rPr>
          <w:rFonts w:hint="eastAsia" w:ascii="宋体" w:hAnsi="宋体" w:eastAsia="宋体" w:cs="宋体"/>
          <w:b/>
          <w:i w:val="0"/>
          <w:caps w:val="0"/>
          <w:color w:val="000000"/>
          <w:spacing w:val="0"/>
          <w:w w:val="100"/>
          <w:kern w:val="0"/>
          <w:sz w:val="84"/>
          <w:szCs w:val="84"/>
          <w:lang w:val="en-US" w:eastAsia="zh-CN" w:bidi="ar"/>
        </w:rPr>
        <w:t xml:space="preserve">2018 年度 </w:t>
      </w:r>
    </w:p>
    <w:p>
      <w:pPr>
        <w:keepLines w:val="0"/>
        <w:widowControl/>
        <w:suppressLineNumbers w:val="0"/>
        <w:snapToGrid/>
        <w:spacing w:before="0" w:beforeAutospacing="0" w:after="0" w:afterAutospacing="0" w:line="240" w:lineRule="auto"/>
        <w:jc w:val="left"/>
        <w:textAlignment w:val="baseline"/>
        <w:rPr>
          <w:rFonts w:hint="eastAsia" w:ascii="宋体" w:hAnsi="宋体" w:eastAsia="宋体" w:cs="宋体"/>
          <w:b/>
          <w:i w:val="0"/>
          <w:caps w:val="0"/>
          <w:color w:val="000000"/>
          <w:spacing w:val="0"/>
          <w:w w:val="100"/>
          <w:kern w:val="0"/>
          <w:sz w:val="84"/>
          <w:szCs w:val="84"/>
          <w:lang w:val="en-US" w:eastAsia="zh-CN" w:bidi="ar"/>
        </w:rPr>
      </w:pPr>
    </w:p>
    <w:p>
      <w:pPr>
        <w:keepLines w:val="0"/>
        <w:widowControl/>
        <w:suppressLineNumbers w:val="0"/>
        <w:snapToGrid/>
        <w:spacing w:before="0" w:beforeAutospacing="0" w:after="0" w:afterAutospacing="0" w:line="240" w:lineRule="auto"/>
        <w:ind w:firstLine="2530" w:firstLineChars="300"/>
        <w:jc w:val="left"/>
        <w:textAlignment w:val="baseline"/>
        <w:rPr>
          <w:rFonts w:hint="eastAsia" w:ascii="宋体" w:hAnsi="宋体" w:eastAsia="宋体" w:cs="宋体"/>
          <w:b/>
          <w:i w:val="0"/>
          <w:caps w:val="0"/>
          <w:color w:val="000000"/>
          <w:spacing w:val="0"/>
          <w:w w:val="100"/>
          <w:kern w:val="0"/>
          <w:sz w:val="84"/>
          <w:szCs w:val="84"/>
          <w:lang w:val="en-US" w:eastAsia="zh-CN" w:bidi="ar"/>
        </w:rPr>
      </w:pPr>
      <w:r>
        <w:rPr>
          <w:rFonts w:hint="eastAsia" w:ascii="宋体" w:hAnsi="宋体" w:eastAsia="宋体" w:cs="宋体"/>
          <w:b/>
          <w:i w:val="0"/>
          <w:caps w:val="0"/>
          <w:color w:val="000000"/>
          <w:spacing w:val="0"/>
          <w:w w:val="100"/>
          <w:kern w:val="0"/>
          <w:sz w:val="84"/>
          <w:szCs w:val="84"/>
          <w:lang w:val="en-US" w:eastAsia="zh-CN" w:bidi="ar"/>
        </w:rPr>
        <w:t xml:space="preserve">部门决算 </w:t>
      </w:r>
    </w:p>
    <w:p>
      <w:pPr>
        <w:keepLines w:val="0"/>
        <w:widowControl/>
        <w:suppressLineNumbers w:val="0"/>
        <w:snapToGrid/>
        <w:spacing w:before="0" w:beforeAutospacing="0" w:after="0" w:afterAutospacing="0" w:line="240" w:lineRule="auto"/>
        <w:ind w:firstLine="2530" w:firstLineChars="300"/>
        <w:jc w:val="left"/>
        <w:textAlignment w:val="baseline"/>
        <w:rPr>
          <w:rFonts w:hint="eastAsia" w:ascii="宋体" w:hAnsi="宋体" w:eastAsia="宋体" w:cs="宋体"/>
          <w:b/>
          <w:i w:val="0"/>
          <w:caps w:val="0"/>
          <w:color w:val="000000"/>
          <w:spacing w:val="0"/>
          <w:w w:val="100"/>
          <w:kern w:val="0"/>
          <w:sz w:val="84"/>
          <w:szCs w:val="84"/>
          <w:lang w:val="en-US" w:eastAsia="zh-CN" w:bidi="ar"/>
        </w:rPr>
      </w:pPr>
    </w:p>
    <w:p>
      <w:pPr>
        <w:keepLines w:val="0"/>
        <w:widowControl/>
        <w:suppressLineNumbers w:val="0"/>
        <w:snapToGrid/>
        <w:spacing w:before="0" w:beforeAutospacing="0" w:after="0" w:afterAutospacing="0" w:line="240" w:lineRule="auto"/>
        <w:jc w:val="left"/>
        <w:textAlignment w:val="baseline"/>
        <w:rPr>
          <w:rFonts w:hint="eastAsia" w:ascii="宋体" w:hAnsi="宋体" w:eastAsia="宋体" w:cs="宋体"/>
          <w:b/>
          <w:i w:val="0"/>
          <w:caps w:val="0"/>
          <w:color w:val="000000"/>
          <w:spacing w:val="0"/>
          <w:w w:val="100"/>
          <w:kern w:val="0"/>
          <w:sz w:val="84"/>
          <w:szCs w:val="84"/>
          <w:lang w:val="en-US" w:eastAsia="zh-CN" w:bidi="ar"/>
        </w:rPr>
      </w:pPr>
    </w:p>
    <w:p>
      <w:pPr>
        <w:keepLines w:val="0"/>
        <w:widowControl/>
        <w:suppressLineNumbers w:val="0"/>
        <w:snapToGrid/>
        <w:spacing w:before="0" w:beforeAutospacing="0" w:after="0" w:afterAutospacing="0" w:line="240" w:lineRule="auto"/>
        <w:jc w:val="left"/>
        <w:textAlignment w:val="baseline"/>
        <w:rPr>
          <w:rFonts w:hint="eastAsia" w:ascii="宋体" w:hAnsi="宋体" w:eastAsia="宋体" w:cs="宋体"/>
          <w:b/>
          <w:i w:val="0"/>
          <w:caps w:val="0"/>
          <w:color w:val="000000"/>
          <w:spacing w:val="0"/>
          <w:w w:val="100"/>
          <w:kern w:val="0"/>
          <w:sz w:val="72"/>
          <w:szCs w:val="72"/>
          <w:lang w:val="en-US" w:eastAsia="zh-CN" w:bidi="ar"/>
        </w:rPr>
      </w:pPr>
    </w:p>
    <w:p>
      <w:pPr>
        <w:keepLines w:val="0"/>
        <w:widowControl/>
        <w:suppressLineNumbers w:val="0"/>
        <w:snapToGrid/>
        <w:spacing w:before="0" w:beforeAutospacing="0" w:after="0" w:afterAutospacing="0" w:line="240" w:lineRule="auto"/>
        <w:jc w:val="left"/>
        <w:textAlignment w:val="baseline"/>
        <w:rPr>
          <w:rFonts w:hint="eastAsia" w:ascii="宋体" w:hAnsi="宋体" w:eastAsia="宋体" w:cs="宋体"/>
          <w:b/>
          <w:i w:val="0"/>
          <w:caps w:val="0"/>
          <w:color w:val="000000"/>
          <w:spacing w:val="0"/>
          <w:w w:val="100"/>
          <w:kern w:val="0"/>
          <w:sz w:val="72"/>
          <w:szCs w:val="72"/>
          <w:lang w:val="en-US" w:eastAsia="zh-CN" w:bidi="ar"/>
        </w:rPr>
      </w:pPr>
    </w:p>
    <w:p>
      <w:pPr>
        <w:keepLines w:val="0"/>
        <w:widowControl/>
        <w:suppressLineNumbers w:val="0"/>
        <w:snapToGrid/>
        <w:spacing w:before="0" w:beforeAutospacing="0" w:after="0" w:afterAutospacing="0" w:line="240" w:lineRule="auto"/>
        <w:jc w:val="left"/>
        <w:textAlignment w:val="baseline"/>
        <w:rPr>
          <w:rFonts w:hint="eastAsia" w:ascii="宋体" w:hAnsi="宋体" w:eastAsia="宋体" w:cs="宋体"/>
          <w:b/>
          <w:i w:val="0"/>
          <w:caps w:val="0"/>
          <w:color w:val="000000"/>
          <w:spacing w:val="0"/>
          <w:w w:val="100"/>
          <w:kern w:val="0"/>
          <w:sz w:val="72"/>
          <w:szCs w:val="72"/>
          <w:lang w:val="en-US" w:eastAsia="zh-CN" w:bidi="ar"/>
        </w:rPr>
      </w:pPr>
    </w:p>
    <w:p>
      <w:pPr>
        <w:keepLines w:val="0"/>
        <w:widowControl/>
        <w:suppressLineNumbers w:val="0"/>
        <w:snapToGrid/>
        <w:spacing w:before="0" w:beforeAutospacing="0" w:after="0" w:afterAutospacing="0" w:line="240" w:lineRule="auto"/>
        <w:jc w:val="left"/>
        <w:textAlignment w:val="baseline"/>
        <w:rPr>
          <w:rFonts w:hint="eastAsia" w:ascii="宋体" w:hAnsi="宋体" w:eastAsia="宋体" w:cs="宋体"/>
          <w:b/>
          <w:i w:val="0"/>
          <w:caps w:val="0"/>
          <w:color w:val="000000"/>
          <w:spacing w:val="0"/>
          <w:w w:val="100"/>
          <w:kern w:val="0"/>
          <w:sz w:val="72"/>
          <w:szCs w:val="72"/>
          <w:lang w:val="en-US" w:eastAsia="zh-CN" w:bidi="ar"/>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ascii="仿宋" w:hAnsi="仿宋" w:eastAsia="仿宋" w:cs="仿宋"/>
          <w:b/>
          <w:i w:val="0"/>
          <w:caps w:val="0"/>
          <w:color w:val="000000"/>
          <w:spacing w:val="0"/>
          <w:w w:val="100"/>
          <w:kern w:val="0"/>
          <w:sz w:val="28"/>
          <w:szCs w:val="28"/>
          <w:lang w:val="en-US" w:eastAsia="zh-CN" w:bidi="ar"/>
        </w:rPr>
        <w:t xml:space="preserve">目录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i w:val="0"/>
          <w:caps w:val="0"/>
          <w:color w:val="000000"/>
          <w:spacing w:val="0"/>
          <w:w w:val="100"/>
          <w:kern w:val="0"/>
          <w:sz w:val="28"/>
          <w:szCs w:val="28"/>
          <w:lang w:val="en-US" w:eastAsia="zh-CN" w:bidi="ar"/>
        </w:rPr>
        <w:t xml:space="preserve">第一部分 湘乡市城乡规划局概况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一、部门职责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二、机构设置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i w:val="0"/>
          <w:caps w:val="0"/>
          <w:color w:val="000000"/>
          <w:spacing w:val="0"/>
          <w:w w:val="100"/>
          <w:kern w:val="0"/>
          <w:sz w:val="28"/>
          <w:szCs w:val="28"/>
          <w:lang w:val="en-US" w:eastAsia="zh-CN" w:bidi="ar"/>
        </w:rPr>
        <w:t xml:space="preserve">第二部分 湘乡市城乡规划局 2018 年度部门决算情况说明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ascii="仿宋_GB2312" w:hAnsi="宋体" w:eastAsia="仿宋_GB2312" w:cs="仿宋_GB2312"/>
          <w:b w:val="0"/>
          <w:i w:val="0"/>
          <w:caps w:val="0"/>
          <w:color w:val="000000"/>
          <w:spacing w:val="0"/>
          <w:w w:val="100"/>
          <w:kern w:val="0"/>
          <w:sz w:val="28"/>
          <w:szCs w:val="28"/>
          <w:lang w:val="en-US" w:eastAsia="zh-CN" w:bidi="ar"/>
        </w:rPr>
        <w:t xml:space="preserve">一、收入支出决算总体情况说明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二、收入决算情况说明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三、支出决算情况说明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四、财政拨款收入支出决算总体情况说明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五、一般公共预算财政拨款支出决算情况说明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六、一般公共预算财政拨款基本支出决算情况说明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七、一般公共预算财政拨款“三公”经费支出情况决算情况说明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八、政府性基金预算收入支出决算情况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九、预算绩效情况说明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十、其他重要事项的情况说明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i w:val="0"/>
          <w:caps w:val="0"/>
          <w:color w:val="000000"/>
          <w:spacing w:val="0"/>
          <w:w w:val="100"/>
          <w:kern w:val="0"/>
          <w:sz w:val="28"/>
          <w:szCs w:val="28"/>
          <w:lang w:val="en-US" w:eastAsia="zh-CN" w:bidi="ar"/>
        </w:rPr>
        <w:t xml:space="preserve">第三部分 名称解释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i w:val="0"/>
          <w:caps w:val="0"/>
          <w:color w:val="000000"/>
          <w:spacing w:val="0"/>
          <w:w w:val="100"/>
          <w:kern w:val="0"/>
          <w:sz w:val="28"/>
          <w:szCs w:val="28"/>
          <w:lang w:val="en-US" w:eastAsia="zh-CN" w:bidi="ar"/>
        </w:rPr>
        <w:t xml:space="preserve">第四部分 湘乡市城乡规划局 2018 年度部门决算表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一、收入支出决算总表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二、收入决算表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三、支出决算表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四、财政拨款收入支出决算总表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五、一般公共预算财政拨款支出决算表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六、一般公共预算财政拨款基本支出决算表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七、一般公共预算财政拨款“三公”经费支出决算表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八、政府性基金预算财政拨款收入支出决算表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i w:val="0"/>
          <w:caps w:val="0"/>
          <w:color w:val="000000"/>
          <w:spacing w:val="0"/>
          <w:w w:val="100"/>
          <w:kern w:val="0"/>
          <w:sz w:val="28"/>
          <w:szCs w:val="28"/>
          <w:lang w:val="en-US" w:eastAsia="zh-CN" w:bidi="ar"/>
        </w:rPr>
      </w:pPr>
      <w:r>
        <w:rPr>
          <w:rFonts w:hint="eastAsia" w:ascii="仿宋" w:hAnsi="仿宋" w:eastAsia="仿宋" w:cs="仿宋"/>
          <w:b/>
          <w:i w:val="0"/>
          <w:caps w:val="0"/>
          <w:color w:val="000000"/>
          <w:spacing w:val="0"/>
          <w:w w:val="100"/>
          <w:kern w:val="0"/>
          <w:sz w:val="28"/>
          <w:szCs w:val="28"/>
          <w:lang w:val="en-US" w:eastAsia="zh-CN" w:bidi="ar"/>
        </w:rPr>
        <w:t xml:space="preserve">第一部分： 湘乡市城乡规划局单位概况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i w:val="0"/>
          <w:caps w:val="0"/>
          <w:color w:val="000000"/>
          <w:spacing w:val="0"/>
          <w:w w:val="100"/>
          <w:kern w:val="0"/>
          <w:sz w:val="28"/>
          <w:szCs w:val="28"/>
          <w:lang w:val="en-US" w:eastAsia="zh-CN" w:bidi="ar"/>
        </w:rPr>
      </w:pPr>
    </w:p>
    <w:p>
      <w:pPr>
        <w:keepLines w:val="0"/>
        <w:widowControl/>
        <w:numPr>
          <w:ilvl w:val="0"/>
          <w:numId w:val="1"/>
        </w:numPr>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 xml:space="preserve">部门职责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p>
    <w:p>
      <w:pPr>
        <w:keepLines w:val="0"/>
        <w:widowControl/>
        <w:suppressLineNumbers w:val="0"/>
        <w:snapToGrid/>
        <w:spacing w:before="0" w:beforeAutospacing="0" w:after="0" w:afterAutospacing="0" w:line="240" w:lineRule="auto"/>
        <w:ind w:firstLine="560" w:firstLineChars="200"/>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贯彻执行国家有关城乡规划工作的法律法规；负责城乡总体规划、专业规划、详细规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划的编制、报批和实施管理工作；负责城乡规划区内建设用地和建设工程的规划管理工作，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核发“一书三证”；负责城乡规划工作的法律法规的宣传和查处违反城乡规划的违法建设行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为；负责城乡规划的设计和城乡规划勘测的管理；参与国土规划、区域规划、江河流域规划、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土地利用总体规划的编制，参与建设工程的选址、可行性研究和初步审查。 ]</w:t>
      </w:r>
    </w:p>
    <w:p>
      <w:pPr>
        <w:keepLines w:val="0"/>
        <w:widowControl/>
        <w:suppressLineNumbers w:val="0"/>
        <w:snapToGrid/>
        <w:spacing w:before="0" w:beforeAutospacing="0" w:after="0" w:afterAutospacing="0" w:line="240" w:lineRule="auto"/>
        <w:jc w:val="left"/>
        <w:textAlignment w:val="baseline"/>
        <w:rPr>
          <w:rFonts w:hint="default" w:ascii="仿宋" w:hAnsi="仿宋" w:eastAsia="仿宋" w:cs="仿宋"/>
          <w:b w:val="0"/>
          <w:i w:val="0"/>
          <w:caps w:val="0"/>
          <w:color w:val="000000"/>
          <w:spacing w:val="0"/>
          <w:w w:val="100"/>
          <w:kern w:val="0"/>
          <w:sz w:val="28"/>
          <w:szCs w:val="28"/>
          <w:lang w:val="en-US" w:eastAsia="zh-CN" w:bidi="ar"/>
        </w:rPr>
      </w:pPr>
    </w:p>
    <w:p>
      <w:pPr>
        <w:keepLines w:val="0"/>
        <w:widowControl/>
        <w:numPr>
          <w:ilvl w:val="0"/>
          <w:numId w:val="1"/>
        </w:numPr>
        <w:suppressLineNumbers w:val="0"/>
        <w:snapToGrid/>
        <w:spacing w:before="0" w:beforeAutospacing="0" w:after="0" w:afterAutospacing="0" w:line="240" w:lineRule="auto"/>
        <w:ind w:left="0" w:leftChars="0" w:firstLine="0" w:firstLineChars="0"/>
        <w:jc w:val="left"/>
        <w:textAlignment w:val="baseline"/>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 xml:space="preserve">机构设置 </w:t>
      </w:r>
    </w:p>
    <w:p>
      <w:pPr>
        <w:keepLines w:val="0"/>
        <w:widowControl/>
        <w:suppressLineNumbers w:val="0"/>
        <w:snapToGrid/>
        <w:spacing w:before="0" w:beforeAutospacing="0" w:after="0" w:afterAutospacing="0" w:line="240" w:lineRule="auto"/>
        <w:ind w:left="0" w:leftChars="0"/>
        <w:jc w:val="left"/>
        <w:textAlignment w:val="baseline"/>
        <w:rPr>
          <w:rFonts w:hint="eastAsia" w:ascii="仿宋" w:hAnsi="仿宋" w:eastAsia="仿宋" w:cs="仿宋"/>
          <w:b w:val="0"/>
          <w:i w:val="0"/>
          <w:caps w:val="0"/>
          <w:color w:val="000000"/>
          <w:spacing w:val="0"/>
          <w:w w:val="100"/>
          <w:kern w:val="0"/>
          <w:sz w:val="28"/>
          <w:szCs w:val="28"/>
          <w:lang w:val="en-US" w:eastAsia="zh-CN" w:bidi="ar"/>
        </w:rPr>
      </w:pPr>
    </w:p>
    <w:p>
      <w:pPr>
        <w:keepLines w:val="0"/>
        <w:widowControl/>
        <w:suppressLineNumbers w:val="0"/>
        <w:snapToGrid/>
        <w:spacing w:before="0" w:beforeAutospacing="0" w:after="0" w:afterAutospacing="0" w:line="240" w:lineRule="auto"/>
        <w:ind w:firstLine="560" w:firstLineChars="200"/>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我单位是财政全额拨款的正科级事业单位，单位内设办公室、乡规规划股、执法监察股、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用地规划股、工程规划股、法规股六个内设机构；城区规划管理中心所、规划测绘院、规划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设计院三个二级机构。 </w:t>
      </w:r>
    </w:p>
    <w:p>
      <w:pPr>
        <w:keepLines w:val="0"/>
        <w:widowControl/>
        <w:suppressLineNumbers w:val="0"/>
        <w:snapToGrid/>
        <w:spacing w:before="0" w:beforeAutospacing="0" w:after="0" w:afterAutospacing="0" w:line="240" w:lineRule="auto"/>
        <w:ind w:firstLine="560" w:firstLineChars="200"/>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纳入 2019 年部门预算编制范围的部门只有本级，没有其他二级预算单位，因此，纳入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2019 年部门预算编制范围的只有城乡规划局部门本级。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 xml:space="preserve">本单位在职人员 54 人，离退休人员 8 人。本单位无公车。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p>
    <w:p>
      <w:pPr>
        <w:keepLines w:val="0"/>
        <w:widowControl/>
        <w:numPr>
          <w:ilvl w:val="0"/>
          <w:numId w:val="2"/>
        </w:numPr>
        <w:suppressLineNumbers w:val="0"/>
        <w:snapToGrid/>
        <w:spacing w:before="0" w:beforeAutospacing="0" w:after="0" w:afterAutospacing="0" w:line="240" w:lineRule="auto"/>
        <w:jc w:val="left"/>
        <w:textAlignment w:val="baseline"/>
        <w:rPr>
          <w:rFonts w:hint="eastAsia" w:ascii="仿宋" w:hAnsi="仿宋" w:eastAsia="仿宋" w:cs="仿宋"/>
          <w:b/>
          <w:i w:val="0"/>
          <w:caps w:val="0"/>
          <w:color w:val="000000"/>
          <w:spacing w:val="0"/>
          <w:w w:val="100"/>
          <w:kern w:val="0"/>
          <w:sz w:val="28"/>
          <w:szCs w:val="28"/>
          <w:lang w:val="en-US" w:eastAsia="zh-CN" w:bidi="ar"/>
        </w:rPr>
      </w:pPr>
      <w:r>
        <w:rPr>
          <w:rFonts w:hint="eastAsia" w:ascii="仿宋" w:hAnsi="仿宋" w:eastAsia="仿宋" w:cs="仿宋"/>
          <w:b/>
          <w:i w:val="0"/>
          <w:caps w:val="0"/>
          <w:color w:val="000000"/>
          <w:spacing w:val="0"/>
          <w:w w:val="100"/>
          <w:kern w:val="0"/>
          <w:sz w:val="28"/>
          <w:szCs w:val="28"/>
          <w:lang w:val="en-US" w:eastAsia="zh-CN" w:bidi="ar"/>
        </w:rPr>
        <w:t xml:space="preserve">湘乡市城乡规划局 2018 年度部门决算情况说明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i w:val="0"/>
          <w:caps w:val="0"/>
          <w:color w:val="000000"/>
          <w:spacing w:val="0"/>
          <w:w w:val="100"/>
          <w:kern w:val="0"/>
          <w:sz w:val="28"/>
          <w:szCs w:val="28"/>
          <w:lang w:val="en-US" w:eastAsia="zh-CN" w:bidi="ar"/>
        </w:rPr>
      </w:pPr>
    </w:p>
    <w:p>
      <w:pPr>
        <w:keepLines w:val="0"/>
        <w:widowControl/>
        <w:numPr>
          <w:ilvl w:val="0"/>
          <w:numId w:val="3"/>
        </w:numPr>
        <w:suppressLineNumbers w:val="0"/>
        <w:snapToGrid/>
        <w:spacing w:before="0" w:beforeAutospacing="0" w:after="0" w:afterAutospacing="0" w:line="240" w:lineRule="auto"/>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收入支出决算总体情况说明 </w:t>
      </w:r>
    </w:p>
    <w:p>
      <w:pPr>
        <w:keepLines w:val="0"/>
        <w:widowControl/>
        <w:suppressLineNumbers w:val="0"/>
        <w:snapToGrid/>
        <w:spacing w:before="0" w:beforeAutospacing="0" w:after="0" w:afterAutospacing="0" w:line="240" w:lineRule="auto"/>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p>
    <w:p>
      <w:pPr>
        <w:keepLines w:val="0"/>
        <w:widowControl/>
        <w:suppressLineNumbers w:val="0"/>
        <w:snapToGrid/>
        <w:spacing w:before="0" w:beforeAutospacing="0" w:after="0" w:afterAutospacing="0" w:line="240" w:lineRule="auto"/>
        <w:ind w:firstLine="560" w:firstLineChars="200"/>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单位收入、支出年初预算安排情况，与上年对比情况及增减变动原因，年度执行中调整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情况。上年年度预算总计 516 万元，收入总计 1055 万元，支出总计 882 万元。本年预算总计 562 万元，收入总计 1405 万元，比上年增加 349 万元，增长 33.11%;本年支出总计 1223万元，比上年增加 341 万元，增长 38.63%。本年收入总计 1405 万元，其中财政拨款收入 1338万元，政府性基金拨款 67 万元。本年财政拨款支出总计 1223 万元。基本支出 701.36 万元， 占总支出的 57.34%，其中人员经费 616.23 万元，占基本支出的 87.87%;日常公用经费 85.12万元，占基本支出的 12.13%;项目支出 521.74 万元，占总支出的 42.66%。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p>
    <w:p>
      <w:pPr>
        <w:keepLines w:val="0"/>
        <w:widowControl/>
        <w:suppressLineNumbers w:val="0"/>
        <w:snapToGrid/>
        <w:spacing w:before="0" w:beforeAutospacing="0" w:after="0" w:afterAutospacing="0" w:line="240" w:lineRule="auto"/>
        <w:ind w:firstLine="560" w:firstLineChars="200"/>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调整原因说明： </w:t>
      </w:r>
    </w:p>
    <w:p>
      <w:pPr>
        <w:keepLines w:val="0"/>
        <w:widowControl/>
        <w:suppressLineNumbers w:val="0"/>
        <w:snapToGrid/>
        <w:spacing w:before="0" w:beforeAutospacing="0" w:after="0" w:afterAutospacing="0" w:line="240" w:lineRule="auto"/>
        <w:ind w:firstLine="560" w:firstLineChars="200"/>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1.2017 年实际支出比预算超出 366 万元，一是因为市里统一调了一次工资，二是养老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保险由财政代扣代缴变为单位扣缴，增加了支出数，三是项目支出增加了 34 万元支出。 </w:t>
      </w:r>
    </w:p>
    <w:p>
      <w:pPr>
        <w:snapToGrid w:val="0"/>
        <w:spacing w:before="0" w:beforeAutospacing="0" w:after="0" w:afterAutospacing="0" w:line="520" w:lineRule="exact"/>
        <w:ind w:firstLine="560" w:firstLineChars="200"/>
        <w:jc w:val="both"/>
        <w:textAlignment w:val="baseline"/>
        <w:rPr>
          <w:rFonts w:hint="eastAsia" w:ascii="仿宋" w:hAnsi="仿宋" w:eastAsia="仿宋"/>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2.</w:t>
      </w:r>
      <w:r>
        <w:rPr>
          <w:rFonts w:hint="eastAsia" w:ascii="仿宋" w:hAnsi="仿宋" w:eastAsia="仿宋"/>
          <w:b w:val="0"/>
          <w:i w:val="0"/>
          <w:caps w:val="0"/>
          <w:spacing w:val="0"/>
          <w:w w:val="100"/>
          <w:sz w:val="28"/>
          <w:szCs w:val="28"/>
        </w:rPr>
        <w:t>2018年本部门运行经费支出1223万元，比年初预算超出661万元，增长117.6%。一是往年结余资金支出以及市里统一调资共计139.26万元，二是项目支出521.74万元，在城乡事务项目中列入预算。</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 </w:t>
      </w:r>
    </w:p>
    <w:p>
      <w:pPr>
        <w:keepLines w:val="0"/>
        <w:widowControl/>
        <w:numPr>
          <w:ilvl w:val="0"/>
          <w:numId w:val="3"/>
        </w:numPr>
        <w:suppressLineNumbers w:val="0"/>
        <w:snapToGrid/>
        <w:spacing w:before="0" w:beforeAutospacing="0" w:after="0" w:afterAutospacing="0" w:line="240" w:lineRule="auto"/>
        <w:ind w:left="0" w:leftChars="0" w:firstLine="0" w:firstLineChars="0"/>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收入决算情况说明 </w:t>
      </w:r>
    </w:p>
    <w:p>
      <w:pPr>
        <w:keepLines w:val="0"/>
        <w:widowControl/>
        <w:suppressLineNumbers w:val="0"/>
        <w:snapToGrid/>
        <w:spacing w:before="0" w:beforeAutospacing="0" w:after="0" w:afterAutospacing="0" w:line="240" w:lineRule="auto"/>
        <w:ind w:left="0" w:leftChars="0"/>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p>
    <w:p>
      <w:pPr>
        <w:keepLines w:val="0"/>
        <w:widowControl/>
        <w:suppressLineNumbers w:val="0"/>
        <w:snapToGrid/>
        <w:spacing w:before="0" w:beforeAutospacing="0" w:after="0" w:afterAutospacing="0" w:line="240" w:lineRule="auto"/>
        <w:ind w:firstLine="560" w:firstLineChars="200"/>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当年收入支出预算执行基本情况，与上年度对比情况，包括增减绝对值与幅度，增减变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动主要原因。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i w:val="0"/>
          <w:caps w:val="0"/>
          <w:color w:val="000000"/>
          <w:spacing w:val="0"/>
          <w:w w:val="100"/>
          <w:kern w:val="0"/>
          <w:sz w:val="28"/>
          <w:szCs w:val="28"/>
          <w:lang w:val="en-US" w:eastAsia="zh-CN" w:bidi="ar"/>
        </w:rPr>
        <w:t xml:space="preserve">1．收入支出与预算对比分析。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（1）上年预算总计 516 万元，支出 882 万元。本年预算 562 万元，支出 1223 万元。</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（2）差异原因分析。 </w:t>
      </w:r>
    </w:p>
    <w:p>
      <w:pPr>
        <w:keepLines w:val="0"/>
        <w:widowControl/>
        <w:suppressLineNumbers w:val="0"/>
        <w:snapToGrid/>
        <w:spacing w:before="0" w:beforeAutospacing="0" w:after="0" w:afterAutospacing="0" w:line="240" w:lineRule="auto"/>
        <w:ind w:firstLine="560" w:firstLineChars="200"/>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1.2017 年实际支出比预算超出 366 万元，一是因为市里统一调了一次工资，二是养老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保险由财政代扣代缴变为单位扣缴，增加了支出数，三是项目支出增加了 34 万元支出。 </w:t>
      </w:r>
    </w:p>
    <w:p>
      <w:pPr>
        <w:snapToGrid w:val="0"/>
        <w:spacing w:before="0" w:beforeAutospacing="0" w:after="0" w:afterAutospacing="0" w:line="520" w:lineRule="exact"/>
        <w:ind w:firstLine="560" w:firstLineChars="200"/>
        <w:jc w:val="both"/>
        <w:textAlignment w:val="baseline"/>
        <w:rPr>
          <w:rFonts w:hint="eastAsia" w:ascii="仿宋" w:hAnsi="仿宋" w:eastAsia="仿宋"/>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2.</w:t>
      </w:r>
      <w:r>
        <w:rPr>
          <w:rFonts w:hint="eastAsia" w:ascii="仿宋" w:hAnsi="仿宋" w:eastAsia="仿宋"/>
          <w:b w:val="0"/>
          <w:i w:val="0"/>
          <w:caps w:val="0"/>
          <w:spacing w:val="0"/>
          <w:w w:val="100"/>
          <w:sz w:val="28"/>
          <w:szCs w:val="28"/>
        </w:rPr>
        <w:t>2018年本部门运行经费支出1223万元，比年初预算超出661万元，增长117.6%。一是往年结余资金支出以及市里统一调资共计139.26万元，二是项目支出521.74万元，在城乡事务项目中列入预算。</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 </w:t>
      </w:r>
    </w:p>
    <w:p>
      <w:pPr>
        <w:keepLines w:val="0"/>
        <w:widowControl/>
        <w:numPr>
          <w:ilvl w:val="0"/>
          <w:numId w:val="3"/>
        </w:numPr>
        <w:suppressLineNumbers w:val="0"/>
        <w:snapToGrid/>
        <w:spacing w:before="0" w:beforeAutospacing="0" w:after="0" w:afterAutospacing="0" w:line="240" w:lineRule="auto"/>
        <w:ind w:left="0" w:leftChars="0" w:firstLine="0" w:firstLineChars="0"/>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支出决算情况说明 </w:t>
      </w:r>
    </w:p>
    <w:p>
      <w:pPr>
        <w:keepLines w:val="0"/>
        <w:widowControl/>
        <w:suppressLineNumbers w:val="0"/>
        <w:snapToGrid/>
        <w:spacing w:before="0" w:beforeAutospacing="0" w:after="0" w:afterAutospacing="0" w:line="240" w:lineRule="auto"/>
        <w:ind w:left="0" w:leftChars="0"/>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p>
    <w:p>
      <w:pPr>
        <w:keepLines w:val="0"/>
        <w:widowControl/>
        <w:suppressLineNumbers w:val="0"/>
        <w:snapToGrid/>
        <w:spacing w:before="0" w:beforeAutospacing="0" w:after="0" w:afterAutospacing="0" w:line="240" w:lineRule="auto"/>
        <w:jc w:val="left"/>
        <w:textAlignment w:val="baseline"/>
        <w:rPr>
          <w:rFonts w:hint="default"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本年财政拨款支出总计 1223 万元。基本支出 701.36 万元，占总支出的 57.34%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p>
    <w:p>
      <w:pPr>
        <w:keepLines w:val="0"/>
        <w:widowControl/>
        <w:numPr>
          <w:ilvl w:val="0"/>
          <w:numId w:val="3"/>
        </w:numPr>
        <w:suppressLineNumbers w:val="0"/>
        <w:snapToGrid/>
        <w:spacing w:before="0" w:beforeAutospacing="0" w:after="0" w:afterAutospacing="0" w:line="240" w:lineRule="auto"/>
        <w:ind w:left="0" w:leftChars="0" w:firstLine="0" w:firstLineChars="0"/>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财政拨款收入支出决算总体情况说明 </w:t>
      </w:r>
    </w:p>
    <w:p>
      <w:pPr>
        <w:keepLines w:val="0"/>
        <w:widowControl/>
        <w:suppressLineNumbers w:val="0"/>
        <w:snapToGrid/>
        <w:spacing w:before="0" w:beforeAutospacing="0" w:after="0" w:afterAutospacing="0" w:line="240" w:lineRule="auto"/>
        <w:ind w:left="0" w:leftChars="0"/>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p>
    <w:p>
      <w:pPr>
        <w:keepLines w:val="0"/>
        <w:widowControl/>
        <w:suppressLineNumbers w:val="0"/>
        <w:snapToGrid/>
        <w:spacing w:before="0" w:beforeAutospacing="0" w:after="0" w:afterAutospacing="0" w:line="240" w:lineRule="auto"/>
        <w:ind w:firstLine="560" w:firstLineChars="200"/>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本年支出总计 1223 万元，比上年增加 341 万元，增长 38.63%。本年收入总计 1405 万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元，其中财政拨款收入 1338 万元，政府性基金拨款 67 万元。本年财政拨款支出总计 1223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 xml:space="preserve">万元。基本支出 701.36 万元，占总支出的 57.34%，其中人员经费 616.23 万元，占基本支出的 87.87%;日常公用经费 85.12 万元，占基本支出的 12.13%;项目支出 521.74 万元，占总支出的 42.66%。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p>
    <w:p>
      <w:pPr>
        <w:keepLines w:val="0"/>
        <w:widowControl/>
        <w:numPr>
          <w:ilvl w:val="0"/>
          <w:numId w:val="3"/>
        </w:numPr>
        <w:suppressLineNumbers w:val="0"/>
        <w:snapToGrid/>
        <w:spacing w:before="0" w:beforeAutospacing="0" w:after="0" w:afterAutospacing="0" w:line="240" w:lineRule="auto"/>
        <w:ind w:left="0" w:leftChars="0" w:firstLine="0" w:firstLineChars="0"/>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一般公共预算财政拨款支出决算情况说明 </w:t>
      </w:r>
    </w:p>
    <w:p>
      <w:pPr>
        <w:keepLines w:val="0"/>
        <w:widowControl/>
        <w:suppressLineNumbers w:val="0"/>
        <w:snapToGrid/>
        <w:spacing w:before="0" w:beforeAutospacing="0" w:after="0" w:afterAutospacing="0" w:line="240" w:lineRule="auto"/>
        <w:ind w:left="0" w:leftChars="0"/>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p>
    <w:p>
      <w:pPr>
        <w:snapToGrid w:val="0"/>
        <w:spacing w:before="0" w:beforeAutospacing="0" w:after="0" w:afterAutospacing="0" w:line="520" w:lineRule="exact"/>
        <w:ind w:firstLine="560" w:firstLineChars="200"/>
        <w:jc w:val="both"/>
        <w:textAlignment w:val="baseline"/>
        <w:rPr>
          <w:rFonts w:hint="eastAsia" w:ascii="仿宋" w:hAnsi="仿宋" w:eastAsia="仿宋"/>
          <w:b w:val="0"/>
          <w:i w:val="0"/>
          <w:caps w:val="0"/>
          <w:spacing w:val="0"/>
          <w:w w:val="100"/>
          <w:sz w:val="28"/>
          <w:szCs w:val="28"/>
        </w:rPr>
      </w:pPr>
      <w:r>
        <w:rPr>
          <w:rFonts w:hint="eastAsia" w:ascii="仿宋" w:hAnsi="仿宋" w:eastAsia="仿宋"/>
          <w:b w:val="0"/>
          <w:i w:val="0"/>
          <w:caps w:val="0"/>
          <w:spacing w:val="0"/>
          <w:w w:val="100"/>
          <w:sz w:val="28"/>
          <w:szCs w:val="28"/>
        </w:rPr>
        <w:t>2018年本部门运行经费支出1223万元，比年初预算超出661万元，增长117.6%。一是往年结余资金支出以及市里统一调资共计139.26万元，二是项目支出521.74万元，在城乡事务项目中列入预算。</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 </w:t>
      </w:r>
    </w:p>
    <w:p>
      <w:pPr>
        <w:keepLines w:val="0"/>
        <w:widowControl/>
        <w:numPr>
          <w:ilvl w:val="0"/>
          <w:numId w:val="3"/>
        </w:numPr>
        <w:suppressLineNumbers w:val="0"/>
        <w:snapToGrid/>
        <w:spacing w:before="0" w:beforeAutospacing="0" w:after="0" w:afterAutospacing="0" w:line="240" w:lineRule="auto"/>
        <w:ind w:left="0" w:leftChars="0" w:firstLine="0" w:firstLineChars="0"/>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r>
        <w:rPr>
          <w:rFonts w:hint="eastAsia" w:ascii="仿宋_GB2312" w:hAnsi="宋体" w:eastAsia="仿宋_GB2312" w:cs="仿宋_GB2312"/>
          <w:b w:val="0"/>
          <w:i w:val="0"/>
          <w:caps w:val="0"/>
          <w:color w:val="000000"/>
          <w:spacing w:val="0"/>
          <w:w w:val="100"/>
          <w:kern w:val="0"/>
          <w:sz w:val="28"/>
          <w:szCs w:val="28"/>
          <w:lang w:val="en-US" w:eastAsia="zh-CN" w:bidi="ar"/>
        </w:rPr>
        <w:t>一般公共预算财政拨款基本支出决算情况说明</w:t>
      </w:r>
    </w:p>
    <w:p>
      <w:pPr>
        <w:keepLines w:val="0"/>
        <w:widowControl/>
        <w:suppressLineNumbers w:val="0"/>
        <w:snapToGrid/>
        <w:spacing w:before="0" w:beforeAutospacing="0" w:after="0" w:afterAutospacing="0" w:line="240" w:lineRule="auto"/>
        <w:ind w:firstLine="560" w:firstLineChars="200"/>
        <w:jc w:val="left"/>
        <w:textAlignment w:val="baseline"/>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 xml:space="preserve">本年财政拨款支出总计 1223 万元。基本支出 701.36 万元，占总支出的 57.34%，其中人员经费 616.23 万元，占基本支出的 87.87%;日常公用经费 85.12 万元，占基本支出的12.13%;项目支出 521.74 万元，占总支出的 42.66%。 </w:t>
      </w:r>
    </w:p>
    <w:p>
      <w:pPr>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七、一般性支出情况和“三公”经费支出决算情况说明</w:t>
      </w:r>
    </w:p>
    <w:p>
      <w:pPr>
        <w:snapToGrid/>
        <w:spacing w:before="0" w:beforeAutospacing="0" w:after="0" w:afterAutospacing="0" w:line="240" w:lineRule="auto"/>
        <w:ind w:firstLine="560" w:firstLineChars="200"/>
        <w:jc w:val="left"/>
        <w:textAlignment w:val="baseline"/>
        <w:rPr>
          <w:rFonts w:hint="eastAsia" w:ascii="仿宋" w:hAnsi="仿宋" w:eastAsia="仿宋" w:cs="仿宋"/>
          <w:b w:val="0"/>
          <w:i w:val="0"/>
          <w:caps w:val="0"/>
          <w:color w:val="00000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2018年本部门开支会议费0.9万元，用于召开年终总结会议，人数80人，内容为年终工作总结，评优评先颁奖，来年工作计划等;</w:t>
      </w:r>
    </w:p>
    <w:p>
      <w:pPr>
        <w:snapToGrid/>
        <w:spacing w:before="0" w:beforeAutospacing="0" w:after="0" w:afterAutospacing="0" w:line="240" w:lineRule="auto"/>
        <w:ind w:firstLine="560" w:firstLineChars="200"/>
        <w:jc w:val="left"/>
        <w:textAlignment w:val="baseline"/>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开支培训费1.04万元，用于开展湖南省城乡规划年会培训，人数4人，内容为法规政策学习，具体规划案例学习等;</w:t>
      </w:r>
    </w:p>
    <w:p>
      <w:pPr>
        <w:pStyle w:val="4"/>
        <w:spacing w:line="600" w:lineRule="exact"/>
        <w:ind w:firstLine="560" w:firstLineChars="200"/>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（一）“三公”经费财政拨款支出决算总体情况说明</w:t>
      </w:r>
    </w:p>
    <w:p>
      <w:pPr>
        <w:pStyle w:val="4"/>
        <w:spacing w:line="600" w:lineRule="exact"/>
        <w:ind w:firstLine="560" w:firstLineChars="200"/>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“三公”经费财政拨款支出预算为21万元，支出决算为1.09万元，完成预算的5.19%，其中：</w:t>
      </w:r>
    </w:p>
    <w:p>
      <w:pPr>
        <w:pStyle w:val="4"/>
        <w:spacing w:line="600" w:lineRule="exact"/>
        <w:ind w:firstLine="560" w:firstLineChars="200"/>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公务接待费支出预算21万元，支出决算为1.09万元，完成预算的5.19 %，与上年相比减少3.23万元，减少296.33%。</w:t>
      </w:r>
    </w:p>
    <w:p>
      <w:pPr>
        <w:pStyle w:val="4"/>
        <w:spacing w:line="600" w:lineRule="exact"/>
        <w:ind w:firstLine="560" w:firstLineChars="200"/>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公务用车购置费及运行维护费支出预算为0万元，支出决算为   0万元。</w:t>
      </w:r>
    </w:p>
    <w:p>
      <w:pPr>
        <w:pStyle w:val="4"/>
        <w:spacing w:line="600" w:lineRule="exact"/>
        <w:ind w:firstLine="560" w:firstLineChars="200"/>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（二）“三公”经费财政拨款支出决算具体情况说明</w:t>
      </w:r>
    </w:p>
    <w:p>
      <w:pPr>
        <w:pStyle w:val="4"/>
        <w:spacing w:line="600" w:lineRule="exact"/>
        <w:ind w:firstLine="560" w:firstLineChars="200"/>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2018年度“三公”经费财政拨款支出决算中，公务接待费支出决算1.09万元，占100%，公务用车购置费及运行维护费支出决算0万元，其中：</w:t>
      </w:r>
    </w:p>
    <w:p>
      <w:pPr>
        <w:pStyle w:val="4"/>
        <w:spacing w:line="600" w:lineRule="exact"/>
        <w:ind w:firstLine="560" w:firstLineChars="200"/>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1、公务接待费支出决算为1.09万元，</w:t>
      </w:r>
      <w:r>
        <w:rPr>
          <w:rFonts w:hint="eastAsia" w:ascii="仿宋" w:hAnsi="仿宋" w:eastAsia="仿宋"/>
          <w:b w:val="0"/>
          <w:i w:val="0"/>
          <w:caps w:val="0"/>
          <w:spacing w:val="0"/>
          <w:w w:val="100"/>
          <w:sz w:val="28"/>
          <w:szCs w:val="28"/>
        </w:rPr>
        <w:t>全年共接待来访组团34批次共计 270人，主要是左肖思专家团队指导规划工作，乡镇总规，村庄规划，工作衔接等工作用餐。</w:t>
      </w:r>
    </w:p>
    <w:p>
      <w:pPr>
        <w:pStyle w:val="4"/>
        <w:spacing w:line="600" w:lineRule="exact"/>
        <w:ind w:firstLine="560" w:firstLineChars="200"/>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2、公务用车购置费及运行维护费支出决算为0万元，其中：公务用车购置费0万元，公务用车运行维护费0万元，</w:t>
      </w:r>
      <w:r>
        <w:rPr>
          <w:rFonts w:hint="eastAsia" w:ascii="仿宋" w:hAnsi="仿宋" w:eastAsia="仿宋"/>
          <w:b w:val="0"/>
          <w:i w:val="0"/>
          <w:caps w:val="0"/>
          <w:spacing w:val="0"/>
          <w:w w:val="100"/>
          <w:sz w:val="28"/>
          <w:szCs w:val="28"/>
        </w:rPr>
        <w:t>截止2018年 12月31日，我单位开支财政拨款的公务用车保有量为0辆</w:t>
      </w:r>
      <w:r>
        <w:rPr>
          <w:rFonts w:hint="eastAsia" w:ascii="仿宋" w:hAnsi="仿宋" w:eastAsia="仿宋" w:cs="仿宋"/>
          <w:b w:val="0"/>
          <w:i w:val="0"/>
          <w:caps w:val="0"/>
          <w:color w:val="000000"/>
          <w:spacing w:val="0"/>
          <w:w w:val="100"/>
          <w:kern w:val="0"/>
          <w:sz w:val="28"/>
          <w:szCs w:val="28"/>
          <w:lang w:val="en-US" w:eastAsia="zh-CN" w:bidi="ar"/>
        </w:rPr>
        <w:t>。</w:t>
      </w:r>
      <w:r>
        <w:rPr>
          <w:rFonts w:hint="eastAsia" w:ascii="仿宋_GB2312" w:hAnsi="宋体" w:eastAsia="仿宋_GB2312" w:cs="仿宋_GB2312"/>
          <w:b w:val="0"/>
          <w:i w:val="0"/>
          <w:caps w:val="0"/>
          <w:color w:val="000000"/>
          <w:spacing w:val="0"/>
          <w:w w:val="100"/>
          <w:kern w:val="0"/>
          <w:sz w:val="28"/>
          <w:szCs w:val="28"/>
          <w:lang w:val="en-US" w:eastAsia="zh-CN" w:bidi="ar"/>
        </w:rPr>
        <w:t xml:space="preserve"> </w:t>
      </w:r>
    </w:p>
    <w:p>
      <w:pPr>
        <w:keepLines w:val="0"/>
        <w:widowControl/>
        <w:suppressLineNumbers w:val="0"/>
        <w:snapToGrid/>
        <w:spacing w:before="0" w:beforeAutospacing="0" w:after="0" w:afterAutospacing="0" w:line="240" w:lineRule="auto"/>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八、政府性基金预算收入支出决算情况 </w:t>
      </w:r>
    </w:p>
    <w:p>
      <w:pPr>
        <w:keepLines w:val="0"/>
        <w:widowControl/>
        <w:suppressLineNumbers w:val="0"/>
        <w:snapToGrid/>
        <w:spacing w:before="0" w:beforeAutospacing="0" w:after="0" w:afterAutospacing="0" w:line="240" w:lineRule="auto"/>
        <w:jc w:val="left"/>
        <w:textAlignment w:val="baseline"/>
        <w:rPr>
          <w:rFonts w:hint="eastAsia" w:ascii="仿宋_GB2312" w:hAnsi="宋体" w:eastAsia="仿宋_GB2312" w:cs="仿宋_GB2312"/>
          <w:b w:val="0"/>
          <w:i w:val="0"/>
          <w:caps w:val="0"/>
          <w:color w:val="000000"/>
          <w:spacing w:val="0"/>
          <w:w w:val="100"/>
          <w:kern w:val="0"/>
          <w:sz w:val="28"/>
          <w:szCs w:val="28"/>
          <w:lang w:val="en-US" w:eastAsia="zh-CN" w:bidi="ar"/>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 本部门2018年政府性基金预算财政拨款67.2万元，往年结余230.77万元，累计结余297.97万元，均未支出。</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九、预算绩效情况说明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1、强力推进规划编制工作，力促规划编制全覆盖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（1）2018 年 3 月完成了新版城市的总规编制和报批工作；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（2）组织完成了老城区与东山新城的控制性详细规划和道路、教育等 7 个专项规划；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（3）完成了 18 个乡镇的总规编制，完成了 201 个村庄规划编制。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2、加强规划方案审查，力促规划工作上台阶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（1）健全机制，把关规划设计方案。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（2）聘请专家，提升决策水平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（3）共同谋划，推动美丽乡村建设。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3、切实履行规划管理职能，加强规划监管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（1）完善议事制度，健全决策机制</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ascii="仿宋" w:hAnsi="仿宋" w:eastAsia="仿宋" w:cs="仿宋"/>
          <w:b w:val="0"/>
          <w:i w:val="0"/>
          <w:caps w:val="0"/>
          <w:color w:val="000000"/>
          <w:spacing w:val="0"/>
          <w:w w:val="100"/>
          <w:kern w:val="0"/>
          <w:sz w:val="28"/>
          <w:szCs w:val="28"/>
          <w:lang w:val="en-US" w:eastAsia="zh-CN" w:bidi="ar"/>
        </w:rPr>
        <w:t xml:space="preserve">（2）提升服务意识，依法依规审批。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（3）加强规划监管，确保依规实施。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4、强化规划意识，促进科学规划管理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全面开始规划信息平台的建设。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5、狠抓队伍建设，着力提升规划管理工作水平。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（1）抓制度建设，改进工作作风。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（2）抓学习教育，提升队伍素质。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（3）抓党建工作，增强“四个意识”。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ascii="仿宋_GB2312" w:hAnsi="宋体" w:eastAsia="仿宋_GB2312" w:cs="仿宋_GB2312"/>
          <w:b w:val="0"/>
          <w:i w:val="0"/>
          <w:caps w:val="0"/>
          <w:color w:val="000000"/>
          <w:spacing w:val="0"/>
          <w:w w:val="100"/>
          <w:kern w:val="0"/>
          <w:sz w:val="28"/>
          <w:szCs w:val="28"/>
          <w:lang w:val="en-US" w:eastAsia="zh-CN" w:bidi="ar"/>
        </w:rPr>
        <w:t xml:space="preserve">我局 2018 年度部门整体支出评价结果为良好，各项年初绩效目标基本完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成，社会效益有所提高，项目组织管理和财务管理基本健全规范，群众满意度明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显提高。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_GB2312" w:hAnsi="宋体" w:eastAsia="仿宋_GB2312" w:cs="仿宋_GB2312"/>
          <w:b w:val="0"/>
          <w:i w:val="0"/>
          <w:caps w:val="0"/>
          <w:color w:val="000000"/>
          <w:spacing w:val="0"/>
          <w:w w:val="100"/>
          <w:kern w:val="0"/>
          <w:sz w:val="28"/>
          <w:szCs w:val="28"/>
          <w:lang w:val="en-US" w:eastAsia="zh-CN" w:bidi="ar"/>
        </w:rPr>
        <w:t xml:space="preserve">十、其他重要事项的情况说明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i w:val="0"/>
          <w:caps w:val="0"/>
          <w:color w:val="000000"/>
          <w:spacing w:val="0"/>
          <w:w w:val="100"/>
          <w:kern w:val="0"/>
          <w:sz w:val="28"/>
          <w:szCs w:val="28"/>
          <w:lang w:val="en-US" w:eastAsia="zh-CN" w:bidi="ar"/>
        </w:rPr>
        <w:t xml:space="preserve">1、年末结转和结余情况。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资金来源、资金性质结转和结余情况：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2018 年财政拨款结余 865 万元，主要是当年四季度形成的项目结余。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i w:val="0"/>
          <w:caps w:val="0"/>
          <w:color w:val="000000"/>
          <w:spacing w:val="0"/>
          <w:w w:val="100"/>
          <w:kern w:val="0"/>
          <w:sz w:val="28"/>
          <w:szCs w:val="28"/>
          <w:lang w:val="en-US" w:eastAsia="zh-CN" w:bidi="ar"/>
        </w:rPr>
        <w:t xml:space="preserve">2、资产负债情况分析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（1）资产负债结构情况。上年度资产合计 8651212.99 元，负债合计 3307651.65 元，净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资产合计 5343561.34 元；本年度资产合计 11278571.67 元，负债合计 3308619.65 元，净资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产合计 7969952.02 元。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（2）资产负债对比分析。 </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r>
        <w:rPr>
          <w:rFonts w:hint="eastAsia" w:ascii="仿宋" w:hAnsi="仿宋" w:eastAsia="仿宋" w:cs="仿宋"/>
          <w:b w:val="0"/>
          <w:i w:val="0"/>
          <w:caps w:val="0"/>
          <w:color w:val="000000"/>
          <w:spacing w:val="0"/>
          <w:w w:val="100"/>
          <w:kern w:val="0"/>
          <w:sz w:val="28"/>
          <w:szCs w:val="28"/>
          <w:lang w:val="en-US" w:eastAsia="zh-CN" w:bidi="ar"/>
        </w:rPr>
        <w:t xml:space="preserve">2017 年资产负债率 38%，2018 年资产负债率 29%，主要是财政预算欠拨款 869 万元，增加了其他应收款。 </w:t>
      </w:r>
    </w:p>
    <w:p>
      <w:pPr>
        <w:numPr>
          <w:ilvl w:val="0"/>
          <w:numId w:val="4"/>
        </w:numPr>
        <w:snapToGrid w:val="0"/>
        <w:spacing w:before="0" w:beforeAutospacing="0" w:after="0" w:afterAutospacing="0" w:line="520" w:lineRule="exact"/>
        <w:jc w:val="both"/>
        <w:textAlignment w:val="baseline"/>
        <w:rPr>
          <w:rFonts w:hint="eastAsia" w:ascii="仿宋" w:hAnsi="仿宋" w:eastAsia="仿宋"/>
          <w:b w:val="0"/>
          <w:bCs w:val="0"/>
          <w:i w:val="0"/>
          <w:caps w:val="0"/>
          <w:spacing w:val="0"/>
          <w:w w:val="100"/>
          <w:sz w:val="28"/>
          <w:szCs w:val="28"/>
          <w:lang w:val="en-US" w:eastAsia="zh-CN"/>
        </w:rPr>
      </w:pPr>
      <w:r>
        <w:rPr>
          <w:rFonts w:hint="eastAsia" w:ascii="仿宋" w:hAnsi="仿宋" w:eastAsia="仿宋"/>
          <w:b w:val="0"/>
          <w:bCs w:val="0"/>
          <w:i w:val="0"/>
          <w:caps w:val="0"/>
          <w:spacing w:val="0"/>
          <w:w w:val="100"/>
          <w:sz w:val="28"/>
          <w:szCs w:val="28"/>
          <w:lang w:val="en-US" w:eastAsia="zh-CN"/>
        </w:rPr>
        <w:t>政府采购支出情况说明：本部门2018年度因信息平台建设，新增电脑硬盘打印机扫描仪均打包在信息平台项目中采购。</w:t>
      </w:r>
    </w:p>
    <w:p>
      <w:pPr>
        <w:numPr>
          <w:ilvl w:val="0"/>
          <w:numId w:val="4"/>
        </w:numPr>
        <w:snapToGrid w:val="0"/>
        <w:spacing w:before="0" w:beforeAutospacing="0" w:after="0" w:afterAutospacing="0" w:line="520" w:lineRule="exact"/>
        <w:jc w:val="both"/>
        <w:textAlignment w:val="baseline"/>
        <w:rPr>
          <w:rFonts w:hint="eastAsia" w:ascii="仿宋" w:hAnsi="仿宋" w:eastAsia="仿宋"/>
          <w:b w:val="0"/>
          <w:bCs w:val="0"/>
          <w:i w:val="0"/>
          <w:caps w:val="0"/>
          <w:spacing w:val="0"/>
          <w:w w:val="100"/>
          <w:sz w:val="28"/>
          <w:szCs w:val="28"/>
          <w:lang w:val="en-US" w:eastAsia="zh-CN"/>
        </w:rPr>
      </w:pPr>
      <w:r>
        <w:rPr>
          <w:rFonts w:hint="eastAsia" w:ascii="仿宋" w:hAnsi="仿宋" w:eastAsia="仿宋"/>
          <w:b w:val="0"/>
          <w:bCs w:val="0"/>
          <w:i w:val="0"/>
          <w:caps w:val="0"/>
          <w:spacing w:val="0"/>
          <w:w w:val="100"/>
          <w:sz w:val="28"/>
          <w:szCs w:val="28"/>
          <w:lang w:val="en-US" w:eastAsia="zh-CN"/>
        </w:rPr>
        <w:t>国有资产占有情况说明：截至2018年底，本部门共有公务用车0辆。办公楼产权属于东山投资公司所有。</w:t>
      </w:r>
    </w:p>
    <w:p>
      <w:pPr>
        <w:snapToGrid w:val="0"/>
        <w:spacing w:before="0" w:beforeAutospacing="0" w:after="0" w:afterAutospacing="0" w:line="520" w:lineRule="exact"/>
        <w:jc w:val="both"/>
        <w:textAlignment w:val="baseline"/>
        <w:rPr>
          <w:rFonts w:hint="eastAsia" w:ascii="仿宋" w:hAnsi="仿宋" w:eastAsia="仿宋"/>
          <w:b/>
          <w:bCs/>
          <w:i w:val="0"/>
          <w:caps w:val="0"/>
          <w:spacing w:val="0"/>
          <w:w w:val="100"/>
          <w:sz w:val="28"/>
          <w:szCs w:val="28"/>
          <w:lang w:eastAsia="zh-CN"/>
        </w:rPr>
      </w:pPr>
      <w:r>
        <w:rPr>
          <w:rFonts w:hint="eastAsia" w:ascii="仿宋" w:hAnsi="仿宋" w:eastAsia="仿宋"/>
          <w:b w:val="0"/>
          <w:bCs w:val="0"/>
          <w:i w:val="0"/>
          <w:caps w:val="0"/>
          <w:spacing w:val="0"/>
          <w:w w:val="100"/>
          <w:sz w:val="28"/>
          <w:szCs w:val="28"/>
          <w:lang w:val="en-US" w:eastAsia="zh-CN"/>
        </w:rPr>
        <w:t>(5)</w:t>
      </w:r>
      <w:r>
        <w:rPr>
          <w:rFonts w:hint="eastAsia" w:ascii="仿宋" w:hAnsi="仿宋" w:eastAsia="仿宋"/>
          <w:b w:val="0"/>
          <w:bCs w:val="0"/>
          <w:i w:val="0"/>
          <w:caps w:val="0"/>
          <w:spacing w:val="0"/>
          <w:w w:val="100"/>
          <w:sz w:val="28"/>
          <w:szCs w:val="28"/>
          <w:lang w:eastAsia="zh-CN"/>
        </w:rPr>
        <w:t>政府性基金预算财政拨款情况说明。</w:t>
      </w:r>
    </w:p>
    <w:p>
      <w:pPr>
        <w:snapToGrid w:val="0"/>
        <w:spacing w:before="0" w:beforeAutospacing="0" w:after="0" w:afterAutospacing="0" w:line="520" w:lineRule="exact"/>
        <w:ind w:firstLine="840" w:firstLineChars="300"/>
        <w:jc w:val="both"/>
        <w:textAlignment w:val="baseline"/>
        <w:rPr>
          <w:rFonts w:hint="eastAsia" w:ascii="仿宋" w:hAnsi="仿宋" w:eastAsia="仿宋"/>
          <w:b w:val="0"/>
          <w:i w:val="0"/>
          <w:caps w:val="0"/>
          <w:spacing w:val="0"/>
          <w:w w:val="100"/>
          <w:sz w:val="28"/>
          <w:szCs w:val="28"/>
        </w:rPr>
      </w:pPr>
      <w:r>
        <w:rPr>
          <w:rFonts w:hint="eastAsia" w:ascii="仿宋" w:hAnsi="仿宋" w:eastAsia="仿宋"/>
          <w:b w:val="0"/>
          <w:i w:val="0"/>
          <w:caps w:val="0"/>
          <w:spacing w:val="0"/>
          <w:w w:val="100"/>
          <w:sz w:val="28"/>
          <w:szCs w:val="28"/>
          <w:lang w:eastAsia="zh-CN"/>
        </w:rPr>
        <w:t>本部门</w:t>
      </w:r>
      <w:r>
        <w:rPr>
          <w:rFonts w:hint="eastAsia" w:ascii="仿宋" w:hAnsi="仿宋" w:eastAsia="仿宋"/>
          <w:b w:val="0"/>
          <w:i w:val="0"/>
          <w:caps w:val="0"/>
          <w:spacing w:val="0"/>
          <w:w w:val="100"/>
          <w:sz w:val="28"/>
          <w:szCs w:val="28"/>
          <w:lang w:val="en-US" w:eastAsia="zh-CN"/>
        </w:rPr>
        <w:t>2018年</w:t>
      </w:r>
      <w:r>
        <w:rPr>
          <w:rFonts w:hint="eastAsia" w:ascii="仿宋" w:hAnsi="仿宋" w:eastAsia="仿宋"/>
          <w:b w:val="0"/>
          <w:i w:val="0"/>
          <w:caps w:val="0"/>
          <w:spacing w:val="0"/>
          <w:w w:val="100"/>
          <w:sz w:val="28"/>
          <w:szCs w:val="28"/>
          <w:lang w:eastAsia="zh-CN"/>
        </w:rPr>
        <w:t>政府性基金预算财政拨款收入67.2万元，往年结余230.77万元，累计结余297.97万元，均未支出。</w:t>
      </w:r>
    </w:p>
    <w:p>
      <w:pPr>
        <w:snapToGrid w:val="0"/>
        <w:spacing w:before="0" w:beforeAutospacing="0" w:after="0" w:afterAutospacing="0" w:line="520" w:lineRule="exact"/>
        <w:jc w:val="both"/>
        <w:textAlignment w:val="baseline"/>
        <w:rPr>
          <w:rFonts w:hint="eastAsia" w:ascii="仿宋" w:hAnsi="仿宋" w:eastAsia="仿宋"/>
          <w:b w:val="0"/>
          <w:i w:val="0"/>
          <w:caps w:val="0"/>
          <w:spacing w:val="0"/>
          <w:w w:val="100"/>
          <w:sz w:val="28"/>
          <w:szCs w:val="28"/>
        </w:rPr>
      </w:pPr>
      <w:r>
        <w:rPr>
          <w:rFonts w:hint="eastAsia" w:ascii="仿宋" w:hAnsi="仿宋" w:eastAsia="仿宋"/>
          <w:b w:val="0"/>
          <w:i w:val="0"/>
          <w:caps w:val="0"/>
          <w:spacing w:val="0"/>
          <w:w w:val="100"/>
          <w:sz w:val="28"/>
          <w:szCs w:val="28"/>
        </w:rPr>
        <w:t>（6）一般性支出情况说明</w:t>
      </w:r>
    </w:p>
    <w:p>
      <w:pPr>
        <w:snapToGrid w:val="0"/>
        <w:spacing w:before="0" w:beforeAutospacing="0" w:after="0" w:afterAutospacing="0" w:line="520" w:lineRule="exact"/>
        <w:ind w:firstLine="840" w:firstLineChars="300"/>
        <w:jc w:val="both"/>
        <w:textAlignment w:val="baseline"/>
        <w:rPr>
          <w:rFonts w:hint="eastAsia" w:ascii="仿宋" w:hAnsi="仿宋" w:eastAsia="仿宋"/>
          <w:b w:val="0"/>
          <w:i w:val="0"/>
          <w:caps w:val="0"/>
          <w:spacing w:val="0"/>
          <w:w w:val="100"/>
          <w:sz w:val="28"/>
          <w:szCs w:val="28"/>
        </w:rPr>
      </w:pPr>
      <w:r>
        <w:rPr>
          <w:rFonts w:hint="eastAsia" w:ascii="仿宋" w:hAnsi="仿宋" w:eastAsia="仿宋"/>
          <w:b w:val="0"/>
          <w:i w:val="0"/>
          <w:caps w:val="0"/>
          <w:spacing w:val="0"/>
          <w:w w:val="100"/>
          <w:sz w:val="28"/>
          <w:szCs w:val="28"/>
        </w:rPr>
        <w:t>2018年本部门开支会议费0.9万元，用于召开年终总结会议，人数80人，内容为年终工作总结，评优评先颁奖，来年工作计划等;开支培训费1.04万元，用于开展湖南省城乡规划年会培训，人数4人，内容为法规政策学习，具体规划案例学习等;</w:t>
      </w:r>
    </w:p>
    <w:p>
      <w:pPr>
        <w:snapToGrid w:val="0"/>
        <w:spacing w:before="0" w:beforeAutospacing="0" w:after="0" w:afterAutospacing="0" w:line="520" w:lineRule="exact"/>
        <w:jc w:val="both"/>
        <w:textAlignment w:val="baseline"/>
        <w:rPr>
          <w:rFonts w:hint="default" w:ascii="仿宋" w:hAnsi="仿宋" w:eastAsia="仿宋"/>
          <w:b w:val="0"/>
          <w:bCs w:val="0"/>
          <w:i w:val="0"/>
          <w:caps w:val="0"/>
          <w:spacing w:val="0"/>
          <w:w w:val="100"/>
          <w:sz w:val="28"/>
          <w:szCs w:val="28"/>
          <w:lang w:val="en-US" w:eastAsia="zh-CN"/>
        </w:rPr>
      </w:pP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i w:val="0"/>
          <w:caps w:val="0"/>
          <w:color w:val="000000"/>
          <w:spacing w:val="0"/>
          <w:w w:val="100"/>
          <w:kern w:val="0"/>
          <w:sz w:val="28"/>
          <w:szCs w:val="28"/>
          <w:lang w:val="en-US" w:eastAsia="zh-CN" w:bidi="ar"/>
        </w:rPr>
        <w:t xml:space="preserve">第三部分 名词解释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（一）机关运行经费：是指各部门的公用经费，包括办公及印刷费、邮电费、差旅费、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会议费、福利费、日常维修费、专用资料及一般设备购置费、办公用房水电费、办公用房取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暖费、办公用房物业管理费、公务用车运行维护费以及其他费用。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（二）“三公”经费：纳入省财政预算管理的“三公“经费，是指用一般公共预算拨款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安排的公务接待费、公务用车购置及运行维护费和因公出国（境）费。其中，公务接待费反</w:t>
      </w:r>
      <w:r>
        <w:rPr>
          <w:rFonts w:ascii="TimesNewRomanPSMT" w:hAnsi="TimesNewRomanPSMT" w:eastAsia="TimesNewRomanPSMT" w:cs="TimesNewRomanPSMT"/>
          <w:b w:val="0"/>
          <w:i w:val="0"/>
          <w:caps w:val="0"/>
          <w:color w:val="000000"/>
          <w:spacing w:val="0"/>
          <w:w w:val="100"/>
          <w:kern w:val="0"/>
          <w:sz w:val="28"/>
          <w:szCs w:val="28"/>
          <w:lang w:val="en-US" w:eastAsia="zh-CN" w:bidi="ar"/>
        </w:rPr>
        <w:t xml:space="preserve">7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映单位按规定开支的各类公务接待支出；公务用车购置及运行费反映单位公务用车车辆购置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 xml:space="preserve">支出（含车辆购置税），以及燃料费、维修费、保险费等支出；因公出国（境）费反映单位 </w:t>
      </w:r>
    </w:p>
    <w:p>
      <w:pPr>
        <w:keepLines w:val="0"/>
        <w:widowControl/>
        <w:suppressLineNumbers w:val="0"/>
        <w:snapToGrid/>
        <w:spacing w:before="0" w:beforeAutospacing="0" w:after="0" w:afterAutospacing="0" w:line="240" w:lineRule="auto"/>
        <w:jc w:val="left"/>
        <w:textAlignment w:val="baseline"/>
        <w:rPr>
          <w:b w:val="0"/>
          <w:i w:val="0"/>
          <w:caps w:val="0"/>
          <w:spacing w:val="0"/>
          <w:w w:val="100"/>
          <w:sz w:val="28"/>
          <w:szCs w:val="28"/>
        </w:rPr>
      </w:pPr>
      <w:r>
        <w:rPr>
          <w:rFonts w:hint="eastAsia" w:ascii="仿宋" w:hAnsi="仿宋" w:eastAsia="仿宋" w:cs="仿宋"/>
          <w:b w:val="0"/>
          <w:i w:val="0"/>
          <w:caps w:val="0"/>
          <w:color w:val="000000"/>
          <w:spacing w:val="0"/>
          <w:w w:val="100"/>
          <w:kern w:val="0"/>
          <w:sz w:val="28"/>
          <w:szCs w:val="28"/>
          <w:lang w:val="en-US" w:eastAsia="zh-CN" w:bidi="ar"/>
        </w:rPr>
        <w:t>公务出国（境）的国际旅费、国外城市间交通费、食宿费等支出</w:t>
      </w:r>
    </w:p>
    <w:p>
      <w:pPr>
        <w:keepLines w:val="0"/>
        <w:widowControl/>
        <w:suppressLineNumbers w:val="0"/>
        <w:snapToGrid/>
        <w:spacing w:before="0" w:beforeAutospacing="0" w:after="0" w:afterAutospacing="0" w:line="240" w:lineRule="auto"/>
        <w:jc w:val="left"/>
        <w:textAlignment w:val="baseline"/>
        <w:rPr>
          <w:rFonts w:hint="eastAsia" w:ascii="仿宋" w:hAnsi="仿宋" w:eastAsia="仿宋" w:cs="仿宋"/>
          <w:b w:val="0"/>
          <w:i w:val="0"/>
          <w:caps w:val="0"/>
          <w:color w:val="000000"/>
          <w:spacing w:val="0"/>
          <w:w w:val="100"/>
          <w:kern w:val="0"/>
          <w:sz w:val="28"/>
          <w:szCs w:val="28"/>
          <w:lang w:val="en-US" w:eastAsia="zh-CN" w:bidi="ar"/>
        </w:rPr>
      </w:pPr>
    </w:p>
    <w:p>
      <w:pPr>
        <w:snapToGrid/>
        <w:spacing w:before="0" w:beforeAutospacing="0" w:after="0" w:afterAutospacing="0" w:line="240" w:lineRule="auto"/>
        <w:jc w:val="both"/>
        <w:textAlignment w:val="baseline"/>
        <w:rPr>
          <w:b w:val="0"/>
          <w:i w:val="0"/>
          <w:caps w:val="0"/>
          <w:spacing w:val="0"/>
          <w:w w:val="100"/>
          <w:sz w:val="28"/>
          <w:szCs w:val="28"/>
        </w:rPr>
      </w:pPr>
    </w:p>
    <w:p>
      <w:pPr>
        <w:snapToGrid/>
        <w:spacing w:before="0" w:beforeAutospacing="0" w:after="0" w:afterAutospacing="0" w:line="240" w:lineRule="auto"/>
        <w:jc w:val="both"/>
        <w:textAlignment w:val="baseline"/>
        <w:rPr>
          <w:b w:val="0"/>
          <w:i w:val="0"/>
          <w:caps w:val="0"/>
          <w:spacing w:val="0"/>
          <w:w w:val="100"/>
          <w:sz w:val="28"/>
          <w:szCs w:val="28"/>
        </w:rPr>
      </w:pPr>
    </w:p>
    <w:p>
      <w:pPr>
        <w:snapToGrid/>
        <w:spacing w:before="0" w:beforeAutospacing="0" w:after="0" w:afterAutospacing="0" w:line="240" w:lineRule="auto"/>
        <w:jc w:val="both"/>
        <w:textAlignment w:val="baseline"/>
        <w:rPr>
          <w:b w:val="0"/>
          <w:i w:val="0"/>
          <w:caps w:val="0"/>
          <w:spacing w:val="0"/>
          <w:w w:val="10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TimesNewRomanPSMT">
    <w:altName w:val="Times New Roman"/>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7FFDF4"/>
    <w:multiLevelType w:val="singleLevel"/>
    <w:tmpl w:val="D27FFDF4"/>
    <w:lvl w:ilvl="0" w:tentative="0">
      <w:start w:val="1"/>
      <w:numFmt w:val="chineseCounting"/>
      <w:suff w:val="nothing"/>
      <w:lvlText w:val="%1、"/>
      <w:lvlJc w:val="left"/>
      <w:rPr>
        <w:rFonts w:hint="eastAsia"/>
      </w:rPr>
    </w:lvl>
  </w:abstractNum>
  <w:abstractNum w:abstractNumId="1">
    <w:nsid w:val="E88E3731"/>
    <w:multiLevelType w:val="singleLevel"/>
    <w:tmpl w:val="E88E3731"/>
    <w:lvl w:ilvl="0" w:tentative="0">
      <w:start w:val="1"/>
      <w:numFmt w:val="chineseCounting"/>
      <w:suff w:val="nothing"/>
      <w:lvlText w:val="%1、"/>
      <w:lvlJc w:val="left"/>
      <w:rPr>
        <w:rFonts w:hint="eastAsia"/>
      </w:rPr>
    </w:lvl>
  </w:abstractNum>
  <w:abstractNum w:abstractNumId="2">
    <w:nsid w:val="F938A916"/>
    <w:multiLevelType w:val="singleLevel"/>
    <w:tmpl w:val="F938A916"/>
    <w:lvl w:ilvl="0" w:tentative="0">
      <w:start w:val="3"/>
      <w:numFmt w:val="decimal"/>
      <w:lvlText w:val="(%1)"/>
      <w:lvlJc w:val="left"/>
      <w:pPr>
        <w:tabs>
          <w:tab w:val="left" w:pos="312"/>
        </w:tabs>
      </w:pPr>
    </w:lvl>
  </w:abstractNum>
  <w:abstractNum w:abstractNumId="3">
    <w:nsid w:val="025DB4D4"/>
    <w:multiLevelType w:val="singleLevel"/>
    <w:tmpl w:val="025DB4D4"/>
    <w:lvl w:ilvl="0" w:tentative="0">
      <w:start w:val="2"/>
      <w:numFmt w:val="chineseCounting"/>
      <w:suff w:val="space"/>
      <w:lvlText w:val="第%1部分"/>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0E2872"/>
    <w:rsid w:val="4B287945"/>
    <w:rsid w:val="4CFA45D7"/>
    <w:rsid w:val="594206EF"/>
    <w:rsid w:val="619C03BB"/>
    <w:rsid w:val="6B123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2021-07-02T07:55:00Z</dcterms:created>
  <dc:creator>Administrator</dc:creator>
  <cp:lastModifiedBy>Administrator</cp:lastModifiedBy>
  <dcterms:modified xsi:type="dcterms:W3CDTF">2021-07-21T09:08:15Z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6A20A5BA45E64F14B1B62FF4C3BCC000</vt:lpwstr>
  </property>
</Properties>
</file>