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eastAsiaTheme="minorEastAsia"/>
          <w:b/>
          <w:bCs/>
          <w:kern w:val="0"/>
          <w:sz w:val="32"/>
          <w:szCs w:val="32"/>
        </w:rPr>
      </w:pPr>
    </w:p>
    <w:p>
      <w:pPr>
        <w:widowControl/>
        <w:spacing w:line="600" w:lineRule="exact"/>
        <w:jc w:val="left"/>
        <w:rPr>
          <w:rFonts w:eastAsiaTheme="minorEastAsia"/>
          <w:b/>
          <w:bCs/>
          <w:kern w:val="0"/>
          <w:sz w:val="32"/>
          <w:szCs w:val="32"/>
        </w:rPr>
      </w:pPr>
    </w:p>
    <w:p>
      <w:pPr>
        <w:widowControl/>
        <w:spacing w:line="600" w:lineRule="exact"/>
        <w:jc w:val="left"/>
        <w:rPr>
          <w:rFonts w:eastAsiaTheme="minorEastAsia"/>
          <w:b/>
          <w:bCs/>
          <w:kern w:val="0"/>
          <w:sz w:val="32"/>
          <w:szCs w:val="32"/>
        </w:rPr>
      </w:pPr>
    </w:p>
    <w:p>
      <w:pPr>
        <w:widowControl/>
        <w:spacing w:line="600" w:lineRule="exact"/>
        <w:jc w:val="left"/>
        <w:rPr>
          <w:rFonts w:eastAsiaTheme="minorEastAsia"/>
          <w:b/>
          <w:bCs/>
          <w:kern w:val="0"/>
          <w:sz w:val="32"/>
          <w:szCs w:val="32"/>
        </w:rPr>
      </w:pPr>
    </w:p>
    <w:p>
      <w:pPr>
        <w:widowControl/>
        <w:spacing w:line="600" w:lineRule="exact"/>
        <w:jc w:val="left"/>
        <w:rPr>
          <w:rFonts w:eastAsiaTheme="minorEastAsia"/>
          <w:b/>
          <w:bCs/>
          <w:kern w:val="0"/>
          <w:sz w:val="32"/>
          <w:szCs w:val="32"/>
        </w:rPr>
      </w:pPr>
    </w:p>
    <w:p>
      <w:pPr>
        <w:widowControl/>
        <w:spacing w:line="600" w:lineRule="exact"/>
        <w:jc w:val="left"/>
        <w:rPr>
          <w:rFonts w:eastAsiaTheme="minorEastAsia"/>
          <w:b/>
          <w:bCs/>
          <w:kern w:val="0"/>
          <w:sz w:val="32"/>
          <w:szCs w:val="32"/>
        </w:rPr>
      </w:pPr>
    </w:p>
    <w:p>
      <w:pPr>
        <w:widowControl/>
        <w:spacing w:line="600" w:lineRule="exact"/>
        <w:jc w:val="left"/>
        <w:rPr>
          <w:rFonts w:eastAsiaTheme="minorEastAsia"/>
          <w:b/>
          <w:bCs/>
          <w:kern w:val="0"/>
          <w:sz w:val="32"/>
          <w:szCs w:val="32"/>
        </w:rPr>
      </w:pPr>
    </w:p>
    <w:p>
      <w:pPr>
        <w:widowControl/>
        <w:spacing w:line="600" w:lineRule="exact"/>
        <w:jc w:val="left"/>
        <w:rPr>
          <w:rFonts w:eastAsiaTheme="minorEastAsia"/>
          <w:b/>
          <w:bCs/>
          <w:kern w:val="0"/>
          <w:sz w:val="32"/>
          <w:szCs w:val="32"/>
        </w:rPr>
      </w:pPr>
    </w:p>
    <w:p>
      <w:pPr>
        <w:widowControl/>
        <w:spacing w:line="600" w:lineRule="exact"/>
        <w:jc w:val="left"/>
        <w:rPr>
          <w:rFonts w:eastAsiaTheme="minorEastAsia"/>
          <w:b/>
          <w:bCs/>
          <w:kern w:val="0"/>
          <w:sz w:val="32"/>
          <w:szCs w:val="32"/>
        </w:rPr>
      </w:pPr>
    </w:p>
    <w:p>
      <w:pPr>
        <w:widowControl/>
        <w:spacing w:line="600" w:lineRule="exact"/>
        <w:jc w:val="left"/>
        <w:rPr>
          <w:rFonts w:eastAsiaTheme="minorEastAsia"/>
          <w:b/>
          <w:bCs/>
          <w:kern w:val="0"/>
          <w:sz w:val="48"/>
          <w:szCs w:val="48"/>
        </w:rPr>
      </w:pPr>
    </w:p>
    <w:p>
      <w:pPr>
        <w:widowControl/>
        <w:spacing w:line="600" w:lineRule="exact"/>
        <w:jc w:val="center"/>
        <w:rPr>
          <w:rFonts w:ascii="宋体" w:hAnsi="宋体" w:cs="宋体"/>
          <w:b/>
          <w:bCs/>
          <w:kern w:val="0"/>
          <w:sz w:val="48"/>
          <w:szCs w:val="48"/>
        </w:rPr>
      </w:pPr>
      <w:r>
        <w:rPr>
          <w:rFonts w:eastAsia="黑体"/>
          <w:kern w:val="0"/>
          <w:sz w:val="48"/>
          <w:szCs w:val="48"/>
        </w:rPr>
        <w:t xml:space="preserve"> </w:t>
      </w:r>
      <w:r>
        <w:rPr>
          <w:rFonts w:hint="eastAsia" w:eastAsia="黑体"/>
          <w:b/>
          <w:bCs/>
          <w:kern w:val="0"/>
          <w:sz w:val="48"/>
          <w:szCs w:val="48"/>
        </w:rPr>
        <w:t>湘乡市农业局</w:t>
      </w:r>
      <w:r>
        <w:rPr>
          <w:b/>
          <w:bCs/>
          <w:kern w:val="0"/>
          <w:sz w:val="48"/>
          <w:szCs w:val="48"/>
        </w:rPr>
        <w:t>201</w:t>
      </w:r>
      <w:r>
        <w:rPr>
          <w:rFonts w:hint="eastAsia" w:cs="宋体"/>
          <w:b/>
          <w:bCs/>
          <w:kern w:val="0"/>
          <w:sz w:val="48"/>
          <w:szCs w:val="48"/>
        </w:rPr>
        <w:t>9</w:t>
      </w:r>
      <w:r>
        <w:rPr>
          <w:rFonts w:hint="eastAsia" w:ascii="宋体" w:hAnsi="宋体" w:cs="宋体"/>
          <w:b/>
          <w:bCs/>
          <w:kern w:val="0"/>
          <w:sz w:val="48"/>
          <w:szCs w:val="48"/>
        </w:rPr>
        <w:t>年部门预算说明</w:t>
      </w:r>
    </w:p>
    <w:p>
      <w:pPr>
        <w:widowControl/>
        <w:spacing w:line="600" w:lineRule="exact"/>
        <w:jc w:val="center"/>
        <w:rPr>
          <w:rFonts w:ascii="宋体" w:hAnsi="宋体" w:cs="宋体"/>
          <w:b/>
          <w:bCs/>
          <w:kern w:val="0"/>
          <w:sz w:val="36"/>
          <w:szCs w:val="36"/>
        </w:rPr>
      </w:pPr>
      <w:r>
        <w:rPr>
          <w:rFonts w:hint="eastAsia" w:ascii="宋体" w:hAnsi="宋体" w:cs="宋体"/>
          <w:b/>
          <w:bCs/>
          <w:kern w:val="0"/>
          <w:sz w:val="36"/>
          <w:szCs w:val="36"/>
        </w:rPr>
        <w:t>（含农科所）</w:t>
      </w:r>
    </w:p>
    <w:p>
      <w:pPr>
        <w:widowControl/>
        <w:spacing w:line="600" w:lineRule="exact"/>
        <w:jc w:val="center"/>
        <w:rPr>
          <w:rFonts w:ascii="宋体" w:hAnsi="宋体" w:cs="宋体"/>
          <w:b/>
          <w:bCs/>
          <w:kern w:val="0"/>
          <w:sz w:val="36"/>
          <w:szCs w:val="36"/>
        </w:rPr>
      </w:pPr>
    </w:p>
    <w:p>
      <w:pPr>
        <w:widowControl/>
        <w:spacing w:line="600" w:lineRule="exact"/>
        <w:jc w:val="center"/>
        <w:rPr>
          <w:rFonts w:ascii="宋体" w:hAnsi="宋体" w:cs="宋体"/>
          <w:b/>
          <w:bCs/>
          <w:kern w:val="0"/>
          <w:sz w:val="36"/>
          <w:szCs w:val="36"/>
        </w:rPr>
      </w:pPr>
    </w:p>
    <w:p>
      <w:pPr>
        <w:widowControl/>
        <w:spacing w:line="600" w:lineRule="exact"/>
        <w:jc w:val="center"/>
        <w:rPr>
          <w:rFonts w:ascii="宋体" w:hAnsi="宋体" w:cs="宋体"/>
          <w:b/>
          <w:bCs/>
          <w:kern w:val="0"/>
          <w:sz w:val="36"/>
          <w:szCs w:val="36"/>
        </w:rPr>
      </w:pPr>
    </w:p>
    <w:p>
      <w:pPr>
        <w:widowControl/>
        <w:spacing w:line="600" w:lineRule="exact"/>
        <w:jc w:val="center"/>
        <w:rPr>
          <w:rFonts w:ascii="宋体" w:hAnsi="宋体" w:cs="宋体"/>
          <w:b/>
          <w:bCs/>
          <w:kern w:val="0"/>
          <w:sz w:val="36"/>
          <w:szCs w:val="36"/>
        </w:rPr>
      </w:pPr>
    </w:p>
    <w:p>
      <w:pPr>
        <w:widowControl/>
        <w:spacing w:line="600" w:lineRule="exact"/>
        <w:jc w:val="center"/>
        <w:rPr>
          <w:rFonts w:ascii="宋体" w:hAnsi="宋体" w:cs="宋体"/>
          <w:b/>
          <w:bCs/>
          <w:kern w:val="0"/>
          <w:sz w:val="36"/>
          <w:szCs w:val="36"/>
        </w:rPr>
      </w:pPr>
    </w:p>
    <w:p>
      <w:pPr>
        <w:widowControl/>
        <w:spacing w:line="600" w:lineRule="exact"/>
        <w:jc w:val="center"/>
        <w:rPr>
          <w:rFonts w:ascii="宋体" w:hAnsi="宋体" w:cs="宋体"/>
          <w:b/>
          <w:bCs/>
          <w:kern w:val="0"/>
          <w:sz w:val="36"/>
          <w:szCs w:val="36"/>
        </w:rPr>
      </w:pPr>
    </w:p>
    <w:p>
      <w:pPr>
        <w:widowControl/>
        <w:spacing w:line="600" w:lineRule="exact"/>
        <w:jc w:val="center"/>
        <w:rPr>
          <w:rFonts w:ascii="宋体" w:hAnsi="宋体" w:cs="宋体"/>
          <w:b/>
          <w:bCs/>
          <w:kern w:val="0"/>
          <w:sz w:val="36"/>
          <w:szCs w:val="36"/>
        </w:rPr>
      </w:pPr>
    </w:p>
    <w:p>
      <w:pPr>
        <w:widowControl/>
        <w:spacing w:line="600" w:lineRule="exact"/>
        <w:jc w:val="center"/>
        <w:rPr>
          <w:rFonts w:ascii="宋体" w:hAnsi="宋体" w:cs="宋体"/>
          <w:b/>
          <w:bCs/>
          <w:kern w:val="0"/>
          <w:sz w:val="36"/>
          <w:szCs w:val="36"/>
        </w:rPr>
      </w:pPr>
    </w:p>
    <w:p>
      <w:pPr>
        <w:widowControl/>
        <w:spacing w:line="600" w:lineRule="exact"/>
        <w:jc w:val="center"/>
        <w:rPr>
          <w:rFonts w:ascii="宋体" w:hAnsi="宋体" w:cs="宋体"/>
          <w:b/>
          <w:bCs/>
          <w:kern w:val="0"/>
          <w:sz w:val="36"/>
          <w:szCs w:val="36"/>
        </w:rPr>
      </w:pPr>
    </w:p>
    <w:p>
      <w:pPr>
        <w:widowControl/>
        <w:spacing w:line="600" w:lineRule="exact"/>
        <w:jc w:val="center"/>
        <w:rPr>
          <w:rFonts w:ascii="宋体" w:hAnsi="宋体" w:cs="宋体"/>
          <w:b/>
          <w:bCs/>
          <w:kern w:val="0"/>
          <w:sz w:val="36"/>
          <w:szCs w:val="36"/>
        </w:rPr>
      </w:pPr>
    </w:p>
    <w:p>
      <w:pPr>
        <w:widowControl/>
        <w:spacing w:line="600" w:lineRule="exact"/>
        <w:rPr>
          <w:rFonts w:ascii="宋体" w:hAnsi="宋体" w:cs="宋体"/>
          <w:b/>
          <w:bCs/>
          <w:kern w:val="0"/>
          <w:sz w:val="36"/>
          <w:szCs w:val="36"/>
        </w:rPr>
      </w:pPr>
    </w:p>
    <w:p>
      <w:pPr>
        <w:ind w:firstLine="361" w:firstLineChars="100"/>
        <w:jc w:val="center"/>
        <w:rPr>
          <w:rFonts w:ascii="宋体" w:hAnsi="宋体" w:cs="宋体"/>
          <w:sz w:val="24"/>
          <w:szCs w:val="24"/>
        </w:rPr>
      </w:pPr>
      <w:r>
        <w:rPr>
          <w:rFonts w:ascii="宋体" w:hAnsi="宋体" w:cs="宋体"/>
          <w:b/>
          <w:bCs/>
          <w:sz w:val="36"/>
          <w:szCs w:val="36"/>
        </w:rPr>
        <w:t>目</w:t>
      </w:r>
      <w:r>
        <w:rPr>
          <w:rFonts w:hint="eastAsia" w:ascii="宋体" w:hAnsi="宋体" w:cs="宋体"/>
          <w:b/>
          <w:bCs/>
          <w:sz w:val="36"/>
          <w:szCs w:val="36"/>
        </w:rPr>
        <w:t xml:space="preserve">  </w:t>
      </w:r>
      <w:r>
        <w:rPr>
          <w:rFonts w:ascii="宋体" w:hAnsi="宋体" w:cs="宋体"/>
          <w:b/>
          <w:bCs/>
          <w:sz w:val="36"/>
          <w:szCs w:val="36"/>
        </w:rPr>
        <w:t>录</w:t>
      </w:r>
      <w:r>
        <w:rPr>
          <w:rFonts w:ascii="宋体" w:hAnsi="宋体" w:cs="宋体"/>
          <w:b/>
          <w:bCs/>
          <w:sz w:val="36"/>
          <w:szCs w:val="36"/>
        </w:rPr>
        <w:br w:type="textWrapping"/>
      </w:r>
      <w:r>
        <w:rPr>
          <w:rFonts w:ascii="宋体" w:hAnsi="宋体" w:cs="宋体"/>
          <w:sz w:val="24"/>
          <w:szCs w:val="24"/>
        </w:rPr>
        <w:br w:type="textWrapping"/>
      </w:r>
    </w:p>
    <w:p>
      <w:pPr>
        <w:spacing w:line="480" w:lineRule="auto"/>
        <w:rPr>
          <w:rFonts w:ascii="宋体" w:hAnsi="宋体" w:cs="宋体"/>
          <w:sz w:val="24"/>
          <w:szCs w:val="24"/>
        </w:rPr>
      </w:pPr>
      <w:r>
        <w:rPr>
          <w:rFonts w:ascii="宋体" w:hAnsi="宋体" w:cs="宋体"/>
          <w:b/>
          <w:bCs/>
          <w:sz w:val="24"/>
          <w:szCs w:val="24"/>
        </w:rPr>
        <w:t>第一部分 </w:t>
      </w:r>
      <w:r>
        <w:rPr>
          <w:rFonts w:hint="eastAsia" w:ascii="宋体" w:hAnsi="宋体" w:cs="宋体"/>
          <w:b/>
          <w:bCs/>
          <w:sz w:val="24"/>
          <w:szCs w:val="24"/>
        </w:rPr>
        <w:t xml:space="preserve"> 湘乡市农业局（含农科所）</w:t>
      </w:r>
      <w:r>
        <w:rPr>
          <w:rFonts w:ascii="宋体" w:hAnsi="宋体" w:cs="宋体"/>
          <w:b/>
          <w:bCs/>
          <w:sz w:val="24"/>
          <w:szCs w:val="24"/>
        </w:rPr>
        <w:t>单位概况</w:t>
      </w:r>
      <w:r>
        <w:rPr>
          <w:rFonts w:ascii="宋体" w:hAnsi="宋体" w:cs="宋体"/>
          <w:sz w:val="24"/>
          <w:szCs w:val="24"/>
        </w:rPr>
        <w:br w:type="textWrapping"/>
      </w:r>
      <w:r>
        <w:rPr>
          <w:rFonts w:ascii="宋体" w:hAnsi="宋体" w:cs="宋体"/>
          <w:sz w:val="24"/>
          <w:szCs w:val="24"/>
        </w:rPr>
        <w:t>一、部门职责</w:t>
      </w:r>
      <w:r>
        <w:rPr>
          <w:rFonts w:ascii="宋体" w:hAnsi="宋体" w:cs="宋体"/>
          <w:sz w:val="24"/>
          <w:szCs w:val="24"/>
        </w:rPr>
        <w:br w:type="textWrapping"/>
      </w:r>
      <w:r>
        <w:rPr>
          <w:rFonts w:ascii="宋体" w:hAnsi="宋体" w:cs="宋体"/>
          <w:sz w:val="24"/>
          <w:szCs w:val="24"/>
        </w:rPr>
        <w:t>二、机构设置</w:t>
      </w:r>
    </w:p>
    <w:p>
      <w:pPr>
        <w:spacing w:line="480" w:lineRule="auto"/>
        <w:rPr>
          <w:rFonts w:ascii="宋体" w:hAnsi="宋体" w:cs="宋体"/>
          <w:sz w:val="24"/>
          <w:szCs w:val="24"/>
        </w:rPr>
      </w:pPr>
      <w:r>
        <w:rPr>
          <w:rFonts w:hint="eastAsia" w:ascii="宋体" w:hAnsi="宋体" w:cs="宋体"/>
          <w:sz w:val="24"/>
          <w:szCs w:val="24"/>
        </w:rPr>
        <w:t>三、部门了预算单位构成</w:t>
      </w:r>
    </w:p>
    <w:p>
      <w:pPr>
        <w:spacing w:line="480" w:lineRule="auto"/>
        <w:rPr>
          <w:rFonts w:ascii="宋体" w:hAnsi="宋体" w:cs="宋体"/>
          <w:b/>
          <w:bCs/>
          <w:sz w:val="24"/>
          <w:szCs w:val="24"/>
        </w:rPr>
      </w:pPr>
      <w:r>
        <w:rPr>
          <w:rFonts w:hint="eastAsia" w:ascii="宋体" w:hAnsi="宋体" w:cs="宋体"/>
          <w:b/>
          <w:sz w:val="24"/>
          <w:szCs w:val="24"/>
        </w:rPr>
        <w:t>第二部分</w:t>
      </w:r>
      <w:r>
        <w:rPr>
          <w:rFonts w:hint="eastAsia" w:ascii="宋体" w:hAnsi="宋体" w:cs="宋体"/>
          <w:b/>
          <w:bCs/>
          <w:sz w:val="24"/>
          <w:szCs w:val="24"/>
        </w:rPr>
        <w:t xml:space="preserve">   湘乡市农业局（含农科所）</w:t>
      </w:r>
      <w:r>
        <w:rPr>
          <w:rFonts w:ascii="宋体" w:hAnsi="宋体" w:cs="宋体"/>
          <w:b/>
          <w:bCs/>
          <w:sz w:val="24"/>
          <w:szCs w:val="24"/>
        </w:rPr>
        <w:t>201</w:t>
      </w:r>
      <w:r>
        <w:rPr>
          <w:rFonts w:hint="eastAsia" w:ascii="宋体" w:hAnsi="宋体" w:cs="宋体"/>
          <w:b/>
          <w:bCs/>
          <w:sz w:val="24"/>
          <w:szCs w:val="24"/>
        </w:rPr>
        <w:t>9</w:t>
      </w:r>
      <w:r>
        <w:rPr>
          <w:rFonts w:ascii="宋体" w:hAnsi="宋体" w:cs="宋体"/>
          <w:b/>
          <w:bCs/>
          <w:sz w:val="24"/>
          <w:szCs w:val="24"/>
        </w:rPr>
        <w:t>年度</w:t>
      </w:r>
      <w:r>
        <w:rPr>
          <w:rFonts w:hint="eastAsia" w:ascii="宋体" w:hAnsi="宋体" w:cs="宋体"/>
          <w:b/>
          <w:bCs/>
          <w:sz w:val="24"/>
          <w:szCs w:val="24"/>
        </w:rPr>
        <w:t>预算情况说明</w:t>
      </w:r>
    </w:p>
    <w:p>
      <w:pPr>
        <w:spacing w:line="480" w:lineRule="auto"/>
        <w:rPr>
          <w:rFonts w:ascii="宋体" w:hAnsi="宋体" w:cs="宋体"/>
          <w:sz w:val="24"/>
          <w:szCs w:val="24"/>
        </w:rPr>
      </w:pPr>
      <w:r>
        <w:rPr>
          <w:rFonts w:hint="eastAsia" w:ascii="宋体" w:hAnsi="宋体" w:cs="宋体"/>
          <w:bCs/>
          <w:sz w:val="24"/>
          <w:szCs w:val="24"/>
        </w:rPr>
        <w:t>一、</w:t>
      </w:r>
      <w:r>
        <w:rPr>
          <w:rFonts w:hint="eastAsia" w:ascii="宋体" w:hAnsi="宋体" w:cs="宋体"/>
          <w:sz w:val="24"/>
          <w:szCs w:val="24"/>
        </w:rPr>
        <w:t>部门</w:t>
      </w:r>
      <w:r>
        <w:rPr>
          <w:rFonts w:ascii="宋体" w:hAnsi="宋体" w:cs="宋体"/>
          <w:sz w:val="24"/>
          <w:szCs w:val="24"/>
        </w:rPr>
        <w:t>收支</w:t>
      </w:r>
      <w:r>
        <w:rPr>
          <w:rFonts w:hint="eastAsia" w:ascii="宋体" w:hAnsi="宋体" w:cs="宋体"/>
          <w:sz w:val="24"/>
          <w:szCs w:val="24"/>
        </w:rPr>
        <w:t>预算</w:t>
      </w:r>
      <w:r>
        <w:rPr>
          <w:rFonts w:ascii="宋体" w:hAnsi="宋体" w:cs="宋体"/>
          <w:sz w:val="24"/>
          <w:szCs w:val="24"/>
        </w:rPr>
        <w:t>总体情况说明</w:t>
      </w:r>
      <w:r>
        <w:rPr>
          <w:rFonts w:ascii="宋体" w:hAnsi="宋体" w:cs="宋体"/>
          <w:sz w:val="24"/>
          <w:szCs w:val="24"/>
        </w:rPr>
        <w:br w:type="textWrapping"/>
      </w:r>
      <w:r>
        <w:rPr>
          <w:rFonts w:hint="eastAsia" w:ascii="宋体" w:hAnsi="宋体" w:cs="宋体"/>
          <w:sz w:val="24"/>
          <w:szCs w:val="24"/>
        </w:rPr>
        <w:t>1、部门</w:t>
      </w:r>
      <w:r>
        <w:rPr>
          <w:rFonts w:ascii="宋体" w:hAnsi="宋体" w:cs="宋体"/>
          <w:sz w:val="24"/>
          <w:szCs w:val="24"/>
        </w:rPr>
        <w:t>收入</w:t>
      </w:r>
      <w:r>
        <w:rPr>
          <w:rFonts w:hint="eastAsia" w:ascii="宋体" w:hAnsi="宋体" w:cs="宋体"/>
          <w:sz w:val="24"/>
          <w:szCs w:val="24"/>
        </w:rPr>
        <w:t>预算</w:t>
      </w:r>
      <w:r>
        <w:rPr>
          <w:rFonts w:ascii="宋体" w:hAnsi="宋体" w:cs="宋体"/>
          <w:sz w:val="24"/>
          <w:szCs w:val="24"/>
        </w:rPr>
        <w:t>情况说明</w:t>
      </w:r>
      <w:r>
        <w:rPr>
          <w:rFonts w:ascii="宋体" w:hAnsi="宋体" w:cs="宋体"/>
          <w:sz w:val="24"/>
          <w:szCs w:val="24"/>
        </w:rPr>
        <w:br w:type="textWrapping"/>
      </w:r>
      <w:r>
        <w:rPr>
          <w:rFonts w:hint="eastAsia" w:ascii="宋体" w:hAnsi="宋体" w:cs="宋体"/>
          <w:sz w:val="24"/>
          <w:szCs w:val="24"/>
        </w:rPr>
        <w:t>2、部门</w:t>
      </w:r>
      <w:r>
        <w:rPr>
          <w:rFonts w:ascii="宋体" w:hAnsi="宋体" w:cs="宋体"/>
          <w:sz w:val="24"/>
          <w:szCs w:val="24"/>
        </w:rPr>
        <w:t>支出</w:t>
      </w:r>
      <w:r>
        <w:rPr>
          <w:rFonts w:hint="eastAsia" w:ascii="宋体" w:hAnsi="宋体" w:cs="宋体"/>
          <w:sz w:val="24"/>
          <w:szCs w:val="24"/>
        </w:rPr>
        <w:t>预</w:t>
      </w:r>
      <w:r>
        <w:rPr>
          <w:rFonts w:ascii="宋体" w:hAnsi="宋体" w:cs="宋体"/>
          <w:sz w:val="24"/>
          <w:szCs w:val="24"/>
        </w:rPr>
        <w:t>算情况说明</w:t>
      </w:r>
      <w:r>
        <w:rPr>
          <w:rFonts w:ascii="宋体" w:hAnsi="宋体" w:cs="宋体"/>
          <w:sz w:val="24"/>
          <w:szCs w:val="24"/>
        </w:rPr>
        <w:br w:type="textWrapping"/>
      </w:r>
      <w:r>
        <w:rPr>
          <w:rFonts w:hint="eastAsia" w:ascii="宋体" w:hAnsi="宋体" w:cs="宋体"/>
          <w:bCs/>
          <w:sz w:val="24"/>
          <w:szCs w:val="24"/>
        </w:rPr>
        <w:t>二、</w:t>
      </w:r>
      <w:r>
        <w:rPr>
          <w:rFonts w:ascii="宋体" w:hAnsi="宋体" w:cs="宋体"/>
          <w:sz w:val="24"/>
          <w:szCs w:val="24"/>
        </w:rPr>
        <w:t>一般公共预算财政拨款支出</w:t>
      </w:r>
      <w:r>
        <w:rPr>
          <w:rFonts w:hint="eastAsia" w:ascii="宋体" w:hAnsi="宋体" w:cs="宋体"/>
          <w:sz w:val="24"/>
          <w:szCs w:val="24"/>
        </w:rPr>
        <w:t>预算</w:t>
      </w:r>
      <w:r>
        <w:rPr>
          <w:rFonts w:ascii="宋体" w:hAnsi="宋体" w:cs="宋体"/>
          <w:sz w:val="24"/>
          <w:szCs w:val="24"/>
        </w:rPr>
        <w:t>情况说明</w:t>
      </w:r>
      <w:r>
        <w:rPr>
          <w:rFonts w:ascii="宋体" w:hAnsi="宋体" w:cs="宋体"/>
          <w:sz w:val="24"/>
          <w:szCs w:val="24"/>
        </w:rPr>
        <w:br w:type="textWrapping"/>
      </w:r>
      <w:r>
        <w:rPr>
          <w:rFonts w:hint="eastAsia" w:ascii="宋体" w:hAnsi="宋体" w:cs="宋体"/>
          <w:sz w:val="24"/>
          <w:szCs w:val="24"/>
        </w:rPr>
        <w:t>1、</w:t>
      </w:r>
      <w:r>
        <w:rPr>
          <w:rFonts w:ascii="宋体" w:hAnsi="宋体" w:cs="宋体"/>
          <w:sz w:val="24"/>
          <w:szCs w:val="24"/>
        </w:rPr>
        <w:t>一般公共预算财政拨款基本支出</w:t>
      </w:r>
      <w:r>
        <w:rPr>
          <w:rFonts w:hint="eastAsia" w:ascii="宋体" w:hAnsi="宋体" w:cs="宋体"/>
          <w:sz w:val="24"/>
          <w:szCs w:val="24"/>
        </w:rPr>
        <w:t>预算</w:t>
      </w:r>
      <w:r>
        <w:rPr>
          <w:rFonts w:ascii="宋体" w:hAnsi="宋体" w:cs="宋体"/>
          <w:sz w:val="24"/>
          <w:szCs w:val="24"/>
        </w:rPr>
        <w:t>情况说明</w:t>
      </w:r>
    </w:p>
    <w:p>
      <w:pPr>
        <w:numPr>
          <w:ilvl w:val="0"/>
          <w:numId w:val="1"/>
        </w:numPr>
        <w:spacing w:line="480" w:lineRule="auto"/>
        <w:rPr>
          <w:rFonts w:ascii="宋体" w:hAnsi="宋体" w:cs="宋体"/>
          <w:sz w:val="24"/>
          <w:szCs w:val="24"/>
        </w:rPr>
      </w:pPr>
      <w:r>
        <w:rPr>
          <w:rFonts w:ascii="宋体" w:hAnsi="宋体" w:cs="宋体"/>
          <w:sz w:val="24"/>
          <w:szCs w:val="24"/>
        </w:rPr>
        <w:t>一般公共预算财政拨款</w:t>
      </w:r>
      <w:r>
        <w:rPr>
          <w:rFonts w:hint="eastAsia" w:ascii="宋体" w:hAnsi="宋体" w:cs="宋体"/>
          <w:sz w:val="24"/>
          <w:szCs w:val="24"/>
        </w:rPr>
        <w:t>项目</w:t>
      </w:r>
      <w:r>
        <w:rPr>
          <w:rFonts w:ascii="宋体" w:hAnsi="宋体" w:cs="宋体"/>
          <w:sz w:val="24"/>
          <w:szCs w:val="24"/>
        </w:rPr>
        <w:t>支出</w:t>
      </w:r>
      <w:r>
        <w:rPr>
          <w:rFonts w:hint="eastAsia" w:ascii="宋体" w:hAnsi="宋体" w:cs="宋体"/>
          <w:sz w:val="24"/>
          <w:szCs w:val="24"/>
        </w:rPr>
        <w:t>预算</w:t>
      </w:r>
      <w:r>
        <w:rPr>
          <w:rFonts w:ascii="宋体" w:hAnsi="宋体" w:cs="宋体"/>
          <w:sz w:val="24"/>
          <w:szCs w:val="24"/>
        </w:rPr>
        <w:t>情况说明</w:t>
      </w:r>
    </w:p>
    <w:p>
      <w:pPr>
        <w:spacing w:line="480" w:lineRule="auto"/>
        <w:rPr>
          <w:rFonts w:ascii="宋体" w:hAnsi="宋体" w:cs="宋体"/>
          <w:sz w:val="24"/>
          <w:szCs w:val="24"/>
        </w:rPr>
      </w:pPr>
      <w:r>
        <w:rPr>
          <w:rFonts w:hint="eastAsia" w:ascii="宋体" w:hAnsi="宋体" w:cs="宋体"/>
          <w:sz w:val="24"/>
          <w:szCs w:val="24"/>
        </w:rPr>
        <w:t>三、预算绩效情况说明</w:t>
      </w:r>
    </w:p>
    <w:p>
      <w:pPr>
        <w:spacing w:line="480" w:lineRule="auto"/>
        <w:rPr>
          <w:rFonts w:ascii="宋体" w:hAnsi="宋体" w:cs="宋体"/>
          <w:sz w:val="24"/>
          <w:szCs w:val="24"/>
        </w:rPr>
      </w:pPr>
      <w:r>
        <w:rPr>
          <w:rFonts w:hint="eastAsia" w:ascii="宋体" w:hAnsi="宋体" w:cs="宋体"/>
          <w:sz w:val="24"/>
          <w:szCs w:val="24"/>
        </w:rPr>
        <w:t xml:space="preserve">四、 </w:t>
      </w:r>
      <w:r>
        <w:rPr>
          <w:rFonts w:ascii="宋体" w:hAnsi="宋体" w:cs="宋体"/>
          <w:sz w:val="24"/>
          <w:szCs w:val="24"/>
        </w:rPr>
        <w:t>其他重要事项的情况说明</w:t>
      </w:r>
    </w:p>
    <w:p>
      <w:pPr>
        <w:spacing w:line="480" w:lineRule="auto"/>
        <w:rPr>
          <w:rFonts w:ascii="宋体" w:hAnsi="宋体" w:cs="宋体"/>
          <w:sz w:val="24"/>
          <w:szCs w:val="24"/>
        </w:rPr>
      </w:pPr>
      <w:r>
        <w:rPr>
          <w:rFonts w:hint="eastAsia" w:ascii="宋体" w:hAnsi="宋体" w:cs="宋体"/>
          <w:sz w:val="24"/>
          <w:szCs w:val="24"/>
        </w:rPr>
        <w:t>1、机关运行经费情况说明</w:t>
      </w:r>
    </w:p>
    <w:p>
      <w:pPr>
        <w:spacing w:line="480" w:lineRule="auto"/>
        <w:rPr>
          <w:rFonts w:ascii="宋体" w:hAnsi="宋体" w:cs="宋体"/>
          <w:sz w:val="24"/>
          <w:szCs w:val="24"/>
        </w:rPr>
      </w:pPr>
      <w:r>
        <w:rPr>
          <w:rFonts w:hint="eastAsia" w:ascii="宋体" w:hAnsi="宋体" w:cs="宋体"/>
          <w:sz w:val="24"/>
          <w:szCs w:val="24"/>
        </w:rPr>
        <w:t>2、</w:t>
      </w:r>
      <w:r>
        <w:rPr>
          <w:rFonts w:ascii="宋体" w:hAnsi="宋体" w:cs="宋体"/>
          <w:sz w:val="24"/>
          <w:szCs w:val="24"/>
        </w:rPr>
        <w:t>一般公共预算财政拨款“三公”经费支出</w:t>
      </w:r>
      <w:r>
        <w:rPr>
          <w:rFonts w:hint="eastAsia" w:ascii="宋体" w:hAnsi="宋体" w:cs="宋体"/>
          <w:sz w:val="24"/>
          <w:szCs w:val="24"/>
        </w:rPr>
        <w:t>预算</w:t>
      </w:r>
      <w:r>
        <w:rPr>
          <w:rFonts w:ascii="宋体" w:hAnsi="宋体" w:cs="宋体"/>
          <w:sz w:val="24"/>
          <w:szCs w:val="24"/>
        </w:rPr>
        <w:t>情况说明</w:t>
      </w:r>
    </w:p>
    <w:p>
      <w:pPr>
        <w:spacing w:line="480" w:lineRule="auto"/>
        <w:rPr>
          <w:rFonts w:ascii="宋体" w:hAnsi="宋体" w:cs="宋体"/>
          <w:sz w:val="24"/>
          <w:szCs w:val="24"/>
        </w:rPr>
      </w:pPr>
      <w:r>
        <w:rPr>
          <w:rFonts w:hint="eastAsia" w:ascii="宋体" w:hAnsi="宋体" w:cs="宋体"/>
          <w:sz w:val="24"/>
          <w:szCs w:val="24"/>
        </w:rPr>
        <w:t>3、政府采购情况说明</w:t>
      </w:r>
    </w:p>
    <w:p>
      <w:pPr>
        <w:spacing w:line="480" w:lineRule="auto"/>
        <w:rPr>
          <w:rFonts w:ascii="宋体" w:hAnsi="宋体" w:cs="宋体"/>
          <w:sz w:val="24"/>
          <w:szCs w:val="24"/>
        </w:rPr>
      </w:pPr>
      <w:r>
        <w:rPr>
          <w:rFonts w:hint="eastAsia" w:ascii="宋体" w:hAnsi="宋体" w:cs="宋体"/>
          <w:sz w:val="24"/>
          <w:szCs w:val="24"/>
        </w:rPr>
        <w:t>4、政府购买服务情况说明</w:t>
      </w:r>
      <w:r>
        <w:rPr>
          <w:rFonts w:ascii="宋体" w:hAnsi="宋体" w:cs="宋体"/>
          <w:sz w:val="24"/>
          <w:szCs w:val="24"/>
        </w:rPr>
        <w:br w:type="textWrapping"/>
      </w:r>
      <w:r>
        <w:rPr>
          <w:rFonts w:ascii="宋体" w:hAnsi="宋体" w:cs="宋体"/>
          <w:b/>
          <w:bCs/>
          <w:sz w:val="24"/>
          <w:szCs w:val="24"/>
        </w:rPr>
        <w:t>第</w:t>
      </w:r>
      <w:r>
        <w:rPr>
          <w:rFonts w:hint="eastAsia" w:ascii="宋体" w:hAnsi="宋体" w:cs="宋体"/>
          <w:b/>
          <w:bCs/>
          <w:sz w:val="24"/>
          <w:szCs w:val="24"/>
        </w:rPr>
        <w:t>三</w:t>
      </w:r>
      <w:r>
        <w:rPr>
          <w:rFonts w:ascii="宋体" w:hAnsi="宋体" w:cs="宋体"/>
          <w:b/>
          <w:bCs/>
          <w:sz w:val="24"/>
          <w:szCs w:val="24"/>
        </w:rPr>
        <w:t>部分  名称解释</w:t>
      </w:r>
      <w:r>
        <w:rPr>
          <w:rFonts w:ascii="宋体" w:hAnsi="宋体" w:cs="宋体"/>
          <w:b/>
          <w:bCs/>
          <w:sz w:val="24"/>
          <w:szCs w:val="24"/>
        </w:rPr>
        <w:br w:type="textWrapping"/>
      </w:r>
      <w:r>
        <w:rPr>
          <w:rFonts w:ascii="宋体" w:hAnsi="宋体" w:cs="宋体"/>
          <w:b/>
          <w:bCs/>
          <w:sz w:val="24"/>
          <w:szCs w:val="24"/>
        </w:rPr>
        <w:t>第</w:t>
      </w:r>
      <w:r>
        <w:rPr>
          <w:rFonts w:hint="eastAsia" w:ascii="宋体" w:hAnsi="宋体" w:cs="宋体"/>
          <w:b/>
          <w:bCs/>
          <w:sz w:val="24"/>
          <w:szCs w:val="24"/>
        </w:rPr>
        <w:t>四</w:t>
      </w:r>
      <w:r>
        <w:rPr>
          <w:rFonts w:ascii="宋体" w:hAnsi="宋体" w:cs="宋体"/>
          <w:b/>
          <w:bCs/>
          <w:sz w:val="24"/>
          <w:szCs w:val="24"/>
        </w:rPr>
        <w:t>部分  </w:t>
      </w:r>
      <w:r>
        <w:rPr>
          <w:rFonts w:hint="eastAsia" w:ascii="宋体" w:hAnsi="宋体" w:cs="宋体"/>
          <w:b/>
          <w:bCs/>
          <w:sz w:val="24"/>
          <w:szCs w:val="24"/>
        </w:rPr>
        <w:t>湘乡市农业局（含农科所）</w:t>
      </w:r>
      <w:r>
        <w:rPr>
          <w:rFonts w:ascii="宋体" w:hAnsi="宋体" w:cs="宋体"/>
          <w:b/>
          <w:bCs/>
          <w:sz w:val="24"/>
          <w:szCs w:val="24"/>
        </w:rPr>
        <w:t>单位201</w:t>
      </w:r>
      <w:r>
        <w:rPr>
          <w:rFonts w:hint="eastAsia" w:ascii="宋体" w:hAnsi="宋体" w:cs="宋体"/>
          <w:b/>
          <w:bCs/>
          <w:sz w:val="24"/>
          <w:szCs w:val="24"/>
        </w:rPr>
        <w:t>9</w:t>
      </w:r>
      <w:r>
        <w:rPr>
          <w:rFonts w:ascii="宋体" w:hAnsi="宋体" w:cs="宋体"/>
          <w:b/>
          <w:bCs/>
          <w:sz w:val="24"/>
          <w:szCs w:val="24"/>
        </w:rPr>
        <w:t>年度部门</w:t>
      </w:r>
      <w:r>
        <w:rPr>
          <w:rFonts w:hint="eastAsia" w:ascii="宋体" w:hAnsi="宋体" w:cs="宋体"/>
          <w:b/>
          <w:bCs/>
          <w:sz w:val="24"/>
          <w:szCs w:val="24"/>
        </w:rPr>
        <w:t>预算</w:t>
      </w:r>
      <w:r>
        <w:rPr>
          <w:rFonts w:ascii="宋体" w:hAnsi="宋体" w:cs="宋体"/>
          <w:b/>
          <w:bCs/>
          <w:sz w:val="24"/>
          <w:szCs w:val="24"/>
        </w:rPr>
        <w:t>表</w:t>
      </w:r>
      <w:r>
        <w:rPr>
          <w:rFonts w:ascii="宋体" w:hAnsi="宋体" w:cs="宋体"/>
          <w:b/>
          <w:bCs/>
          <w:sz w:val="24"/>
          <w:szCs w:val="24"/>
        </w:rPr>
        <w:br w:type="textWrapping"/>
      </w:r>
      <w:r>
        <w:rPr>
          <w:rFonts w:hint="eastAsia" w:ascii="宋体" w:hAnsi="宋体" w:cs="宋体"/>
          <w:sz w:val="24"/>
          <w:szCs w:val="24"/>
        </w:rPr>
        <w:t>1</w:t>
      </w:r>
      <w:r>
        <w:rPr>
          <w:rFonts w:ascii="宋体" w:hAnsi="宋体" w:cs="宋体"/>
          <w:sz w:val="24"/>
          <w:szCs w:val="24"/>
        </w:rPr>
        <w:t>、</w:t>
      </w:r>
      <w:r>
        <w:rPr>
          <w:rFonts w:hint="eastAsia" w:ascii="宋体" w:hAnsi="宋体" w:cs="宋体"/>
          <w:sz w:val="24"/>
          <w:szCs w:val="24"/>
        </w:rPr>
        <w:t>部门预算基本情况表</w:t>
      </w:r>
    </w:p>
    <w:p>
      <w:pPr>
        <w:spacing w:line="480" w:lineRule="auto"/>
        <w:rPr>
          <w:rFonts w:ascii="宋体" w:hAnsi="宋体" w:cs="宋体"/>
          <w:sz w:val="24"/>
          <w:szCs w:val="24"/>
        </w:rPr>
      </w:pPr>
      <w:r>
        <w:rPr>
          <w:rFonts w:hint="eastAsia" w:ascii="宋体" w:hAnsi="宋体" w:cs="宋体"/>
          <w:sz w:val="24"/>
          <w:szCs w:val="24"/>
        </w:rPr>
        <w:t>2、部门预算基本数据表</w:t>
      </w:r>
    </w:p>
    <w:p>
      <w:pPr>
        <w:spacing w:line="480" w:lineRule="auto"/>
        <w:rPr>
          <w:rFonts w:ascii="宋体" w:hAnsi="宋体" w:cs="宋体"/>
          <w:sz w:val="24"/>
          <w:szCs w:val="24"/>
        </w:rPr>
      </w:pPr>
      <w:r>
        <w:rPr>
          <w:rFonts w:hint="eastAsia" w:ascii="宋体" w:hAnsi="宋体" w:cs="宋体"/>
          <w:sz w:val="24"/>
          <w:szCs w:val="24"/>
        </w:rPr>
        <w:t>3、部门收支预算总表</w:t>
      </w:r>
    </w:p>
    <w:p>
      <w:pPr>
        <w:spacing w:line="480" w:lineRule="auto"/>
        <w:rPr>
          <w:rFonts w:ascii="宋体" w:hAnsi="宋体" w:cs="宋体"/>
          <w:sz w:val="24"/>
          <w:szCs w:val="24"/>
        </w:rPr>
      </w:pPr>
      <w:r>
        <w:rPr>
          <w:rFonts w:hint="eastAsia" w:ascii="宋体" w:hAnsi="宋体" w:cs="宋体"/>
          <w:sz w:val="24"/>
          <w:szCs w:val="24"/>
        </w:rPr>
        <w:t>4、部门收入预算总表</w:t>
      </w:r>
    </w:p>
    <w:p>
      <w:pPr>
        <w:spacing w:line="480" w:lineRule="auto"/>
        <w:rPr>
          <w:rFonts w:ascii="宋体" w:hAnsi="宋体" w:cs="宋体"/>
          <w:sz w:val="24"/>
          <w:szCs w:val="24"/>
        </w:rPr>
      </w:pPr>
      <w:r>
        <w:rPr>
          <w:rFonts w:hint="eastAsia" w:ascii="宋体" w:hAnsi="宋体" w:cs="宋体"/>
          <w:sz w:val="24"/>
          <w:szCs w:val="24"/>
        </w:rPr>
        <w:t>5、部门支出预算总表</w:t>
      </w:r>
    </w:p>
    <w:p>
      <w:pPr>
        <w:spacing w:line="480" w:lineRule="auto"/>
        <w:rPr>
          <w:rFonts w:ascii="宋体" w:hAnsi="宋体" w:cs="宋体"/>
          <w:sz w:val="24"/>
          <w:szCs w:val="24"/>
        </w:rPr>
      </w:pPr>
      <w:r>
        <w:rPr>
          <w:rFonts w:hint="eastAsia" w:ascii="宋体" w:hAnsi="宋体" w:cs="宋体"/>
          <w:sz w:val="24"/>
          <w:szCs w:val="24"/>
        </w:rPr>
        <w:t>6、财政拨款收支预算总表</w:t>
      </w:r>
    </w:p>
    <w:p>
      <w:pPr>
        <w:spacing w:line="480" w:lineRule="auto"/>
        <w:rPr>
          <w:rFonts w:ascii="宋体" w:hAnsi="宋体" w:cs="宋体"/>
          <w:sz w:val="24"/>
          <w:szCs w:val="24"/>
        </w:rPr>
      </w:pPr>
      <w:r>
        <w:rPr>
          <w:rFonts w:hint="eastAsia" w:ascii="宋体" w:hAnsi="宋体" w:cs="宋体"/>
          <w:sz w:val="24"/>
          <w:szCs w:val="24"/>
        </w:rPr>
        <w:t>7、一般公共预算支出表（政府预算支出经济分类）</w:t>
      </w:r>
    </w:p>
    <w:p>
      <w:pPr>
        <w:spacing w:line="480" w:lineRule="auto"/>
        <w:rPr>
          <w:rFonts w:ascii="宋体" w:hAnsi="宋体" w:cs="宋体"/>
          <w:sz w:val="24"/>
          <w:szCs w:val="24"/>
        </w:rPr>
      </w:pPr>
      <w:r>
        <w:rPr>
          <w:rFonts w:hint="eastAsia" w:ascii="宋体" w:hAnsi="宋体" w:cs="宋体"/>
          <w:sz w:val="24"/>
          <w:szCs w:val="24"/>
        </w:rPr>
        <w:t>8、一般公共预算支出表（部门预算支出经济分类）</w:t>
      </w:r>
    </w:p>
    <w:p>
      <w:pPr>
        <w:spacing w:line="480" w:lineRule="auto"/>
        <w:rPr>
          <w:rFonts w:ascii="宋体" w:hAnsi="宋体" w:cs="宋体"/>
          <w:sz w:val="24"/>
          <w:szCs w:val="24"/>
        </w:rPr>
      </w:pPr>
      <w:r>
        <w:rPr>
          <w:rFonts w:hint="eastAsia" w:ascii="宋体" w:hAnsi="宋体" w:cs="宋体"/>
          <w:sz w:val="24"/>
          <w:szCs w:val="24"/>
        </w:rPr>
        <w:t>9、部门政府性基金预算支出表</w:t>
      </w:r>
    </w:p>
    <w:p>
      <w:pPr>
        <w:spacing w:line="480" w:lineRule="auto"/>
        <w:rPr>
          <w:rFonts w:ascii="宋体" w:hAnsi="宋体" w:cs="宋体"/>
          <w:sz w:val="24"/>
          <w:szCs w:val="24"/>
        </w:rPr>
      </w:pPr>
      <w:r>
        <w:rPr>
          <w:rFonts w:hint="eastAsia" w:ascii="宋体" w:hAnsi="宋体" w:cs="宋体"/>
          <w:sz w:val="24"/>
          <w:szCs w:val="24"/>
        </w:rPr>
        <w:t>10、公共财政拨款“三公”经费及会议费预算表</w:t>
      </w:r>
    </w:p>
    <w:p>
      <w:pPr>
        <w:spacing w:line="480" w:lineRule="auto"/>
        <w:rPr>
          <w:rFonts w:ascii="宋体" w:hAnsi="宋体" w:cs="宋体"/>
          <w:sz w:val="24"/>
          <w:szCs w:val="24"/>
        </w:rPr>
      </w:pPr>
      <w:r>
        <w:rPr>
          <w:rFonts w:hint="eastAsia" w:ascii="宋体" w:hAnsi="宋体" w:cs="宋体"/>
          <w:sz w:val="24"/>
          <w:szCs w:val="24"/>
        </w:rPr>
        <w:t>11、项目支出明细表</w:t>
      </w:r>
    </w:p>
    <w:p>
      <w:pPr>
        <w:spacing w:line="480" w:lineRule="auto"/>
        <w:rPr>
          <w:rFonts w:ascii="宋体" w:hAnsi="宋体" w:cs="宋体"/>
          <w:sz w:val="24"/>
          <w:szCs w:val="24"/>
        </w:rPr>
      </w:pPr>
      <w:r>
        <w:rPr>
          <w:rFonts w:hint="eastAsia" w:ascii="宋体" w:hAnsi="宋体" w:cs="宋体"/>
          <w:sz w:val="24"/>
          <w:szCs w:val="24"/>
        </w:rPr>
        <w:t>12、政府采购预算表</w:t>
      </w:r>
    </w:p>
    <w:p>
      <w:pPr>
        <w:spacing w:line="480" w:lineRule="auto"/>
        <w:rPr>
          <w:rFonts w:ascii="宋体" w:hAnsi="宋体" w:cs="宋体"/>
          <w:sz w:val="24"/>
          <w:szCs w:val="24"/>
        </w:rPr>
      </w:pPr>
      <w:r>
        <w:rPr>
          <w:rFonts w:hint="eastAsia" w:ascii="宋体" w:hAnsi="宋体" w:cs="宋体"/>
          <w:sz w:val="24"/>
          <w:szCs w:val="24"/>
        </w:rPr>
        <w:t>13、政府采购服务预算表</w:t>
      </w:r>
    </w:p>
    <w:p>
      <w:pPr>
        <w:spacing w:line="480" w:lineRule="auto"/>
        <w:rPr>
          <w:rFonts w:ascii="宋体" w:hAnsi="宋体" w:cs="宋体"/>
          <w:sz w:val="24"/>
          <w:szCs w:val="24"/>
        </w:rPr>
      </w:pPr>
      <w:r>
        <w:rPr>
          <w:rFonts w:hint="eastAsia" w:ascii="宋体" w:hAnsi="宋体" w:cs="宋体"/>
          <w:sz w:val="24"/>
          <w:szCs w:val="24"/>
        </w:rPr>
        <w:t>14、非税收入表</w:t>
      </w:r>
    </w:p>
    <w:p>
      <w:pPr>
        <w:spacing w:line="480" w:lineRule="auto"/>
        <w:rPr>
          <w:rFonts w:ascii="宋体" w:hAnsi="宋体" w:cs="宋体"/>
          <w:sz w:val="24"/>
          <w:szCs w:val="24"/>
        </w:rPr>
      </w:pPr>
      <w:r>
        <w:rPr>
          <w:rFonts w:hint="eastAsia" w:ascii="宋体" w:hAnsi="宋体" w:cs="宋体"/>
          <w:sz w:val="24"/>
          <w:szCs w:val="24"/>
        </w:rPr>
        <w:t>15、非税收入安排的支出表</w:t>
      </w:r>
    </w:p>
    <w:p>
      <w:pPr>
        <w:spacing w:line="480" w:lineRule="auto"/>
      </w:pPr>
      <w:r>
        <w:rPr>
          <w:rFonts w:hint="eastAsia" w:ascii="宋体" w:hAnsi="宋体" w:cs="宋体"/>
          <w:sz w:val="24"/>
          <w:szCs w:val="24"/>
        </w:rPr>
        <w:t>16、部门整体支出绩效目标申报表</w:t>
      </w:r>
      <w:r>
        <w:rPr>
          <w:rFonts w:ascii="宋体" w:hAnsi="宋体" w:cs="宋体"/>
          <w:sz w:val="24"/>
          <w:szCs w:val="24"/>
        </w:rPr>
        <w:br w:type="textWrapping"/>
      </w:r>
      <w:r>
        <w:rPr>
          <w:rFonts w:hint="eastAsia" w:ascii="宋体" w:hAnsi="宋体" w:cs="宋体"/>
          <w:sz w:val="24"/>
          <w:szCs w:val="24"/>
        </w:rPr>
        <w:t>17、项目支出绩效目标申报表</w:t>
      </w:r>
    </w:p>
    <w:p>
      <w:pPr>
        <w:widowControl/>
        <w:spacing w:line="600" w:lineRule="exact"/>
        <w:jc w:val="left"/>
        <w:rPr>
          <w:b/>
          <w:bCs/>
          <w:kern w:val="0"/>
          <w:sz w:val="36"/>
          <w:szCs w:val="36"/>
        </w:rPr>
      </w:pPr>
    </w:p>
    <w:p>
      <w:pPr>
        <w:widowControl/>
        <w:spacing w:line="600" w:lineRule="exact"/>
        <w:jc w:val="left"/>
        <w:rPr>
          <w:b/>
          <w:bCs/>
          <w:kern w:val="0"/>
          <w:sz w:val="36"/>
          <w:szCs w:val="36"/>
        </w:rPr>
      </w:pPr>
    </w:p>
    <w:p>
      <w:pPr>
        <w:widowControl/>
        <w:spacing w:line="600" w:lineRule="exact"/>
        <w:jc w:val="left"/>
        <w:rPr>
          <w:b/>
          <w:bCs/>
          <w:kern w:val="0"/>
          <w:sz w:val="36"/>
          <w:szCs w:val="36"/>
        </w:rPr>
      </w:pPr>
    </w:p>
    <w:p>
      <w:pPr>
        <w:widowControl/>
        <w:spacing w:line="600" w:lineRule="exact"/>
        <w:jc w:val="left"/>
        <w:rPr>
          <w:b/>
          <w:bCs/>
          <w:kern w:val="0"/>
          <w:sz w:val="36"/>
          <w:szCs w:val="36"/>
        </w:rPr>
      </w:pPr>
    </w:p>
    <w:p>
      <w:pPr>
        <w:widowControl/>
        <w:spacing w:line="600" w:lineRule="exact"/>
        <w:jc w:val="left"/>
        <w:rPr>
          <w:b/>
          <w:bCs/>
          <w:kern w:val="0"/>
          <w:sz w:val="36"/>
          <w:szCs w:val="36"/>
        </w:rPr>
      </w:pPr>
    </w:p>
    <w:p>
      <w:pPr>
        <w:widowControl/>
        <w:spacing w:line="600" w:lineRule="exact"/>
        <w:jc w:val="left"/>
        <w:rPr>
          <w:b/>
          <w:bCs/>
          <w:kern w:val="0"/>
          <w:sz w:val="36"/>
          <w:szCs w:val="36"/>
        </w:rPr>
      </w:pPr>
    </w:p>
    <w:p>
      <w:pPr>
        <w:widowControl/>
        <w:spacing w:line="600" w:lineRule="exact"/>
        <w:rPr>
          <w:rFonts w:eastAsia="黑体"/>
          <w:kern w:val="0"/>
          <w:sz w:val="32"/>
          <w:szCs w:val="32"/>
        </w:rPr>
      </w:pPr>
    </w:p>
    <w:p>
      <w:pPr>
        <w:widowControl/>
        <w:spacing w:line="600" w:lineRule="exact"/>
        <w:jc w:val="left"/>
        <w:rPr>
          <w:rFonts w:eastAsia="黑体"/>
          <w:kern w:val="0"/>
          <w:sz w:val="32"/>
          <w:szCs w:val="32"/>
        </w:rPr>
      </w:pPr>
      <w:r>
        <w:rPr>
          <w:rFonts w:hint="eastAsia" w:ascii="黑体" w:hAnsi="黑体" w:eastAsia="黑体" w:cs="黑体"/>
          <w:kern w:val="0"/>
          <w:sz w:val="32"/>
          <w:szCs w:val="32"/>
        </w:rPr>
        <w:t>第一部分：湘乡市农业局（含农科所）</w:t>
      </w:r>
      <w:r>
        <w:rPr>
          <w:rFonts w:ascii="黑体" w:hAnsi="黑体" w:eastAsia="黑体" w:cs="黑体"/>
          <w:kern w:val="0"/>
          <w:sz w:val="32"/>
          <w:szCs w:val="32"/>
        </w:rPr>
        <w:t>单位概况</w:t>
      </w:r>
    </w:p>
    <w:p>
      <w:pPr>
        <w:widowControl/>
        <w:numPr>
          <w:ilvl w:val="0"/>
          <w:numId w:val="2"/>
        </w:numPr>
        <w:spacing w:line="600" w:lineRule="exact"/>
        <w:ind w:left="0" w:firstLine="720"/>
        <w:jc w:val="left"/>
        <w:rPr>
          <w:rFonts w:ascii="宋体" w:hAnsi="宋体" w:cs="宋体"/>
          <w:sz w:val="32"/>
          <w:szCs w:val="32"/>
        </w:rPr>
      </w:pPr>
      <w:r>
        <w:rPr>
          <w:rFonts w:hint="eastAsia" w:ascii="宋体" w:hAnsi="宋体" w:cs="宋体"/>
          <w:sz w:val="32"/>
          <w:szCs w:val="32"/>
        </w:rPr>
        <w:t>职能职责（本单位主要职责，与部门预算表内职责一致）</w:t>
      </w:r>
    </w:p>
    <w:p>
      <w:pPr>
        <w:widowControl/>
        <w:spacing w:line="600" w:lineRule="exact"/>
        <w:ind w:firstLine="640" w:firstLineChars="200"/>
        <w:jc w:val="left"/>
        <w:rPr>
          <w:rFonts w:ascii="宋体" w:hAnsi="宋体" w:cs="宋体"/>
          <w:sz w:val="32"/>
          <w:szCs w:val="32"/>
        </w:rPr>
      </w:pPr>
      <w:r>
        <w:rPr>
          <w:rFonts w:hint="eastAsia" w:ascii="宋体" w:hAnsi="宋体" w:cs="宋体"/>
          <w:sz w:val="32"/>
          <w:szCs w:val="32"/>
        </w:rPr>
        <w:t>（一）负责全市农业、农村工作的协调和综合工作，组织研究全市农业、农村发展和改革中的问题，提出农业、农村发展和改革的政策建议，指导农村发展和改革工作。</w:t>
      </w:r>
    </w:p>
    <w:p>
      <w:pPr>
        <w:widowControl/>
        <w:spacing w:line="600" w:lineRule="exact"/>
        <w:ind w:firstLine="640" w:firstLineChars="200"/>
        <w:jc w:val="left"/>
        <w:rPr>
          <w:rFonts w:ascii="宋体" w:hAnsi="宋体" w:cs="宋体"/>
          <w:sz w:val="32"/>
          <w:szCs w:val="32"/>
        </w:rPr>
      </w:pPr>
      <w:r>
        <w:rPr>
          <w:rFonts w:hint="eastAsia" w:ascii="宋体" w:hAnsi="宋体" w:cs="宋体"/>
          <w:sz w:val="32"/>
          <w:szCs w:val="32"/>
        </w:rPr>
        <w:t>（二）会同有关部门研究提出城乡经济社会发展一体化体制机制改革的建议，指导协调县域经济发展和新农村建设，研究提出县域经济发展和新农村建设的政策与规划建议，参与农村小城镇规划和建设的有关工作，参与农村社会事业发展工作。</w:t>
      </w:r>
    </w:p>
    <w:p>
      <w:pPr>
        <w:widowControl/>
        <w:spacing w:line="600" w:lineRule="exact"/>
        <w:ind w:firstLine="640" w:firstLineChars="200"/>
        <w:jc w:val="left"/>
        <w:rPr>
          <w:rFonts w:ascii="宋体" w:hAnsi="宋体" w:cs="宋体"/>
          <w:sz w:val="32"/>
          <w:szCs w:val="32"/>
        </w:rPr>
      </w:pPr>
      <w:r>
        <w:rPr>
          <w:rFonts w:hint="eastAsia" w:ascii="宋体" w:hAnsi="宋体" w:cs="宋体"/>
          <w:sz w:val="32"/>
          <w:szCs w:val="32"/>
        </w:rPr>
        <w:t>（三）贯彻执行国家种植业、农产品加工业等农业各产业（以下简称农业）发展的方针政策、法律法规，拟订我市农业发展的政策和规划并指导实施，参与涉农的财税、价格、金融保险、进出口等政策制定，推进农业依法行政、依法治理。</w:t>
      </w:r>
    </w:p>
    <w:p>
      <w:pPr>
        <w:widowControl/>
        <w:spacing w:line="600" w:lineRule="exact"/>
        <w:ind w:firstLine="640" w:firstLineChars="200"/>
        <w:jc w:val="left"/>
        <w:rPr>
          <w:rFonts w:ascii="宋体" w:hAnsi="宋体" w:cs="宋体"/>
          <w:sz w:val="32"/>
          <w:szCs w:val="32"/>
        </w:rPr>
      </w:pPr>
      <w:r>
        <w:rPr>
          <w:rFonts w:hint="eastAsia" w:ascii="宋体" w:hAnsi="宋体" w:cs="宋体"/>
          <w:sz w:val="32"/>
          <w:szCs w:val="32"/>
        </w:rPr>
        <w:t>（四）研究提出稳定和完善农村经营管理体制的建议，组织、指导农村土地承包、耕地使用权流转和承包纠纷仲裁管理，指导、监督减轻农民负担和村民筹资筹劳管理工作，监督检查惠农政策的落实，指导村级集体经济发展、农村集体经济组织建设和资产财务管理，拟订全市农业产业化经营的发展规划与政策并组织实施，指导、扶持农业社会化服务体系、农村合作经济组织、农民专业合作社的建设与发展。</w:t>
      </w:r>
    </w:p>
    <w:p>
      <w:pPr>
        <w:widowControl/>
        <w:spacing w:line="600" w:lineRule="exact"/>
        <w:ind w:firstLine="640" w:firstLineChars="200"/>
        <w:jc w:val="left"/>
        <w:rPr>
          <w:rFonts w:ascii="宋体" w:hAnsi="宋体" w:cs="宋体"/>
          <w:sz w:val="32"/>
          <w:szCs w:val="32"/>
        </w:rPr>
      </w:pPr>
      <w:r>
        <w:rPr>
          <w:rFonts w:hint="eastAsia" w:ascii="宋体" w:hAnsi="宋体" w:cs="宋体"/>
          <w:sz w:val="32"/>
          <w:szCs w:val="32"/>
        </w:rPr>
        <w:t>（五）指导粮食、蔬菜等主要农产品生产，组织落实促进粮食、蔬菜等主要农产品生产发展的相关政策措施，引导农业产业结构调整和产品品质改善，会同有关部门指导农业标准化、规模化生产；提出农业固定资产投资规模和方向、市级财政性资金安排的建议，按规定权限审批、核准规划和计划内固定资产投资项目；编报部门预算并组织执行，提出扶持农业农村发展的财政政策和项目建议，经批准后与财政部门共同制订实施方案并指导实施；拟订农业开发规划并监督实施；配合财政部门组织实施农业综合开发项目。</w:t>
      </w:r>
    </w:p>
    <w:p>
      <w:pPr>
        <w:widowControl/>
        <w:spacing w:line="600" w:lineRule="exact"/>
        <w:ind w:firstLine="640" w:firstLineChars="200"/>
        <w:jc w:val="left"/>
        <w:rPr>
          <w:rFonts w:ascii="宋体" w:hAnsi="宋体" w:cs="宋体"/>
          <w:sz w:val="32"/>
          <w:szCs w:val="32"/>
        </w:rPr>
      </w:pPr>
      <w:r>
        <w:rPr>
          <w:rFonts w:hint="eastAsia" w:ascii="宋体" w:hAnsi="宋体" w:cs="宋体"/>
          <w:sz w:val="32"/>
          <w:szCs w:val="32"/>
        </w:rPr>
        <w:t xml:space="preserve">（六）促进农业产前、产中、产后一体化发展，组织拟订促进农产品加工业、休闲农业的发展政策、规划并组织实施，提出农业产业保护政策建议，指导农产品加工业结构调整、技术创新和服务体系建设；指导休闲农业的发展，延伸农业产业链，促进农业增效、农民增收；提出促进大宗农产品流通的政策建议，研究制定大宗农产品市场体系建设与发展规划；培育、保护和发展农产品品牌；组织协调“菜篮子”工程。  </w:t>
      </w:r>
    </w:p>
    <w:p>
      <w:pPr>
        <w:widowControl/>
        <w:spacing w:line="600" w:lineRule="exact"/>
        <w:ind w:firstLine="640" w:firstLineChars="200"/>
        <w:jc w:val="left"/>
        <w:rPr>
          <w:rFonts w:ascii="宋体" w:hAnsi="宋体" w:cs="宋体"/>
          <w:sz w:val="32"/>
          <w:szCs w:val="32"/>
        </w:rPr>
      </w:pPr>
      <w:r>
        <w:rPr>
          <w:rFonts w:hint="eastAsia" w:ascii="宋体" w:hAnsi="宋体" w:cs="宋体"/>
          <w:sz w:val="32"/>
          <w:szCs w:val="32"/>
        </w:rPr>
        <w:t>（七）承担提升农产品质量安全水平的责任，依法开展农产品质量安全风险评估，发布有关农产品质量安全状况信息，负责农产品质量安全监测；贯彻执行农业转基因生物安全评价标准和技术规范，负责农业转基因生物安全监督管理和农业植物新品种保护；会同有关部门贯彻执行农产品质量安全国家标准、地方标准；指导农业检验检测体系建设和工作考核；依法实施符合安全标准的农产品认证和监督管理；组织农产品质量安全的监督管理。</w:t>
      </w:r>
    </w:p>
    <w:p>
      <w:pPr>
        <w:widowControl/>
        <w:spacing w:line="600" w:lineRule="exact"/>
        <w:ind w:firstLine="640" w:firstLineChars="200"/>
        <w:jc w:val="left"/>
        <w:rPr>
          <w:rFonts w:ascii="宋体" w:hAnsi="宋体" w:cs="宋体"/>
          <w:sz w:val="32"/>
          <w:szCs w:val="32"/>
        </w:rPr>
      </w:pPr>
      <w:r>
        <w:rPr>
          <w:rFonts w:hint="eastAsia" w:ascii="宋体" w:hAnsi="宋体" w:cs="宋体"/>
          <w:sz w:val="32"/>
          <w:szCs w:val="32"/>
        </w:rPr>
        <w:t>（八）组织、协调农业生产资料市场体系建设，依法开展农作物种子（种苗）、草种、农药的许可及监督管理；会同有关部门贯彻执行农业生产资料标准；负责肥料的监督管理。</w:t>
      </w:r>
    </w:p>
    <w:p>
      <w:pPr>
        <w:widowControl/>
        <w:spacing w:line="600" w:lineRule="exact"/>
        <w:ind w:firstLine="640" w:firstLineChars="200"/>
        <w:jc w:val="left"/>
        <w:rPr>
          <w:rFonts w:ascii="宋体" w:hAnsi="宋体" w:cs="宋体"/>
          <w:sz w:val="32"/>
          <w:szCs w:val="32"/>
        </w:rPr>
      </w:pPr>
      <w:r>
        <w:rPr>
          <w:rFonts w:hint="eastAsia" w:ascii="宋体" w:hAnsi="宋体" w:cs="宋体"/>
          <w:sz w:val="32"/>
          <w:szCs w:val="32"/>
        </w:rPr>
        <w:t>（九）贯彻执行国家、省植物防疫检疫法律法规和政策，会同有关部门制定地方性植物防疫政策建议并指导实施，指导植物防疫和检疫体系建设；负责农作物重大病虫害防治；组织、监督对市内植物的防疫检疫工作并组织扑灭；组织植物检疫性有害生物普查。</w:t>
      </w:r>
    </w:p>
    <w:p>
      <w:pPr>
        <w:widowControl/>
        <w:spacing w:line="600" w:lineRule="exact"/>
        <w:ind w:firstLine="640" w:firstLineChars="200"/>
        <w:jc w:val="left"/>
        <w:rPr>
          <w:rFonts w:ascii="宋体" w:hAnsi="宋体" w:cs="宋体"/>
          <w:sz w:val="32"/>
          <w:szCs w:val="32"/>
        </w:rPr>
      </w:pPr>
      <w:r>
        <w:rPr>
          <w:rFonts w:hint="eastAsia" w:ascii="宋体" w:hAnsi="宋体" w:cs="宋体"/>
          <w:sz w:val="32"/>
          <w:szCs w:val="32"/>
        </w:rPr>
        <w:t>（十）承担农业防灾减灾的责任，监测、发布农业灾情，组织种子、化肥等救灾物资储备和调拨，提出生产救灾资金安排建议，组织、指导紧急救灾和灾后生产恢复。</w:t>
      </w:r>
    </w:p>
    <w:p>
      <w:pPr>
        <w:widowControl/>
        <w:spacing w:line="600" w:lineRule="exact"/>
        <w:ind w:firstLine="640" w:firstLineChars="200"/>
        <w:jc w:val="left"/>
        <w:rPr>
          <w:rFonts w:ascii="宋体" w:hAnsi="宋体" w:cs="宋体"/>
          <w:sz w:val="32"/>
          <w:szCs w:val="32"/>
        </w:rPr>
      </w:pPr>
      <w:r>
        <w:rPr>
          <w:rFonts w:hint="eastAsia" w:ascii="宋体" w:hAnsi="宋体" w:cs="宋体"/>
          <w:sz w:val="32"/>
          <w:szCs w:val="32"/>
        </w:rPr>
        <w:t>（十一）管理农业和农村经济信息，监测分析农业、农村经济运行，开展相关农业统计工作；采集、发布农业和农村经济信息，负责农业信息体系建设，指导农业信息服务。</w:t>
      </w:r>
    </w:p>
    <w:p>
      <w:pPr>
        <w:widowControl/>
        <w:spacing w:line="600" w:lineRule="exact"/>
        <w:ind w:firstLine="640" w:firstLineChars="200"/>
        <w:jc w:val="left"/>
        <w:rPr>
          <w:rFonts w:ascii="宋体" w:hAnsi="宋体" w:cs="宋体"/>
          <w:sz w:val="32"/>
          <w:szCs w:val="32"/>
        </w:rPr>
      </w:pPr>
      <w:r>
        <w:rPr>
          <w:rFonts w:hint="eastAsia" w:ascii="宋体" w:hAnsi="宋体" w:cs="宋体"/>
          <w:sz w:val="32"/>
          <w:szCs w:val="32"/>
        </w:rPr>
        <w:t>（十二）制定农业科研、农技推广的规划、计划和有关政策并指导实施；会同有关部门组织全市农业科技创新体系和农业产业技术体系建设，会同有关部门实施科教兴农战略，按分工组织实施农业科研重大专项；组织实施农业领域的高新技术和应用技术研究、农业科技成果转化和技术推广；负责农业科技成果管理，组织引进境外农业先进技术，指导农技推广体系改革与建设。</w:t>
      </w:r>
    </w:p>
    <w:p>
      <w:pPr>
        <w:widowControl/>
        <w:spacing w:line="600" w:lineRule="exact"/>
        <w:ind w:firstLine="640" w:firstLineChars="200"/>
        <w:jc w:val="left"/>
        <w:rPr>
          <w:rFonts w:ascii="宋体" w:hAnsi="宋体" w:cs="宋体"/>
          <w:sz w:val="32"/>
          <w:szCs w:val="32"/>
        </w:rPr>
      </w:pPr>
      <w:r>
        <w:rPr>
          <w:rFonts w:hint="eastAsia" w:ascii="宋体" w:hAnsi="宋体" w:cs="宋体"/>
          <w:sz w:val="32"/>
          <w:szCs w:val="32"/>
        </w:rPr>
        <w:t>（十三）会同有关部门加强农村基层党的建设、党风廉政建设，拟订农业农村人才队伍建设规划并组织实施，指导协调农民教育培训、农业教育和农业职业技能开发工作，参与实施农村实用人才培训工程，承担农村劳动力就地就近就业培训工作，会同有关主管部门依法实施农业农村人才专业技术资格和从业资格管理。</w:t>
      </w:r>
    </w:p>
    <w:p>
      <w:pPr>
        <w:widowControl/>
        <w:spacing w:line="600" w:lineRule="exact"/>
        <w:ind w:firstLine="640" w:firstLineChars="200"/>
        <w:jc w:val="left"/>
        <w:rPr>
          <w:rFonts w:ascii="宋体" w:hAnsi="宋体" w:cs="宋体"/>
          <w:sz w:val="32"/>
          <w:szCs w:val="32"/>
        </w:rPr>
      </w:pPr>
      <w:r>
        <w:rPr>
          <w:rFonts w:hint="eastAsia" w:ascii="宋体" w:hAnsi="宋体" w:cs="宋体"/>
          <w:sz w:val="32"/>
          <w:szCs w:val="32"/>
        </w:rPr>
        <w:t>（十四）组织农业资源区划工作，指导农用地、宜农滩涂、宜农湿地以及农业生物物种资源的保护和管理，负责水生野生植物保护工作；拟订耕地及基本农田质量保护与改良政策并指导实施，依法管理耕地质量，发展节水农业。</w:t>
      </w:r>
    </w:p>
    <w:p>
      <w:pPr>
        <w:widowControl/>
        <w:spacing w:line="600" w:lineRule="exact"/>
        <w:ind w:firstLine="640" w:firstLineChars="200"/>
        <w:jc w:val="left"/>
        <w:rPr>
          <w:rFonts w:ascii="宋体" w:hAnsi="宋体" w:cs="宋体"/>
          <w:sz w:val="32"/>
          <w:szCs w:val="32"/>
        </w:rPr>
      </w:pPr>
      <w:r>
        <w:rPr>
          <w:rFonts w:hint="eastAsia" w:ascii="宋体" w:hAnsi="宋体" w:cs="宋体"/>
          <w:sz w:val="32"/>
          <w:szCs w:val="32"/>
        </w:rPr>
        <w:t>（十五）制定并实施农业生态建设规划，指导农村可再生能源综合开发与利用，指导农业生物质产业发展和农业农村节能减排，承担指导农业面源污染治理有关工作；划定农产品禁止生产区域，指导生态农业、循环农业等发展；牵头管理外来物种。</w:t>
      </w:r>
    </w:p>
    <w:p>
      <w:pPr>
        <w:widowControl/>
        <w:spacing w:line="600" w:lineRule="exact"/>
        <w:ind w:firstLine="640" w:firstLineChars="200"/>
        <w:jc w:val="left"/>
        <w:rPr>
          <w:rFonts w:ascii="宋体" w:hAnsi="宋体" w:cs="宋体"/>
          <w:sz w:val="32"/>
          <w:szCs w:val="32"/>
        </w:rPr>
      </w:pPr>
      <w:r>
        <w:rPr>
          <w:rFonts w:hint="eastAsia" w:ascii="宋体" w:hAnsi="宋体" w:cs="宋体"/>
          <w:sz w:val="32"/>
          <w:szCs w:val="32"/>
        </w:rPr>
        <w:t>（十六）参与组织开展农业贸易促进和有关经济、技术交流与合作，协助有关部门组织实施农业援外项目。</w:t>
      </w:r>
    </w:p>
    <w:p>
      <w:pPr>
        <w:widowControl/>
        <w:spacing w:line="600" w:lineRule="exact"/>
        <w:ind w:firstLine="640" w:firstLineChars="200"/>
        <w:jc w:val="left"/>
        <w:rPr>
          <w:rFonts w:ascii="宋体" w:hAnsi="宋体" w:cs="宋体"/>
          <w:sz w:val="32"/>
          <w:szCs w:val="32"/>
        </w:rPr>
      </w:pPr>
      <w:r>
        <w:rPr>
          <w:rFonts w:hint="eastAsia" w:ascii="宋体" w:hAnsi="宋体" w:cs="宋体"/>
          <w:sz w:val="32"/>
          <w:szCs w:val="32"/>
        </w:rPr>
        <w:t>（十七）承办市委、市政府交办的其他事项。</w:t>
      </w:r>
    </w:p>
    <w:p>
      <w:pPr>
        <w:widowControl/>
        <w:spacing w:line="600" w:lineRule="exact"/>
        <w:ind w:firstLine="627" w:firstLineChars="196"/>
        <w:jc w:val="left"/>
        <w:rPr>
          <w:rFonts w:ascii="宋体" w:hAnsi="宋体" w:cs="宋体"/>
          <w:sz w:val="32"/>
          <w:szCs w:val="32"/>
        </w:rPr>
      </w:pPr>
      <w:r>
        <w:rPr>
          <w:rFonts w:hint="eastAsia" w:eastAsiaTheme="minorEastAsia"/>
          <w:sz w:val="32"/>
          <w:szCs w:val="32"/>
        </w:rPr>
        <w:t>二</w:t>
      </w:r>
      <w:r>
        <w:rPr>
          <w:rFonts w:hint="eastAsia" w:ascii="宋体" w:hAnsi="宋体" w:cs="宋体"/>
          <w:sz w:val="32"/>
          <w:szCs w:val="32"/>
        </w:rPr>
        <w:t>、机构设置</w:t>
      </w:r>
    </w:p>
    <w:p>
      <w:pPr>
        <w:adjustRightInd w:val="0"/>
        <w:snapToGrid w:val="0"/>
        <w:spacing w:line="600" w:lineRule="exact"/>
        <w:ind w:firstLine="640" w:firstLineChars="200"/>
        <w:rPr>
          <w:rFonts w:ascii="宋体" w:hAnsi="宋体" w:cs="宋体"/>
          <w:sz w:val="32"/>
          <w:szCs w:val="32"/>
        </w:rPr>
      </w:pPr>
      <w:r>
        <w:rPr>
          <w:rFonts w:hint="eastAsia" w:ascii="宋体" w:hAnsi="宋体" w:cs="宋体"/>
          <w:sz w:val="32"/>
          <w:szCs w:val="32"/>
        </w:rPr>
        <w:t>湘乡市农业局内设办公室、政策法规股、市场与经济信息股、科教站、农业技术推广站、农村生态能源股、蔬菜股、农产品质量安全监管股、新农村建设管理股、发展与计划股、财务股、人事股、粮油作物站、经济作物站、植保值检站、土壤肥料站、种子管理站、农业资源与环境监督管理站、农药监督管理站、农业经营服务站、扶贫开发办公室、农业产业化管理办公室、能源技术推广站、机关党委办公室、农产品检测站、工会、离退休管理办公室27个股站室，下辖湘乡市农业科学研究所、湘乡市农民素质教育管理办公室2个独立核算二级单位。</w:t>
      </w:r>
    </w:p>
    <w:p>
      <w:pPr>
        <w:widowControl/>
        <w:spacing w:line="600" w:lineRule="exact"/>
        <w:ind w:firstLine="627" w:firstLineChars="196"/>
        <w:jc w:val="left"/>
        <w:rPr>
          <w:rFonts w:eastAsiaTheme="minorEastAsia"/>
          <w:sz w:val="32"/>
          <w:szCs w:val="32"/>
        </w:rPr>
      </w:pPr>
      <w:r>
        <w:rPr>
          <w:rFonts w:hint="eastAsia" w:eastAsiaTheme="minorEastAsia"/>
          <w:sz w:val="32"/>
          <w:szCs w:val="32"/>
        </w:rPr>
        <w:t>三、部门预算单位构成</w:t>
      </w:r>
    </w:p>
    <w:p>
      <w:pPr>
        <w:widowControl/>
        <w:spacing w:line="600" w:lineRule="exact"/>
        <w:ind w:firstLine="627" w:firstLineChars="196"/>
        <w:jc w:val="left"/>
        <w:rPr>
          <w:rFonts w:ascii="宋体" w:cs="宋体"/>
          <w:sz w:val="32"/>
          <w:szCs w:val="32"/>
        </w:rPr>
      </w:pPr>
      <w:r>
        <w:rPr>
          <w:rFonts w:hint="eastAsia" w:ascii="宋体" w:hAnsi="宋体" w:cs="宋体"/>
          <w:sz w:val="32"/>
          <w:szCs w:val="32"/>
          <w:lang w:val="en-US" w:eastAsia="zh-CN"/>
        </w:rPr>
        <w:t>1、</w:t>
      </w:r>
      <w:r>
        <w:rPr>
          <w:rFonts w:hint="eastAsia" w:ascii="宋体" w:hAnsi="宋体" w:cs="宋体"/>
          <w:sz w:val="32"/>
          <w:szCs w:val="32"/>
        </w:rPr>
        <w:t>纳入</w:t>
      </w:r>
      <w:r>
        <w:rPr>
          <w:rFonts w:eastAsia="Times New Roman"/>
          <w:sz w:val="32"/>
          <w:szCs w:val="32"/>
        </w:rPr>
        <w:t>201</w:t>
      </w:r>
      <w:r>
        <w:rPr>
          <w:rFonts w:hint="eastAsia" w:cs="宋体"/>
          <w:sz w:val="32"/>
          <w:szCs w:val="32"/>
        </w:rPr>
        <w:t>9</w:t>
      </w:r>
      <w:r>
        <w:rPr>
          <w:rFonts w:hint="eastAsia" w:ascii="宋体" w:hAnsi="宋体" w:cs="宋体"/>
          <w:sz w:val="32"/>
          <w:szCs w:val="32"/>
        </w:rPr>
        <w:t>年部门预算编制范围的二级预算单位包括</w:t>
      </w:r>
      <w:r>
        <w:rPr>
          <w:rFonts w:hint="eastAsia"/>
          <w:sz w:val="32"/>
          <w:szCs w:val="32"/>
        </w:rPr>
        <w:t>湘乡市农业局</w:t>
      </w:r>
      <w:r>
        <w:rPr>
          <w:rFonts w:hint="eastAsia" w:ascii="宋体" w:hAnsi="宋体" w:cs="宋体"/>
          <w:sz w:val="32"/>
          <w:szCs w:val="32"/>
        </w:rPr>
        <w:t>本级</w:t>
      </w:r>
      <w:r>
        <w:rPr>
          <w:rFonts w:hint="eastAsia" w:ascii="宋体" w:hAnsi="宋体" w:cs="宋体"/>
          <w:sz w:val="32"/>
          <w:szCs w:val="32"/>
          <w:lang w:eastAsia="zh-CN"/>
        </w:rPr>
        <w:t>、</w:t>
      </w:r>
      <w:r>
        <w:rPr>
          <w:rFonts w:hint="eastAsia"/>
          <w:sz w:val="32"/>
          <w:szCs w:val="32"/>
        </w:rPr>
        <w:t>湘乡市农业科学研究所。</w:t>
      </w:r>
    </w:p>
    <w:p>
      <w:pPr>
        <w:widowControl/>
        <w:spacing w:line="600" w:lineRule="exact"/>
        <w:ind w:firstLine="630" w:firstLineChars="196"/>
        <w:rPr>
          <w:rFonts w:hint="eastAsia" w:ascii="宋体" w:hAnsi="宋体" w:eastAsia="宋体" w:cs="宋体"/>
          <w:b/>
          <w:bCs/>
          <w:sz w:val="32"/>
          <w:szCs w:val="32"/>
          <w:lang w:val="en-US" w:eastAsia="zh-CN"/>
        </w:rPr>
      </w:pPr>
      <w:r>
        <w:rPr>
          <w:rFonts w:hint="eastAsia" w:ascii="宋体" w:hAnsi="宋体" w:cs="宋体"/>
          <w:b/>
          <w:bCs/>
          <w:sz w:val="32"/>
          <w:szCs w:val="32"/>
          <w:lang w:val="en-US" w:eastAsia="zh-CN"/>
        </w:rPr>
        <w:t>2、国有资产情况说明</w:t>
      </w:r>
    </w:p>
    <w:p>
      <w:pPr>
        <w:widowControl/>
        <w:spacing w:line="600" w:lineRule="exact"/>
        <w:ind w:firstLine="627" w:firstLineChars="196"/>
        <w:rPr>
          <w:rFonts w:cs="宋体"/>
          <w:sz w:val="32"/>
          <w:szCs w:val="32"/>
        </w:rPr>
      </w:pPr>
      <w:r>
        <w:rPr>
          <w:rFonts w:hint="eastAsia" w:ascii="宋体" w:hAnsi="宋体" w:cs="宋体"/>
          <w:sz w:val="32"/>
          <w:szCs w:val="32"/>
        </w:rPr>
        <w:t>本单位在职人员</w:t>
      </w:r>
      <w:r>
        <w:rPr>
          <w:rFonts w:hint="eastAsia"/>
          <w:sz w:val="32"/>
          <w:szCs w:val="32"/>
        </w:rPr>
        <w:t>156</w:t>
      </w:r>
      <w:r>
        <w:rPr>
          <w:rFonts w:hint="eastAsia" w:cs="宋体"/>
          <w:sz w:val="32"/>
          <w:szCs w:val="32"/>
        </w:rPr>
        <w:t>人，离退休人员</w:t>
      </w:r>
      <w:r>
        <w:rPr>
          <w:rFonts w:hint="eastAsia"/>
          <w:sz w:val="32"/>
          <w:szCs w:val="32"/>
        </w:rPr>
        <w:t>83</w:t>
      </w:r>
      <w:r>
        <w:rPr>
          <w:rFonts w:hint="eastAsia" w:cs="宋体"/>
          <w:sz w:val="32"/>
          <w:szCs w:val="32"/>
        </w:rPr>
        <w:t>人。有公车</w:t>
      </w:r>
      <w:r>
        <w:rPr>
          <w:rFonts w:hint="eastAsia"/>
          <w:sz w:val="32"/>
          <w:szCs w:val="32"/>
        </w:rPr>
        <w:t>4</w:t>
      </w:r>
      <w:r>
        <w:rPr>
          <w:rFonts w:hint="eastAsia" w:cs="宋体"/>
          <w:sz w:val="32"/>
          <w:szCs w:val="32"/>
        </w:rPr>
        <w:t>辆。本单位拥有国有资产</w:t>
      </w:r>
      <w:r>
        <w:rPr>
          <w:rFonts w:hint="eastAsia" w:eastAsiaTheme="minorEastAsia"/>
          <w:sz w:val="32"/>
          <w:szCs w:val="32"/>
        </w:rPr>
        <w:t>941.71</w:t>
      </w:r>
      <w:r>
        <w:rPr>
          <w:rFonts w:hint="eastAsia" w:cs="宋体"/>
          <w:sz w:val="32"/>
          <w:szCs w:val="32"/>
        </w:rPr>
        <w:t>万元，其中自有办公楼</w:t>
      </w:r>
      <w:r>
        <w:rPr>
          <w:rFonts w:hint="eastAsia" w:eastAsiaTheme="minorEastAsia"/>
          <w:sz w:val="32"/>
          <w:szCs w:val="32"/>
        </w:rPr>
        <w:t>3</w:t>
      </w:r>
      <w:r>
        <w:rPr>
          <w:rFonts w:hint="eastAsia" w:cs="宋体"/>
          <w:sz w:val="32"/>
          <w:szCs w:val="32"/>
        </w:rPr>
        <w:t>栋。</w:t>
      </w:r>
    </w:p>
    <w:p>
      <w:pPr>
        <w:widowControl/>
        <w:spacing w:line="600" w:lineRule="exact"/>
        <w:ind w:firstLine="640" w:firstLineChars="200"/>
        <w:jc w:val="left"/>
        <w:rPr>
          <w:rFonts w:ascii="黑体" w:hAnsi="黑体" w:eastAsia="黑体" w:cs="黑体"/>
          <w:kern w:val="0"/>
          <w:sz w:val="32"/>
          <w:szCs w:val="32"/>
        </w:rPr>
      </w:pPr>
      <w:r>
        <w:rPr>
          <w:rFonts w:hint="eastAsia" w:ascii="黑体" w:hAnsi="黑体" w:eastAsia="黑体" w:cs="黑体"/>
          <w:kern w:val="0"/>
          <w:sz w:val="32"/>
          <w:szCs w:val="32"/>
        </w:rPr>
        <w:t>第二部分、湘乡市农业局（含农科所）</w:t>
      </w:r>
      <w:r>
        <w:rPr>
          <w:rFonts w:ascii="黑体" w:hAnsi="黑体" w:eastAsia="黑体" w:cs="黑体"/>
          <w:kern w:val="0"/>
          <w:sz w:val="32"/>
          <w:szCs w:val="32"/>
        </w:rPr>
        <w:t>201</w:t>
      </w:r>
      <w:r>
        <w:rPr>
          <w:rFonts w:hint="eastAsia" w:ascii="黑体" w:hAnsi="黑体" w:eastAsia="黑体" w:cs="黑体"/>
          <w:kern w:val="0"/>
          <w:sz w:val="32"/>
          <w:szCs w:val="32"/>
        </w:rPr>
        <w:t>9</w:t>
      </w:r>
      <w:r>
        <w:rPr>
          <w:rFonts w:ascii="黑体" w:hAnsi="黑体" w:eastAsia="黑体" w:cs="黑体"/>
          <w:kern w:val="0"/>
          <w:sz w:val="32"/>
          <w:szCs w:val="32"/>
        </w:rPr>
        <w:t>年度</w:t>
      </w:r>
      <w:r>
        <w:rPr>
          <w:rFonts w:hint="eastAsia" w:ascii="黑体" w:hAnsi="黑体" w:eastAsia="黑体" w:cs="黑体"/>
          <w:kern w:val="0"/>
          <w:sz w:val="32"/>
          <w:szCs w:val="32"/>
        </w:rPr>
        <w:t>预算情况说明</w:t>
      </w:r>
    </w:p>
    <w:p>
      <w:pPr>
        <w:widowControl/>
        <w:spacing w:line="600" w:lineRule="exact"/>
        <w:ind w:firstLine="640" w:firstLineChars="200"/>
        <w:jc w:val="left"/>
        <w:rPr>
          <w:rFonts w:ascii="黑体" w:hAnsi="黑体" w:eastAsia="黑体" w:cs="黑体"/>
          <w:kern w:val="0"/>
          <w:sz w:val="32"/>
          <w:szCs w:val="32"/>
        </w:rPr>
      </w:pPr>
      <w:r>
        <w:rPr>
          <w:rFonts w:hint="eastAsia" w:ascii="黑体" w:hAnsi="黑体" w:eastAsia="黑体" w:cs="黑体"/>
          <w:kern w:val="0"/>
          <w:sz w:val="32"/>
          <w:szCs w:val="32"/>
        </w:rPr>
        <w:t>一、部门收支预算总体情况说明</w:t>
      </w:r>
    </w:p>
    <w:p>
      <w:pPr>
        <w:widowControl/>
        <w:spacing w:line="600" w:lineRule="exact"/>
        <w:ind w:firstLine="640" w:firstLineChars="200"/>
        <w:rPr>
          <w:rFonts w:eastAsia="黑体"/>
          <w:kern w:val="0"/>
          <w:sz w:val="32"/>
          <w:szCs w:val="32"/>
        </w:rPr>
      </w:pPr>
      <w:r>
        <w:rPr>
          <w:rFonts w:ascii="宋体" w:hAnsi="宋体" w:cs="宋体"/>
          <w:sz w:val="32"/>
          <w:szCs w:val="32"/>
        </w:rPr>
        <w:t>201</w:t>
      </w:r>
      <w:r>
        <w:rPr>
          <w:rFonts w:hint="eastAsia" w:ascii="宋体" w:hAnsi="宋体" w:cs="宋体"/>
          <w:sz w:val="32"/>
          <w:szCs w:val="32"/>
        </w:rPr>
        <w:t>9年部门预算包括本级预算和所属单位预算在内的汇总情况。收入为一般公共预算收入；支出既包括机关及所属事业单位基本运行的经费，也包括</w:t>
      </w:r>
      <w:r>
        <w:rPr>
          <w:rFonts w:hint="eastAsia" w:eastAsia="Times New Roman"/>
          <w:sz w:val="32"/>
          <w:szCs w:val="32"/>
        </w:rPr>
        <w:t>取消农技服务费财力补助</w:t>
      </w:r>
      <w:r>
        <w:rPr>
          <w:rFonts w:hint="eastAsia"/>
          <w:sz w:val="32"/>
          <w:szCs w:val="32"/>
        </w:rPr>
        <w:t>、能源项目、精准扶贫项目、专业化统防统治、农作物跟踪评价与新品种示范展示项目、农产品质量安全和农业综合执法、农村集体产权制度改革项目、救灾备荒种子储备、村级财务审计、固定观察点、农村土地流转及纠纷仲裁、三农工作考核</w:t>
      </w:r>
      <w:r>
        <w:rPr>
          <w:rFonts w:hint="eastAsia" w:ascii="宋体" w:hAnsi="宋体" w:cs="宋体"/>
          <w:sz w:val="32"/>
          <w:szCs w:val="32"/>
        </w:rPr>
        <w:t>等专项经费。</w:t>
      </w:r>
    </w:p>
    <w:p>
      <w:pPr>
        <w:widowControl/>
        <w:spacing w:line="600" w:lineRule="exact"/>
        <w:ind w:firstLine="627" w:firstLineChars="196"/>
        <w:jc w:val="left"/>
        <w:rPr>
          <w:rFonts w:eastAsia="黑体"/>
          <w:kern w:val="0"/>
          <w:sz w:val="32"/>
          <w:szCs w:val="32"/>
        </w:rPr>
      </w:pPr>
      <w:r>
        <w:rPr>
          <w:rFonts w:hint="eastAsia" w:ascii="宋体" w:hAnsi="宋体" w:cs="宋体"/>
          <w:sz w:val="32"/>
          <w:szCs w:val="32"/>
        </w:rPr>
        <w:t>1、收入预算：</w:t>
      </w:r>
      <w:r>
        <w:rPr>
          <w:rFonts w:eastAsia="Times New Roman"/>
          <w:sz w:val="32"/>
          <w:szCs w:val="32"/>
        </w:rPr>
        <w:t>201</w:t>
      </w:r>
      <w:r>
        <w:rPr>
          <w:rFonts w:hint="eastAsia"/>
          <w:sz w:val="32"/>
          <w:szCs w:val="32"/>
        </w:rPr>
        <w:t>9</w:t>
      </w:r>
      <w:r>
        <w:rPr>
          <w:rFonts w:hint="eastAsia" w:ascii="宋体" w:hAnsi="宋体" w:cs="宋体"/>
          <w:sz w:val="32"/>
          <w:szCs w:val="32"/>
        </w:rPr>
        <w:t>年年初预算数</w:t>
      </w:r>
      <w:r>
        <w:rPr>
          <w:rFonts w:hint="eastAsia"/>
          <w:sz w:val="32"/>
          <w:szCs w:val="32"/>
        </w:rPr>
        <w:t>3035.23</w:t>
      </w:r>
      <w:r>
        <w:rPr>
          <w:rFonts w:hint="eastAsia" w:ascii="宋体" w:hAnsi="宋体" w:cs="宋体"/>
          <w:sz w:val="32"/>
          <w:szCs w:val="32"/>
        </w:rPr>
        <w:t>万元，其中，一般公共预算拨款</w:t>
      </w:r>
      <w:r>
        <w:rPr>
          <w:rFonts w:hint="eastAsia"/>
          <w:sz w:val="32"/>
          <w:szCs w:val="32"/>
        </w:rPr>
        <w:t>3035.23</w:t>
      </w:r>
      <w:r>
        <w:rPr>
          <w:rFonts w:hint="eastAsia" w:ascii="宋体" w:hAnsi="宋体" w:cs="宋体"/>
          <w:sz w:val="32"/>
          <w:szCs w:val="32"/>
        </w:rPr>
        <w:t>万元，政府性基金</w:t>
      </w:r>
      <w:r>
        <w:rPr>
          <w:rFonts w:hint="eastAsia" w:ascii="??_GB2312" w:hAnsi="??_GB2312" w:cs="宋体"/>
          <w:sz w:val="32"/>
          <w:szCs w:val="32"/>
        </w:rPr>
        <w:t>预算</w:t>
      </w:r>
      <w:r>
        <w:rPr>
          <w:rFonts w:hint="eastAsia" w:ascii="宋体" w:hAnsi="宋体" w:cs="宋体"/>
          <w:sz w:val="32"/>
          <w:szCs w:val="32"/>
        </w:rPr>
        <w:t>拨款</w:t>
      </w:r>
      <w:r>
        <w:rPr>
          <w:rFonts w:hint="eastAsia"/>
          <w:sz w:val="32"/>
          <w:szCs w:val="32"/>
        </w:rPr>
        <w:t>0</w:t>
      </w:r>
      <w:r>
        <w:rPr>
          <w:rFonts w:hint="eastAsia" w:ascii="宋体" w:hAnsi="宋体" w:cs="宋体"/>
          <w:sz w:val="32"/>
          <w:szCs w:val="32"/>
        </w:rPr>
        <w:t>万元，国有资本经营预算拨款</w:t>
      </w:r>
      <w:r>
        <w:rPr>
          <w:rFonts w:hint="eastAsia"/>
          <w:sz w:val="32"/>
          <w:szCs w:val="32"/>
        </w:rPr>
        <w:t>0</w:t>
      </w:r>
      <w:r>
        <w:rPr>
          <w:rFonts w:hint="eastAsia" w:ascii="宋体" w:hAnsi="宋体" w:cs="宋体"/>
          <w:sz w:val="32"/>
          <w:szCs w:val="32"/>
        </w:rPr>
        <w:t>万元，纳入专户管理的非税收入</w:t>
      </w:r>
      <w:r>
        <w:rPr>
          <w:rFonts w:hint="eastAsia"/>
          <w:sz w:val="32"/>
          <w:szCs w:val="32"/>
        </w:rPr>
        <w:t>0</w:t>
      </w:r>
      <w:r>
        <w:rPr>
          <w:rFonts w:hint="eastAsia" w:ascii="宋体" w:hAnsi="宋体" w:cs="宋体"/>
          <w:sz w:val="32"/>
          <w:szCs w:val="32"/>
        </w:rPr>
        <w:t>万元。</w:t>
      </w:r>
      <w:r>
        <w:rPr>
          <w:rFonts w:hint="eastAsia" w:ascii="??_GB2312" w:hAnsi="??_GB2312" w:cs="宋体"/>
          <w:sz w:val="32"/>
          <w:szCs w:val="32"/>
        </w:rPr>
        <w:t>收入较去年增加923.08万元，主要是</w:t>
      </w:r>
      <w:r>
        <w:rPr>
          <w:rFonts w:hint="eastAsia" w:ascii="??_GB2312" w:hAnsi="??_GB2312" w:cs="??_GB2312"/>
          <w:sz w:val="32"/>
          <w:szCs w:val="32"/>
        </w:rPr>
        <w:t>本级配套专项收入增加等</w:t>
      </w:r>
      <w:r>
        <w:rPr>
          <w:rFonts w:hint="eastAsia" w:ascii="??_GB2312" w:hAnsi="??_GB2312" w:cs="宋体"/>
          <w:sz w:val="32"/>
          <w:szCs w:val="32"/>
        </w:rPr>
        <w:t>。</w:t>
      </w:r>
    </w:p>
    <w:p>
      <w:pPr>
        <w:widowControl/>
        <w:spacing w:line="600" w:lineRule="exact"/>
        <w:ind w:firstLine="627" w:firstLineChars="196"/>
        <w:jc w:val="left"/>
        <w:rPr>
          <w:rFonts w:eastAsia="黑体"/>
          <w:kern w:val="0"/>
          <w:sz w:val="32"/>
          <w:szCs w:val="32"/>
        </w:rPr>
      </w:pPr>
      <w:r>
        <w:rPr>
          <w:rFonts w:hint="eastAsia" w:ascii="宋体" w:hAnsi="宋体" w:cs="宋体"/>
          <w:sz w:val="32"/>
          <w:szCs w:val="32"/>
        </w:rPr>
        <w:t>2、支出预算：</w:t>
      </w:r>
      <w:r>
        <w:rPr>
          <w:rFonts w:eastAsia="Times New Roman"/>
          <w:sz w:val="32"/>
          <w:szCs w:val="32"/>
        </w:rPr>
        <w:t>201</w:t>
      </w:r>
      <w:r>
        <w:rPr>
          <w:rFonts w:hint="eastAsia"/>
          <w:sz w:val="32"/>
          <w:szCs w:val="32"/>
        </w:rPr>
        <w:t>9</w:t>
      </w:r>
      <w:r>
        <w:rPr>
          <w:rFonts w:hint="eastAsia" w:ascii="宋体" w:hAnsi="宋体" w:cs="宋体"/>
          <w:sz w:val="32"/>
          <w:szCs w:val="32"/>
        </w:rPr>
        <w:t>年年初预算数</w:t>
      </w:r>
      <w:r>
        <w:rPr>
          <w:rFonts w:hint="eastAsia"/>
          <w:sz w:val="32"/>
          <w:szCs w:val="32"/>
        </w:rPr>
        <w:t>3035.23</w:t>
      </w:r>
      <w:r>
        <w:rPr>
          <w:rFonts w:hint="eastAsia" w:ascii="宋体" w:hAnsi="宋体" w:cs="宋体"/>
          <w:sz w:val="32"/>
          <w:szCs w:val="32"/>
        </w:rPr>
        <w:t>万元，全部为一般公共服务。</w:t>
      </w:r>
      <w:r>
        <w:rPr>
          <w:rFonts w:hint="eastAsia" w:ascii="??_GB2312" w:hAnsi="??_GB2312" w:cs="宋体"/>
          <w:sz w:val="32"/>
          <w:szCs w:val="32"/>
        </w:rPr>
        <w:t>支出较去年增加923.08万元，主要是</w:t>
      </w:r>
      <w:r>
        <w:rPr>
          <w:rFonts w:hint="eastAsia" w:ascii="??_GB2312" w:hAnsi="??_GB2312" w:cs="??_GB2312"/>
          <w:sz w:val="32"/>
          <w:szCs w:val="32"/>
        </w:rPr>
        <w:t>本级配套专项支出增加等</w:t>
      </w:r>
      <w:r>
        <w:rPr>
          <w:rFonts w:hint="eastAsia" w:ascii="??_GB2312" w:hAnsi="??_GB2312" w:cs="宋体"/>
          <w:sz w:val="32"/>
          <w:szCs w:val="32"/>
        </w:rPr>
        <w:t>。</w:t>
      </w:r>
    </w:p>
    <w:p>
      <w:pPr>
        <w:widowControl/>
        <w:spacing w:line="600" w:lineRule="exact"/>
        <w:ind w:firstLine="640" w:firstLineChars="200"/>
        <w:jc w:val="left"/>
        <w:rPr>
          <w:rFonts w:eastAsia="黑体"/>
          <w:sz w:val="32"/>
          <w:szCs w:val="32"/>
        </w:rPr>
      </w:pPr>
      <w:r>
        <w:rPr>
          <w:rFonts w:hint="eastAsia" w:ascii="黑体" w:hAnsi="黑体" w:eastAsia="黑体" w:cs="黑体"/>
          <w:sz w:val="32"/>
          <w:szCs w:val="32"/>
        </w:rPr>
        <w:t>二、一般公共预算拨款支出预算情况说明</w:t>
      </w:r>
    </w:p>
    <w:p>
      <w:pPr>
        <w:widowControl/>
        <w:spacing w:line="600" w:lineRule="exact"/>
        <w:ind w:firstLine="660"/>
        <w:jc w:val="left"/>
        <w:rPr>
          <w:rFonts w:eastAsia="黑体"/>
          <w:sz w:val="32"/>
          <w:szCs w:val="32"/>
        </w:rPr>
      </w:pPr>
      <w:r>
        <w:rPr>
          <w:rFonts w:eastAsia="Times New Roman"/>
          <w:sz w:val="32"/>
          <w:szCs w:val="32"/>
        </w:rPr>
        <w:t>201</w:t>
      </w:r>
      <w:r>
        <w:rPr>
          <w:rFonts w:hint="eastAsia"/>
          <w:sz w:val="32"/>
          <w:szCs w:val="32"/>
        </w:rPr>
        <w:t>9</w:t>
      </w:r>
      <w:r>
        <w:rPr>
          <w:rFonts w:hint="eastAsia" w:ascii="宋体" w:hAnsi="宋体" w:cs="宋体"/>
          <w:sz w:val="32"/>
          <w:szCs w:val="32"/>
        </w:rPr>
        <w:t>年一般公共预算拨款收入</w:t>
      </w:r>
      <w:r>
        <w:rPr>
          <w:rFonts w:hint="eastAsia"/>
          <w:sz w:val="32"/>
          <w:szCs w:val="32"/>
        </w:rPr>
        <w:t>3035.23</w:t>
      </w:r>
      <w:r>
        <w:rPr>
          <w:rFonts w:hint="eastAsia" w:ascii="宋体" w:hAnsi="宋体" w:cs="宋体"/>
          <w:sz w:val="32"/>
          <w:szCs w:val="32"/>
        </w:rPr>
        <w:t>万元，具体安排情况如下：</w:t>
      </w:r>
    </w:p>
    <w:p>
      <w:pPr>
        <w:widowControl/>
        <w:spacing w:line="600" w:lineRule="exact"/>
        <w:ind w:firstLine="660"/>
        <w:jc w:val="left"/>
        <w:rPr>
          <w:rFonts w:eastAsia="黑体"/>
          <w:sz w:val="32"/>
          <w:szCs w:val="32"/>
        </w:rPr>
      </w:pPr>
      <w:r>
        <w:rPr>
          <w:rFonts w:hint="eastAsia" w:ascii="宋体" w:hAnsi="宋体" w:cs="宋体"/>
          <w:sz w:val="32"/>
          <w:szCs w:val="32"/>
        </w:rPr>
        <w:t>1、基本支出：</w:t>
      </w:r>
      <w:r>
        <w:rPr>
          <w:rFonts w:eastAsia="Times New Roman"/>
          <w:sz w:val="32"/>
          <w:szCs w:val="32"/>
        </w:rPr>
        <w:t>201</w:t>
      </w:r>
      <w:r>
        <w:rPr>
          <w:rFonts w:hint="eastAsia"/>
          <w:sz w:val="32"/>
          <w:szCs w:val="32"/>
        </w:rPr>
        <w:t>9</w:t>
      </w:r>
      <w:r>
        <w:rPr>
          <w:rFonts w:hint="eastAsia" w:ascii="宋体" w:hAnsi="宋体" w:cs="宋体"/>
          <w:sz w:val="32"/>
          <w:szCs w:val="32"/>
        </w:rPr>
        <w:t>年年初预算数为</w:t>
      </w:r>
      <w:r>
        <w:rPr>
          <w:rFonts w:hint="eastAsia"/>
          <w:sz w:val="32"/>
          <w:szCs w:val="32"/>
        </w:rPr>
        <w:t>1550.73</w:t>
      </w:r>
      <w:r>
        <w:rPr>
          <w:rFonts w:hint="eastAsia" w:ascii="宋体" w:hAnsi="宋体" w:cs="宋体"/>
          <w:sz w:val="32"/>
          <w:szCs w:val="32"/>
        </w:rPr>
        <w:t>万元，是指为保障单位机构正常运转、完成日常工作任务而发生的各项支出，包括用于基本工资、津贴补贴等人员经费以及办公费、印刷费、水电费、办公设备购置等日常公用经费。</w:t>
      </w:r>
    </w:p>
    <w:p>
      <w:pPr>
        <w:widowControl/>
        <w:spacing w:line="600" w:lineRule="exact"/>
        <w:ind w:firstLine="660"/>
        <w:jc w:val="left"/>
        <w:rPr>
          <w:rFonts w:ascii="宋体" w:hAnsi="宋体" w:cs="宋体"/>
          <w:sz w:val="32"/>
          <w:szCs w:val="32"/>
        </w:rPr>
      </w:pPr>
      <w:r>
        <w:rPr>
          <w:rFonts w:hint="eastAsia" w:ascii="宋体" w:hAnsi="宋体" w:cs="宋体"/>
          <w:sz w:val="32"/>
          <w:szCs w:val="32"/>
        </w:rPr>
        <w:t>2、项目支出：</w:t>
      </w:r>
      <w:r>
        <w:rPr>
          <w:rFonts w:eastAsia="Times New Roman"/>
          <w:sz w:val="32"/>
          <w:szCs w:val="32"/>
        </w:rPr>
        <w:t>201</w:t>
      </w:r>
      <w:r>
        <w:rPr>
          <w:rFonts w:hint="eastAsia"/>
          <w:sz w:val="32"/>
          <w:szCs w:val="32"/>
        </w:rPr>
        <w:t>9</w:t>
      </w:r>
      <w:r>
        <w:rPr>
          <w:rFonts w:hint="eastAsia" w:ascii="宋体" w:hAnsi="宋体" w:cs="宋体"/>
          <w:sz w:val="32"/>
          <w:szCs w:val="32"/>
        </w:rPr>
        <w:t>年年初预算数为</w:t>
      </w:r>
      <w:r>
        <w:rPr>
          <w:rFonts w:hint="eastAsia"/>
          <w:sz w:val="32"/>
          <w:szCs w:val="32"/>
        </w:rPr>
        <w:t>1484.5</w:t>
      </w:r>
      <w:r>
        <w:rPr>
          <w:rFonts w:hint="eastAsia" w:ascii="宋体" w:hAnsi="宋体" w:cs="宋体"/>
          <w:sz w:val="32"/>
          <w:szCs w:val="32"/>
        </w:rPr>
        <w:t>万元，是指单位为完成特定行政工作任务或事业发展目标而发生的支出，包括有关事业发展专项、专项业务费、基本建设支出等。其中：</w:t>
      </w:r>
      <w:r>
        <w:rPr>
          <w:rFonts w:hint="eastAsia"/>
          <w:sz w:val="32"/>
          <w:szCs w:val="32"/>
        </w:rPr>
        <w:t>取消农技服务费财力补助35万元、能源项目工作经费和沼气原料配送及太阳能推广补助30万元、三农工作考核及农博会20万元、劳动模范慰问费6万元、精准扶贫工作经费122万元、专项扶贫资金700万元、专业化统防统治10万元、农作物跟踪评价及新品种展示示范项目10万元、农产品质量安全和农业综合执法50万元、现代农业示范园建设、水稻集中育秧、粮食高产创建40万元、村级财务审计25万元、固定观察点5万元、农村土地流转及纠纷仲裁10万元、救灾备荒种子储备经费35万元、农村集体产权制度改革项目246.5万元</w:t>
      </w:r>
      <w:r>
        <w:rPr>
          <w:rFonts w:hint="eastAsia" w:ascii="宋体" w:hAnsi="宋体" w:cs="宋体"/>
          <w:sz w:val="32"/>
          <w:szCs w:val="32"/>
        </w:rPr>
        <w:t>。</w:t>
      </w:r>
    </w:p>
    <w:p>
      <w:pPr>
        <w:widowControl/>
        <w:spacing w:line="600" w:lineRule="exact"/>
        <w:ind w:firstLine="660"/>
        <w:jc w:val="left"/>
        <w:rPr>
          <w:rFonts w:ascii="宋体" w:cs="宋体"/>
          <w:b/>
          <w:sz w:val="32"/>
          <w:szCs w:val="32"/>
        </w:rPr>
      </w:pPr>
      <w:r>
        <w:rPr>
          <w:rFonts w:hint="eastAsia" w:ascii="宋体" w:hAnsi="宋体" w:cs="宋体"/>
          <w:b/>
          <w:sz w:val="32"/>
          <w:szCs w:val="32"/>
        </w:rPr>
        <w:t>三、预算绩效情况说明</w:t>
      </w:r>
    </w:p>
    <w:p>
      <w:pPr>
        <w:widowControl/>
        <w:spacing w:line="600" w:lineRule="exact"/>
        <w:ind w:firstLine="660"/>
        <w:jc w:val="left"/>
        <w:rPr>
          <w:sz w:val="32"/>
          <w:szCs w:val="32"/>
        </w:rPr>
      </w:pPr>
      <w:r>
        <w:rPr>
          <w:rFonts w:ascii="宋体" w:hAnsi="宋体" w:cs="宋体"/>
          <w:sz w:val="32"/>
          <w:szCs w:val="32"/>
        </w:rPr>
        <w:t>201</w:t>
      </w:r>
      <w:r>
        <w:rPr>
          <w:rFonts w:hint="eastAsia" w:ascii="宋体" w:hAnsi="宋体" w:cs="宋体"/>
          <w:sz w:val="32"/>
          <w:szCs w:val="32"/>
        </w:rPr>
        <w:t>8年</w:t>
      </w:r>
      <w:r>
        <w:rPr>
          <w:rFonts w:hint="eastAsia" w:cs="宋体"/>
          <w:sz w:val="32"/>
          <w:szCs w:val="32"/>
        </w:rPr>
        <w:t>农产品质量安全、精准扶贫工作经费、沼气原料配送及太阳能推广补助、取消农技服务费财力补助、现代农业示范园建设（含水稻集中育秧、粮食高产创建）</w:t>
      </w:r>
      <w:r>
        <w:rPr>
          <w:rFonts w:hint="eastAsia"/>
          <w:sz w:val="32"/>
          <w:szCs w:val="32"/>
        </w:rPr>
        <w:t>5个</w:t>
      </w:r>
      <w:r>
        <w:rPr>
          <w:rFonts w:hint="eastAsia" w:cs="宋体"/>
          <w:sz w:val="32"/>
          <w:szCs w:val="32"/>
        </w:rPr>
        <w:t>项目支出纳入了财政绩效评价，财政绩效评价结果</w:t>
      </w:r>
      <w:r>
        <w:rPr>
          <w:rFonts w:hint="eastAsia"/>
          <w:sz w:val="32"/>
          <w:szCs w:val="32"/>
        </w:rPr>
        <w:t>良好</w:t>
      </w:r>
      <w:r>
        <w:rPr>
          <w:rFonts w:hint="eastAsia" w:cs="宋体"/>
          <w:sz w:val="32"/>
          <w:szCs w:val="32"/>
        </w:rPr>
        <w:t>，</w:t>
      </w:r>
      <w:r>
        <w:rPr>
          <w:sz w:val="32"/>
          <w:szCs w:val="32"/>
        </w:rPr>
        <w:t>201</w:t>
      </w:r>
      <w:r>
        <w:rPr>
          <w:rFonts w:hint="eastAsia"/>
          <w:sz w:val="32"/>
          <w:szCs w:val="32"/>
        </w:rPr>
        <w:t>9</w:t>
      </w:r>
      <w:r>
        <w:rPr>
          <w:rFonts w:hint="eastAsia" w:cs="宋体"/>
          <w:sz w:val="32"/>
          <w:szCs w:val="32"/>
        </w:rPr>
        <w:t>年</w:t>
      </w:r>
      <w:r>
        <w:rPr>
          <w:rFonts w:hint="eastAsia"/>
          <w:sz w:val="32"/>
          <w:szCs w:val="32"/>
        </w:rPr>
        <w:t>取消农技服务费财力补助、能源项目工作经费和沼气原料配送及太阳能推广补助、精准扶贫工作经费、专项扶贫资金、农产品质量安全和农业综合执法、</w:t>
      </w:r>
      <w:r>
        <w:rPr>
          <w:rFonts w:hint="eastAsia" w:cs="宋体"/>
          <w:sz w:val="32"/>
          <w:szCs w:val="32"/>
        </w:rPr>
        <w:t>现代农业示范园建设（含水稻集中育秧、粮食高产创建）</w:t>
      </w:r>
      <w:r>
        <w:rPr>
          <w:rFonts w:hint="eastAsia"/>
          <w:sz w:val="32"/>
          <w:szCs w:val="32"/>
        </w:rPr>
        <w:t>、救灾备荒种子储备经费、农村集体产权制度改革项目8个</w:t>
      </w:r>
      <w:r>
        <w:rPr>
          <w:rFonts w:hint="eastAsia" w:cs="宋体"/>
          <w:sz w:val="32"/>
          <w:szCs w:val="32"/>
        </w:rPr>
        <w:t>项目支出纳入了财政绩效评价。</w:t>
      </w:r>
    </w:p>
    <w:p>
      <w:pPr>
        <w:widowControl/>
        <w:spacing w:line="600" w:lineRule="exact"/>
        <w:ind w:firstLine="640" w:firstLineChars="200"/>
        <w:jc w:val="left"/>
        <w:rPr>
          <w:rFonts w:eastAsia="黑体"/>
          <w:sz w:val="32"/>
          <w:szCs w:val="32"/>
        </w:rPr>
      </w:pPr>
      <w:r>
        <w:rPr>
          <w:rFonts w:hint="eastAsia" w:ascii="黑体" w:hAnsi="黑体" w:eastAsia="黑体" w:cs="黑体"/>
          <w:sz w:val="32"/>
          <w:szCs w:val="32"/>
        </w:rPr>
        <w:t>四、其他重要事项的情况说明</w:t>
      </w:r>
    </w:p>
    <w:p>
      <w:pPr>
        <w:widowControl/>
        <w:spacing w:line="600" w:lineRule="exact"/>
        <w:ind w:firstLine="660"/>
        <w:jc w:val="left"/>
        <w:rPr>
          <w:rFonts w:eastAsia="Times New Roman"/>
          <w:sz w:val="32"/>
          <w:szCs w:val="32"/>
        </w:rPr>
      </w:pPr>
      <w:r>
        <w:rPr>
          <w:rFonts w:eastAsia="Times New Roman"/>
          <w:sz w:val="32"/>
          <w:szCs w:val="32"/>
        </w:rPr>
        <w:t>1</w:t>
      </w:r>
      <w:r>
        <w:rPr>
          <w:rFonts w:hint="eastAsia" w:ascii="宋体" w:hAnsi="宋体" w:cs="宋体"/>
          <w:sz w:val="32"/>
          <w:szCs w:val="32"/>
        </w:rPr>
        <w:t>、机关运行经费</w:t>
      </w:r>
    </w:p>
    <w:p>
      <w:pPr>
        <w:widowControl/>
        <w:spacing w:line="600" w:lineRule="exact"/>
        <w:ind w:firstLine="660"/>
        <w:rPr>
          <w:rFonts w:eastAsia="Times New Roman"/>
          <w:sz w:val="32"/>
          <w:szCs w:val="32"/>
        </w:rPr>
      </w:pPr>
      <w:r>
        <w:rPr>
          <w:rFonts w:eastAsia="Times New Roman"/>
          <w:sz w:val="32"/>
          <w:szCs w:val="32"/>
        </w:rPr>
        <w:t>201</w:t>
      </w:r>
      <w:r>
        <w:rPr>
          <w:rFonts w:hint="eastAsia"/>
          <w:sz w:val="32"/>
          <w:szCs w:val="32"/>
        </w:rPr>
        <w:t>9</w:t>
      </w:r>
      <w:r>
        <w:rPr>
          <w:rFonts w:hint="eastAsia" w:ascii="宋体" w:hAnsi="宋体" w:cs="宋体"/>
          <w:sz w:val="32"/>
          <w:szCs w:val="32"/>
        </w:rPr>
        <w:t>年本单位的机关运行经费当年一般公共预算拨款211.72万元，比</w:t>
      </w:r>
      <w:r>
        <w:rPr>
          <w:rFonts w:eastAsia="Times New Roman"/>
          <w:sz w:val="32"/>
          <w:szCs w:val="32"/>
        </w:rPr>
        <w:t>201</w:t>
      </w:r>
      <w:r>
        <w:rPr>
          <w:rFonts w:hint="eastAsia" w:cs="宋体"/>
          <w:sz w:val="32"/>
          <w:szCs w:val="32"/>
        </w:rPr>
        <w:t>8</w:t>
      </w:r>
      <w:r>
        <w:rPr>
          <w:rFonts w:hint="eastAsia" w:ascii="宋体" w:hAnsi="宋体" w:cs="宋体"/>
          <w:sz w:val="32"/>
          <w:szCs w:val="32"/>
        </w:rPr>
        <w:t>年预算减少4.16万元，下降2</w:t>
      </w:r>
      <w:r>
        <w:rPr>
          <w:rFonts w:eastAsia="Times New Roman"/>
          <w:sz w:val="32"/>
          <w:szCs w:val="32"/>
        </w:rPr>
        <w:t>%</w:t>
      </w:r>
      <w:r>
        <w:rPr>
          <w:rFonts w:hint="eastAsia" w:ascii="宋体" w:hAnsi="宋体" w:cs="宋体"/>
          <w:sz w:val="32"/>
          <w:szCs w:val="32"/>
        </w:rPr>
        <w:t>。</w:t>
      </w:r>
    </w:p>
    <w:p>
      <w:pPr>
        <w:widowControl/>
        <w:spacing w:line="600" w:lineRule="exact"/>
        <w:ind w:firstLine="660"/>
        <w:rPr>
          <w:rFonts w:eastAsia="Times New Roman"/>
          <w:sz w:val="32"/>
          <w:szCs w:val="32"/>
        </w:rPr>
      </w:pPr>
      <w:r>
        <w:rPr>
          <w:rFonts w:eastAsia="Times New Roman"/>
          <w:sz w:val="32"/>
          <w:szCs w:val="32"/>
        </w:rPr>
        <w:t>2</w:t>
      </w:r>
      <w:r>
        <w:rPr>
          <w:rFonts w:hint="eastAsia" w:ascii="宋体" w:hAnsi="宋体" w:cs="宋体"/>
          <w:sz w:val="32"/>
          <w:szCs w:val="32"/>
        </w:rPr>
        <w:t>、</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w:t>
      </w:r>
    </w:p>
    <w:p>
      <w:pPr>
        <w:widowControl/>
        <w:spacing w:line="600" w:lineRule="exact"/>
        <w:ind w:firstLine="660"/>
        <w:rPr>
          <w:rFonts w:eastAsia="Times New Roman"/>
          <w:b/>
          <w:bCs/>
          <w:sz w:val="32"/>
          <w:szCs w:val="32"/>
        </w:rPr>
      </w:pPr>
      <w:r>
        <w:rPr>
          <w:rFonts w:eastAsia="Times New Roman"/>
          <w:sz w:val="32"/>
          <w:szCs w:val="32"/>
        </w:rPr>
        <w:t>201</w:t>
      </w:r>
      <w:r>
        <w:rPr>
          <w:rFonts w:hint="eastAsia" w:cs="宋体"/>
          <w:sz w:val="32"/>
          <w:szCs w:val="32"/>
        </w:rPr>
        <w:t>9</w:t>
      </w:r>
      <w:r>
        <w:rPr>
          <w:rFonts w:hint="eastAsia" w:ascii="宋体" w:hAnsi="宋体" w:cs="宋体"/>
          <w:sz w:val="32"/>
          <w:szCs w:val="32"/>
        </w:rPr>
        <w:t>年</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经费预算数为</w:t>
      </w:r>
      <w:r>
        <w:rPr>
          <w:rFonts w:hint="eastAsia"/>
          <w:sz w:val="32"/>
          <w:szCs w:val="32"/>
        </w:rPr>
        <w:t>57.6</w:t>
      </w:r>
      <w:r>
        <w:rPr>
          <w:rFonts w:hint="eastAsia" w:ascii="宋体" w:hAnsi="宋体" w:cs="宋体"/>
          <w:sz w:val="32"/>
          <w:szCs w:val="32"/>
        </w:rPr>
        <w:t>万元，其中，公务接待费</w:t>
      </w:r>
      <w:r>
        <w:rPr>
          <w:rFonts w:hint="eastAsia"/>
          <w:sz w:val="32"/>
          <w:szCs w:val="32"/>
        </w:rPr>
        <w:t>25.6</w:t>
      </w:r>
      <w:r>
        <w:rPr>
          <w:rFonts w:hint="eastAsia" w:ascii="宋体" w:hAnsi="宋体" w:cs="宋体"/>
          <w:sz w:val="32"/>
          <w:szCs w:val="32"/>
        </w:rPr>
        <w:t>万元，公务用车购置及运行费</w:t>
      </w:r>
      <w:r>
        <w:rPr>
          <w:rFonts w:hint="eastAsia"/>
          <w:sz w:val="32"/>
          <w:szCs w:val="32"/>
        </w:rPr>
        <w:t>32</w:t>
      </w:r>
      <w:r>
        <w:rPr>
          <w:rFonts w:hint="eastAsia" w:ascii="宋体" w:hAnsi="宋体" w:cs="宋体"/>
          <w:sz w:val="32"/>
          <w:szCs w:val="32"/>
        </w:rPr>
        <w:t>万元（其中，公务用车购置费</w:t>
      </w:r>
      <w:r>
        <w:rPr>
          <w:rFonts w:hint="eastAsia"/>
          <w:sz w:val="32"/>
          <w:szCs w:val="32"/>
        </w:rPr>
        <w:t>0</w:t>
      </w:r>
      <w:r>
        <w:rPr>
          <w:rFonts w:hint="eastAsia" w:ascii="宋体" w:hAnsi="宋体" w:cs="宋体"/>
          <w:sz w:val="32"/>
          <w:szCs w:val="32"/>
        </w:rPr>
        <w:t>万元，公务用车运行费</w:t>
      </w:r>
      <w:r>
        <w:rPr>
          <w:rFonts w:hint="eastAsia"/>
          <w:sz w:val="32"/>
          <w:szCs w:val="32"/>
        </w:rPr>
        <w:t>32</w:t>
      </w:r>
      <w:r>
        <w:rPr>
          <w:rFonts w:hint="eastAsia" w:ascii="宋体" w:hAnsi="宋体" w:cs="宋体"/>
          <w:sz w:val="32"/>
          <w:szCs w:val="32"/>
        </w:rPr>
        <w:t>万元），因公出国（境）费</w:t>
      </w:r>
      <w:r>
        <w:rPr>
          <w:rFonts w:hint="eastAsia"/>
          <w:sz w:val="32"/>
          <w:szCs w:val="32"/>
        </w:rPr>
        <w:t>0</w:t>
      </w:r>
      <w:r>
        <w:rPr>
          <w:rFonts w:hint="eastAsia" w:ascii="宋体" w:hAnsi="宋体" w:cs="宋体"/>
          <w:sz w:val="32"/>
          <w:szCs w:val="32"/>
        </w:rPr>
        <w:t>万元。</w:t>
      </w:r>
      <w:r>
        <w:rPr>
          <w:rFonts w:eastAsia="Times New Roman"/>
          <w:sz w:val="32"/>
          <w:szCs w:val="32"/>
        </w:rPr>
        <w:t>201</w:t>
      </w:r>
      <w:r>
        <w:rPr>
          <w:rFonts w:hint="eastAsia" w:cs="宋体"/>
          <w:sz w:val="32"/>
          <w:szCs w:val="32"/>
        </w:rPr>
        <w:t>9</w:t>
      </w:r>
      <w:r>
        <w:rPr>
          <w:rFonts w:hint="eastAsia" w:ascii="宋体" w:hAnsi="宋体" w:cs="宋体"/>
          <w:sz w:val="32"/>
          <w:szCs w:val="32"/>
        </w:rPr>
        <w:t>年</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经费预算较</w:t>
      </w:r>
      <w:r>
        <w:rPr>
          <w:rFonts w:eastAsia="Times New Roman"/>
          <w:sz w:val="32"/>
          <w:szCs w:val="32"/>
        </w:rPr>
        <w:t>201</w:t>
      </w:r>
      <w:r>
        <w:rPr>
          <w:rFonts w:hint="eastAsia" w:cs="宋体"/>
          <w:sz w:val="32"/>
          <w:szCs w:val="32"/>
        </w:rPr>
        <w:t>8</w:t>
      </w:r>
      <w:r>
        <w:rPr>
          <w:rFonts w:hint="eastAsia" w:ascii="宋体" w:hAnsi="宋体" w:cs="宋体"/>
          <w:sz w:val="32"/>
          <w:szCs w:val="32"/>
        </w:rPr>
        <w:t>年减少3万元，</w:t>
      </w:r>
      <w:r>
        <w:rPr>
          <w:rFonts w:eastAsia="Times New Roman"/>
          <w:sz w:val="32"/>
          <w:szCs w:val="32"/>
        </w:rPr>
        <w:t>201</w:t>
      </w:r>
      <w:r>
        <w:rPr>
          <w:rFonts w:hint="eastAsia" w:cs="宋体"/>
          <w:sz w:val="32"/>
          <w:szCs w:val="32"/>
        </w:rPr>
        <w:t>9</w:t>
      </w:r>
      <w:r>
        <w:rPr>
          <w:rFonts w:hint="eastAsia" w:ascii="??_GB2312" w:hAnsi="??_GB2312" w:cs="宋体"/>
          <w:sz w:val="32"/>
          <w:szCs w:val="32"/>
        </w:rPr>
        <w:t>年</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经费预算与</w:t>
      </w:r>
      <w:r>
        <w:rPr>
          <w:rFonts w:eastAsia="Times New Roman"/>
          <w:sz w:val="32"/>
          <w:szCs w:val="32"/>
        </w:rPr>
        <w:t>201</w:t>
      </w:r>
      <w:r>
        <w:rPr>
          <w:rFonts w:hint="eastAsia" w:cs="宋体"/>
          <w:sz w:val="32"/>
          <w:szCs w:val="32"/>
        </w:rPr>
        <w:t>8</w:t>
      </w:r>
      <w:r>
        <w:rPr>
          <w:rFonts w:hint="eastAsia" w:ascii="宋体" w:hAnsi="宋体" w:cs="宋体"/>
          <w:sz w:val="32"/>
          <w:szCs w:val="32"/>
        </w:rPr>
        <w:t>年基本持平。</w:t>
      </w:r>
      <w:r>
        <w:rPr>
          <w:rFonts w:hint="eastAsia" w:ascii="宋体" w:hAnsi="宋体" w:cs="宋体"/>
          <w:sz w:val="32"/>
          <w:szCs w:val="32"/>
          <w:lang w:eastAsia="zh-CN"/>
        </w:rPr>
        <w:t>因为厉行节约。</w:t>
      </w:r>
    </w:p>
    <w:p>
      <w:pPr>
        <w:widowControl/>
        <w:spacing w:line="600" w:lineRule="exact"/>
        <w:ind w:firstLine="660"/>
        <w:rPr>
          <w:rFonts w:eastAsia="Times New Roman"/>
          <w:sz w:val="32"/>
          <w:szCs w:val="32"/>
        </w:rPr>
      </w:pPr>
      <w:r>
        <w:rPr>
          <w:rFonts w:eastAsia="Times New Roman"/>
          <w:sz w:val="32"/>
          <w:szCs w:val="32"/>
        </w:rPr>
        <w:t>3</w:t>
      </w:r>
      <w:r>
        <w:rPr>
          <w:rFonts w:hint="eastAsia" w:ascii="宋体" w:hAnsi="宋体" w:cs="宋体"/>
          <w:sz w:val="32"/>
          <w:szCs w:val="32"/>
        </w:rPr>
        <w:t>、政府采购情况</w:t>
      </w:r>
    </w:p>
    <w:p>
      <w:pPr>
        <w:widowControl/>
        <w:spacing w:line="600" w:lineRule="exact"/>
        <w:ind w:firstLine="660"/>
        <w:rPr>
          <w:rFonts w:ascii="宋体" w:hAnsi="宋体" w:cs="宋体"/>
          <w:sz w:val="32"/>
          <w:szCs w:val="32"/>
        </w:rPr>
      </w:pPr>
      <w:r>
        <w:rPr>
          <w:rFonts w:eastAsia="Times New Roman"/>
          <w:sz w:val="32"/>
          <w:szCs w:val="32"/>
        </w:rPr>
        <w:t>201</w:t>
      </w:r>
      <w:r>
        <w:rPr>
          <w:rFonts w:hint="eastAsia" w:cs="宋体"/>
          <w:sz w:val="32"/>
          <w:szCs w:val="32"/>
        </w:rPr>
        <w:t>9</w:t>
      </w:r>
      <w:r>
        <w:rPr>
          <w:rFonts w:hint="eastAsia" w:ascii="宋体" w:hAnsi="宋体" w:cs="宋体"/>
          <w:sz w:val="32"/>
          <w:szCs w:val="32"/>
        </w:rPr>
        <w:t>年本单位政府采购预算总额</w:t>
      </w:r>
      <w:r>
        <w:rPr>
          <w:rFonts w:hint="eastAsia"/>
          <w:sz w:val="32"/>
          <w:szCs w:val="32"/>
        </w:rPr>
        <w:t>72.2</w:t>
      </w:r>
      <w:r>
        <w:rPr>
          <w:rFonts w:hint="eastAsia" w:ascii="宋体" w:hAnsi="宋体" w:cs="宋体"/>
          <w:sz w:val="32"/>
          <w:szCs w:val="32"/>
        </w:rPr>
        <w:t>万元，其中:政府采购货物预算</w:t>
      </w:r>
      <w:r>
        <w:rPr>
          <w:rFonts w:hint="eastAsia"/>
          <w:sz w:val="32"/>
          <w:szCs w:val="32"/>
        </w:rPr>
        <w:t>37.2</w:t>
      </w:r>
      <w:r>
        <w:rPr>
          <w:rFonts w:hint="eastAsia" w:ascii="宋体" w:hAnsi="宋体" w:cs="宋体"/>
          <w:sz w:val="32"/>
          <w:szCs w:val="32"/>
        </w:rPr>
        <w:t>万元、政府采购服务预算</w:t>
      </w:r>
      <w:r>
        <w:rPr>
          <w:rFonts w:hint="eastAsia"/>
          <w:sz w:val="32"/>
          <w:szCs w:val="32"/>
        </w:rPr>
        <w:t>35</w:t>
      </w:r>
      <w:r>
        <w:rPr>
          <w:rFonts w:hint="eastAsia" w:ascii="宋体" w:hAnsi="宋体" w:cs="宋体"/>
          <w:sz w:val="32"/>
          <w:szCs w:val="32"/>
        </w:rPr>
        <w:t>万元。</w:t>
      </w:r>
    </w:p>
    <w:p>
      <w:pPr>
        <w:widowControl/>
        <w:spacing w:line="600" w:lineRule="exact"/>
        <w:ind w:firstLine="660"/>
        <w:rPr>
          <w:rFonts w:eastAsia="Times New Roman"/>
          <w:sz w:val="32"/>
          <w:szCs w:val="32"/>
        </w:rPr>
      </w:pPr>
      <w:r>
        <w:rPr>
          <w:rFonts w:hint="eastAsia" w:eastAsiaTheme="minorEastAsia"/>
          <w:sz w:val="32"/>
          <w:szCs w:val="32"/>
        </w:rPr>
        <w:t>4</w:t>
      </w:r>
      <w:r>
        <w:rPr>
          <w:rFonts w:hint="eastAsia" w:ascii="宋体" w:hAnsi="宋体" w:cs="宋体"/>
          <w:sz w:val="32"/>
          <w:szCs w:val="32"/>
        </w:rPr>
        <w:t>、政府购买服务情况</w:t>
      </w:r>
    </w:p>
    <w:p>
      <w:pPr>
        <w:widowControl/>
        <w:spacing w:line="600" w:lineRule="exact"/>
        <w:ind w:firstLine="660"/>
        <w:rPr>
          <w:rFonts w:hint="eastAsia" w:ascii="宋体" w:hAnsi="宋体" w:cs="宋体"/>
          <w:sz w:val="32"/>
          <w:szCs w:val="32"/>
        </w:rPr>
      </w:pPr>
      <w:r>
        <w:rPr>
          <w:rFonts w:eastAsia="Times New Roman"/>
          <w:sz w:val="32"/>
          <w:szCs w:val="32"/>
        </w:rPr>
        <w:t>201</w:t>
      </w:r>
      <w:r>
        <w:rPr>
          <w:rFonts w:hint="eastAsia" w:cs="宋体"/>
          <w:sz w:val="32"/>
          <w:szCs w:val="32"/>
        </w:rPr>
        <w:t>9</w:t>
      </w:r>
      <w:r>
        <w:rPr>
          <w:rFonts w:hint="eastAsia" w:ascii="宋体" w:hAnsi="宋体" w:cs="宋体"/>
          <w:sz w:val="32"/>
          <w:szCs w:val="32"/>
        </w:rPr>
        <w:t>年</w:t>
      </w:r>
      <w:r>
        <w:rPr>
          <w:rFonts w:hint="eastAsia"/>
          <w:sz w:val="32"/>
          <w:szCs w:val="32"/>
        </w:rPr>
        <w:t>本</w:t>
      </w:r>
      <w:r>
        <w:rPr>
          <w:rFonts w:hint="eastAsia" w:ascii="宋体" w:hAnsi="宋体" w:cs="宋体"/>
          <w:sz w:val="32"/>
          <w:szCs w:val="32"/>
        </w:rPr>
        <w:t>单位政府购买服务预算总额</w:t>
      </w:r>
      <w:r>
        <w:rPr>
          <w:rFonts w:hint="eastAsia"/>
          <w:sz w:val="32"/>
          <w:szCs w:val="32"/>
        </w:rPr>
        <w:t>811.58</w:t>
      </w:r>
      <w:r>
        <w:rPr>
          <w:rFonts w:hint="eastAsia" w:ascii="宋体" w:hAnsi="宋体" w:cs="宋体"/>
          <w:sz w:val="32"/>
          <w:szCs w:val="32"/>
        </w:rPr>
        <w:t>万元，其中:物业管理服务预算</w:t>
      </w:r>
      <w:r>
        <w:rPr>
          <w:rFonts w:hint="eastAsia"/>
          <w:sz w:val="32"/>
          <w:szCs w:val="32"/>
        </w:rPr>
        <w:t>4.8</w:t>
      </w:r>
      <w:r>
        <w:rPr>
          <w:rFonts w:hint="eastAsia" w:ascii="宋体" w:hAnsi="宋体" w:cs="宋体"/>
          <w:sz w:val="32"/>
          <w:szCs w:val="32"/>
        </w:rPr>
        <w:t>万元、救灾备荒种子储备服务预算</w:t>
      </w:r>
      <w:r>
        <w:rPr>
          <w:rFonts w:hint="eastAsia"/>
          <w:sz w:val="32"/>
          <w:szCs w:val="32"/>
        </w:rPr>
        <w:t>35</w:t>
      </w:r>
      <w:r>
        <w:rPr>
          <w:rFonts w:hint="eastAsia" w:ascii="宋体" w:hAnsi="宋体" w:cs="宋体"/>
          <w:sz w:val="32"/>
          <w:szCs w:val="32"/>
        </w:rPr>
        <w:t>万元、重金属污染防治项目第三方治理（上级项目资金）预算</w:t>
      </w:r>
      <w:r>
        <w:rPr>
          <w:rFonts w:hint="eastAsia"/>
          <w:sz w:val="32"/>
          <w:szCs w:val="32"/>
        </w:rPr>
        <w:t>771.78</w:t>
      </w:r>
      <w:r>
        <w:rPr>
          <w:rFonts w:hint="eastAsia" w:ascii="宋体" w:hAnsi="宋体" w:cs="宋体"/>
          <w:sz w:val="32"/>
          <w:szCs w:val="32"/>
        </w:rPr>
        <w:t>万元。</w:t>
      </w:r>
    </w:p>
    <w:p>
      <w:pPr>
        <w:widowControl/>
        <w:numPr>
          <w:ilvl w:val="0"/>
          <w:numId w:val="3"/>
        </w:numPr>
        <w:spacing w:line="600" w:lineRule="exact"/>
        <w:ind w:firstLine="660"/>
        <w:rPr>
          <w:rFonts w:hint="eastAsia" w:ascii="宋体" w:hAnsi="宋体" w:cs="宋体"/>
          <w:sz w:val="32"/>
          <w:szCs w:val="32"/>
          <w:lang w:val="en-US" w:eastAsia="zh-CN"/>
        </w:rPr>
      </w:pPr>
      <w:r>
        <w:rPr>
          <w:rFonts w:hint="eastAsia" w:ascii="宋体" w:hAnsi="宋体" w:cs="宋体"/>
          <w:sz w:val="32"/>
          <w:szCs w:val="32"/>
          <w:lang w:val="en-US" w:eastAsia="zh-CN"/>
        </w:rPr>
        <w:t>一般性支出情况</w:t>
      </w:r>
    </w:p>
    <w:p>
      <w:pPr>
        <w:widowControl/>
        <w:numPr>
          <w:ilvl w:val="0"/>
          <w:numId w:val="0"/>
        </w:numPr>
        <w:spacing w:line="600" w:lineRule="exact"/>
        <w:rPr>
          <w:rFonts w:hint="default" w:ascii="宋体" w:hAnsi="宋体" w:cs="宋体"/>
          <w:sz w:val="32"/>
          <w:szCs w:val="32"/>
          <w:lang w:val="en-US" w:eastAsia="zh-CN"/>
        </w:rPr>
      </w:pPr>
      <w:r>
        <w:rPr>
          <w:rFonts w:hint="eastAsia" w:ascii="宋体" w:hAnsi="宋体" w:cs="宋体"/>
          <w:sz w:val="32"/>
          <w:szCs w:val="32"/>
          <w:lang w:val="en-US" w:eastAsia="zh-CN"/>
        </w:rPr>
        <w:t xml:space="preserve">    2019年本部门会议费预算14万元，内容为相关工作会议；培训费预算20.4</w:t>
      </w:r>
      <w:bookmarkStart w:id="0" w:name="_GoBack"/>
      <w:bookmarkEnd w:id="0"/>
      <w:r>
        <w:rPr>
          <w:rFonts w:hint="eastAsia" w:ascii="宋体" w:hAnsi="宋体" w:cs="宋体"/>
          <w:sz w:val="32"/>
          <w:szCs w:val="32"/>
          <w:lang w:val="en-US" w:eastAsia="zh-CN"/>
        </w:rPr>
        <w:t>万元，拟开展相关业务培训。</w:t>
      </w:r>
    </w:p>
    <w:p>
      <w:pPr>
        <w:widowControl/>
        <w:numPr>
          <w:ilvl w:val="0"/>
          <w:numId w:val="4"/>
        </w:numPr>
        <w:spacing w:line="600" w:lineRule="exact"/>
        <w:ind w:firstLine="660"/>
        <w:jc w:val="left"/>
        <w:rPr>
          <w:rFonts w:hint="eastAsia" w:ascii="黑体" w:hAnsi="黑体" w:eastAsia="黑体" w:cs="黑体"/>
          <w:sz w:val="32"/>
          <w:szCs w:val="32"/>
          <w:lang w:eastAsia="zh-CN"/>
        </w:rPr>
      </w:pPr>
      <w:r>
        <w:rPr>
          <w:rFonts w:hint="eastAsia" w:ascii="黑体" w:hAnsi="黑体" w:eastAsia="黑体" w:cs="黑体"/>
          <w:sz w:val="32"/>
          <w:szCs w:val="32"/>
          <w:lang w:eastAsia="zh-CN"/>
        </w:rPr>
        <w:t>政府性基金预算支出</w:t>
      </w:r>
    </w:p>
    <w:p>
      <w:pPr>
        <w:widowControl/>
        <w:numPr>
          <w:ilvl w:val="0"/>
          <w:numId w:val="0"/>
        </w:numPr>
        <w:spacing w:line="600" w:lineRule="exact"/>
        <w:jc w:val="left"/>
        <w:rPr>
          <w:rFonts w:hint="eastAsia" w:ascii="宋体" w:hAnsi="宋体" w:cs="宋体"/>
          <w:sz w:val="32"/>
          <w:szCs w:val="32"/>
          <w:lang w:val="en-US" w:eastAsia="zh-CN"/>
        </w:rPr>
      </w:pPr>
      <w:r>
        <w:rPr>
          <w:rFonts w:hint="eastAsia" w:ascii="黑体" w:hAnsi="黑体" w:eastAsia="黑体" w:cs="黑体"/>
          <w:sz w:val="32"/>
          <w:szCs w:val="32"/>
          <w:lang w:val="en-US" w:eastAsia="zh-CN"/>
        </w:rPr>
        <w:t xml:space="preserve">  </w:t>
      </w:r>
      <w:r>
        <w:rPr>
          <w:rFonts w:hint="eastAsia" w:ascii="宋体" w:hAnsi="宋体" w:cs="宋体"/>
          <w:sz w:val="32"/>
          <w:szCs w:val="32"/>
          <w:lang w:val="en-US" w:eastAsia="zh-CN"/>
        </w:rPr>
        <w:t xml:space="preserve">  2019年</w:t>
      </w:r>
      <w:r>
        <w:rPr>
          <w:rFonts w:hint="eastAsia" w:ascii="宋体" w:hAnsi="宋体" w:cs="宋体"/>
          <w:sz w:val="32"/>
          <w:szCs w:val="32"/>
          <w:lang w:eastAsia="zh-CN"/>
        </w:rPr>
        <w:t>本部门无政府性基金支出预算。</w:t>
      </w:r>
    </w:p>
    <w:p>
      <w:pPr>
        <w:widowControl/>
        <w:spacing w:line="600" w:lineRule="exact"/>
        <w:ind w:firstLine="660"/>
        <w:rPr>
          <w:rFonts w:hint="eastAsia" w:ascii="宋体" w:hAnsi="宋体" w:cs="宋体"/>
          <w:sz w:val="32"/>
          <w:szCs w:val="32"/>
        </w:rPr>
      </w:pPr>
    </w:p>
    <w:p>
      <w:pPr>
        <w:widowControl/>
        <w:spacing w:line="600" w:lineRule="exact"/>
        <w:ind w:firstLine="640" w:firstLineChars="200"/>
        <w:rPr>
          <w:rFonts w:eastAsia="黑体"/>
          <w:sz w:val="32"/>
          <w:szCs w:val="32"/>
        </w:rPr>
      </w:pPr>
      <w:r>
        <w:rPr>
          <w:rFonts w:hint="eastAsia" w:ascii="黑体" w:hAnsi="黑体" w:eastAsia="黑体" w:cs="黑体"/>
          <w:sz w:val="32"/>
          <w:szCs w:val="32"/>
        </w:rPr>
        <w:t>第三部分、名词解释</w:t>
      </w:r>
    </w:p>
    <w:p>
      <w:pPr>
        <w:widowControl/>
        <w:spacing w:line="600" w:lineRule="exact"/>
        <w:ind w:firstLine="660"/>
        <w:rPr>
          <w:rFonts w:eastAsia="Times New Roman"/>
          <w:sz w:val="32"/>
          <w:szCs w:val="32"/>
        </w:rPr>
      </w:pPr>
      <w:r>
        <w:rPr>
          <w:rFonts w:eastAsia="Times New Roman"/>
          <w:sz w:val="32"/>
          <w:szCs w:val="32"/>
        </w:rPr>
        <w:t>1</w:t>
      </w:r>
      <w:r>
        <w:rPr>
          <w:rFonts w:hint="eastAsia" w:ascii="宋体" w:hAnsi="宋体" w:cs="宋体"/>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eastAsia="Times New Roman"/>
          <w:sz w:val="32"/>
          <w:szCs w:val="32"/>
        </w:rPr>
      </w:pPr>
      <w:r>
        <w:rPr>
          <w:rFonts w:eastAsia="Times New Roman"/>
          <w:sz w:val="32"/>
          <w:szCs w:val="32"/>
        </w:rPr>
        <w:t>2</w:t>
      </w:r>
      <w:r>
        <w:rPr>
          <w:rFonts w:hint="eastAsia" w:ascii="宋体" w:hAnsi="宋体" w:cs="宋体"/>
          <w:sz w:val="32"/>
          <w:szCs w:val="32"/>
        </w:rPr>
        <w:t>、</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经费：纳入省财政预算管理的</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spacing w:line="600" w:lineRule="exact"/>
        <w:ind w:firstLine="640" w:firstLineChars="200"/>
        <w:jc w:val="left"/>
        <w:rPr>
          <w:rFonts w:ascii="宋体" w:hAnsi="宋体" w:cs="宋体"/>
          <w:sz w:val="32"/>
          <w:szCs w:val="32"/>
        </w:rPr>
      </w:pPr>
      <w:r>
        <w:rPr>
          <w:rFonts w:ascii="黑体" w:hAnsi="黑体" w:eastAsia="黑体" w:cs="黑体"/>
          <w:sz w:val="32"/>
          <w:szCs w:val="32"/>
        </w:rPr>
        <w:t xml:space="preserve"> </w:t>
      </w:r>
      <w:r>
        <w:rPr>
          <w:rFonts w:hint="eastAsia" w:ascii="黑体" w:hAnsi="黑体" w:eastAsia="黑体" w:cs="黑体"/>
          <w:sz w:val="32"/>
          <w:szCs w:val="32"/>
        </w:rPr>
        <w:t>第四部分、湘乡市农业局（含农科所）</w:t>
      </w:r>
      <w:r>
        <w:rPr>
          <w:rFonts w:ascii="黑体" w:hAnsi="黑体" w:eastAsia="黑体" w:cs="黑体"/>
          <w:sz w:val="32"/>
          <w:szCs w:val="32"/>
        </w:rPr>
        <w:t>201</w:t>
      </w:r>
      <w:r>
        <w:rPr>
          <w:rFonts w:hint="eastAsia" w:ascii="黑体" w:hAnsi="黑体" w:eastAsia="黑体" w:cs="黑体"/>
          <w:sz w:val="32"/>
          <w:szCs w:val="32"/>
        </w:rPr>
        <w:t>9</w:t>
      </w:r>
      <w:r>
        <w:rPr>
          <w:rFonts w:ascii="黑体" w:hAnsi="黑体" w:eastAsia="黑体" w:cs="黑体"/>
          <w:sz w:val="32"/>
          <w:szCs w:val="32"/>
        </w:rPr>
        <w:t>年度部门</w:t>
      </w:r>
      <w:r>
        <w:rPr>
          <w:rFonts w:hint="eastAsia" w:ascii="黑体" w:hAnsi="黑体" w:eastAsia="黑体" w:cs="黑体"/>
          <w:sz w:val="32"/>
          <w:szCs w:val="32"/>
        </w:rPr>
        <w:t>预算</w:t>
      </w:r>
      <w:r>
        <w:rPr>
          <w:rFonts w:ascii="黑体" w:hAnsi="黑体" w:eastAsia="黑体" w:cs="黑体"/>
          <w:sz w:val="32"/>
          <w:szCs w:val="32"/>
        </w:rPr>
        <w:t>表</w:t>
      </w:r>
      <w:r>
        <w:rPr>
          <w:rFonts w:ascii="黑体" w:hAnsi="黑体" w:eastAsia="黑体" w:cs="黑体"/>
          <w:sz w:val="32"/>
          <w:szCs w:val="32"/>
        </w:rPr>
        <w:br w:type="textWrapping"/>
      </w:r>
      <w:r>
        <w:rPr>
          <w:rFonts w:hint="eastAsia" w:ascii="宋体" w:hAnsi="宋体" w:cs="宋体"/>
          <w:sz w:val="32"/>
          <w:szCs w:val="32"/>
        </w:rPr>
        <w:t xml:space="preserve">    1</w:t>
      </w:r>
      <w:r>
        <w:rPr>
          <w:rFonts w:ascii="宋体" w:hAnsi="宋体" w:cs="宋体"/>
          <w:sz w:val="32"/>
          <w:szCs w:val="32"/>
        </w:rPr>
        <w:t>、</w:t>
      </w:r>
      <w:r>
        <w:rPr>
          <w:rFonts w:hint="eastAsia" w:ascii="宋体" w:hAnsi="宋体" w:cs="宋体"/>
          <w:sz w:val="32"/>
          <w:szCs w:val="32"/>
        </w:rPr>
        <w:t>部门预算基本情况表</w:t>
      </w:r>
    </w:p>
    <w:p>
      <w:pPr>
        <w:spacing w:line="480" w:lineRule="auto"/>
        <w:ind w:firstLine="640" w:firstLineChars="200"/>
        <w:rPr>
          <w:rFonts w:ascii="宋体" w:hAnsi="宋体" w:cs="宋体"/>
          <w:sz w:val="32"/>
          <w:szCs w:val="32"/>
        </w:rPr>
      </w:pPr>
      <w:r>
        <w:rPr>
          <w:rFonts w:hint="eastAsia" w:ascii="宋体" w:hAnsi="宋体" w:cs="宋体"/>
          <w:sz w:val="32"/>
          <w:szCs w:val="32"/>
        </w:rPr>
        <w:t>2、部门预算基本数据表</w:t>
      </w:r>
    </w:p>
    <w:p>
      <w:pPr>
        <w:spacing w:line="480" w:lineRule="auto"/>
        <w:ind w:firstLine="640" w:firstLineChars="200"/>
        <w:rPr>
          <w:rFonts w:ascii="宋体" w:hAnsi="宋体" w:cs="宋体"/>
          <w:sz w:val="32"/>
          <w:szCs w:val="32"/>
        </w:rPr>
      </w:pPr>
      <w:r>
        <w:rPr>
          <w:rFonts w:hint="eastAsia" w:ascii="宋体" w:hAnsi="宋体" w:cs="宋体"/>
          <w:sz w:val="32"/>
          <w:szCs w:val="32"/>
        </w:rPr>
        <w:t>3、部门收支预算总表</w:t>
      </w:r>
    </w:p>
    <w:p>
      <w:pPr>
        <w:spacing w:line="480" w:lineRule="auto"/>
        <w:ind w:firstLine="640" w:firstLineChars="200"/>
        <w:rPr>
          <w:rFonts w:ascii="宋体" w:hAnsi="宋体" w:cs="宋体"/>
          <w:sz w:val="32"/>
          <w:szCs w:val="32"/>
        </w:rPr>
      </w:pPr>
      <w:r>
        <w:rPr>
          <w:rFonts w:hint="eastAsia" w:ascii="宋体" w:hAnsi="宋体" w:cs="宋体"/>
          <w:sz w:val="32"/>
          <w:szCs w:val="32"/>
        </w:rPr>
        <w:t>4、部门收入预算总表</w:t>
      </w:r>
    </w:p>
    <w:p>
      <w:pPr>
        <w:spacing w:line="480" w:lineRule="auto"/>
        <w:ind w:firstLine="640" w:firstLineChars="200"/>
        <w:rPr>
          <w:rFonts w:ascii="宋体" w:hAnsi="宋体" w:cs="宋体"/>
          <w:sz w:val="32"/>
          <w:szCs w:val="32"/>
        </w:rPr>
      </w:pPr>
      <w:r>
        <w:rPr>
          <w:rFonts w:hint="eastAsia" w:ascii="宋体" w:hAnsi="宋体" w:cs="宋体"/>
          <w:sz w:val="32"/>
          <w:szCs w:val="32"/>
        </w:rPr>
        <w:t>5、部门支出预算总表</w:t>
      </w:r>
    </w:p>
    <w:p>
      <w:pPr>
        <w:spacing w:line="480" w:lineRule="auto"/>
        <w:ind w:firstLine="640" w:firstLineChars="200"/>
        <w:rPr>
          <w:rFonts w:ascii="宋体" w:hAnsi="宋体" w:cs="宋体"/>
          <w:sz w:val="32"/>
          <w:szCs w:val="32"/>
        </w:rPr>
      </w:pPr>
      <w:r>
        <w:rPr>
          <w:rFonts w:hint="eastAsia" w:ascii="宋体" w:hAnsi="宋体" w:cs="宋体"/>
          <w:sz w:val="32"/>
          <w:szCs w:val="32"/>
        </w:rPr>
        <w:t>6、财政拨款收支预算总表</w:t>
      </w:r>
    </w:p>
    <w:p>
      <w:pPr>
        <w:spacing w:line="480" w:lineRule="auto"/>
        <w:ind w:firstLine="640" w:firstLineChars="200"/>
        <w:rPr>
          <w:rFonts w:ascii="宋体" w:hAnsi="宋体" w:cs="宋体"/>
          <w:sz w:val="32"/>
          <w:szCs w:val="32"/>
        </w:rPr>
      </w:pPr>
      <w:r>
        <w:rPr>
          <w:rFonts w:hint="eastAsia" w:ascii="宋体" w:hAnsi="宋体" w:cs="宋体"/>
          <w:sz w:val="32"/>
          <w:szCs w:val="32"/>
        </w:rPr>
        <w:t>7、一般公共预算支出表（政府预算支出经济分类）</w:t>
      </w:r>
    </w:p>
    <w:p>
      <w:pPr>
        <w:spacing w:line="480" w:lineRule="auto"/>
        <w:ind w:firstLine="640" w:firstLineChars="200"/>
        <w:rPr>
          <w:rFonts w:ascii="宋体" w:hAnsi="宋体" w:cs="宋体"/>
          <w:sz w:val="32"/>
          <w:szCs w:val="32"/>
        </w:rPr>
      </w:pPr>
      <w:r>
        <w:rPr>
          <w:rFonts w:hint="eastAsia" w:ascii="宋体" w:hAnsi="宋体" w:cs="宋体"/>
          <w:sz w:val="32"/>
          <w:szCs w:val="32"/>
        </w:rPr>
        <w:t>8、一般公共预算支出表（部门预算支出经济分类）</w:t>
      </w:r>
    </w:p>
    <w:p>
      <w:pPr>
        <w:spacing w:line="480" w:lineRule="auto"/>
        <w:ind w:firstLine="640" w:firstLineChars="200"/>
        <w:rPr>
          <w:rFonts w:ascii="宋体" w:hAnsi="宋体" w:cs="宋体"/>
          <w:sz w:val="32"/>
          <w:szCs w:val="32"/>
        </w:rPr>
      </w:pPr>
      <w:r>
        <w:rPr>
          <w:rFonts w:hint="eastAsia" w:ascii="宋体" w:hAnsi="宋体" w:cs="宋体"/>
          <w:sz w:val="32"/>
          <w:szCs w:val="32"/>
        </w:rPr>
        <w:t>9、部门政府性基金预算支出表</w:t>
      </w:r>
    </w:p>
    <w:p>
      <w:pPr>
        <w:spacing w:line="480" w:lineRule="auto"/>
        <w:ind w:firstLine="640" w:firstLineChars="200"/>
        <w:rPr>
          <w:rFonts w:ascii="宋体" w:hAnsi="宋体" w:cs="宋体"/>
          <w:sz w:val="32"/>
          <w:szCs w:val="32"/>
        </w:rPr>
      </w:pPr>
      <w:r>
        <w:rPr>
          <w:rFonts w:hint="eastAsia" w:ascii="宋体" w:hAnsi="宋体" w:cs="宋体"/>
          <w:sz w:val="32"/>
          <w:szCs w:val="32"/>
        </w:rPr>
        <w:t>10、公共财政拨款“三公”经费及会议费预算表</w:t>
      </w:r>
    </w:p>
    <w:p>
      <w:pPr>
        <w:spacing w:line="480" w:lineRule="auto"/>
        <w:ind w:firstLine="640" w:firstLineChars="200"/>
        <w:rPr>
          <w:rFonts w:ascii="宋体" w:hAnsi="宋体" w:cs="宋体"/>
          <w:sz w:val="32"/>
          <w:szCs w:val="32"/>
        </w:rPr>
      </w:pPr>
      <w:r>
        <w:rPr>
          <w:rFonts w:hint="eastAsia" w:ascii="宋体" w:hAnsi="宋体" w:cs="宋体"/>
          <w:sz w:val="32"/>
          <w:szCs w:val="32"/>
        </w:rPr>
        <w:t>11、项目支出明细表</w:t>
      </w:r>
    </w:p>
    <w:p>
      <w:pPr>
        <w:spacing w:line="480" w:lineRule="auto"/>
        <w:ind w:firstLine="640" w:firstLineChars="200"/>
        <w:rPr>
          <w:rFonts w:ascii="宋体" w:hAnsi="宋体" w:cs="宋体"/>
          <w:sz w:val="32"/>
          <w:szCs w:val="32"/>
        </w:rPr>
      </w:pPr>
      <w:r>
        <w:rPr>
          <w:rFonts w:hint="eastAsia" w:ascii="宋体" w:hAnsi="宋体" w:cs="宋体"/>
          <w:sz w:val="32"/>
          <w:szCs w:val="32"/>
        </w:rPr>
        <w:t>12、政府采购预算表</w:t>
      </w:r>
    </w:p>
    <w:p>
      <w:pPr>
        <w:spacing w:line="480" w:lineRule="auto"/>
        <w:ind w:firstLine="640" w:firstLineChars="200"/>
        <w:rPr>
          <w:rFonts w:ascii="宋体" w:hAnsi="宋体" w:cs="宋体"/>
          <w:sz w:val="32"/>
          <w:szCs w:val="32"/>
        </w:rPr>
      </w:pPr>
      <w:r>
        <w:rPr>
          <w:rFonts w:hint="eastAsia" w:ascii="宋体" w:hAnsi="宋体" w:cs="宋体"/>
          <w:sz w:val="32"/>
          <w:szCs w:val="32"/>
        </w:rPr>
        <w:t>13、政府采购服务预算表</w:t>
      </w:r>
    </w:p>
    <w:p>
      <w:pPr>
        <w:spacing w:line="480" w:lineRule="auto"/>
        <w:ind w:firstLine="640" w:firstLineChars="200"/>
        <w:rPr>
          <w:rFonts w:ascii="宋体" w:hAnsi="宋体" w:cs="宋体"/>
          <w:sz w:val="32"/>
          <w:szCs w:val="32"/>
        </w:rPr>
      </w:pPr>
      <w:r>
        <w:rPr>
          <w:rFonts w:hint="eastAsia" w:ascii="宋体" w:hAnsi="宋体" w:cs="宋体"/>
          <w:sz w:val="32"/>
          <w:szCs w:val="32"/>
        </w:rPr>
        <w:t>14、非税收入表</w:t>
      </w:r>
    </w:p>
    <w:p>
      <w:pPr>
        <w:spacing w:line="480" w:lineRule="auto"/>
        <w:ind w:firstLine="640" w:firstLineChars="200"/>
        <w:rPr>
          <w:rFonts w:ascii="宋体" w:hAnsi="宋体" w:cs="宋体"/>
          <w:sz w:val="32"/>
          <w:szCs w:val="32"/>
        </w:rPr>
      </w:pPr>
      <w:r>
        <w:rPr>
          <w:rFonts w:hint="eastAsia" w:ascii="宋体" w:hAnsi="宋体" w:cs="宋体"/>
          <w:sz w:val="32"/>
          <w:szCs w:val="32"/>
        </w:rPr>
        <w:t>15、非税收入安排的支出表</w:t>
      </w:r>
    </w:p>
    <w:p>
      <w:pPr>
        <w:spacing w:line="480" w:lineRule="auto"/>
        <w:ind w:firstLine="640" w:firstLineChars="200"/>
        <w:rPr>
          <w:rFonts w:ascii="宋体" w:hAnsi="宋体" w:cs="宋体"/>
          <w:sz w:val="32"/>
          <w:szCs w:val="32"/>
        </w:rPr>
      </w:pPr>
      <w:r>
        <w:rPr>
          <w:rFonts w:hint="eastAsia" w:ascii="宋体" w:hAnsi="宋体" w:cs="宋体"/>
          <w:sz w:val="32"/>
          <w:szCs w:val="32"/>
        </w:rPr>
        <w:t>16、部门整体支出绩效目标申报表</w:t>
      </w:r>
    </w:p>
    <w:p>
      <w:pPr>
        <w:spacing w:line="480" w:lineRule="auto"/>
        <w:ind w:firstLine="640" w:firstLineChars="200"/>
        <w:rPr>
          <w:rFonts w:ascii="宋体" w:hAnsi="宋体" w:cs="宋体"/>
          <w:sz w:val="32"/>
          <w:szCs w:val="32"/>
        </w:rPr>
      </w:pPr>
      <w:r>
        <w:rPr>
          <w:rFonts w:hint="eastAsia" w:ascii="宋体" w:hAnsi="宋体" w:cs="宋体"/>
          <w:sz w:val="32"/>
          <w:szCs w:val="32"/>
        </w:rPr>
        <w:t>17、项目支出绩效目标申报表</w:t>
      </w:r>
    </w:p>
    <w:p>
      <w:pPr>
        <w:spacing w:line="480" w:lineRule="auto"/>
        <w:ind w:firstLine="640" w:firstLineChars="200"/>
        <w:rPr>
          <w:rFonts w:ascii="宋体" w:hAnsi="宋体" w:cs="宋体"/>
          <w:sz w:val="32"/>
          <w:szCs w:val="32"/>
        </w:rPr>
      </w:pPr>
    </w:p>
    <w:p>
      <w:pPr>
        <w:widowControl/>
        <w:spacing w:line="600" w:lineRule="exact"/>
        <w:jc w:val="left"/>
      </w:pPr>
      <w:r>
        <w:rPr>
          <w:rFonts w:ascii="黑体" w:hAnsi="黑体" w:eastAsia="黑体" w:cs="黑体"/>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_GB2312">
    <w:altName w:val="Times New Roman"/>
    <w:panose1 w:val="00000000000000000000"/>
    <w:charset w:val="00"/>
    <w:family w:val="auto"/>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117082"/>
    <w:multiLevelType w:val="singleLevel"/>
    <w:tmpl w:val="91117082"/>
    <w:lvl w:ilvl="0" w:tentative="0">
      <w:start w:val="2"/>
      <w:numFmt w:val="decimal"/>
      <w:suff w:val="nothing"/>
      <w:lvlText w:val="%1、"/>
      <w:lvlJc w:val="left"/>
    </w:lvl>
  </w:abstractNum>
  <w:abstractNum w:abstractNumId="1">
    <w:nsid w:val="427674B4"/>
    <w:multiLevelType w:val="multilevel"/>
    <w:tmpl w:val="427674B4"/>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CC0140E"/>
    <w:multiLevelType w:val="singleLevel"/>
    <w:tmpl w:val="5CC0140E"/>
    <w:lvl w:ilvl="0" w:tentative="0">
      <w:start w:val="5"/>
      <w:numFmt w:val="chineseCounting"/>
      <w:suff w:val="nothing"/>
      <w:lvlText w:val="%1、"/>
      <w:lvlJc w:val="left"/>
      <w:rPr>
        <w:rFonts w:hint="eastAsia"/>
      </w:rPr>
    </w:lvl>
  </w:abstractNum>
  <w:abstractNum w:abstractNumId="3">
    <w:nsid w:val="5E98A9D0"/>
    <w:multiLevelType w:val="singleLevel"/>
    <w:tmpl w:val="5E98A9D0"/>
    <w:lvl w:ilvl="0" w:tentative="0">
      <w:start w:val="5"/>
      <w:numFmt w:val="decimal"/>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NotTrackMove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E3871"/>
    <w:rsid w:val="00011D24"/>
    <w:rsid w:val="0008449A"/>
    <w:rsid w:val="000B4571"/>
    <w:rsid w:val="000D7350"/>
    <w:rsid w:val="000F3226"/>
    <w:rsid w:val="00145D7E"/>
    <w:rsid w:val="00166694"/>
    <w:rsid w:val="0017569F"/>
    <w:rsid w:val="00176113"/>
    <w:rsid w:val="001A6609"/>
    <w:rsid w:val="001B1671"/>
    <w:rsid w:val="0020174A"/>
    <w:rsid w:val="00230F3A"/>
    <w:rsid w:val="00263A96"/>
    <w:rsid w:val="002B0B1E"/>
    <w:rsid w:val="002D16C4"/>
    <w:rsid w:val="00305D23"/>
    <w:rsid w:val="003D445D"/>
    <w:rsid w:val="003E3871"/>
    <w:rsid w:val="00402480"/>
    <w:rsid w:val="00414B59"/>
    <w:rsid w:val="00435C97"/>
    <w:rsid w:val="004A2199"/>
    <w:rsid w:val="004E1C2E"/>
    <w:rsid w:val="0057508A"/>
    <w:rsid w:val="005A433F"/>
    <w:rsid w:val="005A60F9"/>
    <w:rsid w:val="006017C0"/>
    <w:rsid w:val="006A217F"/>
    <w:rsid w:val="00710B94"/>
    <w:rsid w:val="0071567C"/>
    <w:rsid w:val="007173A3"/>
    <w:rsid w:val="00761735"/>
    <w:rsid w:val="007848FE"/>
    <w:rsid w:val="0078721B"/>
    <w:rsid w:val="00811D0A"/>
    <w:rsid w:val="008278DD"/>
    <w:rsid w:val="00847955"/>
    <w:rsid w:val="008901E7"/>
    <w:rsid w:val="008F7970"/>
    <w:rsid w:val="009340DD"/>
    <w:rsid w:val="00937A05"/>
    <w:rsid w:val="009B6981"/>
    <w:rsid w:val="00A121F9"/>
    <w:rsid w:val="00A15359"/>
    <w:rsid w:val="00A45824"/>
    <w:rsid w:val="00A61F52"/>
    <w:rsid w:val="00AC04C4"/>
    <w:rsid w:val="00AD173F"/>
    <w:rsid w:val="00AD78C3"/>
    <w:rsid w:val="00B97FD3"/>
    <w:rsid w:val="00BA5A9B"/>
    <w:rsid w:val="00C56A23"/>
    <w:rsid w:val="00CB74B1"/>
    <w:rsid w:val="00CE47C7"/>
    <w:rsid w:val="00D3340C"/>
    <w:rsid w:val="00D734C4"/>
    <w:rsid w:val="00D9092A"/>
    <w:rsid w:val="00DB6141"/>
    <w:rsid w:val="00DE2C67"/>
    <w:rsid w:val="00E11399"/>
    <w:rsid w:val="00E616BD"/>
    <w:rsid w:val="00E827A7"/>
    <w:rsid w:val="00E939EE"/>
    <w:rsid w:val="00EC01A2"/>
    <w:rsid w:val="00EF155B"/>
    <w:rsid w:val="00F12D09"/>
    <w:rsid w:val="00F2585C"/>
    <w:rsid w:val="00F35F2A"/>
    <w:rsid w:val="00F662A7"/>
    <w:rsid w:val="00F67B82"/>
    <w:rsid w:val="00F71CBD"/>
    <w:rsid w:val="00F8586A"/>
    <w:rsid w:val="00FC1FCE"/>
    <w:rsid w:val="013617AF"/>
    <w:rsid w:val="02B95114"/>
    <w:rsid w:val="02CF108D"/>
    <w:rsid w:val="048550CC"/>
    <w:rsid w:val="103E0D73"/>
    <w:rsid w:val="16B3103C"/>
    <w:rsid w:val="1B9D630A"/>
    <w:rsid w:val="1C213E1E"/>
    <w:rsid w:val="1ECB12EB"/>
    <w:rsid w:val="248B192A"/>
    <w:rsid w:val="2494271C"/>
    <w:rsid w:val="24C968FD"/>
    <w:rsid w:val="28103ADD"/>
    <w:rsid w:val="2D557400"/>
    <w:rsid w:val="2EF72D07"/>
    <w:rsid w:val="2F143430"/>
    <w:rsid w:val="33C234FD"/>
    <w:rsid w:val="396A757E"/>
    <w:rsid w:val="3CF710E9"/>
    <w:rsid w:val="417573BA"/>
    <w:rsid w:val="437B5DC0"/>
    <w:rsid w:val="465E25C6"/>
    <w:rsid w:val="46D836F6"/>
    <w:rsid w:val="543E57F5"/>
    <w:rsid w:val="55F46BDB"/>
    <w:rsid w:val="55F8573E"/>
    <w:rsid w:val="56846811"/>
    <w:rsid w:val="57036B84"/>
    <w:rsid w:val="57BC538D"/>
    <w:rsid w:val="5BA45EF1"/>
    <w:rsid w:val="5D0406F4"/>
    <w:rsid w:val="5FDA26F7"/>
    <w:rsid w:val="60154D39"/>
    <w:rsid w:val="68424027"/>
    <w:rsid w:val="6D0705FC"/>
    <w:rsid w:val="73960CF7"/>
    <w:rsid w:val="763D258A"/>
    <w:rsid w:val="7846313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rFonts w:ascii="Times New Roman" w:hAnsi="Times New Roman"/>
      <w:kern w:val="2"/>
      <w:sz w:val="18"/>
      <w:szCs w:val="18"/>
    </w:rPr>
  </w:style>
  <w:style w:type="character" w:customStyle="1" w:styleId="7">
    <w:name w:val="页脚 Char"/>
    <w:basedOn w:val="5"/>
    <w:link w:val="2"/>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48FD93-F7D9-467E-A428-DBD292A2810F}">
  <ds:schemaRefs/>
</ds:datastoreItem>
</file>

<file path=docProps/app.xml><?xml version="1.0" encoding="utf-8"?>
<Properties xmlns="http://schemas.openxmlformats.org/officeDocument/2006/extended-properties" xmlns:vt="http://schemas.openxmlformats.org/officeDocument/2006/docPropsVTypes">
  <Template>Normal</Template>
  <Company>czj</Company>
  <Pages>13</Pages>
  <Words>779</Words>
  <Characters>4441</Characters>
  <Lines>37</Lines>
  <Paragraphs>10</Paragraphs>
  <TotalTime>1</TotalTime>
  <ScaleCrop>false</ScaleCrop>
  <LinksUpToDate>false</LinksUpToDate>
  <CharactersWithSpaces>5210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2017-12-27T00:31:00Z</dcterms:created>
  <dc:creator>Administrator</dc:creator>
  <cp:lastModifiedBy>Administrator</cp:lastModifiedBy>
  <cp:lastPrinted>2017-12-27T00:38:00Z</cp:lastPrinted>
  <dcterms:modified xsi:type="dcterms:W3CDTF">2021-07-23T10:21:21Z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y fmtid="{D5CDD505-2E9C-101B-9397-08002B2CF9AE}" pid="3" name="ICV">
    <vt:lpwstr>AB37AC282E6244B5B8391C0B772A4806</vt:lpwstr>
  </property>
</Properties>
</file>