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sz w:val="84"/>
          <w:szCs w:val="84"/>
        </w:rPr>
      </w:pPr>
      <w:r>
        <w:rPr>
          <w:rFonts w:hint="eastAsia"/>
          <w:sz w:val="84"/>
          <w:szCs w:val="84"/>
        </w:rPr>
        <w:t>2020年度</w:t>
      </w:r>
    </w:p>
    <w:p>
      <w:pPr>
        <w:pStyle w:val="13"/>
        <w:jc w:val="center"/>
        <w:rPr>
          <w:rFonts w:hint="eastAsia" w:eastAsia="黑体"/>
          <w:sz w:val="84"/>
          <w:szCs w:val="84"/>
          <w:lang w:eastAsia="zh-CN"/>
        </w:rPr>
      </w:pPr>
      <w:r>
        <w:rPr>
          <w:rFonts w:hint="eastAsia"/>
          <w:sz w:val="84"/>
          <w:szCs w:val="84"/>
          <w:lang w:eastAsia="zh-CN"/>
        </w:rPr>
        <w:t>湘乡市科技和工业信息化局</w:t>
      </w:r>
    </w:p>
    <w:p>
      <w:pPr>
        <w:pStyle w:val="13"/>
        <w:jc w:val="center"/>
        <w:rPr>
          <w:sz w:val="84"/>
          <w:szCs w:val="84"/>
        </w:rPr>
      </w:pPr>
      <w:r>
        <w:rPr>
          <w:rFonts w:hint="eastAsia"/>
          <w:sz w:val="84"/>
          <w:szCs w:val="84"/>
        </w:rPr>
        <w:t>部门决算</w:t>
      </w: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spacing w:line="500" w:lineRule="exact"/>
        <w:jc w:val="center"/>
        <w:rPr>
          <w:b/>
          <w:sz w:val="36"/>
          <w:szCs w:val="28"/>
        </w:rPr>
      </w:pPr>
      <w:r>
        <w:rPr>
          <w:rFonts w:hint="eastAsia"/>
          <w:b/>
          <w:sz w:val="36"/>
          <w:szCs w:val="28"/>
        </w:rPr>
        <w:t>目录</w:t>
      </w:r>
    </w:p>
    <w:p>
      <w:pPr>
        <w:pStyle w:val="13"/>
        <w:spacing w:line="500" w:lineRule="exact"/>
        <w:rPr>
          <w:rFonts w:ascii="仿宋_GB2312" w:hAnsi="仿宋_GB2312" w:cs="仿宋_GB2312"/>
          <w:b/>
          <w:sz w:val="28"/>
          <w:szCs w:val="28"/>
        </w:rPr>
      </w:pPr>
      <w:r>
        <w:rPr>
          <w:rFonts w:hint="eastAsia"/>
          <w:b/>
          <w:sz w:val="28"/>
          <w:szCs w:val="28"/>
        </w:rPr>
        <w:t>第一部分  单位概况</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3"/>
        <w:spacing w:line="500" w:lineRule="exact"/>
        <w:rPr>
          <w:rFonts w:ascii="仿宋_GB2312" w:hAnsi="仿宋_GB2312" w:cs="仿宋_GB2312"/>
          <w:b/>
          <w:sz w:val="28"/>
          <w:szCs w:val="28"/>
        </w:rPr>
      </w:pPr>
      <w:r>
        <w:rPr>
          <w:rFonts w:hint="eastAsia" w:hAnsi="仿宋_GB2312"/>
          <w:b/>
          <w:sz w:val="28"/>
          <w:szCs w:val="28"/>
        </w:rPr>
        <w:t xml:space="preserve">第二部分  </w:t>
      </w:r>
      <w:r>
        <w:rPr>
          <w:rFonts w:hAnsi="仿宋_GB2312"/>
          <w:b/>
          <w:sz w:val="28"/>
          <w:szCs w:val="28"/>
        </w:rPr>
        <w:t>20</w:t>
      </w:r>
      <w:r>
        <w:rPr>
          <w:rFonts w:hint="eastAsia" w:hAnsi="仿宋_GB2312"/>
          <w:b/>
          <w:sz w:val="28"/>
          <w:szCs w:val="28"/>
        </w:rPr>
        <w:t>20年度部门决算表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3"/>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3"/>
        <w:spacing w:line="500" w:lineRule="exact"/>
        <w:rPr>
          <w:rFonts w:ascii="仿宋_GB2312" w:hAnsi="仿宋_GB2312" w:cs="仿宋_GB2312"/>
          <w:b/>
          <w:sz w:val="28"/>
          <w:szCs w:val="28"/>
        </w:rPr>
      </w:pPr>
      <w:r>
        <w:rPr>
          <w:rFonts w:hint="eastAsia" w:hAnsi="仿宋_GB2312"/>
          <w:b/>
          <w:sz w:val="28"/>
          <w:szCs w:val="28"/>
        </w:rPr>
        <w:t xml:space="preserve">第三部分  </w:t>
      </w:r>
      <w:r>
        <w:rPr>
          <w:rFonts w:hAnsi="仿宋_GB2312"/>
          <w:b/>
          <w:sz w:val="28"/>
          <w:szCs w:val="28"/>
        </w:rPr>
        <w:t>20</w:t>
      </w:r>
      <w:r>
        <w:rPr>
          <w:rFonts w:hint="eastAsia" w:hAnsi="仿宋_GB2312"/>
          <w:b/>
          <w:sz w:val="28"/>
          <w:szCs w:val="28"/>
        </w:rPr>
        <w:t>20年度部门决算情况说明</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rPr>
        <w:t xml:space="preserve">  </w:t>
      </w:r>
      <w:r>
        <w:rPr>
          <w:rFonts w:ascii="黑体" w:hAnsi="黑体" w:eastAsia="黑体" w:cs="黑体"/>
          <w:b/>
          <w:color w:val="000000"/>
          <w:kern w:val="0"/>
          <w:sz w:val="28"/>
          <w:szCs w:val="28"/>
        </w:rPr>
        <w:t>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  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3"/>
        <w:jc w:val="center"/>
        <w:rPr>
          <w:sz w:val="84"/>
          <w:szCs w:val="84"/>
        </w:rPr>
      </w:pPr>
      <w:r>
        <w:rPr>
          <w:rFonts w:hint="eastAsia"/>
          <w:sz w:val="84"/>
          <w:szCs w:val="84"/>
        </w:rPr>
        <w:t>第一部分</w:t>
      </w:r>
    </w:p>
    <w:p>
      <w:pPr>
        <w:pStyle w:val="13"/>
        <w:jc w:val="center"/>
        <w:rPr>
          <w:sz w:val="84"/>
          <w:szCs w:val="84"/>
        </w:rPr>
      </w:pPr>
    </w:p>
    <w:p>
      <w:pPr>
        <w:pStyle w:val="13"/>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800" w:firstLineChars="250"/>
        <w:jc w:val="left"/>
        <w:rPr>
          <w:rFonts w:hint="eastAsia" w:ascii="宋体" w:hAnsi="宋体" w:eastAsia="宋体" w:cs="宋体"/>
          <w:sz w:val="32"/>
          <w:szCs w:val="32"/>
        </w:rPr>
      </w:pPr>
      <w:r>
        <w:rPr>
          <w:rFonts w:hint="eastAsia" w:ascii="宋体" w:hAnsi="宋体" w:eastAsia="宋体" w:cs="宋体"/>
          <w:color w:val="444444"/>
          <w:sz w:val="32"/>
          <w:szCs w:val="32"/>
          <w:shd w:val="clear" w:color="auto" w:fill="FFFFFF"/>
        </w:rPr>
        <w:t>我局系市人民政府工作部门，主要职能有：</w:t>
      </w:r>
      <w:r>
        <w:rPr>
          <w:rFonts w:hint="eastAsia" w:ascii="宋体" w:hAnsi="宋体" w:eastAsia="宋体" w:cs="宋体"/>
          <w:sz w:val="32"/>
          <w:szCs w:val="32"/>
        </w:rPr>
        <w:t>（一）</w:t>
      </w:r>
      <w:r>
        <w:rPr>
          <w:rFonts w:hint="eastAsia" w:ascii="宋体" w:hAnsi="宋体" w:eastAsia="宋体" w:cs="宋体"/>
          <w:color w:val="444444"/>
          <w:sz w:val="32"/>
          <w:szCs w:val="32"/>
          <w:shd w:val="clear" w:color="auto" w:fill="FFFFFF"/>
        </w:rPr>
        <w:t>负责全市工业经济的日常运行调节</w:t>
      </w:r>
      <w:r>
        <w:rPr>
          <w:rFonts w:hint="eastAsia" w:ascii="宋体" w:hAnsi="宋体" w:eastAsia="宋体" w:cs="宋体"/>
          <w:color w:val="444444"/>
          <w:sz w:val="32"/>
          <w:szCs w:val="32"/>
          <w:shd w:val="clear" w:color="auto" w:fill="FFFFFF"/>
          <w:lang w:eastAsia="zh-CN"/>
        </w:rPr>
        <w:t>；</w:t>
      </w:r>
      <w:r>
        <w:rPr>
          <w:rFonts w:hint="eastAsia" w:ascii="宋体" w:hAnsi="宋体" w:eastAsia="宋体" w:cs="宋体"/>
          <w:sz w:val="32"/>
          <w:szCs w:val="32"/>
        </w:rPr>
        <w:t>（二）</w:t>
      </w:r>
      <w:r>
        <w:rPr>
          <w:rFonts w:hint="eastAsia" w:ascii="宋体" w:hAnsi="宋体" w:eastAsia="宋体" w:cs="宋体"/>
          <w:color w:val="444444"/>
          <w:sz w:val="32"/>
          <w:szCs w:val="32"/>
          <w:shd w:val="clear" w:color="auto" w:fill="FFFFFF"/>
        </w:rPr>
        <w:t>积极有效推进全市新型工业化和科学技术发展，继续开展企业周边环境整治，化解矛盾，维护企地环境，稳妥推进企业改制;</w:t>
      </w:r>
      <w:r>
        <w:rPr>
          <w:rFonts w:hint="eastAsia" w:ascii="宋体" w:hAnsi="宋体" w:eastAsia="宋体" w:cs="宋体"/>
          <w:color w:val="444444"/>
          <w:sz w:val="32"/>
          <w:szCs w:val="32"/>
          <w:shd w:val="clear" w:color="auto" w:fill="FFFFFF"/>
          <w:lang w:val="en-US" w:eastAsia="zh-CN"/>
        </w:rPr>
        <w:t>(三）</w:t>
      </w:r>
      <w:r>
        <w:rPr>
          <w:rFonts w:hint="eastAsia" w:ascii="宋体" w:hAnsi="宋体" w:eastAsia="宋体" w:cs="宋体"/>
          <w:color w:val="444444"/>
          <w:sz w:val="32"/>
          <w:szCs w:val="32"/>
          <w:shd w:val="clear" w:color="auto" w:fill="FFFFFF"/>
        </w:rPr>
        <w:t>培养规模工业企业，组织规模以上企业负责人进行培训;</w:t>
      </w:r>
      <w:r>
        <w:rPr>
          <w:rFonts w:hint="eastAsia" w:ascii="宋体" w:hAnsi="宋体" w:eastAsia="宋体" w:cs="宋体"/>
          <w:color w:val="444444"/>
          <w:sz w:val="32"/>
          <w:szCs w:val="32"/>
          <w:shd w:val="clear" w:color="auto" w:fill="FFFFFF"/>
          <w:lang w:eastAsia="zh-CN"/>
        </w:rPr>
        <w:t>（四）</w:t>
      </w:r>
      <w:r>
        <w:rPr>
          <w:rFonts w:hint="eastAsia" w:ascii="宋体" w:hAnsi="宋体" w:eastAsia="宋体" w:cs="宋体"/>
          <w:color w:val="444444"/>
          <w:sz w:val="32"/>
          <w:szCs w:val="32"/>
          <w:shd w:val="clear" w:color="auto" w:fill="FFFFFF"/>
        </w:rPr>
        <w:t>加大电力执法力度，维护用电秩序;</w:t>
      </w:r>
      <w:r>
        <w:rPr>
          <w:rFonts w:hint="eastAsia" w:ascii="宋体" w:hAnsi="宋体" w:eastAsia="宋体" w:cs="宋体"/>
          <w:color w:val="444444"/>
          <w:sz w:val="32"/>
          <w:szCs w:val="32"/>
          <w:shd w:val="clear" w:color="auto" w:fill="FFFFFF"/>
          <w:lang w:eastAsia="zh-CN"/>
        </w:rPr>
        <w:t>（五）</w:t>
      </w:r>
      <w:r>
        <w:rPr>
          <w:rFonts w:hint="eastAsia" w:ascii="宋体" w:hAnsi="宋体" w:eastAsia="宋体" w:cs="宋体"/>
          <w:color w:val="444444"/>
          <w:sz w:val="32"/>
          <w:szCs w:val="32"/>
          <w:shd w:val="clear" w:color="auto" w:fill="FFFFFF"/>
        </w:rPr>
        <w:t>科学编制“互联网+”湘乡信息化发展“十三五”规划、加大全市信息化建设培训力度、强化我市信息化建设、推进“两化融合”，加快“智慧湘乡·美丽乡村”建设;大力帮扶实体经济发展，力推“政企大联动”;</w:t>
      </w:r>
      <w:r>
        <w:rPr>
          <w:rFonts w:hint="eastAsia" w:ascii="宋体" w:hAnsi="宋体" w:eastAsia="宋体" w:cs="宋体"/>
          <w:color w:val="444444"/>
          <w:sz w:val="32"/>
          <w:szCs w:val="32"/>
          <w:shd w:val="clear" w:color="auto" w:fill="FFFFFF"/>
          <w:lang w:eastAsia="zh-CN"/>
        </w:rPr>
        <w:t>（六）</w:t>
      </w:r>
      <w:r>
        <w:rPr>
          <w:rFonts w:hint="eastAsia" w:ascii="宋体" w:hAnsi="宋体" w:eastAsia="宋体" w:cs="宋体"/>
          <w:color w:val="444444"/>
          <w:sz w:val="32"/>
          <w:szCs w:val="32"/>
          <w:shd w:val="clear" w:color="auto" w:fill="FFFFFF"/>
        </w:rPr>
        <w:t>合理配置我市科技资源，继续实施科技特派员制度，努力做好科技工作奖励、保密、评估、统计等工作。</w:t>
      </w:r>
    </w:p>
    <w:p>
      <w:pPr>
        <w:pStyle w:val="13"/>
        <w:spacing w:line="500" w:lineRule="exact"/>
        <w:ind w:firstLine="700" w:firstLineChars="250"/>
        <w:rPr>
          <w:rFonts w:hint="eastAsia" w:ascii="仿宋_GB2312" w:hAnsi="仿宋_GB2312" w:cs="仿宋_GB2312" w:eastAsiaTheme="minorEastAsia"/>
          <w:sz w:val="28"/>
          <w:szCs w:val="28"/>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rPr>
          <w:rFonts w:hint="eastAsia" w:ascii="宋体" w:hAnsi="宋体" w:eastAsia="宋体" w:cs="宋体"/>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科工局</w:t>
      </w:r>
      <w:r>
        <w:rPr>
          <w:rFonts w:hint="eastAsia" w:asciiTheme="minorEastAsia" w:hAnsiTheme="minorEastAsia"/>
          <w:bCs/>
          <w:kern w:val="0"/>
          <w:sz w:val="32"/>
          <w:szCs w:val="32"/>
        </w:rPr>
        <w:t>内设机构包括：</w:t>
      </w:r>
      <w:r>
        <w:rPr>
          <w:rFonts w:hint="eastAsia" w:ascii="宋体" w:hAnsi="宋体" w:eastAsia="宋体" w:cs="宋体"/>
          <w:color w:val="000000"/>
          <w:kern w:val="0"/>
          <w:sz w:val="32"/>
          <w:szCs w:val="32"/>
          <w:lang w:val="en-US" w:eastAsia="zh-CN" w:bidi="ar"/>
        </w:rPr>
        <w:t>办公室、党建办、人事股、财务股、经济运行股、投资规划股、法规股、原材料与节能利用管理股、中小企业管理股、信息化管理股、高新技术和社会发展科技股、农业科技股；</w:t>
      </w:r>
      <w:r>
        <w:rPr>
          <w:rFonts w:hint="eastAsia" w:ascii="宋体" w:hAnsi="宋体" w:eastAsia="宋体" w:cs="宋体"/>
          <w:color w:val="444444"/>
          <w:kern w:val="0"/>
          <w:sz w:val="32"/>
          <w:szCs w:val="32"/>
          <w:lang w:val="en-US" w:eastAsia="zh-CN" w:bidi="ar"/>
        </w:rPr>
        <w:t>下辖有市科技创新发展服务中心、</w:t>
      </w:r>
      <w:r>
        <w:rPr>
          <w:rFonts w:hint="eastAsia" w:ascii="宋体" w:hAnsi="宋体" w:eastAsia="宋体" w:cs="宋体"/>
          <w:b w:val="0"/>
          <w:bCs/>
          <w:sz w:val="32"/>
          <w:szCs w:val="32"/>
        </w:rPr>
        <w:t>湘乡市企业改革发展指导办公室</w:t>
      </w:r>
      <w:r>
        <w:rPr>
          <w:rFonts w:hint="eastAsia" w:ascii="宋体" w:hAnsi="宋体" w:eastAsia="宋体" w:cs="宋体"/>
          <w:color w:val="444444"/>
          <w:kern w:val="0"/>
          <w:sz w:val="32"/>
          <w:szCs w:val="32"/>
          <w:lang w:val="en-US" w:eastAsia="zh-CN" w:bidi="ar"/>
        </w:rPr>
        <w:t>等2 个事业机构，均未实现独立核算。</w:t>
      </w:r>
    </w:p>
    <w:p>
      <w:pPr>
        <w:ind w:firstLine="640" w:firstLineChars="200"/>
        <w:rPr>
          <w:rFonts w:hint="eastAsia" w:ascii="宋体" w:hAnsi="宋体" w:eastAsia="宋体" w:cs="宋体"/>
          <w:color w:val="000000"/>
          <w:kern w:val="0"/>
          <w:sz w:val="32"/>
          <w:szCs w:val="32"/>
          <w:lang w:val="en-US" w:eastAsia="zh-CN" w:bidi="ar"/>
        </w:rPr>
      </w:pPr>
      <w:r>
        <w:rPr>
          <w:rFonts w:hint="eastAsia" w:ascii="宋体" w:hAnsi="宋体" w:eastAsia="宋体" w:cs="宋体"/>
          <w:color w:val="000000"/>
          <w:kern w:val="0"/>
          <w:sz w:val="32"/>
          <w:szCs w:val="32"/>
          <w:lang w:val="en-US" w:eastAsia="zh-CN" w:bidi="ar"/>
        </w:rPr>
        <w:t>（二）决算单位构成。科工局2020年部门决算汇总公开单位构成包括：湘乡市科技和工业信息化局单位本级。</w:t>
      </w:r>
    </w:p>
    <w:p>
      <w:pPr>
        <w:ind w:firstLine="640" w:firstLineChars="200"/>
        <w:rPr>
          <w:rFonts w:hint="eastAsia" w:ascii="宋体" w:hAnsi="宋体" w:eastAsia="宋体" w:cs="宋体"/>
          <w:color w:val="000000"/>
          <w:kern w:val="0"/>
          <w:sz w:val="32"/>
          <w:szCs w:val="32"/>
          <w:lang w:val="en-US" w:eastAsia="zh-CN" w:bidi="ar"/>
        </w:rPr>
      </w:pPr>
    </w:p>
    <w:p>
      <w:pPr>
        <w:ind w:firstLine="640" w:firstLineChars="200"/>
        <w:rPr>
          <w:rFonts w:hint="eastAsia" w:ascii="宋体" w:hAnsi="宋体" w:eastAsia="宋体" w:cs="宋体"/>
          <w:color w:val="000000"/>
          <w:kern w:val="0"/>
          <w:sz w:val="32"/>
          <w:szCs w:val="32"/>
          <w:lang w:val="en-US" w:eastAsia="zh-CN" w:bidi="ar"/>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13"/>
        <w:jc w:val="both"/>
        <w:rPr>
          <w:sz w:val="84"/>
          <w:szCs w:val="84"/>
        </w:rPr>
      </w:pPr>
    </w:p>
    <w:p>
      <w:pPr>
        <w:pStyle w:val="13"/>
        <w:jc w:val="center"/>
        <w:rPr>
          <w:sz w:val="84"/>
          <w:szCs w:val="84"/>
        </w:rPr>
      </w:pPr>
    </w:p>
    <w:p>
      <w:pPr>
        <w:pStyle w:val="13"/>
        <w:jc w:val="center"/>
        <w:rPr>
          <w:sz w:val="84"/>
          <w:szCs w:val="84"/>
        </w:rPr>
      </w:pPr>
      <w:r>
        <w:rPr>
          <w:rFonts w:hint="eastAsia"/>
          <w:sz w:val="84"/>
          <w:szCs w:val="84"/>
        </w:rPr>
        <w:t>第二部分</w:t>
      </w:r>
    </w:p>
    <w:p>
      <w:pPr>
        <w:pStyle w:val="13"/>
        <w:jc w:val="center"/>
        <w:rPr>
          <w:sz w:val="84"/>
          <w:szCs w:val="84"/>
        </w:rPr>
      </w:pPr>
    </w:p>
    <w:p>
      <w:pPr>
        <w:pStyle w:val="13"/>
        <w:jc w:val="center"/>
        <w:rPr>
          <w:sz w:val="84"/>
          <w:szCs w:val="84"/>
        </w:rPr>
      </w:pPr>
      <w:r>
        <w:rPr>
          <w:rFonts w:hint="eastAsia"/>
          <w:sz w:val="84"/>
          <w:szCs w:val="84"/>
        </w:rPr>
        <w:t>部门决算表</w:t>
      </w: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3974" w:type="dxa"/>
        <w:tblInd w:w="93" w:type="dxa"/>
        <w:tblLayout w:type="fixed"/>
        <w:tblCellMar>
          <w:top w:w="0" w:type="dxa"/>
          <w:left w:w="108" w:type="dxa"/>
          <w:bottom w:w="0" w:type="dxa"/>
          <w:right w:w="108" w:type="dxa"/>
        </w:tblCellMar>
      </w:tblPr>
      <w:tblGrid>
        <w:gridCol w:w="4126"/>
        <w:gridCol w:w="728"/>
        <w:gridCol w:w="352"/>
        <w:gridCol w:w="697"/>
        <w:gridCol w:w="232"/>
        <w:gridCol w:w="666"/>
        <w:gridCol w:w="3760"/>
        <w:gridCol w:w="773"/>
        <w:gridCol w:w="574"/>
        <w:gridCol w:w="657"/>
        <w:gridCol w:w="1409"/>
      </w:tblGrid>
      <w:tr>
        <w:tblPrEx>
          <w:tblCellMar>
            <w:top w:w="0" w:type="dxa"/>
            <w:left w:w="108" w:type="dxa"/>
            <w:bottom w:w="0" w:type="dxa"/>
            <w:right w:w="108" w:type="dxa"/>
          </w:tblCellMar>
        </w:tblPrEx>
        <w:trPr>
          <w:trHeight w:val="360" w:hRule="atLeast"/>
        </w:trPr>
        <w:tc>
          <w:tcPr>
            <w:tcW w:w="13974"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9"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snapToGrid w:val="0"/>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湘乡市科技和工业信息化局</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9"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6801"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rPr>
              <w:t>收入</w:t>
            </w:r>
          </w:p>
        </w:tc>
        <w:tc>
          <w:tcPr>
            <w:tcW w:w="7173"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947"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64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947"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64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rPr>
            </w:pPr>
            <w:r>
              <w:rPr>
                <w:rFonts w:hint="default" w:ascii="宋体" w:hAnsi="宋体" w:eastAsia="宋体" w:cs="宋体"/>
                <w:kern w:val="0"/>
                <w:sz w:val="22"/>
                <w:lang w:val="en-US" w:eastAsia="zh-CN"/>
              </w:rPr>
              <w:t>4690.8</w:t>
            </w:r>
            <w:r>
              <w:rPr>
                <w:rFonts w:hint="eastAsia" w:ascii="宋体" w:hAnsi="宋体" w:eastAsia="宋体" w:cs="宋体"/>
                <w:kern w:val="0"/>
                <w:sz w:val="22"/>
                <w:lang w:val="en-US" w:eastAsia="zh-CN"/>
              </w:rPr>
              <w:t>0</w:t>
            </w:r>
          </w:p>
        </w:tc>
        <w:tc>
          <w:tcPr>
            <w:tcW w:w="376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32</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0.49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rPr>
            </w:pPr>
            <w:r>
              <w:rPr>
                <w:rFonts w:hint="default" w:ascii="宋体" w:hAnsi="宋体" w:eastAsia="宋体" w:cs="宋体"/>
                <w:kern w:val="0"/>
                <w:sz w:val="22"/>
                <w:lang w:val="en-US" w:eastAsia="zh-CN"/>
              </w:rPr>
              <w:t>16</w:t>
            </w:r>
            <w:r>
              <w:rPr>
                <w:rFonts w:hint="eastAsia" w:ascii="宋体" w:hAnsi="宋体" w:eastAsia="宋体" w:cs="宋体"/>
                <w:kern w:val="0"/>
                <w:sz w:val="22"/>
                <w:lang w:val="en-US" w:eastAsia="zh-CN"/>
              </w:rPr>
              <w:t>.00</w:t>
            </w:r>
          </w:p>
        </w:tc>
        <w:tc>
          <w:tcPr>
            <w:tcW w:w="376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33</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34</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35</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36</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37</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3138.08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r>
              <w:rPr>
                <w:rFonts w:hint="eastAsia" w:cs="Arial"/>
                <w:color w:val="000000"/>
                <w:sz w:val="22"/>
              </w:rPr>
              <w:t>七、文化旅游体育与传媒支出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38</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3.54</w:t>
            </w:r>
          </w:p>
        </w:tc>
        <w:tc>
          <w:tcPr>
            <w:tcW w:w="376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rPr>
            </w:pPr>
            <w:r>
              <w:rPr>
                <w:rFonts w:hint="eastAsia" w:cs="Arial"/>
                <w:color w:val="000000"/>
                <w:sz w:val="22"/>
              </w:rPr>
              <w:t>八、社会保障和就业支出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39</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101.31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9</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6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0"/>
                <w:szCs w:val="20"/>
              </w:rPr>
            </w:pPr>
            <w:r>
              <w:rPr>
                <w:rFonts w:hint="eastAsia" w:cs="Arial"/>
                <w:color w:val="000000"/>
                <w:sz w:val="22"/>
              </w:rPr>
              <w:t>九、卫生健康支出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40</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248.8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10</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十、节能环保支出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41</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11</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十一、城乡社区支出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42</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12</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十二、农林水支出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43</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13</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十三、交通运输支出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44</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14</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十四、资源勘探工业信息等支出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45</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504.61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15</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十五、商业服务业等支出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46</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16</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十六、金融支出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47</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17</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十七、援助其他地区支出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48</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18</w:t>
            </w:r>
          </w:p>
        </w:tc>
        <w:tc>
          <w:tcPr>
            <w:tcW w:w="194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十八、自然资源海洋气象等支出</w:t>
            </w:r>
          </w:p>
        </w:tc>
        <w:tc>
          <w:tcPr>
            <w:tcW w:w="77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49</w:t>
            </w:r>
          </w:p>
        </w:tc>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19</w:t>
            </w:r>
          </w:p>
        </w:tc>
        <w:tc>
          <w:tcPr>
            <w:tcW w:w="194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十九、住房保障支出</w:t>
            </w:r>
          </w:p>
        </w:tc>
        <w:tc>
          <w:tcPr>
            <w:tcW w:w="77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50</w:t>
            </w:r>
          </w:p>
        </w:tc>
        <w:tc>
          <w:tcPr>
            <w:tcW w:w="2640"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33.92</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single" w:color="auto" w:sz="4" w:space="0"/>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20</w:t>
            </w:r>
          </w:p>
        </w:tc>
        <w:tc>
          <w:tcPr>
            <w:tcW w:w="1947"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single" w:color="auto" w:sz="4" w:space="0"/>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二十、粮油物资储备支出</w:t>
            </w:r>
          </w:p>
        </w:tc>
        <w:tc>
          <w:tcPr>
            <w:tcW w:w="773" w:type="dxa"/>
            <w:tcBorders>
              <w:top w:val="single" w:color="auto" w:sz="4" w:space="0"/>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51</w:t>
            </w:r>
          </w:p>
        </w:tc>
        <w:tc>
          <w:tcPr>
            <w:tcW w:w="2640" w:type="dxa"/>
            <w:gridSpan w:val="3"/>
            <w:tcBorders>
              <w:top w:val="single" w:color="auto" w:sz="4" w:space="0"/>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881.46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21</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二十一、国有资本经营预算支出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52</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22</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二十二、灾害防治及应急管理支出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53</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39.97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23</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二十三、其他支出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54</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24</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二十四、债务还本支出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55</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25</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二十五、债务付息支出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56</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26</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二十六、抗疫特别国债安排的支出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57</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16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27</w:t>
            </w:r>
          </w:p>
        </w:tc>
        <w:tc>
          <w:tcPr>
            <w:tcW w:w="1947" w:type="dxa"/>
            <w:gridSpan w:val="4"/>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0"/>
                <w:szCs w:val="20"/>
              </w:rPr>
            </w:pP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58</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4964.64</w:t>
            </w:r>
          </w:p>
        </w:tc>
      </w:tr>
      <w:tr>
        <w:tblPrEx>
          <w:tblCellMar>
            <w:top w:w="0" w:type="dxa"/>
            <w:left w:w="108" w:type="dxa"/>
            <w:bottom w:w="0" w:type="dxa"/>
            <w:right w:w="108" w:type="dxa"/>
          </w:tblCellMar>
        </w:tblPrEx>
        <w:trPr>
          <w:trHeight w:val="326"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28</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4710.34</w:t>
            </w:r>
          </w:p>
        </w:tc>
        <w:tc>
          <w:tcPr>
            <w:tcW w:w="3760"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0"/>
                <w:szCs w:val="20"/>
                <w:lang w:val="en-US" w:eastAsia="zh-CN" w:bidi="ar-SA"/>
              </w:rPr>
            </w:pPr>
            <w:r>
              <w:rPr>
                <w:rFonts w:hint="eastAsia" w:cs="Arial"/>
                <w:b/>
                <w:bCs/>
                <w:color w:val="000000"/>
                <w:sz w:val="22"/>
              </w:rPr>
              <w:t>本年支出合计</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59</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29</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376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b/>
                <w:bCs/>
                <w:kern w:val="0"/>
                <w:sz w:val="22"/>
                <w:szCs w:val="22"/>
                <w:lang w:val="en-US" w:eastAsia="zh-CN" w:bidi="ar-SA"/>
              </w:rPr>
            </w:pPr>
            <w:r>
              <w:rPr>
                <w:rFonts w:hint="eastAsia" w:cs="Arial"/>
                <w:color w:val="000000"/>
                <w:sz w:val="22"/>
              </w:rPr>
              <w:t>结余分配</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60</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180.04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30</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434.34</w:t>
            </w:r>
          </w:p>
        </w:tc>
        <w:tc>
          <w:tcPr>
            <w:tcW w:w="3760"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szCs w:val="22"/>
                <w:lang w:val="en-US" w:eastAsia="zh-CN" w:bidi="ar-SA"/>
              </w:rPr>
            </w:pPr>
            <w:r>
              <w:rPr>
                <w:rFonts w:hint="eastAsia" w:cs="Arial"/>
                <w:color w:val="000000"/>
                <w:sz w:val="22"/>
              </w:rPr>
              <w:t>年末结转和结余</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61</w:t>
            </w:r>
          </w:p>
        </w:tc>
        <w:tc>
          <w:tcPr>
            <w:tcW w:w="2640" w:type="dxa"/>
            <w:gridSpan w:val="3"/>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bCs/>
                <w:kern w:val="0"/>
                <w:sz w:val="22"/>
                <w:szCs w:val="22"/>
              </w:rPr>
            </w:pPr>
            <w:r>
              <w:rPr>
                <w:rFonts w:hint="eastAsia" w:asciiTheme="minorEastAsia" w:hAnsiTheme="minorEastAsia" w:eastAsiaTheme="minorEastAsia" w:cstheme="minorEastAsia"/>
                <w:b/>
                <w:bCs/>
                <w:color w:val="000000"/>
                <w:sz w:val="22"/>
                <w:szCs w:val="22"/>
              </w:rPr>
              <w:t>31</w:t>
            </w:r>
          </w:p>
        </w:tc>
        <w:tc>
          <w:tcPr>
            <w:tcW w:w="1947" w:type="dxa"/>
            <w:gridSpan w:val="4"/>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b/>
                <w:bCs/>
                <w:kern w:val="0"/>
                <w:sz w:val="22"/>
                <w:lang w:val="en-US" w:eastAsia="zh-CN"/>
              </w:rPr>
            </w:pPr>
            <w:r>
              <w:rPr>
                <w:rFonts w:hint="default" w:ascii="宋体" w:hAnsi="宋体" w:eastAsia="宋体" w:cs="宋体"/>
                <w:b/>
                <w:bCs/>
                <w:kern w:val="0"/>
                <w:sz w:val="22"/>
                <w:lang w:val="en-US" w:eastAsia="zh-CN"/>
              </w:rPr>
              <w:t>5144.68</w:t>
            </w:r>
          </w:p>
        </w:tc>
        <w:tc>
          <w:tcPr>
            <w:tcW w:w="37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color w:val="000000"/>
                <w:sz w:val="22"/>
              </w:rPr>
              <w:t>62</w:t>
            </w:r>
          </w:p>
        </w:tc>
        <w:tc>
          <w:tcPr>
            <w:tcW w:w="264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kern w:val="0"/>
                <w:sz w:val="22"/>
                <w:lang w:val="en-US" w:eastAsia="zh-CN"/>
              </w:rPr>
            </w:pPr>
            <w:r>
              <w:rPr>
                <w:rFonts w:hint="default" w:ascii="宋体" w:hAnsi="宋体" w:eastAsia="宋体" w:cs="宋体"/>
                <w:b/>
                <w:bCs/>
                <w:kern w:val="0"/>
                <w:sz w:val="22"/>
                <w:lang w:val="en-US" w:eastAsia="zh-CN"/>
              </w:rPr>
              <w:t>5144.68</w:t>
            </w:r>
          </w:p>
        </w:tc>
      </w:tr>
      <w:tr>
        <w:tblPrEx>
          <w:tblCellMar>
            <w:top w:w="0" w:type="dxa"/>
            <w:left w:w="108" w:type="dxa"/>
            <w:bottom w:w="0" w:type="dxa"/>
            <w:right w:w="108" w:type="dxa"/>
          </w:tblCellMar>
        </w:tblPrEx>
        <w:trPr>
          <w:trHeight w:val="1020" w:hRule="atLeast"/>
        </w:trPr>
        <w:tc>
          <w:tcPr>
            <w:tcW w:w="13974"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5428" w:type="dxa"/>
        <w:tblInd w:w="0" w:type="dxa"/>
        <w:tblLayout w:type="fixed"/>
        <w:tblCellMar>
          <w:top w:w="0" w:type="dxa"/>
          <w:left w:w="0" w:type="dxa"/>
          <w:bottom w:w="0" w:type="dxa"/>
          <w:right w:w="0" w:type="dxa"/>
        </w:tblCellMar>
      </w:tblPr>
      <w:tblGrid>
        <w:gridCol w:w="38"/>
        <w:gridCol w:w="840"/>
        <w:gridCol w:w="3042"/>
        <w:gridCol w:w="1641"/>
        <w:gridCol w:w="1627"/>
        <w:gridCol w:w="1560"/>
        <w:gridCol w:w="1653"/>
        <w:gridCol w:w="1707"/>
        <w:gridCol w:w="1694"/>
        <w:gridCol w:w="1626"/>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04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4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87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042"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ascii="宋体" w:hAnsi="宋体" w:eastAsia="宋体" w:cs="宋体"/>
                <w:color w:val="000000"/>
                <w:kern w:val="0"/>
                <w:sz w:val="20"/>
                <w:szCs w:val="20"/>
                <w:lang w:eastAsia="zh-CN"/>
              </w:rPr>
              <w:t>湘乡市科技和工业信息化局</w:t>
            </w:r>
            <w:r>
              <w:rPr>
                <w:rFonts w:hint="eastAsia"/>
              </w:rPr>
              <w:t>　</w:t>
            </w:r>
          </w:p>
        </w:tc>
        <w:tc>
          <w:tcPr>
            <w:tcW w:w="164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65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9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2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65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7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69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2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87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042"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64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2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5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9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2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7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04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4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2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5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9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2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92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6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6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5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65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7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69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62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92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b/>
                <w:bCs/>
                <w:sz w:val="24"/>
                <w:szCs w:val="24"/>
              </w:rPr>
            </w:pPr>
            <w:r>
              <w:rPr>
                <w:rFonts w:hint="eastAsia"/>
                <w:b/>
                <w:bCs/>
              </w:rPr>
              <w:t>合计</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lang w:val="en-US" w:eastAsia="zh-CN"/>
              </w:rPr>
              <w:t xml:space="preserve">4710.34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lang w:val="en-US" w:eastAsia="zh-CN"/>
              </w:rPr>
              <w:t xml:space="preserve">4706.80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bCs/>
                <w:sz w:val="21"/>
                <w:szCs w:val="21"/>
                <w:lang w:val="en-US" w:eastAsia="zh-CN"/>
              </w:rPr>
              <w:t>3.54</w:t>
            </w:r>
            <w:r>
              <w:rPr>
                <w:rFonts w:hint="eastAsia" w:asciiTheme="minorEastAsia" w:hAnsiTheme="minorEastAsia" w:eastAsiaTheme="minorEastAsia" w:cstheme="minorEastAsia"/>
                <w:sz w:val="21"/>
                <w:szCs w:val="21"/>
                <w:lang w:val="en-US" w:eastAsia="zh-CN"/>
              </w:rPr>
              <w:t>　</w:t>
            </w: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201</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一般公共服务支出</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0.49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0.49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w:t>
            </w:r>
          </w:p>
        </w:tc>
      </w:tr>
      <w:tr>
        <w:tblPrEx>
          <w:tblCellMar>
            <w:top w:w="0" w:type="dxa"/>
            <w:left w:w="0" w:type="dxa"/>
            <w:bottom w:w="0" w:type="dxa"/>
            <w:right w:w="0" w:type="dxa"/>
          </w:tblCellMar>
        </w:tblPrEx>
        <w:trPr>
          <w:trHeight w:val="481"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20101</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人大事务</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0.49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0.49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w:t>
            </w: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2010199</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其他人大事务支出</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0.49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0.49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w:t>
            </w: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科学技术支出</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3152.59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3149.05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3.54　</w:t>
            </w: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20601</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科学技术管理事务</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796.91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793.37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3.54　</w:t>
            </w: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2060101</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行政运行</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547.61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544.07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asciiTheme="minorEastAsia" w:hAnsiTheme="minorEastAsia" w:eastAsiaTheme="minorEastAsia" w:cstheme="minorEastAsia"/>
                <w:sz w:val="21"/>
                <w:szCs w:val="21"/>
                <w:lang w:val="en-US" w:eastAsia="zh-CN"/>
              </w:rPr>
              <w:t>3.54</w:t>
            </w:r>
            <w:r>
              <w:rPr>
                <w:rFonts w:hint="eastAsia"/>
              </w:rPr>
              <w:t>　</w:t>
            </w: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2060102</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一般行政管理事务</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249.30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249.30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20604</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技术研究与开发</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1810.55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1810.55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2060404</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科技成果转化与扩散</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55.95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55.95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2060499</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其他技术研究与开发支出</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1754.60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1754.60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20607</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科学技术普及</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4.50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4.50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2060702</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科普活动</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4.50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4.50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20699</w:t>
            </w:r>
          </w:p>
        </w:tc>
        <w:tc>
          <w:tcPr>
            <w:tcW w:w="304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其他科学技术支出</w:t>
            </w:r>
          </w:p>
        </w:tc>
        <w:tc>
          <w:tcPr>
            <w:tcW w:w="16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540.63 </w:t>
            </w:r>
          </w:p>
        </w:tc>
        <w:tc>
          <w:tcPr>
            <w:tcW w:w="162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540.63 </w:t>
            </w:r>
          </w:p>
        </w:tc>
        <w:tc>
          <w:tcPr>
            <w:tcW w:w="15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eastAsiaTheme="minorEastAsia"/>
                <w:lang w:val="en-US" w:eastAsia="zh-CN"/>
              </w:rPr>
            </w:pPr>
          </w:p>
        </w:tc>
        <w:tc>
          <w:tcPr>
            <w:tcW w:w="17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2069999</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其他科学技术支出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540.63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540.63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社会保障和就业支出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110.08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110.08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20805</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行政事业单位养老支出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73.08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73.08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2080501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行政单位离退休</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19.28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19.28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2080505</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机关事业单位基本养老保险缴费支出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53.80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53.80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20825</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其他生活救助</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2082501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其他城市生活救助</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20899</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其他社会保障和就业支出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36.00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36.00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2089901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其他社会保障和就业支出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36.00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36.00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210</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卫生健康支出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248.80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248.80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21004</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公共卫生</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221.90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221.90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2100410</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突发公共卫生事件应急处理</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221.90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221.90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21011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行政事业单位医疗</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26.90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26.90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2101102</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  事业单位医疗</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26.90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26.90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215</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资源勘探工业信息等支出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267.00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267.00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21502</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制造业</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120.00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120.00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2150299</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其他制造业支出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120.00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120.00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21508</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支持中小企业发展和管理支出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147.00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147.00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2150805</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  中小企业发展专项</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147.00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147.00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221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住房保障支出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33.92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33.92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22102</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住房改革支出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33.92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33.92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2210201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  住房公积金</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33.92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33.92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222</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粮油物资储备支出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881.46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881.46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22205</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重要商品储备</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881.46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881.46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2220599</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  其他重要商品储备支出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881.46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881.46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234</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抗疫特别国债安排的支出</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16.00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16.00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23401</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基础设施建设</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16.00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16.00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87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2340102</w:t>
            </w:r>
          </w:p>
        </w:tc>
        <w:tc>
          <w:tcPr>
            <w:tcW w:w="304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  重大疫情防控救治体系建设</w:t>
            </w:r>
          </w:p>
        </w:tc>
        <w:tc>
          <w:tcPr>
            <w:tcW w:w="164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16.00 </w:t>
            </w:r>
          </w:p>
        </w:tc>
        <w:tc>
          <w:tcPr>
            <w:tcW w:w="16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jc w:val="righ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16.00 </w:t>
            </w:r>
          </w:p>
        </w:tc>
        <w:tc>
          <w:tcPr>
            <w:tcW w:w="156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9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62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5428" w:type="dxa"/>
            <w:gridSpan w:val="10"/>
            <w:tcBorders>
              <w:top w:val="single" w:color="auto" w:sz="4" w:space="0"/>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8"/>
        <w:tblpPr w:leftFromText="180" w:rightFromText="180" w:vertAnchor="text" w:horzAnchor="page" w:tblpX="1775" w:tblpY="617"/>
        <w:tblOverlap w:val="never"/>
        <w:tblW w:w="13183" w:type="dxa"/>
        <w:tblInd w:w="0" w:type="dxa"/>
        <w:tblLayout w:type="fixed"/>
        <w:tblCellMar>
          <w:top w:w="0" w:type="dxa"/>
          <w:left w:w="108" w:type="dxa"/>
          <w:bottom w:w="0" w:type="dxa"/>
          <w:right w:w="108" w:type="dxa"/>
        </w:tblCellMar>
      </w:tblPr>
      <w:tblGrid>
        <w:gridCol w:w="1042"/>
        <w:gridCol w:w="222"/>
        <w:gridCol w:w="3683"/>
        <w:gridCol w:w="1680"/>
        <w:gridCol w:w="1293"/>
        <w:gridCol w:w="1467"/>
        <w:gridCol w:w="1133"/>
        <w:gridCol w:w="1253"/>
        <w:gridCol w:w="1410"/>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6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9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379" w:hRule="atLeast"/>
        </w:trPr>
        <w:tc>
          <w:tcPr>
            <w:tcW w:w="6627"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湘乡市科技和工业信息化局</w:t>
            </w:r>
            <w:r>
              <w:rPr>
                <w:rFonts w:hint="eastAsia" w:ascii="宋体" w:hAnsi="宋体" w:eastAsia="宋体" w:cs="宋体"/>
                <w:kern w:val="0"/>
                <w:sz w:val="24"/>
                <w:szCs w:val="24"/>
              </w:rPr>
              <w:t>　　</w:t>
            </w:r>
          </w:p>
        </w:tc>
        <w:tc>
          <w:tcPr>
            <w:tcW w:w="129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67"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94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9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1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68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8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1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94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9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6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1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4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94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合计</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bCs/>
                <w:kern w:val="0"/>
                <w:sz w:val="21"/>
                <w:szCs w:val="21"/>
                <w:lang w:val="en-US"/>
              </w:rPr>
            </w:pPr>
            <w:r>
              <w:rPr>
                <w:rFonts w:hint="eastAsia" w:asciiTheme="minorEastAsia" w:hAnsiTheme="minorEastAsia" w:eastAsiaTheme="minorEastAsia" w:cstheme="minorEastAsia"/>
                <w:b/>
                <w:bCs/>
                <w:i w:val="0"/>
                <w:color w:val="000000"/>
                <w:kern w:val="0"/>
                <w:sz w:val="21"/>
                <w:szCs w:val="21"/>
                <w:u w:val="none"/>
                <w:lang w:val="en-US" w:eastAsia="zh-CN" w:bidi="ar"/>
              </w:rPr>
              <w:t xml:space="preserve">4964.64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bCs/>
                <w:kern w:val="0"/>
                <w:sz w:val="21"/>
                <w:szCs w:val="21"/>
                <w:lang w:val="en-US"/>
              </w:rPr>
            </w:pPr>
            <w:r>
              <w:rPr>
                <w:rFonts w:hint="eastAsia" w:asciiTheme="minorEastAsia" w:hAnsiTheme="minorEastAsia" w:eastAsiaTheme="minorEastAsia" w:cstheme="minorEastAsia"/>
                <w:b/>
                <w:bCs/>
                <w:i w:val="0"/>
                <w:color w:val="000000"/>
                <w:kern w:val="0"/>
                <w:sz w:val="21"/>
                <w:szCs w:val="21"/>
                <w:u w:val="none"/>
                <w:lang w:val="en-US" w:eastAsia="zh-CN" w:bidi="ar"/>
              </w:rPr>
              <w:t xml:space="preserve">874.29 </w:t>
            </w: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bCs/>
                <w:kern w:val="0"/>
                <w:sz w:val="21"/>
                <w:szCs w:val="21"/>
                <w:lang w:val="en-US"/>
              </w:rPr>
            </w:pPr>
            <w:r>
              <w:rPr>
                <w:rFonts w:hint="eastAsia" w:asciiTheme="minorEastAsia" w:hAnsiTheme="minorEastAsia" w:eastAsiaTheme="minorEastAsia" w:cstheme="minorEastAsia"/>
                <w:b/>
                <w:bCs/>
                <w:i w:val="0"/>
                <w:color w:val="000000"/>
                <w:kern w:val="0"/>
                <w:sz w:val="21"/>
                <w:szCs w:val="21"/>
                <w:u w:val="none"/>
                <w:lang w:val="en-US" w:eastAsia="zh-CN" w:bidi="ar"/>
              </w:rPr>
              <w:t xml:space="preserve">4090.35 </w:t>
            </w:r>
          </w:p>
        </w:tc>
        <w:tc>
          <w:tcPr>
            <w:tcW w:w="11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4"/>
                <w:szCs w:val="24"/>
              </w:rPr>
            </w:pPr>
            <w:r>
              <w:rPr>
                <w:rFonts w:hint="eastAsia" w:ascii="宋体" w:hAnsi="宋体" w:eastAsia="宋体" w:cs="宋体"/>
                <w:b/>
                <w:bCs/>
                <w:kern w:val="0"/>
                <w:sz w:val="24"/>
                <w:szCs w:val="24"/>
              </w:rPr>
              <w:t>　</w:t>
            </w: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4"/>
                <w:szCs w:val="24"/>
              </w:rPr>
            </w:pPr>
            <w:r>
              <w:rPr>
                <w:rFonts w:hint="eastAsia" w:ascii="宋体" w:hAnsi="宋体" w:eastAsia="宋体" w:cs="宋体"/>
                <w:b/>
                <w:bCs/>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4"/>
                <w:szCs w:val="24"/>
              </w:rPr>
            </w:pPr>
            <w:r>
              <w:rPr>
                <w:rFonts w:hint="eastAsia" w:ascii="宋体" w:hAnsi="宋体" w:eastAsia="宋体" w:cs="宋体"/>
                <w:b/>
                <w:bCs/>
                <w:kern w:val="0"/>
                <w:sz w:val="24"/>
                <w:szCs w:val="24"/>
              </w:rPr>
              <w:t>　</w:t>
            </w:r>
          </w:p>
        </w:tc>
      </w:tr>
      <w:tr>
        <w:tblPrEx>
          <w:tblCellMar>
            <w:top w:w="0" w:type="dxa"/>
            <w:left w:w="108" w:type="dxa"/>
            <w:bottom w:w="0" w:type="dxa"/>
            <w:right w:w="108" w:type="dxa"/>
          </w:tblCellMar>
        </w:tblPrEx>
        <w:trPr>
          <w:trHeight w:val="463"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201</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一般公共服务支出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1467"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20101</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人大事务</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1467"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2010199</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其他人大事务支出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1467"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科学技术支出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3138.08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711.67 </w:t>
            </w: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2426.41 </w:t>
            </w:r>
          </w:p>
        </w:tc>
        <w:tc>
          <w:tcPr>
            <w:tcW w:w="113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20601</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科学技术管理事务</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782.40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533.10 </w:t>
            </w: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249.30 </w:t>
            </w:r>
          </w:p>
        </w:tc>
        <w:tc>
          <w:tcPr>
            <w:tcW w:w="113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2060101</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行政运行</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533.10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533.10 </w:t>
            </w:r>
          </w:p>
        </w:tc>
        <w:tc>
          <w:tcPr>
            <w:tcW w:w="1467"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2060102</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一般行政管理事务</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249.30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249.30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20604</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技术研究与开发</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1810.55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1810.55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18"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2060404</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科技成果转化与扩散</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55.95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55.95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2060499</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其他技术研究与开发支出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1754.60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1754.60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20607</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科学技术普及</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2060702</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科普活动</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lang w:val="en-US" w:eastAsia="zh-CN"/>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20699</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其他科学技术支出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540.63 </w:t>
            </w:r>
          </w:p>
        </w:tc>
        <w:tc>
          <w:tcPr>
            <w:tcW w:w="129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178.57 </w:t>
            </w: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362.06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2069999</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其他科学技术支出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540.63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178.57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362.06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社会保障和就业支出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101.31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101.31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20805</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行政事业单位养老支出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64.31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64.31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2080501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行政单位离退休</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10.51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10.51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2080505</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机关事业单位基本养老保险缴费支出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53.80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53.80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20825</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其他生活救助</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2082501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其他城市生活救助</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20899</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其他社会保障和就业支出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2089901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其他社会保障和就业支出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210</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卫生健康支出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248.80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21004</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公共卫生</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2100410</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突发公共卫生事件应急处理</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21011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行政事业单位医疗</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2101102</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事业单位医疗</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资源勘探工业信息等支出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504.61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504.61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21502</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制造业</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2150299</w:t>
            </w:r>
          </w:p>
        </w:tc>
        <w:tc>
          <w:tcPr>
            <w:tcW w:w="368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其他制造业支出</w:t>
            </w:r>
          </w:p>
        </w:tc>
        <w:tc>
          <w:tcPr>
            <w:tcW w:w="168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c>
          <w:tcPr>
            <w:tcW w:w="1293" w:type="dxa"/>
            <w:tcBorders>
              <w:top w:val="single" w:color="auto" w:sz="4" w:space="0"/>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c>
          <w:tcPr>
            <w:tcW w:w="1133" w:type="dxa"/>
            <w:tcBorders>
              <w:top w:val="single" w:color="auto" w:sz="4" w:space="0"/>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21508</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支持中小企业发展和管理支出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359.61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359.61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2150801</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行政运行</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136.59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136.59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2150802</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一般行政管理事务</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10.00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10.00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2150805</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中小企业发展专项</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194.22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194.22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2150899</w:t>
            </w:r>
          </w:p>
        </w:tc>
        <w:tc>
          <w:tcPr>
            <w:tcW w:w="368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其他支持中小企业发展和管理支出</w:t>
            </w:r>
          </w:p>
        </w:tc>
        <w:tc>
          <w:tcPr>
            <w:tcW w:w="168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18.80 </w:t>
            </w:r>
          </w:p>
        </w:tc>
        <w:tc>
          <w:tcPr>
            <w:tcW w:w="1293" w:type="dxa"/>
            <w:tcBorders>
              <w:top w:val="nil"/>
              <w:left w:val="nil"/>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18.80 </w:t>
            </w:r>
          </w:p>
        </w:tc>
        <w:tc>
          <w:tcPr>
            <w:tcW w:w="1133"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21599</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其他资源勘探工业信息等支出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2159904</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技术改造支出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住房保障支出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22102</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住房改革支出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222</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粮油物资储备支出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22205</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重要商品储备</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2220599</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其他重要商品储备支出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224</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灾害防治及应急管理支出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22401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应急管理事务</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color w:val="00000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2240199</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其他应急管理支出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lang w:val="en-US" w:eastAsia="zh-CN"/>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234</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抗疫特别国债安排的支出</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16.00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16.00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23401</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基础设施建设</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16.00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16.00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63"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2340102</w:t>
            </w:r>
          </w:p>
        </w:tc>
        <w:tc>
          <w:tcPr>
            <w:tcW w:w="368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重大疫情防控救治体系建设</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16.00 </w:t>
            </w:r>
          </w:p>
        </w:tc>
        <w:tc>
          <w:tcPr>
            <w:tcW w:w="1293"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Theme="minorEastAsia" w:hAnsiTheme="minorEastAsia" w:eastAsiaTheme="minorEastAsia" w:cstheme="minorEastAsia"/>
                <w:kern w:val="0"/>
                <w:sz w:val="21"/>
                <w:szCs w:val="21"/>
              </w:rPr>
            </w:pP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16.00 </w:t>
            </w:r>
          </w:p>
        </w:tc>
        <w:tc>
          <w:tcPr>
            <w:tcW w:w="11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4"/>
                <w:szCs w:val="24"/>
              </w:rPr>
            </w:pPr>
          </w:p>
        </w:tc>
        <w:tc>
          <w:tcPr>
            <w:tcW w:w="12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183" w:type="dxa"/>
            <w:gridSpan w:val="9"/>
            <w:tcBorders>
              <w:top w:val="single" w:color="auto" w:sz="4"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p>
            <w:pPr>
              <w:pStyle w:val="10"/>
              <w:rPr>
                <w:rFonts w:ascii="宋体" w:hAnsi="宋体" w:eastAsia="宋体" w:cs="宋体"/>
                <w:kern w:val="0"/>
                <w:sz w:val="24"/>
                <w:szCs w:val="24"/>
              </w:rPr>
            </w:pPr>
          </w:p>
          <w:p>
            <w:pPr>
              <w:pStyle w:val="10"/>
              <w:rPr>
                <w:rFonts w:ascii="宋体" w:hAnsi="宋体" w:eastAsia="宋体" w:cs="宋体"/>
                <w:kern w:val="0"/>
                <w:sz w:val="24"/>
                <w:szCs w:val="24"/>
              </w:rPr>
            </w:pPr>
          </w:p>
          <w:p>
            <w:pPr>
              <w:pStyle w:val="10"/>
              <w:rPr>
                <w:rFonts w:ascii="宋体" w:hAnsi="宋体" w:eastAsia="宋体" w:cs="宋体"/>
                <w:kern w:val="0"/>
                <w:sz w:val="24"/>
                <w:szCs w:val="24"/>
              </w:rPr>
            </w:pPr>
          </w:p>
          <w:p>
            <w:pPr>
              <w:pStyle w:val="10"/>
              <w:rPr>
                <w:rFonts w:ascii="宋体" w:hAnsi="宋体" w:eastAsia="宋体" w:cs="宋体"/>
                <w:kern w:val="0"/>
                <w:sz w:val="24"/>
                <w:szCs w:val="24"/>
              </w:rPr>
            </w:pPr>
          </w:p>
          <w:p>
            <w:pPr>
              <w:pStyle w:val="10"/>
              <w:rPr>
                <w:rFonts w:ascii="宋体" w:hAnsi="宋体" w:eastAsia="宋体" w:cs="宋体"/>
                <w:kern w:val="0"/>
                <w:sz w:val="24"/>
                <w:szCs w:val="24"/>
              </w:rPr>
            </w:pPr>
          </w:p>
          <w:p>
            <w:pPr>
              <w:pStyle w:val="10"/>
              <w:rPr>
                <w:rFonts w:ascii="宋体" w:hAnsi="宋体" w:eastAsia="宋体" w:cs="宋体"/>
                <w:kern w:val="0"/>
                <w:sz w:val="24"/>
                <w:szCs w:val="24"/>
              </w:rPr>
            </w:pPr>
          </w:p>
          <w:p>
            <w:pPr>
              <w:widowControl/>
              <w:jc w:val="right"/>
              <w:rPr>
                <w:rFonts w:ascii="宋体" w:hAnsi="宋体" w:eastAsia="宋体" w:cs="宋体"/>
                <w:kern w:val="0"/>
                <w:sz w:val="24"/>
                <w:szCs w:val="24"/>
              </w:rPr>
            </w:pPr>
          </w:p>
          <w:p>
            <w:pPr>
              <w:widowControl/>
              <w:jc w:val="right"/>
              <w:rPr>
                <w:rFonts w:ascii="宋体" w:hAnsi="宋体" w:eastAsia="宋体" w:cs="宋体"/>
                <w:kern w:val="0"/>
                <w:sz w:val="24"/>
                <w:szCs w:val="24"/>
              </w:rPr>
            </w:pPr>
          </w:p>
          <w:p>
            <w:pPr>
              <w:widowControl/>
              <w:jc w:val="right"/>
              <w:rPr>
                <w:rFonts w:ascii="宋体" w:hAnsi="宋体" w:eastAsia="宋体" w:cs="宋体"/>
                <w:kern w:val="0"/>
                <w:sz w:val="24"/>
                <w:szCs w:val="24"/>
              </w:rPr>
            </w:pPr>
          </w:p>
          <w:p>
            <w:pPr>
              <w:widowControl/>
              <w:jc w:val="right"/>
              <w:rPr>
                <w:rFonts w:ascii="宋体" w:hAnsi="宋体" w:eastAsia="宋体" w:cs="宋体"/>
                <w:kern w:val="0"/>
                <w:sz w:val="24"/>
                <w:szCs w:val="24"/>
              </w:rPr>
            </w:pPr>
          </w:p>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湘乡市科技和工业信息化局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4690.80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32</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0.49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0.49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16.00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33</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34</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35</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36</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37</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3138.08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3138.08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r>
              <w:rPr>
                <w:rFonts w:hint="eastAsia" w:cs="Arial"/>
                <w:color w:val="000000"/>
                <w:sz w:val="22"/>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38</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rPr>
            </w:pPr>
            <w:r>
              <w:rPr>
                <w:rFonts w:hint="eastAsia" w:cs="Arial"/>
                <w:color w:val="00000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39</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101.31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101.31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40</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248.80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248.80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41</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42</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43</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44</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45</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504.61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504.61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46</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16</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十六、金融支出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47</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17</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十七、援助其他地区支出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48</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18</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十八、自然资源海洋气象等支出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49</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19</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十九、住房保障支出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50</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33.92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33.92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20</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二十、粮油物资储备支出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51</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881.46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881.46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21</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二十一、国有资本经营预算支出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52</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22</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二十二、灾害防治及应急管理支出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53</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39.97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39.97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23</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二十三、其他支出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54</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24</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二十四、债务还本支出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55</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25</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二十五、债务付息支出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56</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26</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二十六、抗疫特别国债安排的支出</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57</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16.00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16.00 </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szCs w:val="22"/>
                <w:lang w:val="en-US" w:eastAsia="zh-CN" w:bidi="ar-SA"/>
              </w:rPr>
            </w:pPr>
            <w:r>
              <w:rPr>
                <w:rFonts w:hint="eastAsia" w:ascii="宋体" w:hAnsi="宋体" w:eastAsia="宋体" w:cs="宋体"/>
                <w:b/>
                <w:bCs/>
                <w:kern w:val="0"/>
                <w:sz w:val="22"/>
              </w:rPr>
              <w:t>本年收入合计</w:t>
            </w: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27</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4706.80 </w:t>
            </w:r>
          </w:p>
        </w:tc>
        <w:tc>
          <w:tcPr>
            <w:tcW w:w="34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szCs w:val="22"/>
                <w:lang w:val="en-US" w:eastAsia="zh-CN" w:bidi="ar-SA"/>
              </w:rPr>
            </w:pPr>
            <w:r>
              <w:rPr>
                <w:rFonts w:hint="eastAsia" w:ascii="宋体" w:hAnsi="宋体" w:eastAsia="宋体" w:cs="宋体"/>
                <w:b/>
                <w:bCs/>
                <w:kern w:val="0"/>
                <w:sz w:val="22"/>
              </w:rPr>
              <w:t>本年支出合计</w:t>
            </w:r>
          </w:p>
        </w:tc>
        <w:tc>
          <w:tcPr>
            <w:tcW w:w="10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58</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4964.64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4964.64 </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16.00 </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年初财政拨款结转和结余</w:t>
            </w:r>
          </w:p>
        </w:tc>
        <w:tc>
          <w:tcPr>
            <w:tcW w:w="4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078" w:type="dxa"/>
            <w:tcBorders>
              <w:top w:val="single" w:color="auto" w:sz="4" w:space="0"/>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434.34 </w:t>
            </w:r>
          </w:p>
        </w:tc>
        <w:tc>
          <w:tcPr>
            <w:tcW w:w="341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年末财政拨款结转和结余</w:t>
            </w:r>
          </w:p>
        </w:tc>
        <w:tc>
          <w:tcPr>
            <w:tcW w:w="106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1573" w:type="dxa"/>
            <w:tcBorders>
              <w:top w:val="single" w:color="auto" w:sz="4" w:space="0"/>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176.50 </w:t>
            </w:r>
          </w:p>
        </w:tc>
        <w:tc>
          <w:tcPr>
            <w:tcW w:w="1394" w:type="dxa"/>
            <w:tcBorders>
              <w:top w:val="single" w:color="auto" w:sz="4" w:space="0"/>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176.50 </w:t>
            </w:r>
          </w:p>
        </w:tc>
        <w:tc>
          <w:tcPr>
            <w:tcW w:w="1394" w:type="dxa"/>
            <w:tcBorders>
              <w:top w:val="single" w:color="auto" w:sz="4" w:space="0"/>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573"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ind w:firstLine="440" w:firstLineChars="200"/>
              <w:jc w:val="both"/>
              <w:rPr>
                <w:rFonts w:ascii="宋体" w:hAnsi="宋体" w:eastAsia="宋体" w:cs="宋体"/>
                <w:kern w:val="0"/>
                <w:sz w:val="22"/>
                <w:szCs w:val="22"/>
                <w:lang w:val="en-US" w:eastAsia="zh-CN" w:bidi="ar-SA"/>
              </w:rPr>
            </w:pPr>
            <w:r>
              <w:rPr>
                <w:rFonts w:hint="eastAsia" w:ascii="宋体" w:hAnsi="宋体" w:eastAsia="宋体" w:cs="宋体"/>
                <w:kern w:val="0"/>
                <w:sz w:val="22"/>
              </w:rPr>
              <w:t>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28</w:t>
            </w:r>
          </w:p>
        </w:tc>
        <w:tc>
          <w:tcPr>
            <w:tcW w:w="1078"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434.34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ind w:firstLine="440" w:firstLineChars="200"/>
              <w:jc w:val="both"/>
              <w:rPr>
                <w:rFonts w:ascii="宋体" w:hAnsi="宋体" w:eastAsia="宋体" w:cs="宋体"/>
                <w:kern w:val="0"/>
                <w:sz w:val="22"/>
                <w:szCs w:val="22"/>
                <w:lang w:val="en-US" w:eastAsia="zh-CN" w:bidi="ar-SA"/>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57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30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57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lang w:val="en-US" w:eastAsia="zh-CN" w:bidi="ar-SA"/>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31</w:t>
            </w:r>
          </w:p>
        </w:tc>
        <w:tc>
          <w:tcPr>
            <w:tcW w:w="1078"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5141.14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5141.14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5125.14 </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16.00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湘乡市科技和工业信息化局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117" w:type="dxa"/>
        <w:jc w:val="center"/>
        <w:tblLayout w:type="autofit"/>
        <w:tblCellMar>
          <w:top w:w="0" w:type="dxa"/>
          <w:left w:w="108" w:type="dxa"/>
          <w:bottom w:w="0" w:type="dxa"/>
          <w:right w:w="108" w:type="dxa"/>
        </w:tblCellMar>
      </w:tblPr>
      <w:tblGrid>
        <w:gridCol w:w="1200"/>
        <w:gridCol w:w="141"/>
        <w:gridCol w:w="3909"/>
        <w:gridCol w:w="2680"/>
        <w:gridCol w:w="3080"/>
        <w:gridCol w:w="3107"/>
      </w:tblGrid>
      <w:tr>
        <w:tblPrEx>
          <w:tblCellMar>
            <w:top w:w="0" w:type="dxa"/>
            <w:left w:w="108" w:type="dxa"/>
            <w:bottom w:w="0" w:type="dxa"/>
            <w:right w:w="108" w:type="dxa"/>
          </w:tblCellMar>
        </w:tblPrEx>
        <w:trPr>
          <w:trHeight w:val="405" w:hRule="atLeast"/>
          <w:jc w:val="center"/>
        </w:trPr>
        <w:tc>
          <w:tcPr>
            <w:tcW w:w="5250" w:type="dxa"/>
            <w:gridSpan w:val="3"/>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867"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5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6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0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107"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5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6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07"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05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6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07"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25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6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0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10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25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宋体" w:hAnsi="宋体" w:eastAsia="宋体" w:cs="宋体"/>
                <w:b/>
                <w:bCs/>
                <w:kern w:val="0"/>
                <w:sz w:val="24"/>
                <w:szCs w:val="24"/>
              </w:rPr>
              <w:t>合计</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b/>
                <w:bCs/>
                <w:i w:val="0"/>
                <w:color w:val="000000"/>
                <w:kern w:val="0"/>
                <w:sz w:val="21"/>
                <w:szCs w:val="21"/>
                <w:u w:val="none"/>
                <w:lang w:val="en-US" w:eastAsia="zh-CN" w:bidi="ar"/>
              </w:rPr>
              <w:t>49</w:t>
            </w:r>
            <w:r>
              <w:rPr>
                <w:rFonts w:hint="eastAsia" w:asciiTheme="minorEastAsia" w:hAnsiTheme="minorEastAsia" w:cstheme="minorEastAsia"/>
                <w:b/>
                <w:bCs/>
                <w:i w:val="0"/>
                <w:color w:val="000000"/>
                <w:kern w:val="0"/>
                <w:sz w:val="21"/>
                <w:szCs w:val="21"/>
                <w:u w:val="none"/>
                <w:lang w:val="en-US" w:eastAsia="zh-CN" w:bidi="ar"/>
              </w:rPr>
              <w:t>48</w:t>
            </w:r>
            <w:r>
              <w:rPr>
                <w:rFonts w:hint="eastAsia" w:asciiTheme="minorEastAsia" w:hAnsiTheme="minorEastAsia" w:eastAsiaTheme="minorEastAsia" w:cstheme="minorEastAsia"/>
                <w:b/>
                <w:bCs/>
                <w:i w:val="0"/>
                <w:color w:val="000000"/>
                <w:kern w:val="0"/>
                <w:sz w:val="21"/>
                <w:szCs w:val="21"/>
                <w:u w:val="none"/>
                <w:lang w:val="en-US" w:eastAsia="zh-CN" w:bidi="ar"/>
              </w:rPr>
              <w:t xml:space="preserve">.64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b/>
                <w:bCs/>
                <w:i w:val="0"/>
                <w:color w:val="000000"/>
                <w:kern w:val="0"/>
                <w:sz w:val="21"/>
                <w:szCs w:val="21"/>
                <w:u w:val="none"/>
                <w:lang w:val="en-US" w:eastAsia="zh-CN" w:bidi="ar"/>
              </w:rPr>
              <w:t xml:space="preserve">874.29 </w:t>
            </w:r>
          </w:p>
        </w:tc>
        <w:tc>
          <w:tcPr>
            <w:tcW w:w="3107" w:type="dxa"/>
            <w:tcBorders>
              <w:top w:val="nil"/>
              <w:left w:val="nil"/>
              <w:bottom w:val="single" w:color="auto" w:sz="4"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b/>
                <w:bCs/>
                <w:i w:val="0"/>
                <w:color w:val="000000"/>
                <w:kern w:val="0"/>
                <w:sz w:val="21"/>
                <w:szCs w:val="21"/>
                <w:u w:val="none"/>
                <w:lang w:val="en-US" w:eastAsia="zh-CN" w:bidi="ar"/>
              </w:rPr>
              <w:t>40</w:t>
            </w:r>
            <w:r>
              <w:rPr>
                <w:rFonts w:hint="eastAsia" w:asciiTheme="minorEastAsia" w:hAnsiTheme="minorEastAsia" w:cstheme="minorEastAsia"/>
                <w:b/>
                <w:bCs/>
                <w:i w:val="0"/>
                <w:color w:val="000000"/>
                <w:kern w:val="0"/>
                <w:sz w:val="21"/>
                <w:szCs w:val="21"/>
                <w:u w:val="none"/>
                <w:lang w:val="en-US" w:eastAsia="zh-CN" w:bidi="ar"/>
              </w:rPr>
              <w:t>74</w:t>
            </w:r>
            <w:r>
              <w:rPr>
                <w:rFonts w:hint="eastAsia" w:asciiTheme="minorEastAsia" w:hAnsiTheme="minorEastAsia" w:eastAsiaTheme="minorEastAsia" w:cstheme="minorEastAsia"/>
                <w:b/>
                <w:bCs/>
                <w:i w:val="0"/>
                <w:color w:val="000000"/>
                <w:kern w:val="0"/>
                <w:sz w:val="21"/>
                <w:szCs w:val="21"/>
                <w:u w:val="none"/>
                <w:lang w:val="en-US" w:eastAsia="zh-CN" w:bidi="ar"/>
              </w:rPr>
              <w:t xml:space="preserve">.35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201</w:t>
            </w:r>
          </w:p>
        </w:tc>
        <w:tc>
          <w:tcPr>
            <w:tcW w:w="39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一般公共服务支出</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3107" w:type="dxa"/>
            <w:tcBorders>
              <w:top w:val="nil"/>
              <w:left w:val="nil"/>
              <w:bottom w:val="single" w:color="auto" w:sz="4" w:space="0"/>
              <w:right w:val="single" w:color="auto" w:sz="8"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20101</w:t>
            </w:r>
          </w:p>
        </w:tc>
        <w:tc>
          <w:tcPr>
            <w:tcW w:w="39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人大事务</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3107" w:type="dxa"/>
            <w:tcBorders>
              <w:top w:val="nil"/>
              <w:left w:val="nil"/>
              <w:bottom w:val="single" w:color="auto" w:sz="4" w:space="0"/>
              <w:right w:val="single" w:color="auto" w:sz="8"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2010199</w:t>
            </w:r>
          </w:p>
        </w:tc>
        <w:tc>
          <w:tcPr>
            <w:tcW w:w="39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其他人大事务支出</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0.49 </w:t>
            </w:r>
          </w:p>
        </w:tc>
        <w:tc>
          <w:tcPr>
            <w:tcW w:w="3107" w:type="dxa"/>
            <w:tcBorders>
              <w:top w:val="nil"/>
              <w:left w:val="nil"/>
              <w:bottom w:val="single" w:color="auto" w:sz="4" w:space="0"/>
              <w:right w:val="single" w:color="auto" w:sz="8"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w:t>
            </w:r>
          </w:p>
        </w:tc>
        <w:tc>
          <w:tcPr>
            <w:tcW w:w="39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科学技术支出</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3138.08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711.67 </w:t>
            </w:r>
          </w:p>
        </w:tc>
        <w:tc>
          <w:tcPr>
            <w:tcW w:w="3107" w:type="dxa"/>
            <w:tcBorders>
              <w:top w:val="nil"/>
              <w:left w:val="nil"/>
              <w:bottom w:val="single" w:color="auto" w:sz="4"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2426.41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20601</w:t>
            </w:r>
          </w:p>
        </w:tc>
        <w:tc>
          <w:tcPr>
            <w:tcW w:w="39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科学技术管理事务</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782.40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533.10 </w:t>
            </w:r>
          </w:p>
        </w:tc>
        <w:tc>
          <w:tcPr>
            <w:tcW w:w="3107" w:type="dxa"/>
            <w:tcBorders>
              <w:top w:val="nil"/>
              <w:left w:val="nil"/>
              <w:bottom w:val="single" w:color="auto" w:sz="4"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249.30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2060101</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行政运行</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533.10 </w:t>
            </w:r>
          </w:p>
        </w:tc>
        <w:tc>
          <w:tcPr>
            <w:tcW w:w="30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533.10 </w:t>
            </w:r>
          </w:p>
        </w:tc>
        <w:tc>
          <w:tcPr>
            <w:tcW w:w="3107" w:type="dxa"/>
            <w:tcBorders>
              <w:top w:val="nil"/>
              <w:left w:val="nil"/>
              <w:bottom w:val="single" w:color="auto" w:sz="8" w:space="0"/>
              <w:right w:val="single" w:color="auto" w:sz="8"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2060102</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一般行政管理事务</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249.30 </w:t>
            </w:r>
          </w:p>
        </w:tc>
        <w:tc>
          <w:tcPr>
            <w:tcW w:w="3080" w:type="dxa"/>
            <w:tcBorders>
              <w:top w:val="nil"/>
              <w:left w:val="nil"/>
              <w:bottom w:val="single" w:color="auto" w:sz="8"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249.30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20604</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技术研究与开发</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1810.55 </w:t>
            </w:r>
          </w:p>
        </w:tc>
        <w:tc>
          <w:tcPr>
            <w:tcW w:w="3080" w:type="dxa"/>
            <w:tcBorders>
              <w:top w:val="nil"/>
              <w:left w:val="nil"/>
              <w:bottom w:val="single" w:color="auto" w:sz="8"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1810.55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2060404</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科技成果转化与扩散</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55.95 </w:t>
            </w:r>
          </w:p>
        </w:tc>
        <w:tc>
          <w:tcPr>
            <w:tcW w:w="3080" w:type="dxa"/>
            <w:tcBorders>
              <w:top w:val="nil"/>
              <w:left w:val="nil"/>
              <w:bottom w:val="single" w:color="auto" w:sz="8"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55.95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2060499</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其他技术研究与开发支出</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1754.60 </w:t>
            </w:r>
          </w:p>
        </w:tc>
        <w:tc>
          <w:tcPr>
            <w:tcW w:w="3080" w:type="dxa"/>
            <w:tcBorders>
              <w:top w:val="nil"/>
              <w:left w:val="nil"/>
              <w:bottom w:val="single" w:color="auto" w:sz="8"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1754.60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20607</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科学技术普及</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c>
          <w:tcPr>
            <w:tcW w:w="3080" w:type="dxa"/>
            <w:tcBorders>
              <w:top w:val="nil"/>
              <w:left w:val="nil"/>
              <w:bottom w:val="single" w:color="auto" w:sz="8"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2060702</w:t>
            </w:r>
          </w:p>
        </w:tc>
        <w:tc>
          <w:tcPr>
            <w:tcW w:w="3909"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科普活动</w:t>
            </w:r>
          </w:p>
        </w:tc>
        <w:tc>
          <w:tcPr>
            <w:tcW w:w="2680" w:type="dxa"/>
            <w:tcBorders>
              <w:top w:val="nil"/>
              <w:left w:val="nil"/>
              <w:bottom w:val="single" w:color="auto" w:sz="8"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c>
          <w:tcPr>
            <w:tcW w:w="3080" w:type="dxa"/>
            <w:tcBorders>
              <w:top w:val="nil"/>
              <w:left w:val="nil"/>
              <w:bottom w:val="single" w:color="auto" w:sz="8"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4.50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20699</w:t>
            </w:r>
          </w:p>
        </w:tc>
        <w:tc>
          <w:tcPr>
            <w:tcW w:w="39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其他科学技术支出</w:t>
            </w:r>
          </w:p>
        </w:tc>
        <w:tc>
          <w:tcPr>
            <w:tcW w:w="26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540.63 </w:t>
            </w:r>
          </w:p>
        </w:tc>
        <w:tc>
          <w:tcPr>
            <w:tcW w:w="308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178.57 </w:t>
            </w:r>
          </w:p>
        </w:tc>
        <w:tc>
          <w:tcPr>
            <w:tcW w:w="3107" w:type="dxa"/>
            <w:tcBorders>
              <w:top w:val="nil"/>
              <w:left w:val="nil"/>
              <w:bottom w:val="single" w:color="auto" w:sz="4" w:space="0"/>
              <w:right w:val="single" w:color="auto" w:sz="8"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362.06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2069999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其他科学技术支出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540.63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178.57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362.06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社会保障和就业支出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101.31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101.31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20805</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行政事业单位养老支出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64.31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64.31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2080501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行政单位离退休</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10.51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10.51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2080505</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机关事业单位基本养老保险缴费支出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53.80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53.80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20825</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其他生活救助</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2082501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其他城市生活救助</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其他社会保障和就业支出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2089901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其他社会保障和就业支出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36.00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210</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卫生健康支出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248.80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21004</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公共卫生</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2100410</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突发公共卫生事件应急处理</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221.90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21011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行政事业单位医疗</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2101102</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事业单位医疗</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26.90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资源勘探工业信息等支出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504.61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504.61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21502</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制造业</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2150299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其他制造业支出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120.00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21508</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支持中小企业发展和管理支出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359.61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359.61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2150801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行政运行</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136.59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136.59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2150802</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一般行政管理事务</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10.00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2150805</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中小企业发展专项</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194.22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194.22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2150899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其他支持中小企业发展和管理支出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18.80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18.80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其他资源勘探工业信息等支出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2159904</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 xml:space="preserve">  技术改造支出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hint="eastAsia" w:asciiTheme="minorEastAsia" w:hAnsiTheme="minorEastAsia" w:cstheme="minorEastAsia"/>
                <w:color w:val="000000"/>
                <w:sz w:val="21"/>
                <w:szCs w:val="21"/>
                <w:lang w:val="en-US" w:eastAsia="zh-CN"/>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25.00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221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住房保障支出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22102</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1"/>
                <w:szCs w:val="21"/>
                <w:u w:val="none"/>
                <w:lang w:val="en-US" w:eastAsia="zh-CN" w:bidi="ar"/>
              </w:rPr>
              <w:t>住房改革支出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hint="eastAsia"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 xml:space="preserve">33.92 </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222</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粮油物资储备支出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22205</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重要商品储备</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2220599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其他重要商品储备支出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881.46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224</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灾害防治及应急管理支出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22401</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应急管理事务</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r>
      <w:tr>
        <w:tblPrEx>
          <w:tblCellMar>
            <w:top w:w="0" w:type="dxa"/>
            <w:left w:w="108" w:type="dxa"/>
            <w:bottom w:w="0" w:type="dxa"/>
            <w:right w:w="108" w:type="dxa"/>
          </w:tblCellMar>
        </w:tblPrEx>
        <w:trPr>
          <w:trHeight w:val="450" w:hRule="atLeast"/>
          <w:jc w:val="center"/>
        </w:trPr>
        <w:tc>
          <w:tcPr>
            <w:tcW w:w="13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2240199</w:t>
            </w:r>
          </w:p>
        </w:tc>
        <w:tc>
          <w:tcPr>
            <w:tcW w:w="39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1"/>
                <w:szCs w:val="21"/>
                <w:u w:val="none"/>
                <w:lang w:val="en-US" w:eastAsia="zh-CN" w:bidi="ar"/>
              </w:rPr>
              <w:t xml:space="preserve">  其他应急管理支出</w:t>
            </w:r>
          </w:p>
        </w:tc>
        <w:tc>
          <w:tcPr>
            <w:tcW w:w="268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c>
          <w:tcPr>
            <w:tcW w:w="3080" w:type="dxa"/>
            <w:tcBorders>
              <w:top w:val="single" w:color="auto" w:sz="4" w:space="0"/>
              <w:left w:val="single" w:color="auto" w:sz="4" w:space="0"/>
              <w:bottom w:val="single" w:color="auto" w:sz="4" w:space="0"/>
              <w:right w:val="single" w:color="auto" w:sz="4" w:space="0"/>
            </w:tcBorders>
            <w:shd w:val="clear" w:color="auto" w:fill="auto"/>
            <w:vAlign w:val="bottom"/>
          </w:tcPr>
          <w:p>
            <w:pPr>
              <w:rPr>
                <w:rFonts w:ascii="Times New Roman" w:hAnsi="Times New Roman" w:eastAsia="仿宋_GB2312" w:cs="Times New Roman"/>
                <w:kern w:val="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right"/>
              <w:textAlignment w:val="bottom"/>
              <w:rPr>
                <w:rFonts w:ascii="Times New Roman" w:hAnsi="Times New Roman" w:eastAsia="仿宋_GB2312" w:cs="Times New Roman"/>
                <w:kern w:val="0"/>
                <w:szCs w:val="21"/>
              </w:rPr>
            </w:pPr>
            <w:r>
              <w:rPr>
                <w:rFonts w:hint="eastAsia" w:asciiTheme="minorEastAsia" w:hAnsiTheme="minorEastAsia" w:eastAsiaTheme="minorEastAsia" w:cstheme="minorEastAsia"/>
                <w:i w:val="0"/>
                <w:color w:val="000000"/>
                <w:kern w:val="0"/>
                <w:sz w:val="21"/>
                <w:szCs w:val="21"/>
                <w:u w:val="none"/>
                <w:lang w:val="en-US" w:eastAsia="zh-CN" w:bidi="ar"/>
              </w:rPr>
              <w:t xml:space="preserve">39.97 </w:t>
            </w:r>
          </w:p>
        </w:tc>
      </w:tr>
      <w:tr>
        <w:tblPrEx>
          <w:tblCellMar>
            <w:top w:w="0" w:type="dxa"/>
            <w:left w:w="108" w:type="dxa"/>
            <w:bottom w:w="0" w:type="dxa"/>
            <w:right w:w="108" w:type="dxa"/>
          </w:tblCellMar>
        </w:tblPrEx>
        <w:trPr>
          <w:trHeight w:val="645" w:hRule="atLeast"/>
          <w:jc w:val="center"/>
        </w:trPr>
        <w:tc>
          <w:tcPr>
            <w:tcW w:w="14117" w:type="dxa"/>
            <w:gridSpan w:val="6"/>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70" w:type="dxa"/>
        <w:tblInd w:w="0" w:type="dxa"/>
        <w:tblLayout w:type="fixed"/>
        <w:tblCellMar>
          <w:top w:w="0" w:type="dxa"/>
          <w:left w:w="108" w:type="dxa"/>
          <w:bottom w:w="0" w:type="dxa"/>
          <w:right w:w="108" w:type="dxa"/>
        </w:tblCellMar>
      </w:tblPr>
      <w:tblGrid>
        <w:gridCol w:w="1054"/>
        <w:gridCol w:w="3467"/>
        <w:gridCol w:w="989"/>
        <w:gridCol w:w="1082"/>
        <w:gridCol w:w="2296"/>
        <w:gridCol w:w="939"/>
        <w:gridCol w:w="1080"/>
        <w:gridCol w:w="3360"/>
        <w:gridCol w:w="1403"/>
      </w:tblGrid>
      <w:tr>
        <w:tblPrEx>
          <w:tblCellMar>
            <w:top w:w="0" w:type="dxa"/>
            <w:left w:w="108" w:type="dxa"/>
            <w:bottom w:w="0" w:type="dxa"/>
            <w:right w:w="108" w:type="dxa"/>
          </w:tblCellMar>
        </w:tblPrEx>
        <w:trPr>
          <w:trHeight w:val="113" w:hRule="atLeast"/>
        </w:trPr>
        <w:tc>
          <w:tcPr>
            <w:tcW w:w="15670" w:type="dxa"/>
            <w:gridSpan w:val="9"/>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湘乡市科技和工业信息化局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8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760.18</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98.60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155.82</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6.73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119.56</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1.20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69.47</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0.22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5.91</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67.76</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0.43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88.36</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30.17</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1.43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43.17</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12.93</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3.47</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3.81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122.62</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40.94</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0.54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15.51</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5.81</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0.86</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3.95</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1.32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37.50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0.4</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8.10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1.56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lang w:val="en-US" w:eastAsia="zh-CN"/>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35.53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4.49</w:t>
            </w: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39" w:type="dxa"/>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color w:val="000000"/>
                <w:kern w:val="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61" w:hRule="exact"/>
        </w:trPr>
        <w:tc>
          <w:tcPr>
            <w:tcW w:w="105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46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89" w:type="dxa"/>
            <w:tcBorders>
              <w:top w:val="nil"/>
              <w:left w:val="nil"/>
              <w:bottom w:val="single" w:color="auto" w:sz="4" w:space="0"/>
              <w:right w:val="single" w:color="auto" w:sz="4" w:space="0"/>
            </w:tcBorders>
            <w:shd w:val="clear" w:color="auto" w:fill="auto"/>
            <w:noWrap/>
            <w:vAlign w:val="bottom"/>
          </w:tcPr>
          <w:p>
            <w:pPr>
              <w:rPr>
                <w:rFonts w:ascii="宋体" w:hAnsi="宋体" w:eastAsia="宋体" w:cs="Arial"/>
                <w:color w:val="000000"/>
                <w:kern w:val="2"/>
                <w:sz w:val="16"/>
                <w:szCs w:val="16"/>
                <w:lang w:val="en-US" w:eastAsia="zh-CN" w:bidi="ar-SA"/>
              </w:rPr>
            </w:pPr>
          </w:p>
        </w:tc>
        <w:tc>
          <w:tcPr>
            <w:tcW w:w="10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3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 xml:space="preserve">0.23 </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52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kern w:val="0"/>
                <w:szCs w:val="20"/>
              </w:rPr>
            </w:pPr>
            <w:r>
              <w:rPr>
                <w:rFonts w:hint="eastAsia" w:cs="Arial"/>
                <w:color w:val="000000"/>
                <w:sz w:val="16"/>
                <w:szCs w:val="16"/>
              </w:rPr>
              <w:t>人员经费合计</w:t>
            </w:r>
          </w:p>
        </w:tc>
        <w:tc>
          <w:tcPr>
            <w:tcW w:w="98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color w:val="000000"/>
                <w:kern w:val="0"/>
                <w:szCs w:val="20"/>
                <w:lang w:val="en-US" w:eastAsia="zh-CN"/>
              </w:rPr>
            </w:pPr>
            <w:r>
              <w:rPr>
                <w:rFonts w:hint="default" w:ascii="Arial" w:hAnsi="Arial" w:eastAsia="宋体" w:cs="Arial"/>
                <w:i w:val="0"/>
                <w:color w:val="000000"/>
                <w:kern w:val="0"/>
                <w:sz w:val="20"/>
                <w:szCs w:val="20"/>
                <w:u w:val="none"/>
                <w:lang w:val="en-US" w:eastAsia="zh-CN" w:bidi="ar"/>
              </w:rPr>
              <w:t>775.69</w:t>
            </w:r>
          </w:p>
        </w:tc>
        <w:tc>
          <w:tcPr>
            <w:tcW w:w="8757"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cs="Arial"/>
                <w:color w:val="000000"/>
                <w:sz w:val="16"/>
                <w:szCs w:val="16"/>
                <w:lang w:val="en-US" w:eastAsia="zh-CN"/>
              </w:rPr>
              <w:t>公用经费合计</w:t>
            </w:r>
          </w:p>
        </w:tc>
        <w:tc>
          <w:tcPr>
            <w:tcW w:w="140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18"/>
              </w:rPr>
            </w:pPr>
            <w:r>
              <w:rPr>
                <w:rFonts w:hint="default" w:ascii="Arial" w:hAnsi="Arial" w:eastAsia="宋体" w:cs="Arial"/>
                <w:i w:val="0"/>
                <w:color w:val="000000"/>
                <w:kern w:val="0"/>
                <w:sz w:val="20"/>
                <w:szCs w:val="20"/>
                <w:u w:val="none"/>
                <w:lang w:val="en-US" w:eastAsia="zh-CN" w:bidi="ar"/>
              </w:rPr>
              <w:t>98.60</w:t>
            </w:r>
          </w:p>
        </w:tc>
      </w:tr>
      <w:tr>
        <w:tblPrEx>
          <w:tblCellMar>
            <w:top w:w="0" w:type="dxa"/>
            <w:left w:w="108" w:type="dxa"/>
            <w:bottom w:w="0" w:type="dxa"/>
            <w:right w:w="108" w:type="dxa"/>
          </w:tblCellMar>
        </w:tblPrEx>
        <w:trPr>
          <w:trHeight w:val="284" w:hRule="exact"/>
        </w:trPr>
        <w:tc>
          <w:tcPr>
            <w:tcW w:w="15670"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湘乡市科技和工业信息化局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8.00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5.00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1.56</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0.70</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湘乡市科技和工业信息化局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840"/>
        <w:gridCol w:w="2000"/>
        <w:gridCol w:w="1747"/>
        <w:gridCol w:w="1947"/>
        <w:gridCol w:w="1893"/>
        <w:gridCol w:w="1893"/>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96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74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5733"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84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1747" w:type="dxa"/>
            <w:vMerge w:val="continue"/>
            <w:vAlign w:val="center"/>
          </w:tcPr>
          <w:p>
            <w:pPr>
              <w:widowControl/>
              <w:jc w:val="left"/>
              <w:rPr>
                <w:rFonts w:ascii="Times New Roman" w:hAnsi="Times New Roman" w:eastAsia="仿宋_GB2312" w:cs="Times New Roman"/>
                <w:b/>
                <w:kern w:val="0"/>
                <w:szCs w:val="21"/>
              </w:rPr>
            </w:pPr>
          </w:p>
        </w:tc>
        <w:tc>
          <w:tcPr>
            <w:tcW w:w="194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893"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1893"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84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1747" w:type="dxa"/>
            <w:vMerge w:val="continue"/>
            <w:vAlign w:val="center"/>
          </w:tcPr>
          <w:p>
            <w:pPr>
              <w:widowControl/>
              <w:jc w:val="left"/>
              <w:rPr>
                <w:rFonts w:ascii="Times New Roman" w:hAnsi="Times New Roman" w:eastAsia="仿宋_GB2312" w:cs="Times New Roman"/>
                <w:kern w:val="0"/>
                <w:szCs w:val="21"/>
              </w:rPr>
            </w:pPr>
          </w:p>
        </w:tc>
        <w:tc>
          <w:tcPr>
            <w:tcW w:w="1947" w:type="dxa"/>
            <w:vMerge w:val="continue"/>
            <w:vAlign w:val="center"/>
          </w:tcPr>
          <w:p>
            <w:pPr>
              <w:widowControl/>
              <w:jc w:val="left"/>
              <w:rPr>
                <w:rFonts w:ascii="Times New Roman" w:hAnsi="Times New Roman" w:eastAsia="仿宋_GB2312" w:cs="Times New Roman"/>
                <w:kern w:val="0"/>
                <w:szCs w:val="21"/>
              </w:rPr>
            </w:pPr>
          </w:p>
        </w:tc>
        <w:tc>
          <w:tcPr>
            <w:tcW w:w="1893" w:type="dxa"/>
            <w:vMerge w:val="continue"/>
            <w:vAlign w:val="center"/>
          </w:tcPr>
          <w:p>
            <w:pPr>
              <w:widowControl/>
              <w:jc w:val="left"/>
              <w:rPr>
                <w:rFonts w:ascii="Times New Roman" w:hAnsi="Times New Roman" w:eastAsia="仿宋_GB2312" w:cs="Times New Roman"/>
                <w:kern w:val="0"/>
                <w:szCs w:val="21"/>
              </w:rPr>
            </w:pPr>
          </w:p>
        </w:tc>
        <w:tc>
          <w:tcPr>
            <w:tcW w:w="1893"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84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1747" w:type="dxa"/>
            <w:vMerge w:val="continue"/>
            <w:vAlign w:val="center"/>
          </w:tcPr>
          <w:p>
            <w:pPr>
              <w:widowControl/>
              <w:jc w:val="left"/>
              <w:rPr>
                <w:rFonts w:ascii="Times New Roman" w:hAnsi="Times New Roman" w:eastAsia="仿宋_GB2312" w:cs="Times New Roman"/>
                <w:kern w:val="0"/>
                <w:szCs w:val="21"/>
              </w:rPr>
            </w:pPr>
          </w:p>
        </w:tc>
        <w:tc>
          <w:tcPr>
            <w:tcW w:w="1947" w:type="dxa"/>
            <w:vMerge w:val="continue"/>
            <w:vAlign w:val="center"/>
          </w:tcPr>
          <w:p>
            <w:pPr>
              <w:widowControl/>
              <w:jc w:val="left"/>
              <w:rPr>
                <w:rFonts w:ascii="Times New Roman" w:hAnsi="Times New Roman" w:eastAsia="仿宋_GB2312" w:cs="Times New Roman"/>
                <w:kern w:val="0"/>
                <w:szCs w:val="21"/>
              </w:rPr>
            </w:pPr>
          </w:p>
        </w:tc>
        <w:tc>
          <w:tcPr>
            <w:tcW w:w="1893" w:type="dxa"/>
            <w:vMerge w:val="continue"/>
            <w:vAlign w:val="center"/>
          </w:tcPr>
          <w:p>
            <w:pPr>
              <w:widowControl/>
              <w:jc w:val="left"/>
              <w:rPr>
                <w:rFonts w:ascii="Times New Roman" w:hAnsi="Times New Roman" w:eastAsia="仿宋_GB2312" w:cs="Times New Roman"/>
                <w:kern w:val="0"/>
                <w:szCs w:val="21"/>
              </w:rPr>
            </w:pPr>
          </w:p>
        </w:tc>
        <w:tc>
          <w:tcPr>
            <w:tcW w:w="1893"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96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74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94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93"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893"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96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9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893"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ascii="Times New Roman" w:hAnsi="Times New Roman" w:eastAsia="仿宋_GB2312" w:cs="Times New Roman"/>
                <w:kern w:val="0"/>
                <w:szCs w:val="21"/>
              </w:rPr>
            </w:pPr>
            <w:r>
              <w:rPr>
                <w:rFonts w:hint="eastAsia" w:cs="Arial"/>
                <w:color w:val="000000"/>
                <w:sz w:val="22"/>
              </w:rPr>
              <w:t>234</w:t>
            </w:r>
          </w:p>
        </w:tc>
        <w:tc>
          <w:tcPr>
            <w:tcW w:w="1840" w:type="dxa"/>
            <w:shd w:val="clear" w:color="auto" w:fill="auto"/>
            <w:vAlign w:val="center"/>
          </w:tcPr>
          <w:p>
            <w:pPr>
              <w:rPr>
                <w:rFonts w:ascii="Times New Roman" w:hAnsi="Times New Roman" w:eastAsia="仿宋_GB2312" w:cs="Times New Roman"/>
                <w:kern w:val="0"/>
                <w:szCs w:val="21"/>
              </w:rPr>
            </w:pPr>
            <w:r>
              <w:rPr>
                <w:rFonts w:hint="eastAsia" w:cs="Arial"/>
                <w:color w:val="000000"/>
                <w:sz w:val="22"/>
              </w:rPr>
              <w:t>抗疫特别国债安排的支出</w:t>
            </w: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1747" w:type="dxa"/>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16.00</w:t>
            </w:r>
          </w:p>
        </w:tc>
        <w:tc>
          <w:tcPr>
            <w:tcW w:w="19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893" w:type="dxa"/>
            <w:shd w:val="clear" w:color="auto" w:fill="auto"/>
            <w:vAlign w:val="center"/>
          </w:tcPr>
          <w:p>
            <w:pPr>
              <w:widowControl/>
              <w:jc w:val="left"/>
              <w:rPr>
                <w:rFonts w:ascii="Times New Roman" w:hAnsi="Times New Roman" w:eastAsia="仿宋_GB2312" w:cs="Times New Roman"/>
                <w:kern w:val="0"/>
                <w:szCs w:val="21"/>
              </w:rPr>
            </w:pPr>
          </w:p>
        </w:tc>
        <w:tc>
          <w:tcPr>
            <w:tcW w:w="1893"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ascii="Times New Roman" w:hAnsi="Times New Roman" w:eastAsia="仿宋_GB2312" w:cs="Times New Roman"/>
                <w:kern w:val="0"/>
                <w:szCs w:val="21"/>
              </w:rPr>
            </w:pPr>
            <w:r>
              <w:rPr>
                <w:rFonts w:hint="eastAsia" w:cs="Arial"/>
                <w:color w:val="000000"/>
                <w:sz w:val="22"/>
              </w:rPr>
              <w:t>23401</w:t>
            </w:r>
          </w:p>
        </w:tc>
        <w:tc>
          <w:tcPr>
            <w:tcW w:w="1840" w:type="dxa"/>
            <w:shd w:val="clear" w:color="auto" w:fill="auto"/>
            <w:vAlign w:val="center"/>
          </w:tcPr>
          <w:p>
            <w:pPr>
              <w:rPr>
                <w:rFonts w:ascii="Times New Roman" w:hAnsi="Times New Roman" w:eastAsia="仿宋_GB2312" w:cs="Times New Roman"/>
                <w:kern w:val="0"/>
                <w:szCs w:val="21"/>
              </w:rPr>
            </w:pPr>
            <w:r>
              <w:rPr>
                <w:rFonts w:hint="eastAsia" w:cs="Arial"/>
                <w:color w:val="000000"/>
                <w:sz w:val="22"/>
              </w:rPr>
              <w:t>基础设施建设</w:t>
            </w: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17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9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893" w:type="dxa"/>
            <w:shd w:val="clear" w:color="auto" w:fill="auto"/>
            <w:vAlign w:val="center"/>
          </w:tcPr>
          <w:p>
            <w:pPr>
              <w:widowControl/>
              <w:jc w:val="left"/>
              <w:rPr>
                <w:rFonts w:ascii="Times New Roman" w:hAnsi="Times New Roman" w:eastAsia="仿宋_GB2312" w:cs="Times New Roman"/>
                <w:kern w:val="0"/>
                <w:szCs w:val="21"/>
              </w:rPr>
            </w:pPr>
          </w:p>
        </w:tc>
        <w:tc>
          <w:tcPr>
            <w:tcW w:w="1893"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ascii="Times New Roman" w:hAnsi="Times New Roman" w:eastAsia="仿宋_GB2312" w:cs="Times New Roman"/>
                <w:kern w:val="0"/>
                <w:szCs w:val="21"/>
              </w:rPr>
            </w:pPr>
            <w:r>
              <w:rPr>
                <w:rFonts w:hint="eastAsia" w:cs="Arial"/>
                <w:color w:val="000000"/>
                <w:sz w:val="22"/>
              </w:rPr>
              <w:t>2340102</w:t>
            </w:r>
          </w:p>
        </w:tc>
        <w:tc>
          <w:tcPr>
            <w:tcW w:w="1840" w:type="dxa"/>
            <w:shd w:val="clear" w:color="auto" w:fill="auto"/>
            <w:vAlign w:val="center"/>
          </w:tcPr>
          <w:p>
            <w:pPr>
              <w:rPr>
                <w:rFonts w:ascii="Times New Roman" w:hAnsi="Times New Roman" w:eastAsia="仿宋_GB2312" w:cs="Times New Roman"/>
                <w:kern w:val="0"/>
                <w:szCs w:val="21"/>
              </w:rPr>
            </w:pPr>
            <w:r>
              <w:rPr>
                <w:rFonts w:hint="eastAsia" w:cs="Arial"/>
                <w:color w:val="000000"/>
                <w:sz w:val="22"/>
              </w:rPr>
              <w:t>重大疫情防控救治体系建设</w:t>
            </w: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17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947"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16.00</w:t>
            </w:r>
          </w:p>
        </w:tc>
        <w:tc>
          <w:tcPr>
            <w:tcW w:w="1893" w:type="dxa"/>
            <w:shd w:val="clear" w:color="auto" w:fill="auto"/>
            <w:vAlign w:val="center"/>
          </w:tcPr>
          <w:p>
            <w:pPr>
              <w:widowControl/>
              <w:jc w:val="left"/>
              <w:rPr>
                <w:rFonts w:ascii="Times New Roman" w:hAnsi="Times New Roman" w:eastAsia="仿宋_GB2312" w:cs="Times New Roman"/>
                <w:kern w:val="0"/>
                <w:szCs w:val="21"/>
              </w:rPr>
            </w:pPr>
          </w:p>
        </w:tc>
        <w:tc>
          <w:tcPr>
            <w:tcW w:w="1893"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47"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4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4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4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4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94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8"/>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此表无数据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3"/>
        <w:rPr>
          <w:sz w:val="72"/>
          <w:szCs w:val="72"/>
        </w:rPr>
        <w:sectPr>
          <w:pgSz w:w="16838" w:h="11906" w:orient="landscape"/>
          <w:pgMar w:top="720" w:right="720" w:bottom="720" w:left="720" w:header="851" w:footer="992" w:gutter="0"/>
          <w:cols w:space="425" w:num="1"/>
          <w:docGrid w:type="lines" w:linePitch="312" w:charSpace="0"/>
        </w:sectPr>
      </w:pP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第三部分</w:t>
      </w:r>
    </w:p>
    <w:p>
      <w:pPr>
        <w:pStyle w:val="13"/>
        <w:jc w:val="center"/>
        <w:rPr>
          <w:sz w:val="70"/>
          <w:szCs w:val="70"/>
        </w:rPr>
      </w:pPr>
    </w:p>
    <w:p>
      <w:pPr>
        <w:pStyle w:val="13"/>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3"/>
        <w:rPr>
          <w:rFonts w:asciiTheme="minorEastAsia" w:hAnsiTheme="minorEastAsia" w:eastAsiaTheme="minorEastAsia"/>
          <w:sz w:val="32"/>
          <w:szCs w:val="32"/>
        </w:rPr>
      </w:pPr>
    </w:p>
    <w:p>
      <w:pPr>
        <w:pStyle w:val="13"/>
        <w:rPr>
          <w:rFonts w:hAnsi="黑体"/>
          <w:b/>
          <w:sz w:val="32"/>
          <w:szCs w:val="32"/>
        </w:rPr>
      </w:pPr>
      <w:r>
        <w:rPr>
          <w:rFonts w:hint="eastAsia" w:hAnsi="黑体"/>
          <w:b/>
          <w:sz w:val="32"/>
          <w:szCs w:val="32"/>
        </w:rPr>
        <w:t>一、收入支出决算总体情况说明</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收入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4710.34</w:t>
      </w:r>
      <w:r>
        <w:rPr>
          <w:rFonts w:hint="eastAsia" w:asciiTheme="minorEastAsia" w:hAnsiTheme="minorEastAsia" w:eastAsiaTheme="minorEastAsia"/>
          <w:sz w:val="32"/>
          <w:szCs w:val="32"/>
        </w:rPr>
        <w:t>万元。与</w:t>
      </w:r>
      <w:r>
        <w:rPr>
          <w:rFonts w:hint="eastAsia" w:asciiTheme="minorEastAsia" w:hAnsiTheme="minorEastAsia" w:eastAsiaTheme="minorEastAsia"/>
          <w:sz w:val="32"/>
          <w:szCs w:val="32"/>
          <w:lang w:val="en-US" w:eastAsia="zh-CN"/>
        </w:rPr>
        <w:t>2019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增加35.00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增加0.75</w:t>
      </w:r>
      <w:r>
        <w:rPr>
          <w:rFonts w:hint="eastAsia" w:asciiTheme="minorEastAsia" w:hAnsiTheme="minorEastAsia" w:eastAsiaTheme="minorEastAsia"/>
          <w:sz w:val="32"/>
          <w:szCs w:val="32"/>
        </w:rPr>
        <w:t>%，本年度增加防疫资金、科技项目支出等</w:t>
      </w:r>
      <w:r>
        <w:rPr>
          <w:rFonts w:hint="eastAsia" w:asciiTheme="minorEastAsia" w:hAnsiTheme="minorEastAsia" w:eastAsiaTheme="minorEastAsia"/>
          <w:sz w:val="32"/>
          <w:szCs w:val="32"/>
          <w:lang w:eastAsia="zh-CN"/>
        </w:rPr>
        <w:t>。</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4964.64</w:t>
      </w:r>
      <w:r>
        <w:rPr>
          <w:rFonts w:hint="eastAsia" w:asciiTheme="minorEastAsia" w:hAnsiTheme="minorEastAsia" w:eastAsiaTheme="minorEastAsia"/>
          <w:sz w:val="32"/>
          <w:szCs w:val="32"/>
        </w:rPr>
        <w:t>万元。与</w:t>
      </w:r>
      <w:r>
        <w:rPr>
          <w:rFonts w:hint="eastAsia" w:asciiTheme="minorEastAsia" w:hAnsiTheme="minorEastAsia" w:eastAsiaTheme="minorEastAsia"/>
          <w:sz w:val="32"/>
          <w:szCs w:val="32"/>
          <w:lang w:val="en-US" w:eastAsia="zh-CN"/>
        </w:rPr>
        <w:t>2019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增加2170.71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增加77.69</w:t>
      </w:r>
      <w:r>
        <w:rPr>
          <w:rFonts w:hint="eastAsia" w:asciiTheme="minorEastAsia" w:hAnsiTheme="minorEastAsia" w:eastAsiaTheme="minorEastAsia"/>
          <w:sz w:val="32"/>
          <w:szCs w:val="32"/>
        </w:rPr>
        <w:t>%，本年度增加防疫资金、科技项目支出等</w:t>
      </w:r>
      <w:r>
        <w:rPr>
          <w:rFonts w:hint="eastAsia" w:asciiTheme="minorEastAsia" w:hAnsiTheme="minorEastAsia" w:eastAsiaTheme="minorEastAsia"/>
          <w:sz w:val="32"/>
          <w:szCs w:val="32"/>
          <w:lang w:eastAsia="zh-CN"/>
        </w:rPr>
        <w:t>。</w:t>
      </w:r>
    </w:p>
    <w:p>
      <w:pPr>
        <w:pStyle w:val="13"/>
        <w:rPr>
          <w:rFonts w:hAnsi="黑体"/>
          <w:b/>
          <w:sz w:val="32"/>
          <w:szCs w:val="32"/>
        </w:rPr>
      </w:pPr>
      <w:r>
        <w:rPr>
          <w:rFonts w:hint="eastAsia" w:hAnsi="黑体"/>
          <w:b/>
          <w:sz w:val="32"/>
          <w:szCs w:val="32"/>
        </w:rPr>
        <w:t>二、收入决算情况说明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4710.34</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4706.8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99.92</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3.54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0.08</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三、支出决算情况说明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4964.64</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874.29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17.61</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4090.35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82.39</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四、财政拨款收入支出决算总体情况说明</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财政拨款收入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4706.8</w:t>
      </w:r>
      <w:r>
        <w:rPr>
          <w:rFonts w:hint="eastAsia" w:asciiTheme="minorEastAsia" w:hAnsiTheme="minorEastAsia" w:eastAsiaTheme="minorEastAsia"/>
          <w:sz w:val="32"/>
          <w:szCs w:val="32"/>
        </w:rPr>
        <w:t>万元。与</w:t>
      </w:r>
      <w:r>
        <w:rPr>
          <w:rFonts w:hint="eastAsia" w:asciiTheme="minorEastAsia" w:hAnsiTheme="minorEastAsia" w:eastAsiaTheme="minorEastAsia"/>
          <w:sz w:val="32"/>
          <w:szCs w:val="32"/>
          <w:lang w:val="en-US" w:eastAsia="zh-CN"/>
        </w:rPr>
        <w:t>2019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增加31.46</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增加0.67</w:t>
      </w:r>
      <w:r>
        <w:rPr>
          <w:rFonts w:hint="eastAsia" w:asciiTheme="minorEastAsia" w:hAnsiTheme="minorEastAsia" w:eastAsiaTheme="minorEastAsia"/>
          <w:sz w:val="32"/>
          <w:szCs w:val="32"/>
        </w:rPr>
        <w:t>%，本年度增加防疫资金、科技项目支出等</w:t>
      </w:r>
      <w:r>
        <w:rPr>
          <w:rFonts w:hint="eastAsia" w:asciiTheme="minorEastAsia" w:hAnsiTheme="minorEastAsia" w:eastAsiaTheme="minorEastAsia"/>
          <w:sz w:val="32"/>
          <w:szCs w:val="32"/>
          <w:lang w:eastAsia="zh-CN"/>
        </w:rPr>
        <w:t>。</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财政拨款支出</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4964.64</w:t>
      </w:r>
      <w:r>
        <w:rPr>
          <w:rFonts w:hint="eastAsia" w:asciiTheme="minorEastAsia" w:hAnsiTheme="minorEastAsia" w:eastAsiaTheme="minorEastAsia"/>
          <w:sz w:val="32"/>
          <w:szCs w:val="32"/>
        </w:rPr>
        <w:t>万元。与</w:t>
      </w:r>
      <w:r>
        <w:rPr>
          <w:rFonts w:hint="eastAsia" w:asciiTheme="minorEastAsia" w:hAnsiTheme="minorEastAsia" w:eastAsiaTheme="minorEastAsia"/>
          <w:sz w:val="32"/>
          <w:szCs w:val="32"/>
          <w:lang w:val="en-US" w:eastAsia="zh-CN"/>
        </w:rPr>
        <w:t>2019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增加2170.71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增加77.69</w:t>
      </w:r>
      <w:r>
        <w:rPr>
          <w:rFonts w:hint="eastAsia" w:asciiTheme="minorEastAsia" w:hAnsiTheme="minorEastAsia" w:eastAsiaTheme="minorEastAsia"/>
          <w:sz w:val="32"/>
          <w:szCs w:val="32"/>
        </w:rPr>
        <w:t>%，本年度增加防疫资金、科技项目支出等</w:t>
      </w:r>
      <w:r>
        <w:rPr>
          <w:rFonts w:hint="eastAsia" w:asciiTheme="minorEastAsia" w:hAnsiTheme="minorEastAsia" w:eastAsiaTheme="minorEastAsia"/>
          <w:sz w:val="32"/>
          <w:szCs w:val="32"/>
          <w:lang w:eastAsia="zh-CN"/>
        </w:rPr>
        <w:t>。</w:t>
      </w:r>
    </w:p>
    <w:p>
      <w:pPr>
        <w:pStyle w:val="13"/>
        <w:rPr>
          <w:rFonts w:hAnsi="黑体"/>
          <w:b/>
          <w:sz w:val="32"/>
          <w:szCs w:val="32"/>
        </w:rPr>
      </w:pPr>
      <w:r>
        <w:rPr>
          <w:rFonts w:hint="eastAsia" w:hAnsi="黑体"/>
          <w:b/>
          <w:sz w:val="32"/>
          <w:szCs w:val="32"/>
        </w:rPr>
        <w:t>五、一般公共预算财政拨款支出决算情况说明</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4948.64</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99.67</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val="en-US" w:eastAsia="zh-CN"/>
        </w:rPr>
        <w:t>增加2155.71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增加77.15</w:t>
      </w:r>
      <w:r>
        <w:rPr>
          <w:rFonts w:hint="eastAsia" w:asciiTheme="minorEastAsia" w:hAnsiTheme="minorEastAsia" w:eastAsiaTheme="minorEastAsia"/>
          <w:sz w:val="32"/>
          <w:szCs w:val="32"/>
        </w:rPr>
        <w:t>%，本年度增加防疫资金、科技项目支出等</w:t>
      </w:r>
      <w:r>
        <w:rPr>
          <w:rFonts w:hint="eastAsia" w:asciiTheme="minorEastAsia" w:hAnsiTheme="minorEastAsia" w:eastAsiaTheme="minorEastAsia"/>
          <w:sz w:val="32"/>
          <w:szCs w:val="32"/>
          <w:lang w:eastAsia="zh-CN"/>
        </w:rPr>
        <w:t>。</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3"/>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4948.64</w:t>
      </w:r>
      <w:r>
        <w:rPr>
          <w:rFonts w:hint="eastAsia" w:asciiTheme="minorEastAsia" w:hAnsiTheme="minorEastAsia" w:eastAsiaTheme="minorEastAsia"/>
          <w:sz w:val="32"/>
          <w:szCs w:val="32"/>
        </w:rPr>
        <w:t>万元，主要用于以下方面：一般公共服务支出</w:t>
      </w:r>
      <w:r>
        <w:rPr>
          <w:rFonts w:hint="eastAsia" w:asciiTheme="minorEastAsia" w:hAnsiTheme="minorEastAsia" w:eastAsiaTheme="minorEastAsia"/>
          <w:sz w:val="32"/>
          <w:szCs w:val="32"/>
          <w:lang w:val="en-US" w:eastAsia="zh-CN"/>
        </w:rPr>
        <w:t>0.49万元，占0.01%；科学技术支出3138.08万元，占63.41%；</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val="en-US" w:eastAsia="zh-CN"/>
        </w:rPr>
        <w:t>101.31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2.05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；卫生健康支出248.8万元，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5.03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；资源勘探工业信息等支出504.61</w:t>
      </w:r>
      <w:r>
        <w:rPr>
          <w:rFonts w:hint="eastAsia" w:asciiTheme="minorEastAsia" w:hAnsiTheme="minorEastAsia" w:eastAsiaTheme="minorEastAsia"/>
          <w:sz w:val="32"/>
          <w:szCs w:val="32"/>
          <w:lang w:val="en-US" w:eastAsia="zh-CN"/>
        </w:rPr>
        <w:t>万元，占10.2%；</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33.92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0.69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；粮油物资储备支出881.46</w:t>
      </w:r>
      <w:r>
        <w:rPr>
          <w:rFonts w:hint="eastAsia" w:asciiTheme="minorEastAsia" w:hAnsiTheme="minorEastAsia" w:eastAsiaTheme="minorEastAsia"/>
          <w:sz w:val="32"/>
          <w:szCs w:val="32"/>
          <w:lang w:val="en-US" w:eastAsia="zh-CN"/>
        </w:rPr>
        <w:t>万元，占17.81%；</w:t>
      </w:r>
      <w:r>
        <w:rPr>
          <w:rFonts w:hint="eastAsia" w:asciiTheme="minorEastAsia" w:hAnsiTheme="minorEastAsia" w:eastAsiaTheme="minorEastAsia"/>
          <w:sz w:val="32"/>
          <w:szCs w:val="32"/>
          <w:lang w:eastAsia="zh-CN"/>
        </w:rPr>
        <w:t>灾害防治及应急管理支出</w:t>
      </w:r>
      <w:r>
        <w:rPr>
          <w:rFonts w:hint="eastAsia" w:asciiTheme="minorEastAsia" w:hAnsiTheme="minorEastAsia" w:eastAsiaTheme="minorEastAsia"/>
          <w:sz w:val="32"/>
          <w:szCs w:val="32"/>
          <w:lang w:val="en-US" w:eastAsia="zh-CN"/>
        </w:rPr>
        <w:t>39.97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0.81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 xml:space="preserve">。 </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4948.64</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4948.64</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一般公共服务支出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人大事务（款）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其他人大事务支出（项）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0.49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0.49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科学技术管理事务</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行政运行（项）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782.4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782.4</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科学技术管理事务</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一般行政管理事务（项）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249.3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249.3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技术研究与开发</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科技成果转化与扩散（项）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55.95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55.95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技术研究与开发</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其他技术研究与开发支出（项）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1754.6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1754.6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科学技术普及</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科普活动（项）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numPr>
          <w:ilvl w:val="0"/>
          <w:numId w:val="2"/>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其他科学技术支出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其他科学技术支出（项）</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540.63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540.63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类）行政事业单位养老支出（款）行政单位离退休（项）。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10.51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10.51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类）行政事业单位养老支出（款）机关事业单位基本养老保险缴费支出（项）。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53.8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53.8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类）其他生活救助（款）其他城市生活救助</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类）其他社会保障和就业支出（款）其他社会保障和就业支出（项）。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、卫生健康支出（类）公共卫生</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款）突发公共卫生事件应急处理（项）。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221.9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221.9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、卫生健康支出（类）行政事业单位医疗</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款）事业单位医疗（项）。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26.9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26.9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、资源勘探工业信息等支出（类）制造业</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款）其他制造业支出（项）。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、资源勘探工业信息等支出（类）支持中小企业发展和管理支出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款）行政运行（项）。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136.59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136.59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14</w:t>
      </w:r>
      <w:r>
        <w:rPr>
          <w:rFonts w:hint="eastAsia" w:asciiTheme="minorEastAsia" w:hAnsiTheme="minorEastAsia" w:eastAsiaTheme="minorEastAsia"/>
          <w:sz w:val="32"/>
          <w:szCs w:val="32"/>
        </w:rPr>
        <w:t>、资源勘探工业信息等支出（类）支持中小企业发展和管理支出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款）一般行政管理事务（项）。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、资源勘探工业信息等支出（类）支持中小企业发展和管理支出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 中小企业发展专项（项）。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194.22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194.22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16</w:t>
      </w:r>
      <w:r>
        <w:rPr>
          <w:rFonts w:hint="eastAsia" w:asciiTheme="minorEastAsia" w:hAnsiTheme="minorEastAsia" w:eastAsiaTheme="minorEastAsia"/>
          <w:sz w:val="32"/>
          <w:szCs w:val="32"/>
        </w:rPr>
        <w:t>、资源勘探工业信息等支出（类）支持中小企业发展和管理支出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 其他支持中小企业发展和管理支出（项）。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18.8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18.8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17</w:t>
      </w:r>
      <w:r>
        <w:rPr>
          <w:rFonts w:hint="eastAsia" w:asciiTheme="minorEastAsia" w:hAnsiTheme="minorEastAsia" w:eastAsiaTheme="minorEastAsia"/>
          <w:sz w:val="32"/>
          <w:szCs w:val="32"/>
        </w:rPr>
        <w:t>、资源勘探工业信息等支出（类）其他资源勘探工业信息等支出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 其 技术改造支出（项）。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、住房保障支出（类）住房改革支出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款）住房公积金（项）。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33.92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33.92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19</w:t>
      </w:r>
      <w:r>
        <w:rPr>
          <w:rFonts w:hint="eastAsia" w:asciiTheme="minorEastAsia" w:hAnsiTheme="minorEastAsia" w:eastAsiaTheme="minorEastAsia"/>
          <w:sz w:val="32"/>
          <w:szCs w:val="32"/>
        </w:rPr>
        <w:t>、粮油物资储备支出（类）重要商品储备</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款）其他重要商品储备支出（项）。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881.46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881.46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ind w:firstLine="800" w:firstLineChars="250"/>
        <w:rPr>
          <w:rFonts w:hint="eastAsia" w:asciiTheme="minorEastAsia" w:hAnsiTheme="minorEastAsia" w:eastAsiaTheme="minorEastAsia"/>
          <w:sz w:val="32"/>
          <w:szCs w:val="32"/>
          <w:lang w:eastAsia="zh-CN"/>
        </w:rPr>
      </w:pPr>
    </w:p>
    <w:p>
      <w:pPr>
        <w:pStyle w:val="13"/>
        <w:ind w:firstLine="800" w:firstLineChars="250"/>
        <w:rPr>
          <w:rFonts w:hint="eastAsia" w:asciiTheme="minorEastAsia" w:hAnsiTheme="minorEastAsia" w:eastAsiaTheme="minorEastAsia"/>
          <w:sz w:val="32"/>
          <w:szCs w:val="32"/>
          <w:lang w:eastAsia="zh-CN"/>
        </w:rPr>
      </w:pPr>
    </w:p>
    <w:p>
      <w:pPr>
        <w:pStyle w:val="13"/>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、灾害防治及应急管理支出（类）应急管理事务</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款）其他应急管理支出（项）。</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39.97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39.97</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sz w:val="32"/>
          <w:szCs w:val="32"/>
          <w:lang w:val="en-US" w:eastAsia="zh-CN"/>
        </w:rPr>
        <w:t>的100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3"/>
        <w:rPr>
          <w:rFonts w:hAnsi="黑体"/>
          <w:b/>
          <w:sz w:val="32"/>
          <w:szCs w:val="32"/>
        </w:rPr>
      </w:pPr>
      <w:r>
        <w:rPr>
          <w:rFonts w:hint="eastAsia" w:hAnsi="黑体"/>
          <w:b/>
          <w:sz w:val="32"/>
          <w:szCs w:val="32"/>
        </w:rPr>
        <w:t>六、一般公共预算财政拨款基本支出决算情况说明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2020年度财政拨款基本支874.29万元，其中：人员经费</w:t>
      </w:r>
      <w:r>
        <w:rPr>
          <w:rFonts w:hint="eastAsia" w:asciiTheme="minorEastAsia" w:hAnsiTheme="minorEastAsia" w:eastAsiaTheme="minorEastAsia"/>
          <w:sz w:val="32"/>
          <w:szCs w:val="32"/>
          <w:lang w:val="en-US" w:eastAsia="zh-CN"/>
        </w:rPr>
        <w:t>775.69</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88.72</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绩效工资</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社会保险、</w:t>
      </w:r>
      <w:r>
        <w:rPr>
          <w:rFonts w:hint="eastAsia" w:asciiTheme="minorEastAsia" w:hAnsiTheme="minorEastAsia" w:eastAsiaTheme="minorEastAsia"/>
          <w:sz w:val="32"/>
          <w:szCs w:val="32"/>
        </w:rPr>
        <w:t xml:space="preserve"> 其他工资福利支出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对个人和家庭的补助</w:t>
      </w:r>
      <w:r>
        <w:rPr>
          <w:rFonts w:hint="eastAsia" w:asciiTheme="minorEastAsia" w:hAnsiTheme="minorEastAsia" w:eastAsiaTheme="minorEastAsia"/>
          <w:sz w:val="32"/>
          <w:szCs w:val="32"/>
          <w:lang w:val="en-US" w:eastAsia="zh-CN"/>
        </w:rPr>
        <w:t>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98.6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11.28</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水费、电费、</w:t>
      </w:r>
      <w:r>
        <w:rPr>
          <w:rFonts w:hint="eastAsia" w:asciiTheme="minorEastAsia" w:hAnsiTheme="minorEastAsia" w:eastAsiaTheme="minorEastAsia"/>
          <w:sz w:val="32"/>
          <w:szCs w:val="32"/>
        </w:rPr>
        <w:t>邮电费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 xml:space="preserve"> 取暖费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物业管理</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维修（护）</w:t>
      </w:r>
      <w:r>
        <w:rPr>
          <w:rFonts w:hint="eastAsia" w:asciiTheme="minorEastAsia" w:hAnsiTheme="minorEastAsia" w:eastAsiaTheme="minorEastAsia"/>
          <w:sz w:val="32"/>
          <w:szCs w:val="32"/>
          <w:lang w:val="en-US" w:eastAsia="zh-CN"/>
        </w:rPr>
        <w:t>费、</w:t>
      </w:r>
      <w:r>
        <w:rPr>
          <w:rFonts w:hint="eastAsia" w:asciiTheme="minorEastAsia" w:hAnsiTheme="minorEastAsia" w:eastAsiaTheme="minorEastAsia"/>
          <w:sz w:val="32"/>
          <w:szCs w:val="32"/>
        </w:rPr>
        <w:t xml:space="preserve">会议费 </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培训费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 xml:space="preserve"> 公务接待</w:t>
      </w:r>
      <w:r>
        <w:rPr>
          <w:rFonts w:hint="eastAsia" w:asciiTheme="minorEastAsia" w:hAnsiTheme="minorEastAsia" w:eastAsiaTheme="minorEastAsia"/>
          <w:sz w:val="32"/>
          <w:szCs w:val="32"/>
          <w:lang w:val="en-US" w:eastAsia="zh-CN"/>
        </w:rPr>
        <w:t>费、劳务费、委托业务费、工会经费、福利费、其他交通费用、</w:t>
      </w:r>
      <w:r>
        <w:rPr>
          <w:rFonts w:hint="eastAsia" w:asciiTheme="minorEastAsia" w:hAnsiTheme="minorEastAsia" w:eastAsiaTheme="minorEastAsia"/>
          <w:sz w:val="32"/>
          <w:szCs w:val="32"/>
          <w:lang w:eastAsia="zh-CN"/>
        </w:rPr>
        <w:t>其他商品和服务支出、</w:t>
      </w:r>
      <w:r>
        <w:rPr>
          <w:rFonts w:hint="eastAsia" w:asciiTheme="minorEastAsia" w:hAnsiTheme="minorEastAsia" w:eastAsiaTheme="minorEastAsia"/>
          <w:sz w:val="32"/>
          <w:szCs w:val="32"/>
        </w:rPr>
        <w:t>资本性支出</w:t>
      </w:r>
      <w:r>
        <w:rPr>
          <w:rFonts w:hint="eastAsia" w:asciiTheme="minorEastAsia" w:hAnsiTheme="minorEastAsia" w:eastAsiaTheme="minorEastAsia"/>
          <w:sz w:val="32"/>
          <w:szCs w:val="32"/>
          <w:lang w:val="en-US" w:eastAsia="zh-CN"/>
        </w:rPr>
        <w:t>等</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七、一般公共预算财政拨款三公经费支出决算情况说明</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2.26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28.25</w:t>
      </w:r>
      <w:r>
        <w:rPr>
          <w:rFonts w:hint="eastAsia" w:asciiTheme="minorEastAsia" w:hAnsiTheme="minorEastAsia" w:eastAsiaTheme="minorEastAsia"/>
          <w:sz w:val="32"/>
          <w:szCs w:val="32"/>
        </w:rPr>
        <w:t>%，其中：</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0.7</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14</w:t>
      </w:r>
      <w:r>
        <w:rPr>
          <w:rFonts w:hint="eastAsia" w:asciiTheme="minorEastAsia" w:hAnsiTheme="minorEastAsia" w:eastAsiaTheme="minorEastAsia"/>
          <w:sz w:val="32"/>
          <w:szCs w:val="32"/>
        </w:rPr>
        <w:t>%。</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52%</w:t>
      </w:r>
      <w:r>
        <w:rPr>
          <w:rFonts w:hint="eastAsia" w:asciiTheme="minorEastAsia" w:hAnsiTheme="minorEastAsia" w:eastAsiaTheme="minorEastAsia"/>
          <w:sz w:val="32"/>
          <w:szCs w:val="32"/>
        </w:rPr>
        <w:t>。</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30.97</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1.56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69.03</w:t>
      </w:r>
      <w:r>
        <w:rPr>
          <w:rFonts w:hint="eastAsia" w:asciiTheme="minorEastAsia" w:hAnsiTheme="minorEastAsia" w:eastAsiaTheme="minorEastAsia"/>
          <w:sz w:val="32"/>
          <w:szCs w:val="32"/>
        </w:rPr>
        <w:t>%。其中：</w:t>
      </w:r>
    </w:p>
    <w:p>
      <w:pPr>
        <w:pStyle w:val="13"/>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i/>
          <w:color w:val="auto"/>
          <w:sz w:val="32"/>
          <w:szCs w:val="32"/>
          <w:lang w:eastAsia="zh-CN"/>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0.7</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138</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科技项目</w:t>
      </w:r>
      <w:r>
        <w:rPr>
          <w:rFonts w:hint="eastAsia" w:asciiTheme="minorEastAsia" w:hAnsiTheme="minorEastAsia" w:eastAsiaTheme="minorEastAsia"/>
          <w:sz w:val="32"/>
          <w:szCs w:val="32"/>
        </w:rPr>
        <w:t>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1.56</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1.56</w:t>
      </w:r>
      <w:r>
        <w:rPr>
          <w:rFonts w:hint="eastAsia" w:asciiTheme="minorEastAsia" w:hAnsiTheme="minorEastAsia"/>
          <w:sz w:val="32"/>
          <w:szCs w:val="32"/>
        </w:rPr>
        <w:t>万元，主要是</w:t>
      </w:r>
      <w:r>
        <w:rPr>
          <w:rFonts w:hint="eastAsia" w:asciiTheme="minorEastAsia" w:hAnsiTheme="minorEastAsia"/>
          <w:sz w:val="32"/>
          <w:szCs w:val="32"/>
          <w:lang w:eastAsia="zh-CN"/>
        </w:rPr>
        <w:t>电力执法专项</w:t>
      </w:r>
      <w:r>
        <w:rPr>
          <w:rFonts w:hint="eastAsia" w:asciiTheme="minorEastAsia" w:hAnsiTheme="minorEastAsia"/>
          <w:sz w:val="32"/>
          <w:szCs w:val="32"/>
          <w:lang w:val="en-US" w:eastAsia="zh-CN"/>
        </w:rPr>
        <w:t>用车</w:t>
      </w:r>
      <w:r>
        <w:rPr>
          <w:rFonts w:hint="eastAsia" w:asciiTheme="minorEastAsia" w:hAnsiTheme="minorEastAsia"/>
          <w:sz w:val="32"/>
          <w:szCs w:val="32"/>
        </w:rPr>
        <w:t>支出，截止2020年12月31日，我单位开支财政拨款的公务用车保</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13"/>
        <w:rPr>
          <w:rFonts w:hAnsi="黑体"/>
          <w:b/>
          <w:sz w:val="32"/>
          <w:szCs w:val="32"/>
        </w:rPr>
      </w:pPr>
      <w:r>
        <w:rPr>
          <w:rFonts w:hint="eastAsia" w:hAnsi="黑体"/>
          <w:b/>
          <w:sz w:val="32"/>
          <w:szCs w:val="32"/>
        </w:rPr>
        <w:t>八、政府性基金预算收入支出决算情况</w:t>
      </w:r>
    </w:p>
    <w:p>
      <w:pPr>
        <w:pStyle w:val="13"/>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2020年度政府性基金预算财政拨款收入</w:t>
      </w:r>
      <w:r>
        <w:rPr>
          <w:rFonts w:hint="eastAsia" w:asciiTheme="minorEastAsia" w:hAnsiTheme="minorEastAsia" w:eastAsiaTheme="minorEastAsia"/>
          <w:sz w:val="32"/>
          <w:szCs w:val="32"/>
          <w:lang w:val="en-US" w:eastAsia="zh-CN"/>
        </w:rPr>
        <w:t>16</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16</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16</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3"/>
        <w:rPr>
          <w:rFonts w:hAnsi="黑体"/>
          <w:b/>
          <w:sz w:val="32"/>
          <w:szCs w:val="32"/>
        </w:rPr>
      </w:pPr>
      <w:r>
        <w:rPr>
          <w:rFonts w:hint="eastAsia" w:hAnsi="黑体"/>
          <w:b/>
          <w:sz w:val="32"/>
          <w:szCs w:val="32"/>
        </w:rPr>
        <w:t>九、关于机关运行经费支出说明</w:t>
      </w:r>
    </w:p>
    <w:p>
      <w:pPr>
        <w:pStyle w:val="13"/>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98.6</w:t>
      </w:r>
      <w:r>
        <w:rPr>
          <w:rFonts w:hint="eastAsia" w:asciiTheme="minorEastAsia" w:hAnsiTheme="minorEastAsia" w:eastAsiaTheme="minorEastAsia"/>
          <w:sz w:val="32"/>
          <w:szCs w:val="32"/>
        </w:rPr>
        <w:t>万元，比上年决算数</w:t>
      </w:r>
      <w:r>
        <w:rPr>
          <w:rFonts w:hint="eastAsia" w:asciiTheme="minorEastAsia" w:hAnsiTheme="minorEastAsia" w:eastAsiaTheme="minorEastAsia"/>
          <w:sz w:val="32"/>
          <w:szCs w:val="32"/>
          <w:lang w:val="en-US" w:eastAsia="zh-CN"/>
        </w:rPr>
        <w:t>增加0.38</w:t>
      </w:r>
      <w:r>
        <w:rPr>
          <w:rFonts w:hint="eastAsia" w:asciiTheme="minorEastAsia" w:hAnsiTheme="minorEastAsia" w:eastAsiaTheme="minorEastAsia"/>
          <w:sz w:val="32"/>
          <w:szCs w:val="32"/>
        </w:rPr>
        <w:t xml:space="preserve"> 万元，</w:t>
      </w:r>
      <w:r>
        <w:rPr>
          <w:rFonts w:hint="eastAsia" w:asciiTheme="minorEastAsia" w:hAnsiTheme="minorEastAsia" w:eastAsiaTheme="minorEastAsia"/>
          <w:sz w:val="32"/>
          <w:szCs w:val="32"/>
          <w:lang w:val="en-US" w:eastAsia="zh-CN"/>
        </w:rPr>
        <w:t>增长0.39</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科技项目增加</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十、一般性支出情况</w:t>
      </w:r>
    </w:p>
    <w:p>
      <w:pPr>
        <w:ind w:firstLine="640" w:firstLineChars="200"/>
        <w:rPr>
          <w:rFonts w:hint="eastAsia" w:ascii="宋体" w:hAnsi="宋体" w:eastAsia="宋体" w:cs="宋体"/>
          <w:color w:val="auto"/>
          <w:kern w:val="0"/>
          <w:sz w:val="32"/>
          <w:szCs w:val="32"/>
          <w:lang w:eastAsia="zh-CN"/>
        </w:rPr>
      </w:pPr>
      <w:r>
        <w:rPr>
          <w:rFonts w:hint="eastAsia" w:asciiTheme="minorEastAsia" w:hAnsiTheme="minorEastAsia" w:eastAsiaTheme="minorEastAsia"/>
          <w:color w:val="auto"/>
          <w:sz w:val="32"/>
          <w:szCs w:val="32"/>
        </w:rPr>
        <w:t>2020年本部门开支会议费</w:t>
      </w:r>
      <w:r>
        <w:rPr>
          <w:rFonts w:hint="eastAsia" w:asciiTheme="minorEastAsia" w:hAnsiTheme="minorEastAsia" w:eastAsiaTheme="minorEastAsia"/>
          <w:color w:val="auto"/>
          <w:sz w:val="32"/>
          <w:szCs w:val="32"/>
          <w:lang w:val="en-US" w:eastAsia="zh-CN"/>
        </w:rPr>
        <w:t>2.45</w:t>
      </w:r>
      <w:r>
        <w:rPr>
          <w:rFonts w:hint="eastAsia" w:asciiTheme="minorEastAsia" w:hAnsiTheme="minorEastAsia" w:eastAsiaTheme="minorEastAsia"/>
          <w:color w:val="auto"/>
          <w:sz w:val="32"/>
          <w:szCs w:val="32"/>
        </w:rPr>
        <w:t>万元，</w:t>
      </w:r>
      <w:r>
        <w:rPr>
          <w:rFonts w:hint="eastAsia" w:ascii="宋体" w:hAnsi="宋体" w:eastAsia="宋体" w:cs="宋体"/>
          <w:color w:val="auto"/>
          <w:kern w:val="0"/>
          <w:sz w:val="32"/>
          <w:szCs w:val="32"/>
        </w:rPr>
        <w:t>用于召开</w:t>
      </w:r>
      <w:r>
        <w:rPr>
          <w:rFonts w:hint="eastAsia" w:ascii="宋体" w:hAnsi="宋体" w:eastAsia="宋体" w:cs="宋体"/>
          <w:color w:val="auto"/>
          <w:kern w:val="0"/>
          <w:sz w:val="32"/>
          <w:szCs w:val="32"/>
          <w:lang w:val="en-US" w:eastAsia="zh-CN"/>
        </w:rPr>
        <w:t>4次</w:t>
      </w:r>
      <w:r>
        <w:rPr>
          <w:rFonts w:hint="eastAsia" w:ascii="宋体" w:hAnsi="宋体" w:eastAsia="宋体" w:cs="宋体"/>
          <w:color w:val="auto"/>
          <w:kern w:val="0"/>
          <w:sz w:val="32"/>
          <w:szCs w:val="32"/>
        </w:rPr>
        <w:t>会议，人数</w:t>
      </w:r>
      <w:r>
        <w:rPr>
          <w:rFonts w:hint="eastAsia" w:ascii="宋体" w:hAnsi="宋体" w:eastAsia="宋体" w:cs="宋体"/>
          <w:color w:val="auto"/>
          <w:kern w:val="0"/>
          <w:sz w:val="32"/>
          <w:szCs w:val="32"/>
          <w:lang w:val="en-US" w:eastAsia="zh-CN"/>
        </w:rPr>
        <w:t>400</w:t>
      </w:r>
      <w:r>
        <w:rPr>
          <w:rFonts w:hint="eastAsia" w:ascii="宋体" w:hAnsi="宋体" w:eastAsia="宋体" w:cs="宋体"/>
          <w:color w:val="auto"/>
          <w:kern w:val="0"/>
          <w:sz w:val="32"/>
          <w:szCs w:val="32"/>
        </w:rPr>
        <w:t>人，内容为</w:t>
      </w:r>
      <w:r>
        <w:rPr>
          <w:rFonts w:hint="eastAsia" w:ascii="宋体" w:hAnsi="宋体" w:eastAsia="宋体" w:cs="宋体"/>
          <w:color w:val="auto"/>
          <w:kern w:val="0"/>
          <w:sz w:val="32"/>
          <w:szCs w:val="32"/>
          <w:lang w:eastAsia="zh-CN"/>
        </w:rPr>
        <w:t>每季度</w:t>
      </w:r>
      <w:r>
        <w:rPr>
          <w:rFonts w:hint="eastAsia" w:asciiTheme="minorEastAsia" w:hAnsiTheme="minorEastAsia" w:eastAsiaTheme="minorEastAsia"/>
          <w:color w:val="auto"/>
          <w:sz w:val="32"/>
          <w:szCs w:val="32"/>
        </w:rPr>
        <w:t>召开</w:t>
      </w:r>
      <w:r>
        <w:rPr>
          <w:rFonts w:hint="eastAsia" w:asciiTheme="minorEastAsia" w:hAnsiTheme="minorEastAsia" w:eastAsiaTheme="minorEastAsia"/>
          <w:color w:val="auto"/>
          <w:sz w:val="32"/>
          <w:szCs w:val="32"/>
          <w:lang w:eastAsia="zh-CN"/>
        </w:rPr>
        <w:t>经济形势分析</w:t>
      </w:r>
      <w:r>
        <w:rPr>
          <w:rFonts w:hint="eastAsia" w:asciiTheme="minorEastAsia" w:hAnsiTheme="minorEastAsia" w:eastAsiaTheme="minorEastAsia"/>
          <w:color w:val="auto"/>
          <w:sz w:val="32"/>
          <w:szCs w:val="32"/>
        </w:rPr>
        <w:t>会议</w:t>
      </w:r>
      <w:r>
        <w:rPr>
          <w:rFonts w:hint="eastAsia" w:asciiTheme="minorEastAsia" w:hAnsiTheme="minorEastAsia"/>
          <w:color w:val="auto"/>
          <w:sz w:val="32"/>
          <w:szCs w:val="32"/>
          <w:lang w:eastAsia="zh-CN"/>
        </w:rPr>
        <w:t>（经费预算为</w:t>
      </w:r>
      <w:r>
        <w:rPr>
          <w:rFonts w:hint="eastAsia" w:asciiTheme="minorEastAsia" w:hAnsiTheme="minorEastAsia"/>
          <w:color w:val="auto"/>
          <w:sz w:val="32"/>
          <w:szCs w:val="32"/>
          <w:lang w:val="en-US" w:eastAsia="zh-CN"/>
        </w:rPr>
        <w:t>4万元，每委度召开一次，每次经费预算为1万元，参加人员为乡镇分管领导及经发办主任）</w:t>
      </w:r>
      <w:r>
        <w:rPr>
          <w:rFonts w:hint="eastAsia" w:ascii="宋体" w:hAnsi="宋体" w:eastAsia="宋体" w:cs="宋体"/>
          <w:color w:val="auto"/>
          <w:kern w:val="0"/>
          <w:sz w:val="32"/>
          <w:szCs w:val="32"/>
        </w:rPr>
        <w:t>；开支培训费</w:t>
      </w:r>
      <w:r>
        <w:rPr>
          <w:rFonts w:hint="eastAsia" w:ascii="宋体" w:hAnsi="宋体" w:eastAsia="宋体" w:cs="宋体"/>
          <w:color w:val="auto"/>
          <w:kern w:val="0"/>
          <w:sz w:val="32"/>
          <w:szCs w:val="32"/>
          <w:lang w:val="en-US" w:eastAsia="zh-CN"/>
        </w:rPr>
        <w:t>12.55</w:t>
      </w:r>
      <w:r>
        <w:rPr>
          <w:rFonts w:hint="eastAsia" w:ascii="宋体" w:hAnsi="宋体" w:eastAsia="宋体" w:cs="宋体"/>
          <w:color w:val="auto"/>
          <w:kern w:val="0"/>
          <w:sz w:val="32"/>
          <w:szCs w:val="32"/>
        </w:rPr>
        <w:t>万元，用于开展</w:t>
      </w:r>
      <w:r>
        <w:rPr>
          <w:rFonts w:hint="eastAsia" w:ascii="宋体" w:hAnsi="宋体" w:eastAsia="宋体" w:cs="宋体"/>
          <w:color w:val="auto"/>
          <w:kern w:val="0"/>
          <w:sz w:val="32"/>
          <w:szCs w:val="32"/>
          <w:lang w:eastAsia="zh-CN"/>
        </w:rPr>
        <w:t>高新技术企业人员</w:t>
      </w:r>
      <w:r>
        <w:rPr>
          <w:rFonts w:hint="eastAsia" w:ascii="宋体" w:hAnsi="宋体" w:eastAsia="宋体" w:cs="宋体"/>
          <w:color w:val="auto"/>
          <w:kern w:val="0"/>
          <w:sz w:val="32"/>
          <w:szCs w:val="32"/>
        </w:rPr>
        <w:t>培训</w:t>
      </w:r>
      <w:r>
        <w:rPr>
          <w:rFonts w:hint="eastAsia" w:ascii="宋体" w:hAnsi="宋体" w:eastAsia="宋体" w:cs="宋体"/>
          <w:color w:val="auto"/>
          <w:kern w:val="0"/>
          <w:sz w:val="32"/>
          <w:szCs w:val="32"/>
          <w:lang w:eastAsia="zh-CN"/>
        </w:rPr>
        <w:t>、科技研发准备金备案培训等</w:t>
      </w:r>
      <w:r>
        <w:rPr>
          <w:rFonts w:hint="eastAsia" w:ascii="宋体" w:hAnsi="宋体" w:eastAsia="宋体" w:cs="宋体"/>
          <w:color w:val="auto"/>
          <w:kern w:val="0"/>
          <w:sz w:val="32"/>
          <w:szCs w:val="32"/>
        </w:rPr>
        <w:t>，人数</w:t>
      </w:r>
      <w:r>
        <w:rPr>
          <w:rFonts w:hint="eastAsia" w:ascii="宋体" w:hAnsi="宋体" w:eastAsia="宋体" w:cs="宋体"/>
          <w:color w:val="auto"/>
          <w:kern w:val="0"/>
          <w:sz w:val="32"/>
          <w:szCs w:val="32"/>
          <w:lang w:val="en-US" w:eastAsia="zh-CN"/>
        </w:rPr>
        <w:t>2000</w:t>
      </w:r>
      <w:r>
        <w:rPr>
          <w:rFonts w:hint="eastAsia" w:ascii="宋体" w:hAnsi="宋体" w:eastAsia="宋体" w:cs="宋体"/>
          <w:color w:val="auto"/>
          <w:kern w:val="0"/>
          <w:sz w:val="32"/>
          <w:szCs w:val="32"/>
        </w:rPr>
        <w:t>人，内容为</w:t>
      </w:r>
      <w:r>
        <w:rPr>
          <w:rFonts w:hint="eastAsia" w:ascii="宋体" w:hAnsi="宋体" w:eastAsia="宋体" w:cs="宋体"/>
          <w:color w:val="auto"/>
          <w:kern w:val="0"/>
          <w:sz w:val="32"/>
          <w:szCs w:val="32"/>
          <w:lang w:eastAsia="zh-CN"/>
        </w:rPr>
        <w:t>安全生产教育、</w:t>
      </w:r>
      <w:r>
        <w:rPr>
          <w:rFonts w:hint="eastAsia" w:ascii="宋体" w:hAnsi="宋体" w:eastAsia="宋体" w:cs="宋体"/>
          <w:color w:val="auto"/>
          <w:kern w:val="0"/>
          <w:sz w:val="32"/>
          <w:szCs w:val="32"/>
        </w:rPr>
        <w:t>开展</w:t>
      </w:r>
      <w:r>
        <w:rPr>
          <w:rFonts w:hint="eastAsia" w:ascii="宋体" w:hAnsi="宋体" w:eastAsia="宋体" w:cs="宋体"/>
          <w:color w:val="auto"/>
          <w:kern w:val="0"/>
          <w:sz w:val="32"/>
          <w:szCs w:val="32"/>
          <w:lang w:eastAsia="zh-CN"/>
        </w:rPr>
        <w:t>高新技术企业人员</w:t>
      </w:r>
      <w:r>
        <w:rPr>
          <w:rFonts w:hint="eastAsia" w:ascii="宋体" w:hAnsi="宋体" w:eastAsia="宋体" w:cs="宋体"/>
          <w:color w:val="auto"/>
          <w:kern w:val="0"/>
          <w:sz w:val="32"/>
          <w:szCs w:val="32"/>
        </w:rPr>
        <w:t>培训</w:t>
      </w:r>
      <w:r>
        <w:rPr>
          <w:rFonts w:hint="eastAsia" w:ascii="宋体" w:hAnsi="宋体" w:eastAsia="宋体" w:cs="宋体"/>
          <w:color w:val="auto"/>
          <w:kern w:val="0"/>
          <w:sz w:val="32"/>
          <w:szCs w:val="32"/>
          <w:lang w:eastAsia="zh-CN"/>
        </w:rPr>
        <w:t>、科技研发准备金培训等（</w:t>
      </w:r>
      <w:r>
        <w:rPr>
          <w:rFonts w:hint="eastAsia" w:ascii="宋体" w:hAnsi="宋体" w:eastAsia="宋体" w:cs="宋体"/>
          <w:color w:val="auto"/>
          <w:kern w:val="0"/>
          <w:sz w:val="32"/>
          <w:szCs w:val="32"/>
          <w:lang w:val="en-US" w:eastAsia="zh-CN"/>
        </w:rPr>
        <w:t>1、高析技术企业培训2次，经费预算为4万元，参加人员为乡镇科技专干、规模工业企业负责人等；2、安全生产培训2次，经费预算为4万元，参加人员为乡镇经发办主任、规模工业企业安全生产责任人等；3、</w:t>
      </w:r>
      <w:r>
        <w:rPr>
          <w:rFonts w:hint="eastAsia" w:ascii="宋体" w:hAnsi="宋体" w:eastAsia="宋体" w:cs="宋体"/>
          <w:color w:val="auto"/>
          <w:kern w:val="0"/>
          <w:sz w:val="32"/>
          <w:szCs w:val="32"/>
          <w:lang w:eastAsia="zh-CN"/>
        </w:rPr>
        <w:t>科技研发准备金培训</w:t>
      </w:r>
      <w:r>
        <w:rPr>
          <w:rFonts w:hint="eastAsia" w:ascii="宋体" w:hAnsi="宋体" w:eastAsia="宋体" w:cs="宋体"/>
          <w:color w:val="auto"/>
          <w:kern w:val="0"/>
          <w:sz w:val="32"/>
          <w:szCs w:val="32"/>
          <w:lang w:val="en-US" w:eastAsia="zh-CN"/>
        </w:rPr>
        <w:t>2次，经费预算为5万元，参加人员为乡镇科技专干、规模工业企业负责人等</w:t>
      </w:r>
      <w:r>
        <w:rPr>
          <w:rFonts w:hint="eastAsia" w:ascii="宋体" w:hAnsi="宋体" w:eastAsia="宋体" w:cs="宋体"/>
          <w:color w:val="auto"/>
          <w:kern w:val="0"/>
          <w:sz w:val="32"/>
          <w:szCs w:val="32"/>
        </w:rPr>
        <w:t>。</w:t>
      </w:r>
      <w:r>
        <w:rPr>
          <w:rFonts w:hint="eastAsia" w:ascii="宋体" w:hAnsi="宋体" w:eastAsia="宋体" w:cs="宋体"/>
          <w:color w:val="auto"/>
          <w:kern w:val="0"/>
          <w:sz w:val="32"/>
          <w:szCs w:val="32"/>
          <w:lang w:eastAsia="zh-CN"/>
        </w:rPr>
        <w:t>）</w:t>
      </w:r>
    </w:p>
    <w:p>
      <w:pPr>
        <w:pStyle w:val="13"/>
        <w:rPr>
          <w:rFonts w:hAnsi="黑体"/>
          <w:b/>
          <w:sz w:val="32"/>
          <w:szCs w:val="32"/>
        </w:rPr>
      </w:pPr>
      <w:r>
        <w:rPr>
          <w:rFonts w:hint="eastAsia" w:hAnsi="黑体"/>
          <w:b/>
          <w:sz w:val="32"/>
          <w:szCs w:val="32"/>
        </w:rPr>
        <w:t>十一、关于政府采购支出说明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0.98</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0.98</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0.98</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十二、关于国有资产占用情况说明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3"/>
        <w:rPr>
          <w:rFonts w:hAnsi="黑体"/>
          <w:b/>
          <w:sz w:val="32"/>
          <w:szCs w:val="32"/>
        </w:rPr>
      </w:pPr>
      <w:r>
        <w:rPr>
          <w:rFonts w:hint="eastAsia" w:hAnsi="黑体"/>
          <w:b/>
          <w:sz w:val="32"/>
          <w:szCs w:val="32"/>
        </w:rPr>
        <w:t>十三、关于2020年度预算绩效情况的说明</w:t>
      </w:r>
    </w:p>
    <w:p>
      <w:pPr>
        <w:spacing w:before="156" w:beforeLines="50" w:after="156" w:afterLines="50" w:line="700" w:lineRule="exact"/>
        <w:ind w:firstLine="640"/>
        <w:jc w:val="center"/>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本部门</w:t>
      </w:r>
      <w:r>
        <w:rPr>
          <w:rFonts w:hint="eastAsia" w:asciiTheme="minorEastAsia" w:hAnsiTheme="minorEastAsia" w:eastAsiaTheme="minorEastAsia"/>
          <w:sz w:val="32"/>
          <w:szCs w:val="32"/>
          <w:lang w:val="en-US" w:eastAsia="zh-CN"/>
        </w:rPr>
        <w:t>已开展</w:t>
      </w:r>
      <w:r>
        <w:rPr>
          <w:rFonts w:hint="eastAsia" w:asciiTheme="minorEastAsia" w:hAnsiTheme="minorEastAsia" w:eastAsiaTheme="minorEastAsia"/>
          <w:sz w:val="32"/>
          <w:szCs w:val="32"/>
        </w:rPr>
        <w:t>预算绩效管理、绩效目标和绩效评价报告</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已</w:t>
      </w:r>
      <w:r>
        <w:rPr>
          <w:rFonts w:hint="eastAsia" w:asciiTheme="minorEastAsia" w:hAnsiTheme="minorEastAsia" w:eastAsiaTheme="minorEastAsia"/>
          <w:sz w:val="32"/>
          <w:szCs w:val="32"/>
        </w:rPr>
        <w:t>按照</w:t>
      </w:r>
    </w:p>
    <w:p>
      <w:pPr>
        <w:spacing w:before="156" w:beforeLines="50" w:after="156" w:afterLines="50" w:line="700" w:lineRule="exact"/>
        <w:jc w:val="both"/>
        <w:rPr>
          <w:rFonts w:hint="eastAsia" w:asciiTheme="minorEastAsia" w:hAnsiTheme="minorEastAsia"/>
          <w:sz w:val="32"/>
          <w:szCs w:val="32"/>
          <w:lang w:val="en-US" w:eastAsia="zh-CN"/>
        </w:rPr>
      </w:pPr>
      <w:r>
        <w:rPr>
          <w:rFonts w:hint="eastAsia" w:asciiTheme="minorEastAsia" w:hAnsiTheme="minorEastAsia" w:eastAsiaTheme="minorEastAsia"/>
          <w:sz w:val="32"/>
          <w:szCs w:val="32"/>
        </w:rPr>
        <w:t>财政绩效部门要求已公开</w:t>
      </w:r>
      <w:r>
        <w:rPr>
          <w:rFonts w:hint="eastAsia" w:asciiTheme="minorEastAsia" w:hAnsiTheme="minorEastAsia" w:eastAsiaTheme="minorEastAsia"/>
          <w:sz w:val="32"/>
          <w:szCs w:val="32"/>
          <w:lang w:eastAsia="zh-CN"/>
        </w:rPr>
        <w:t>。</w:t>
      </w:r>
      <w:r>
        <w:rPr>
          <w:rFonts w:hint="eastAsia" w:asciiTheme="minorEastAsia" w:hAnsiTheme="minorEastAsia"/>
          <w:sz w:val="32"/>
          <w:szCs w:val="32"/>
          <w:lang w:val="en-US" w:eastAsia="zh-CN"/>
        </w:rPr>
        <w:t xml:space="preserve">                                        </w:t>
      </w:r>
    </w:p>
    <w:p>
      <w:pPr>
        <w:spacing w:before="156" w:beforeLines="50" w:after="156" w:afterLines="50" w:line="700" w:lineRule="exact"/>
        <w:ind w:firstLine="640"/>
        <w:jc w:val="both"/>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科工局</w:t>
      </w:r>
      <w:r>
        <w:rPr>
          <w:rFonts w:hint="eastAsia" w:ascii="宋体" w:hAnsi="宋体" w:eastAsia="宋体" w:cs="宋体"/>
          <w:b w:val="0"/>
          <w:bCs w:val="0"/>
          <w:sz w:val="32"/>
          <w:szCs w:val="32"/>
        </w:rPr>
        <w:t>20</w:t>
      </w:r>
      <w:r>
        <w:rPr>
          <w:rFonts w:hint="eastAsia" w:ascii="宋体" w:hAnsi="宋体" w:eastAsia="宋体" w:cs="宋体"/>
          <w:b w:val="0"/>
          <w:bCs w:val="0"/>
          <w:sz w:val="32"/>
          <w:szCs w:val="32"/>
          <w:lang w:val="en-US" w:eastAsia="zh-CN"/>
        </w:rPr>
        <w:t>20</w:t>
      </w:r>
      <w:r>
        <w:rPr>
          <w:rFonts w:hint="eastAsia" w:ascii="宋体" w:hAnsi="宋体" w:eastAsia="宋体" w:cs="宋体"/>
          <w:b w:val="0"/>
          <w:bCs w:val="0"/>
          <w:sz w:val="32"/>
          <w:szCs w:val="32"/>
        </w:rPr>
        <w:t>年度部门整体支出绩效自评报告</w:t>
      </w:r>
      <w:r>
        <w:rPr>
          <w:rFonts w:hint="eastAsia" w:ascii="宋体" w:hAnsi="宋体" w:eastAsia="宋体" w:cs="宋体"/>
          <w:b w:val="0"/>
          <w:bCs w:val="0"/>
          <w:sz w:val="32"/>
          <w:szCs w:val="32"/>
          <w:lang w:eastAsia="zh-CN"/>
        </w:rPr>
        <w:t>附后：</w:t>
      </w:r>
    </w:p>
    <w:p>
      <w:pPr>
        <w:pStyle w:val="13"/>
        <w:ind w:firstLine="640" w:firstLineChars="200"/>
        <w:rPr>
          <w:rFonts w:hint="eastAsia" w:asciiTheme="minorEastAsia" w:hAnsiTheme="minorEastAsia" w:eastAsiaTheme="minorEastAsia"/>
          <w:sz w:val="32"/>
          <w:szCs w:val="32"/>
          <w:lang w:eastAsia="zh-CN"/>
        </w:rPr>
      </w:pPr>
    </w:p>
    <w:p>
      <w:pPr>
        <w:pStyle w:val="13"/>
        <w:jc w:val="both"/>
        <w:rPr>
          <w:sz w:val="72"/>
          <w:szCs w:val="72"/>
        </w:rPr>
      </w:pPr>
    </w:p>
    <w:p>
      <w:pPr>
        <w:pStyle w:val="13"/>
        <w:jc w:val="center"/>
        <w:rPr>
          <w:sz w:val="72"/>
          <w:szCs w:val="72"/>
        </w:rPr>
      </w:pPr>
    </w:p>
    <w:p>
      <w:pPr>
        <w:pStyle w:val="13"/>
        <w:jc w:val="center"/>
        <w:rPr>
          <w:sz w:val="72"/>
          <w:szCs w:val="72"/>
        </w:rPr>
      </w:pPr>
    </w:p>
    <w:p>
      <w:pPr>
        <w:spacing w:before="156" w:beforeLines="50" w:after="156" w:afterLines="50" w:line="700" w:lineRule="exact"/>
        <w:jc w:val="center"/>
        <w:rPr>
          <w:rFonts w:hint="eastAsia" w:ascii="华文仿宋" w:hAnsi="华文仿宋" w:eastAsia="华文仿宋" w:cs="华文仿宋"/>
          <w:b/>
          <w:sz w:val="44"/>
          <w:szCs w:val="44"/>
        </w:rPr>
      </w:pPr>
      <w:r>
        <w:rPr>
          <w:rFonts w:hint="eastAsia" w:ascii="华文仿宋" w:hAnsi="华文仿宋" w:eastAsia="华文仿宋" w:cs="华文仿宋"/>
          <w:b/>
          <w:sz w:val="44"/>
          <w:szCs w:val="44"/>
        </w:rPr>
        <w:t>湘乡市科技和工业信息化局</w:t>
      </w:r>
    </w:p>
    <w:p>
      <w:pPr>
        <w:spacing w:before="156" w:beforeLines="50" w:after="156" w:afterLines="50" w:line="700" w:lineRule="exact"/>
        <w:jc w:val="center"/>
        <w:rPr>
          <w:rFonts w:hint="eastAsia" w:ascii="华文仿宋" w:hAnsi="华文仿宋" w:eastAsia="华文仿宋" w:cs="华文仿宋"/>
          <w:b/>
          <w:sz w:val="28"/>
          <w:szCs w:val="28"/>
        </w:rPr>
      </w:pPr>
      <w:r>
        <w:rPr>
          <w:rFonts w:hint="eastAsia" w:ascii="华文仿宋" w:hAnsi="华文仿宋" w:eastAsia="华文仿宋" w:cs="华文仿宋"/>
          <w:b/>
          <w:sz w:val="44"/>
          <w:szCs w:val="44"/>
        </w:rPr>
        <w:t>20</w:t>
      </w:r>
      <w:r>
        <w:rPr>
          <w:rFonts w:hint="eastAsia" w:ascii="华文仿宋" w:hAnsi="华文仿宋" w:eastAsia="华文仿宋" w:cs="华文仿宋"/>
          <w:b/>
          <w:sz w:val="44"/>
          <w:szCs w:val="44"/>
          <w:lang w:val="en-US" w:eastAsia="zh-CN"/>
        </w:rPr>
        <w:t>20</w:t>
      </w:r>
      <w:r>
        <w:rPr>
          <w:rFonts w:hint="eastAsia" w:ascii="华文仿宋" w:hAnsi="华文仿宋" w:eastAsia="华文仿宋" w:cs="华文仿宋"/>
          <w:b/>
          <w:sz w:val="44"/>
          <w:szCs w:val="44"/>
        </w:rPr>
        <w:t>年度部门整体支出绩效自评报告</w:t>
      </w:r>
    </w:p>
    <w:p>
      <w:pPr>
        <w:spacing w:before="312" w:beforeLines="100" w:after="156" w:afterLines="50" w:line="360" w:lineRule="auto"/>
        <w:outlineLvl w:val="0"/>
        <w:rPr>
          <w:rFonts w:hint="eastAsia" w:ascii="宋体" w:hAnsi="宋体" w:eastAsia="宋体" w:cs="宋体"/>
          <w:b/>
          <w:bCs/>
          <w:sz w:val="32"/>
          <w:szCs w:val="32"/>
        </w:rPr>
      </w:pPr>
      <w:r>
        <w:rPr>
          <w:rFonts w:hint="eastAsia" w:ascii="宋体" w:hAnsi="宋体" w:eastAsia="宋体" w:cs="宋体"/>
          <w:b/>
          <w:bCs/>
          <w:sz w:val="32"/>
          <w:szCs w:val="32"/>
        </w:rPr>
        <w:t>一、概  况</w:t>
      </w:r>
    </w:p>
    <w:p>
      <w:pPr>
        <w:pStyle w:val="7"/>
        <w:widowControl/>
        <w:spacing w:line="360" w:lineRule="auto"/>
        <w:ind w:firstLine="580"/>
        <w:jc w:val="both"/>
        <w:outlineLvl w:val="0"/>
        <w:rPr>
          <w:rFonts w:hint="eastAsia" w:ascii="宋体" w:hAnsi="宋体" w:eastAsia="宋体" w:cs="宋体"/>
          <w:color w:val="auto"/>
          <w:sz w:val="32"/>
          <w:szCs w:val="32"/>
        </w:rPr>
      </w:pPr>
      <w:r>
        <w:rPr>
          <w:rFonts w:hint="eastAsia" w:ascii="宋体" w:hAnsi="宋体" w:eastAsia="宋体" w:cs="宋体"/>
          <w:b/>
          <w:bCs/>
          <w:color w:val="auto"/>
          <w:sz w:val="32"/>
          <w:szCs w:val="32"/>
        </w:rPr>
        <w:t>（一）部门基本情况</w:t>
      </w:r>
    </w:p>
    <w:p>
      <w:pPr>
        <w:widowControl/>
        <w:numPr>
          <w:ilvl w:val="0"/>
          <w:numId w:val="3"/>
        </w:numPr>
        <w:spacing w:line="600" w:lineRule="exact"/>
        <w:ind w:firstLine="627" w:firstLineChars="196"/>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湘乡市科技和工业信息化局</w:t>
      </w:r>
      <w:r>
        <w:rPr>
          <w:rFonts w:hint="eastAsia" w:ascii="宋体" w:hAnsi="宋体" w:eastAsia="宋体" w:cs="宋体"/>
          <w:b w:val="0"/>
          <w:bCs w:val="0"/>
          <w:color w:val="auto"/>
          <w:sz w:val="32"/>
          <w:szCs w:val="32"/>
          <w:shd w:val="clear" w:color="auto" w:fill="FFFFFF"/>
        </w:rPr>
        <w:t>系市人民政府工作部门，</w:t>
      </w:r>
      <w:r>
        <w:rPr>
          <w:rFonts w:hint="eastAsia" w:ascii="宋体" w:hAnsi="宋体" w:eastAsia="宋体" w:cs="宋体"/>
          <w:b w:val="0"/>
          <w:bCs w:val="0"/>
          <w:sz w:val="32"/>
          <w:szCs w:val="32"/>
          <w:lang w:eastAsia="zh-CN"/>
        </w:rPr>
        <w:t>内设机构含：</w:t>
      </w:r>
      <w:r>
        <w:rPr>
          <w:rFonts w:hint="eastAsia" w:ascii="宋体" w:hAnsi="宋体" w:eastAsia="宋体" w:cs="宋体"/>
          <w:b w:val="0"/>
          <w:bCs w:val="0"/>
          <w:sz w:val="32"/>
          <w:szCs w:val="32"/>
        </w:rPr>
        <w:t>办公室</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运行</w:t>
      </w:r>
      <w:r>
        <w:rPr>
          <w:rFonts w:hint="eastAsia" w:ascii="宋体" w:hAnsi="宋体" w:eastAsia="宋体" w:cs="宋体"/>
          <w:b w:val="0"/>
          <w:bCs w:val="0"/>
          <w:sz w:val="32"/>
          <w:szCs w:val="32"/>
          <w:lang w:eastAsia="zh-CN"/>
        </w:rPr>
        <w:t>监测协调</w:t>
      </w:r>
      <w:r>
        <w:rPr>
          <w:rFonts w:hint="eastAsia" w:ascii="宋体" w:hAnsi="宋体" w:eastAsia="宋体" w:cs="宋体"/>
          <w:b w:val="0"/>
          <w:bCs w:val="0"/>
          <w:sz w:val="32"/>
          <w:szCs w:val="32"/>
        </w:rPr>
        <w:t>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投资规划股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法规股</w:t>
      </w:r>
      <w:r>
        <w:rPr>
          <w:rFonts w:hint="eastAsia" w:ascii="宋体" w:hAnsi="宋体" w:eastAsia="宋体" w:cs="宋体"/>
          <w:b w:val="0"/>
          <w:bCs w:val="0"/>
          <w:sz w:val="32"/>
          <w:szCs w:val="32"/>
          <w:lang w:eastAsia="zh-CN"/>
        </w:rPr>
        <w:t>、原材料与节能综合利用</w:t>
      </w:r>
      <w:r>
        <w:rPr>
          <w:rFonts w:hint="eastAsia" w:ascii="宋体" w:hAnsi="宋体" w:eastAsia="宋体" w:cs="宋体"/>
          <w:b w:val="0"/>
          <w:bCs w:val="0"/>
          <w:sz w:val="32"/>
          <w:szCs w:val="32"/>
        </w:rPr>
        <w:t>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中小企业管理股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信息化管理股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高新技术和社会发展科技股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农业科技</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股财务股</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人事股</w:t>
      </w:r>
      <w:r>
        <w:rPr>
          <w:rFonts w:hint="eastAsia" w:ascii="宋体" w:hAnsi="宋体" w:eastAsia="宋体" w:cs="宋体"/>
          <w:b w:val="0"/>
          <w:bCs w:val="0"/>
          <w:kern w:val="0"/>
          <w:sz w:val="32"/>
          <w:szCs w:val="32"/>
          <w:shd w:val="clear" w:color="auto" w:fill="FFFFFF"/>
          <w:lang w:eastAsia="zh-CN"/>
        </w:rPr>
        <w:t>、</w:t>
      </w:r>
      <w:r>
        <w:rPr>
          <w:rFonts w:hint="eastAsia" w:ascii="宋体" w:hAnsi="宋体" w:eastAsia="宋体" w:cs="宋体"/>
          <w:b w:val="0"/>
          <w:bCs w:val="0"/>
          <w:sz w:val="32"/>
          <w:szCs w:val="32"/>
        </w:rPr>
        <w:t>党建办公室</w:t>
      </w:r>
      <w:r>
        <w:rPr>
          <w:rFonts w:hint="eastAsia" w:ascii="宋体" w:hAnsi="宋体" w:eastAsia="宋体" w:cs="宋体"/>
          <w:b w:val="0"/>
          <w:bCs w:val="0"/>
          <w:sz w:val="32"/>
          <w:szCs w:val="32"/>
          <w:lang w:val="en-US" w:eastAsia="zh-CN"/>
        </w:rPr>
        <w:t>12个内设股室。</w:t>
      </w:r>
    </w:p>
    <w:p>
      <w:pPr>
        <w:widowControl/>
        <w:numPr>
          <w:ilvl w:val="0"/>
          <w:numId w:val="3"/>
        </w:numPr>
        <w:spacing w:line="600" w:lineRule="exact"/>
        <w:ind w:firstLine="627" w:firstLineChars="196"/>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二级机构及内设机构：市科技创新服务中心、市科技和工业信息化服务中心、市电力执法大队、市湖铁社区服务中心、市湘铝有限公司留守处5个事业单位。</w:t>
      </w:r>
    </w:p>
    <w:p>
      <w:pPr>
        <w:widowControl/>
        <w:numPr>
          <w:ilvl w:val="0"/>
          <w:numId w:val="3"/>
        </w:numPr>
        <w:spacing w:line="600" w:lineRule="exact"/>
        <w:ind w:firstLine="627" w:firstLineChars="196"/>
        <w:rPr>
          <w:rFonts w:hint="eastAsia" w:ascii="宋体" w:hAnsi="宋体" w:eastAsia="宋体" w:cs="宋体"/>
          <w:sz w:val="32"/>
          <w:szCs w:val="32"/>
          <w:lang w:val="en-US" w:eastAsia="zh-CN"/>
        </w:rPr>
      </w:pPr>
      <w:r>
        <w:rPr>
          <w:rFonts w:hint="eastAsia" w:ascii="宋体" w:hAnsi="宋体" w:eastAsia="宋体" w:cs="宋体"/>
          <w:b w:val="0"/>
          <w:bCs w:val="0"/>
          <w:kern w:val="0"/>
          <w:sz w:val="32"/>
          <w:szCs w:val="32"/>
          <w:shd w:val="clear" w:color="auto" w:fill="FFFFFF"/>
        </w:rPr>
        <w:t>我局现有在职</w:t>
      </w:r>
      <w:r>
        <w:rPr>
          <w:rFonts w:hint="eastAsia" w:ascii="宋体" w:hAnsi="宋体" w:eastAsia="宋体" w:cs="宋体"/>
          <w:b w:val="0"/>
          <w:bCs w:val="0"/>
          <w:sz w:val="32"/>
          <w:szCs w:val="32"/>
          <w:lang w:val="en-US" w:eastAsia="zh-CN"/>
        </w:rPr>
        <w:t>人员5</w:t>
      </w:r>
      <w:r>
        <w:rPr>
          <w:rFonts w:hint="eastAsia" w:ascii="宋体" w:hAnsi="宋体" w:cs="宋体"/>
          <w:b w:val="0"/>
          <w:bCs w:val="0"/>
          <w:sz w:val="32"/>
          <w:szCs w:val="32"/>
          <w:lang w:val="en-US" w:eastAsia="zh-CN"/>
        </w:rPr>
        <w:t>2</w:t>
      </w:r>
      <w:r>
        <w:rPr>
          <w:rFonts w:hint="eastAsia" w:ascii="宋体" w:hAnsi="宋体" w:eastAsia="宋体" w:cs="宋体"/>
          <w:b w:val="0"/>
          <w:bCs w:val="0"/>
          <w:sz w:val="32"/>
          <w:szCs w:val="32"/>
          <w:lang w:val="en-US" w:eastAsia="zh-CN"/>
        </w:rPr>
        <w:t>人</w:t>
      </w:r>
      <w:r>
        <w:rPr>
          <w:rFonts w:hint="eastAsia" w:ascii="宋体" w:hAnsi="宋体" w:eastAsia="宋体" w:cs="宋体"/>
          <w:b w:val="0"/>
          <w:bCs w:val="0"/>
          <w:kern w:val="0"/>
          <w:sz w:val="32"/>
          <w:szCs w:val="32"/>
          <w:shd w:val="clear" w:color="auto" w:fill="FFFFFF"/>
        </w:rPr>
        <w:t>，离休1人</w:t>
      </w:r>
      <w:r>
        <w:rPr>
          <w:rFonts w:hint="eastAsia" w:ascii="宋体" w:hAnsi="宋体" w:eastAsia="宋体" w:cs="宋体"/>
          <w:b w:val="0"/>
          <w:bCs w:val="0"/>
          <w:kern w:val="0"/>
          <w:sz w:val="32"/>
          <w:szCs w:val="32"/>
          <w:shd w:val="clear" w:color="auto" w:fill="FFFFFF"/>
          <w:lang w:eastAsia="zh-CN"/>
        </w:rPr>
        <w:t>，退休人员</w:t>
      </w:r>
      <w:r>
        <w:rPr>
          <w:rFonts w:hint="eastAsia" w:ascii="宋体" w:hAnsi="宋体" w:eastAsia="宋体" w:cs="宋体"/>
          <w:b w:val="0"/>
          <w:bCs w:val="0"/>
          <w:kern w:val="0"/>
          <w:sz w:val="32"/>
          <w:szCs w:val="32"/>
          <w:shd w:val="clear" w:color="auto" w:fill="FFFFFF"/>
          <w:lang w:val="en-US" w:eastAsia="zh-CN"/>
        </w:rPr>
        <w:t>6</w:t>
      </w:r>
      <w:r>
        <w:rPr>
          <w:rFonts w:hint="eastAsia" w:ascii="宋体" w:hAnsi="宋体" w:cs="宋体"/>
          <w:b w:val="0"/>
          <w:bCs w:val="0"/>
          <w:kern w:val="0"/>
          <w:sz w:val="32"/>
          <w:szCs w:val="32"/>
          <w:shd w:val="clear" w:color="auto" w:fill="FFFFFF"/>
          <w:lang w:val="en-US" w:eastAsia="zh-CN"/>
        </w:rPr>
        <w:t>2</w:t>
      </w:r>
      <w:r>
        <w:rPr>
          <w:rFonts w:hint="eastAsia" w:ascii="宋体" w:hAnsi="宋体" w:eastAsia="宋体" w:cs="宋体"/>
          <w:b w:val="0"/>
          <w:bCs w:val="0"/>
          <w:kern w:val="0"/>
          <w:sz w:val="32"/>
          <w:szCs w:val="32"/>
          <w:shd w:val="clear" w:color="auto" w:fill="FFFFFF"/>
          <w:lang w:val="en-US" w:eastAsia="zh-CN"/>
        </w:rPr>
        <w:t>人。</w:t>
      </w:r>
      <w:r>
        <w:rPr>
          <w:rFonts w:hint="eastAsia" w:ascii="宋体" w:hAnsi="宋体" w:eastAsia="宋体" w:cs="宋体"/>
          <w:b w:val="0"/>
          <w:bCs w:val="0"/>
          <w:kern w:val="0"/>
          <w:sz w:val="32"/>
          <w:szCs w:val="32"/>
          <w:shd w:val="clear" w:color="auto" w:fill="FFFFFF"/>
        </w:rPr>
        <w:t>有公车1</w:t>
      </w:r>
      <w:r>
        <w:rPr>
          <w:rFonts w:hint="eastAsia" w:ascii="宋体" w:hAnsi="宋体" w:eastAsia="宋体" w:cs="宋体"/>
          <w:b w:val="0"/>
          <w:bCs w:val="0"/>
          <w:kern w:val="0"/>
          <w:sz w:val="32"/>
          <w:szCs w:val="32"/>
          <w:shd w:val="clear" w:color="auto" w:fill="FFFFFF"/>
          <w:lang w:eastAsia="zh-CN"/>
        </w:rPr>
        <w:t>辆</w:t>
      </w:r>
      <w:r>
        <w:rPr>
          <w:rFonts w:hint="eastAsia" w:ascii="宋体" w:hAnsi="宋体" w:eastAsia="宋体" w:cs="宋体"/>
          <w:b w:val="0"/>
          <w:bCs w:val="0"/>
          <w:kern w:val="0"/>
          <w:sz w:val="32"/>
          <w:szCs w:val="32"/>
          <w:shd w:val="clear" w:color="auto" w:fill="FFFFFF"/>
        </w:rPr>
        <w:t>。</w:t>
      </w:r>
      <w:r>
        <w:rPr>
          <w:rFonts w:hint="eastAsia" w:ascii="宋体" w:hAnsi="宋体" w:cs="仿宋_GB2312"/>
          <w:kern w:val="0"/>
          <w:sz w:val="32"/>
          <w:szCs w:val="32"/>
          <w:shd w:val="clear" w:color="auto" w:fill="FFFFFF"/>
        </w:rPr>
        <w:t>有固定资产</w:t>
      </w:r>
      <w:r>
        <w:rPr>
          <w:rFonts w:hint="eastAsia" w:ascii="宋体" w:hAnsi="宋体" w:cs="宋体"/>
          <w:b w:val="0"/>
          <w:bCs w:val="0"/>
          <w:color w:val="444444"/>
          <w:kern w:val="0"/>
          <w:sz w:val="32"/>
          <w:szCs w:val="32"/>
          <w:lang w:val="en-US" w:eastAsia="zh-CN"/>
        </w:rPr>
        <w:t>81.46万元</w:t>
      </w:r>
      <w:r>
        <w:rPr>
          <w:rFonts w:hint="eastAsia" w:ascii="宋体" w:hAnsi="宋体" w:cs="仿宋_GB2312"/>
          <w:kern w:val="0"/>
          <w:sz w:val="32"/>
          <w:szCs w:val="32"/>
          <w:shd w:val="clear" w:color="auto" w:fill="FFFFFF"/>
        </w:rPr>
        <w:t>，</w:t>
      </w:r>
      <w:r>
        <w:rPr>
          <w:rFonts w:ascii="宋体" w:hAnsi="宋体" w:cs="仿宋_GB2312"/>
          <w:kern w:val="0"/>
          <w:sz w:val="32"/>
          <w:szCs w:val="32"/>
          <w:shd w:val="clear" w:color="auto" w:fill="FFFFFF"/>
        </w:rPr>
        <w:t>2018</w:t>
      </w:r>
      <w:r>
        <w:rPr>
          <w:rFonts w:hint="eastAsia" w:ascii="宋体" w:hAnsi="宋体" w:cs="仿宋_GB2312"/>
          <w:kern w:val="0"/>
          <w:sz w:val="32"/>
          <w:szCs w:val="32"/>
          <w:shd w:val="clear" w:color="auto" w:fill="FFFFFF"/>
        </w:rPr>
        <w:t>年</w:t>
      </w:r>
      <w:r>
        <w:rPr>
          <w:rFonts w:ascii="宋体" w:hAnsi="宋体" w:cs="仿宋_GB2312"/>
          <w:kern w:val="0"/>
          <w:sz w:val="32"/>
          <w:szCs w:val="32"/>
          <w:shd w:val="clear" w:color="auto" w:fill="FFFFFF"/>
        </w:rPr>
        <w:t>5</w:t>
      </w:r>
      <w:r>
        <w:rPr>
          <w:rFonts w:hint="eastAsia" w:ascii="宋体" w:hAnsi="宋体" w:cs="仿宋_GB2312"/>
          <w:kern w:val="0"/>
          <w:sz w:val="32"/>
          <w:szCs w:val="32"/>
          <w:shd w:val="clear" w:color="auto" w:fill="FFFFFF"/>
        </w:rPr>
        <w:t>月搬迁至行政中心二楼办公，现</w:t>
      </w:r>
      <w:r>
        <w:rPr>
          <w:rFonts w:hint="eastAsia" w:ascii="宋体" w:hAnsi="宋体" w:cs="仿宋_GB2312"/>
          <w:kern w:val="0"/>
          <w:sz w:val="32"/>
          <w:szCs w:val="32"/>
          <w:shd w:val="clear" w:color="auto" w:fill="FFFFFF"/>
          <w:lang w:eastAsia="zh-CN"/>
        </w:rPr>
        <w:t>有</w:t>
      </w:r>
      <w:r>
        <w:rPr>
          <w:rFonts w:hint="eastAsia" w:ascii="宋体" w:hAnsi="宋体" w:cs="仿宋_GB2312"/>
          <w:kern w:val="0"/>
          <w:sz w:val="32"/>
          <w:szCs w:val="32"/>
          <w:shd w:val="clear" w:color="auto" w:fill="FFFFFF"/>
        </w:rPr>
        <w:t>办公室</w:t>
      </w:r>
      <w:r>
        <w:rPr>
          <w:rFonts w:ascii="宋体" w:hAnsi="宋体" w:cs="仿宋_GB2312"/>
          <w:kern w:val="0"/>
          <w:sz w:val="32"/>
          <w:szCs w:val="32"/>
          <w:shd w:val="clear" w:color="auto" w:fill="FFFFFF"/>
        </w:rPr>
        <w:t>17</w:t>
      </w:r>
      <w:r>
        <w:rPr>
          <w:rFonts w:hint="eastAsia" w:ascii="宋体" w:hAnsi="宋体" w:cs="仿宋_GB2312"/>
          <w:kern w:val="0"/>
          <w:sz w:val="32"/>
          <w:szCs w:val="32"/>
          <w:shd w:val="clear" w:color="auto" w:fill="FFFFFF"/>
        </w:rPr>
        <w:t>间。</w:t>
      </w:r>
    </w:p>
    <w:p>
      <w:pPr>
        <w:outlineLvl w:val="0"/>
        <w:rPr>
          <w:rFonts w:hint="eastAsia" w:ascii="宋体" w:hAnsi="宋体" w:eastAsia="宋体" w:cs="宋体"/>
          <w:b w:val="0"/>
          <w:bCs w:val="0"/>
          <w:sz w:val="32"/>
          <w:szCs w:val="32"/>
        </w:rPr>
      </w:pPr>
      <w:r>
        <w:rPr>
          <w:rFonts w:hint="eastAsia" w:ascii="宋体" w:hAnsi="宋体" w:eastAsia="宋体" w:cs="宋体"/>
          <w:b w:val="0"/>
          <w:bCs w:val="0"/>
          <w:sz w:val="32"/>
          <w:szCs w:val="32"/>
        </w:rPr>
        <w:t xml:space="preserve">   （二）湘乡市科技和</w:t>
      </w:r>
      <w:r>
        <w:rPr>
          <w:rFonts w:hint="eastAsia" w:ascii="宋体" w:hAnsi="宋体" w:eastAsia="宋体" w:cs="宋体"/>
          <w:b w:val="0"/>
          <w:bCs w:val="0"/>
          <w:sz w:val="32"/>
          <w:szCs w:val="32"/>
          <w:lang w:eastAsia="zh-CN"/>
        </w:rPr>
        <w:t>工业</w:t>
      </w:r>
      <w:r>
        <w:rPr>
          <w:rFonts w:hint="eastAsia" w:ascii="宋体" w:hAnsi="宋体" w:eastAsia="宋体" w:cs="宋体"/>
          <w:b w:val="0"/>
          <w:bCs w:val="0"/>
          <w:sz w:val="32"/>
          <w:szCs w:val="32"/>
        </w:rPr>
        <w:t>信息化局主要职能：</w:t>
      </w:r>
    </w:p>
    <w:p>
      <w:pPr>
        <w:spacing w:line="560" w:lineRule="exact"/>
        <w:ind w:firstLine="640" w:firstLineChars="200"/>
        <w:jc w:val="left"/>
        <w:rPr>
          <w:rFonts w:hint="eastAsia" w:ascii="宋体" w:hAnsi="宋体" w:eastAsia="宋体" w:cs="宋体"/>
          <w:b w:val="0"/>
          <w:bCs w:val="0"/>
          <w:sz w:val="32"/>
          <w:szCs w:val="32"/>
        </w:rPr>
      </w:pPr>
      <w:r>
        <w:rPr>
          <w:rFonts w:hint="eastAsia" w:ascii="宋体" w:hAnsi="宋体" w:eastAsia="宋体" w:cs="宋体"/>
          <w:b w:val="0"/>
          <w:bCs w:val="0"/>
          <w:sz w:val="32"/>
          <w:szCs w:val="32"/>
        </w:rPr>
        <w:t>按照三定方案规定的职责，</w:t>
      </w:r>
      <w:r>
        <w:rPr>
          <w:rFonts w:hint="eastAsia" w:ascii="宋体" w:hAnsi="宋体" w:eastAsia="宋体" w:cs="宋体"/>
          <w:b w:val="0"/>
          <w:bCs w:val="0"/>
          <w:sz w:val="32"/>
          <w:szCs w:val="32"/>
          <w:lang w:eastAsia="zh-CN"/>
        </w:rPr>
        <w:t>我局</w:t>
      </w:r>
      <w:r>
        <w:rPr>
          <w:rFonts w:hint="eastAsia" w:ascii="宋体" w:hAnsi="宋体" w:eastAsia="宋体" w:cs="宋体"/>
          <w:b w:val="0"/>
          <w:bCs w:val="0"/>
          <w:color w:val="0000FF"/>
          <w:sz w:val="32"/>
          <w:szCs w:val="32"/>
        </w:rPr>
        <w:t>负责监控分析全市工业经济运行情况，协调处理解决经济运行中的突出矛盾和问题；</w:t>
      </w:r>
      <w:r>
        <w:rPr>
          <w:rFonts w:hint="eastAsia" w:ascii="宋体" w:hAnsi="宋体" w:eastAsia="宋体" w:cs="宋体"/>
          <w:b w:val="0"/>
          <w:bCs w:val="0"/>
          <w:sz w:val="32"/>
          <w:szCs w:val="32"/>
        </w:rPr>
        <w:t>监测分析近期工业经济运行态势，发布相关信息，进行预测预警和信息引导，并提出政策建议</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rPr>
        <w:t>组织拟订全市工业企业技术进步的发展战略、规划和高技术产业中涉及生物医药、新材料、航空航天、信息产业等的规划、政策并组织实施；编制和组织实施技术改造规划，提出工业和信息化领域固定资产投资规模和方向（含利用外资和境外投资）；推进企业技术创新体系建设，指导行业技术进步和技术创新，以先进适用技术改造提升传统产业，组织实施相关科技重大专项，推进产学研结合和科研成果产业化。负责煤炭、电力、石油、天然气和原材料等经济运行保障要素的综合协调工作；指导生产企业物流外包，促进企业内部物流社会化。组织拟订信息化发展战略、专项规划及相关政策，协调解决信息化建设中的重大问题；促进通信与融媒体中心、网宣中心融合；推动跨部门、跨行业的互联互通和重要信息资源的开发利用、共享；推进全市社会信息化建设。指导全市科技、工业、信息化领域人才开发与培训工作；会同有关部门拟订科技人才队伍建设规划，提出相关政策建议；承担全市科技人才队伍建设和科技创新团队建设有关工作；负责引进外国智力工作，拟定全市重点引进外国专家总体规划、计划并组织实施，建立境外高层次创新人才、团队吸引集聚机制和重点外国专家联系服务机制；做好外国专家管理，开展人才和智力对外合作交流。组织拟订全市军民结合发展规划并组织实施；编制国防科技工业科技发展规划并组织实施；承担民口配套的有关协作事宜；组织引导市内军民两用技术双向转移，推进军民结合；负责研究协调军民一体化装备维修保障重大事项，组织指导军民一体化装备维修保障工作；负责统筹地方军工、民口配套、军工电子单位固定资产投资的申报工作；组织推进属地军民结合、寓军于民的武器装备科研生产体系建设工作；指导军工生产行业加强安全生产、排查治理隐患工作，参与军工企业重特大安全事故的调查处理；指导全市国防科技工业保密工作；承担上级国防科技工业管理部门交办的其他工作。负责全市科技奖励、科技保密、科技评估、科技统计、科技情报信息工作。</w:t>
      </w:r>
    </w:p>
    <w:p>
      <w:pPr>
        <w:numPr>
          <w:ilvl w:val="0"/>
          <w:numId w:val="4"/>
        </w:numPr>
        <w:spacing w:line="360" w:lineRule="auto"/>
        <w:ind w:firstLine="640" w:firstLineChars="200"/>
        <w:rPr>
          <w:rFonts w:hint="eastAsia" w:ascii="宋体" w:hAnsi="宋体" w:eastAsia="宋体" w:cs="宋体"/>
          <w:b w:val="0"/>
          <w:bCs w:val="0"/>
          <w:sz w:val="32"/>
          <w:szCs w:val="32"/>
        </w:rPr>
      </w:pPr>
      <w:r>
        <w:rPr>
          <w:rFonts w:hint="eastAsia" w:ascii="宋体" w:hAnsi="宋体" w:eastAsia="宋体" w:cs="宋体"/>
          <w:b w:val="0"/>
          <w:bCs w:val="0"/>
          <w:sz w:val="32"/>
          <w:szCs w:val="32"/>
        </w:rPr>
        <w:t>湘乡市科技和</w:t>
      </w:r>
      <w:r>
        <w:rPr>
          <w:rFonts w:hint="eastAsia" w:ascii="宋体" w:hAnsi="宋体" w:eastAsia="宋体" w:cs="宋体"/>
          <w:b w:val="0"/>
          <w:bCs w:val="0"/>
          <w:sz w:val="32"/>
          <w:szCs w:val="32"/>
          <w:lang w:eastAsia="zh-CN"/>
        </w:rPr>
        <w:t>工业</w:t>
      </w:r>
      <w:r>
        <w:rPr>
          <w:rFonts w:hint="eastAsia" w:ascii="宋体" w:hAnsi="宋体" w:eastAsia="宋体" w:cs="宋体"/>
          <w:b w:val="0"/>
          <w:bCs w:val="0"/>
          <w:sz w:val="32"/>
          <w:szCs w:val="32"/>
        </w:rPr>
        <w:t>信息化局20</w:t>
      </w:r>
      <w:r>
        <w:rPr>
          <w:rFonts w:hint="eastAsia" w:ascii="宋体" w:hAnsi="宋体" w:cs="宋体"/>
          <w:b w:val="0"/>
          <w:bCs w:val="0"/>
          <w:sz w:val="32"/>
          <w:szCs w:val="32"/>
          <w:lang w:val="en-US" w:eastAsia="zh-CN"/>
        </w:rPr>
        <w:t>20</w:t>
      </w:r>
      <w:r>
        <w:rPr>
          <w:rFonts w:hint="eastAsia" w:ascii="宋体" w:hAnsi="宋体" w:eastAsia="宋体" w:cs="宋体"/>
          <w:b w:val="0"/>
          <w:bCs w:val="0"/>
          <w:sz w:val="32"/>
          <w:szCs w:val="32"/>
        </w:rPr>
        <w:t>年重点工作安排：</w:t>
      </w:r>
    </w:p>
    <w:p>
      <w:pPr>
        <w:pStyle w:val="2"/>
        <w:numPr>
          <w:ilvl w:val="0"/>
          <w:numId w:val="0"/>
        </w:numPr>
        <w:ind w:firstLine="640" w:firstLineChars="200"/>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1.明确一个目标</w:t>
      </w:r>
      <w:r>
        <w:rPr>
          <w:rFonts w:hint="eastAsia" w:ascii="仿宋" w:hAnsi="仿宋" w:eastAsia="仿宋" w:cs="仿宋"/>
          <w:sz w:val="32"/>
          <w:szCs w:val="32"/>
          <w:lang w:val="en-US" w:eastAsia="zh-CN"/>
        </w:rPr>
        <w:t>：争创全省真抓实干先进单位，湘潭绩效考核力争第一。</w:t>
      </w:r>
    </w:p>
    <w:p>
      <w:pPr>
        <w:pStyle w:val="2"/>
        <w:numPr>
          <w:ilvl w:val="0"/>
          <w:numId w:val="0"/>
        </w:numPr>
        <w:ind w:firstLine="640" w:firstLineChars="200"/>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2.提升两大产业</w:t>
      </w:r>
      <w:r>
        <w:rPr>
          <w:rFonts w:hint="eastAsia" w:ascii="仿宋" w:hAnsi="仿宋" w:eastAsia="仿宋" w:cs="仿宋"/>
          <w:sz w:val="32"/>
          <w:szCs w:val="32"/>
          <w:lang w:val="en-US" w:eastAsia="zh-CN"/>
        </w:rPr>
        <w:t>。将皮革、铸造两大产业作为重点，以绿色化、精细化、高质量发展为导向，提质升级皮革产业；加强自主创新，加大铸造企业的重组和结构调整，促进产业转型升级。</w:t>
      </w:r>
    </w:p>
    <w:p>
      <w:pPr>
        <w:pStyle w:val="2"/>
        <w:numPr>
          <w:ilvl w:val="0"/>
          <w:numId w:val="0"/>
        </w:numPr>
        <w:ind w:firstLine="640" w:firstLineChars="200"/>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3.加快三个工业小区建设</w:t>
      </w:r>
      <w:r>
        <w:rPr>
          <w:rFonts w:hint="eastAsia" w:ascii="仿宋" w:hAnsi="仿宋" w:eastAsia="仿宋" w:cs="仿宋"/>
          <w:sz w:val="32"/>
          <w:szCs w:val="32"/>
          <w:lang w:val="en-US" w:eastAsia="zh-CN"/>
        </w:rPr>
        <w:t>。将金石、棋梓、虞唐三个工业小区作为工业发展的重点，实施“一区一特”、以点带面，全面提升全市工业水平。</w:t>
      </w:r>
    </w:p>
    <w:p>
      <w:pPr>
        <w:pStyle w:val="2"/>
        <w:numPr>
          <w:ilvl w:val="0"/>
          <w:numId w:val="0"/>
        </w:numPr>
        <w:ind w:firstLine="640" w:firstLineChars="200"/>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4.抓实四条新兴优势产业链。</w:t>
      </w:r>
      <w:r>
        <w:rPr>
          <w:rFonts w:hint="eastAsia" w:ascii="仿宋" w:hAnsi="仿宋" w:eastAsia="仿宋" w:cs="仿宋"/>
          <w:sz w:val="32"/>
          <w:szCs w:val="32"/>
          <w:lang w:val="en-US" w:eastAsia="zh-CN"/>
        </w:rPr>
        <w:t>出台具体考核办法，加大招商引资力度，引进培育一批链主型龙头骨干企业和补链型小巨人企业。进一步加强产业链建设，优化“两图”“两库”等产业链基础工作，建立督查督办、绩效考核和联席会议制度。由市级领导挂帅，坚持一月一调度、一年一考核，提升四条产业链水平，打造湘乡特色品牌。</w:t>
      </w:r>
    </w:p>
    <w:p>
      <w:pPr>
        <w:pStyle w:val="2"/>
        <w:numPr>
          <w:ilvl w:val="0"/>
          <w:numId w:val="0"/>
        </w:numPr>
        <w:ind w:firstLine="640" w:firstLineChars="200"/>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5.抓实五项具体工作</w:t>
      </w:r>
      <w:r>
        <w:rPr>
          <w:rFonts w:hint="eastAsia" w:ascii="仿宋" w:hAnsi="仿宋" w:eastAsia="仿宋" w:cs="仿宋"/>
          <w:sz w:val="32"/>
          <w:szCs w:val="32"/>
          <w:lang w:val="en-US" w:eastAsia="zh-CN"/>
        </w:rPr>
        <w:t>。在“入规、登高、上市、智造”上狠下功夫，一是全年新增高新技术企业20家，高新技术产品产值增加值占GDP比重为25%；二是全年新增规模企业30家，规模工业增加值增速为4%；三是完成5G基站建设286个。</w:t>
      </w:r>
    </w:p>
    <w:p>
      <w:pPr>
        <w:numPr>
          <w:ilvl w:val="0"/>
          <w:numId w:val="4"/>
        </w:numPr>
        <w:spacing w:line="360" w:lineRule="auto"/>
        <w:ind w:firstLine="640" w:firstLineChars="200"/>
        <w:rPr>
          <w:rFonts w:hint="eastAsia" w:ascii="宋体" w:hAnsi="宋体" w:eastAsia="宋体" w:cs="宋体"/>
          <w:b w:val="0"/>
          <w:bCs w:val="0"/>
          <w:sz w:val="32"/>
          <w:szCs w:val="32"/>
          <w:shd w:val="clear" w:color="auto" w:fill="FFFFFF"/>
        </w:rPr>
      </w:pPr>
      <w:r>
        <w:rPr>
          <w:rFonts w:hint="eastAsia" w:ascii="宋体" w:hAnsi="宋体" w:eastAsia="宋体" w:cs="宋体"/>
          <w:b w:val="0"/>
          <w:bCs w:val="0"/>
          <w:sz w:val="32"/>
          <w:szCs w:val="32"/>
        </w:rPr>
        <w:t xml:space="preserve"> 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1、面对突如其来的新冠肺炎疫情，在市委市政府的坚强领导下，我局全体干部职工到企业任指导员，</w:t>
      </w:r>
      <w:r>
        <w:rPr>
          <w:rFonts w:hint="eastAsia" w:ascii="仿宋" w:hAnsi="仿宋" w:eastAsia="仿宋" w:cs="Times New Roman"/>
          <w:sz w:val="32"/>
          <w:szCs w:val="32"/>
          <w:lang w:eastAsia="zh-CN"/>
        </w:rPr>
        <w:t>建立“六员”联系制度，</w:t>
      </w:r>
      <w:r>
        <w:rPr>
          <w:rFonts w:hint="eastAsia" w:ascii="仿宋" w:hAnsi="仿宋" w:eastAsia="仿宋" w:cs="仿宋"/>
          <w:b w:val="0"/>
          <w:bCs w:val="0"/>
          <w:sz w:val="32"/>
          <w:szCs w:val="32"/>
          <w:lang w:eastAsia="zh-CN"/>
        </w:rPr>
        <w:t>切实抓好了疫情防控期间复工复产各项工作，</w:t>
      </w:r>
      <w:r>
        <w:rPr>
          <w:rFonts w:hint="eastAsia" w:ascii="仿宋" w:hAnsi="仿宋" w:eastAsia="仿宋" w:cs="仿宋"/>
          <w:sz w:val="30"/>
          <w:szCs w:val="30"/>
          <w:lang w:eastAsia="zh-CN"/>
        </w:rPr>
        <w:t>出台</w:t>
      </w:r>
      <w:r>
        <w:rPr>
          <w:rFonts w:hint="eastAsia" w:ascii="仿宋" w:hAnsi="仿宋" w:eastAsia="仿宋" w:cs="仿宋"/>
          <w:sz w:val="30"/>
          <w:szCs w:val="30"/>
        </w:rPr>
        <w:t>了《应对新冠肺炎疫情影响促进企业健康发展的若干措施》</w:t>
      </w:r>
      <w:r>
        <w:rPr>
          <w:rFonts w:hint="eastAsia" w:ascii="仿宋" w:hAnsi="仿宋" w:eastAsia="仿宋" w:cs="仿宋"/>
          <w:sz w:val="30"/>
          <w:szCs w:val="30"/>
          <w:lang w:eastAsia="zh-CN"/>
        </w:rPr>
        <w:t>、</w:t>
      </w:r>
      <w:r>
        <w:rPr>
          <w:rFonts w:hint="eastAsia" w:ascii="仿宋" w:hAnsi="仿宋" w:eastAsia="仿宋" w:cs="仿宋"/>
          <w:sz w:val="32"/>
          <w:szCs w:val="32"/>
        </w:rPr>
        <w:t>《关于应对疫情防控加强企业复工复产金融支持力度的通知》</w:t>
      </w:r>
      <w:r>
        <w:rPr>
          <w:rFonts w:hint="eastAsia" w:ascii="仿宋" w:hAnsi="仿宋" w:eastAsia="仿宋" w:cs="仿宋"/>
          <w:sz w:val="32"/>
          <w:szCs w:val="32"/>
          <w:lang w:eastAsia="zh-CN"/>
        </w:rPr>
        <w:t>等文件，督促</w:t>
      </w:r>
      <w:r>
        <w:rPr>
          <w:rFonts w:hint="eastAsia" w:ascii="仿宋" w:hAnsi="仿宋" w:eastAsia="仿宋" w:cs="Times New Roman"/>
          <w:sz w:val="32"/>
          <w:szCs w:val="32"/>
          <w:lang w:eastAsia="zh-CN"/>
        </w:rPr>
        <w:t>各项疫情防控措施落实到位：</w:t>
      </w:r>
      <w:r>
        <w:rPr>
          <w:rFonts w:hint="eastAsia" w:ascii="仿宋" w:hAnsi="仿宋" w:eastAsia="仿宋" w:cs="Times New Roman"/>
          <w:b/>
          <w:bCs/>
          <w:sz w:val="32"/>
          <w:szCs w:val="32"/>
          <w:lang w:eastAsia="zh-CN"/>
        </w:rPr>
        <w:t>一</w:t>
      </w:r>
      <w:r>
        <w:rPr>
          <w:rFonts w:hint="eastAsia" w:ascii="仿宋" w:hAnsi="仿宋" w:eastAsia="仿宋" w:cs="Times New Roman"/>
          <w:b/>
          <w:bCs/>
          <w:sz w:val="32"/>
          <w:szCs w:val="32"/>
          <w:lang w:val="en-US" w:eastAsia="zh-CN"/>
        </w:rPr>
        <w:t>是</w:t>
      </w:r>
      <w:r>
        <w:rPr>
          <w:rFonts w:hint="eastAsia" w:ascii="仿宋" w:hAnsi="仿宋" w:eastAsia="仿宋" w:cs="Times New Roman"/>
          <w:sz w:val="32"/>
          <w:szCs w:val="32"/>
          <w:lang w:eastAsia="zh-CN"/>
        </w:rPr>
        <w:t>共发放稳岗就业补贴221.9万元，免费赠送口罩80000只、体温仪132个，发放中药预防汤剂28059付；</w:t>
      </w:r>
      <w:r>
        <w:rPr>
          <w:rFonts w:hint="eastAsia" w:ascii="仿宋" w:hAnsi="仿宋" w:eastAsia="仿宋" w:cs="Times New Roman"/>
          <w:b/>
          <w:bCs/>
          <w:sz w:val="32"/>
          <w:szCs w:val="32"/>
          <w:lang w:eastAsia="zh-CN"/>
        </w:rPr>
        <w:t>二是</w:t>
      </w:r>
      <w:r>
        <w:rPr>
          <w:rFonts w:hint="eastAsia" w:ascii="仿宋" w:hAnsi="仿宋" w:eastAsia="仿宋" w:cs="Times New Roman"/>
          <w:sz w:val="32"/>
          <w:szCs w:val="32"/>
          <w:lang w:eastAsia="zh-CN"/>
        </w:rPr>
        <w:t>组织振添光学等6家企业纳入省疫情防控重点保障企业,协调简美汽贸转产建成人工、半自动口罩生产线各一条；</w:t>
      </w:r>
      <w:r>
        <w:rPr>
          <w:rFonts w:hint="eastAsia" w:ascii="仿宋" w:hAnsi="仿宋" w:eastAsia="仿宋" w:cs="Times New Roman"/>
          <w:b/>
          <w:bCs/>
          <w:sz w:val="32"/>
          <w:szCs w:val="32"/>
          <w:lang w:eastAsia="zh-CN"/>
        </w:rPr>
        <w:t>三是</w:t>
      </w:r>
      <w:r>
        <w:rPr>
          <w:rFonts w:hint="eastAsia" w:ascii="仿宋" w:hAnsi="仿宋" w:eastAsia="仿宋" w:cs="Times New Roman"/>
          <w:sz w:val="32"/>
          <w:szCs w:val="32"/>
          <w:lang w:val="en-US" w:eastAsia="zh-CN"/>
        </w:rPr>
        <w:t>3月份</w:t>
      </w:r>
      <w:r>
        <w:rPr>
          <w:rFonts w:hint="eastAsia" w:ascii="仿宋" w:hAnsi="仿宋" w:eastAsia="仿宋" w:cs="仿宋"/>
          <w:sz w:val="32"/>
          <w:szCs w:val="32"/>
        </w:rPr>
        <w:t>举办</w:t>
      </w:r>
      <w:r>
        <w:rPr>
          <w:rFonts w:hint="eastAsia" w:ascii="仿宋" w:hAnsi="仿宋" w:eastAsia="仿宋" w:cs="仿宋"/>
          <w:sz w:val="32"/>
          <w:szCs w:val="32"/>
          <w:lang w:eastAsia="zh-CN"/>
        </w:rPr>
        <w:t>了</w:t>
      </w:r>
      <w:r>
        <w:rPr>
          <w:rFonts w:hint="eastAsia" w:ascii="仿宋" w:hAnsi="仿宋" w:eastAsia="仿宋" w:cs="仿宋"/>
          <w:sz w:val="32"/>
          <w:szCs w:val="32"/>
        </w:rPr>
        <w:t>金融服务助力复工复产专场政银企对接会，全市11家银行与39家企业签订信贷意向22.14亿元</w:t>
      </w:r>
      <w:r>
        <w:rPr>
          <w:rFonts w:hint="eastAsia" w:ascii="仿宋" w:hAnsi="仿宋" w:eastAsia="仿宋" w:cs="仿宋"/>
          <w:sz w:val="32"/>
          <w:szCs w:val="32"/>
          <w:lang w:eastAsia="zh-CN"/>
        </w:rPr>
        <w:t>；</w:t>
      </w:r>
      <w:r>
        <w:rPr>
          <w:rFonts w:hint="eastAsia" w:ascii="仿宋" w:hAnsi="仿宋" w:eastAsia="仿宋" w:cs="仿宋"/>
          <w:b/>
          <w:bCs/>
          <w:sz w:val="32"/>
          <w:szCs w:val="32"/>
          <w:lang w:eastAsia="zh-CN"/>
        </w:rPr>
        <w:t>四是</w:t>
      </w:r>
      <w:r>
        <w:rPr>
          <w:rFonts w:hint="eastAsia" w:ascii="仿宋" w:hAnsi="仿宋" w:eastAsia="仿宋" w:cs="仿宋"/>
          <w:sz w:val="32"/>
          <w:szCs w:val="32"/>
          <w:lang w:eastAsia="zh-CN"/>
        </w:rPr>
        <w:t>全市</w:t>
      </w:r>
      <w:r>
        <w:rPr>
          <w:rFonts w:hint="eastAsia" w:ascii="仿宋" w:hAnsi="仿宋" w:eastAsia="仿宋" w:cs="仿宋"/>
          <w:sz w:val="32"/>
          <w:szCs w:val="32"/>
          <w:lang w:val="en-US" w:eastAsia="zh-CN"/>
        </w:rPr>
        <w:t>236家规模企业全部复工复产，复岗率96.29%，名列湘潭市第一。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2、全年新认定高新技术企业26家，全市现有高新技术企业53家，高新技术企业产值占GDP比重为26%，财政科技投入为2.07亿元，科技绩效考核工作名列湘潭市前茅。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全年实现规模工业总产值964.2亿元，同比增长4.0%；全年实现规模工业增加值265.3亿元，同比增长4.0%，位居湘潭第二，申报新增规上企业个数53家，湘潭市排名第一，全年新增规模企业48家，全市规模工业企业达291家。全年全市规模工业企业上缴税金3.2亿元，同比增长11.0%，其中韶峰南方税收过亿。全年完成工业投资104亿元，同比增长18%。工业技改投资同比增长20% 。</w:t>
      </w:r>
    </w:p>
    <w:p>
      <w:pPr>
        <w:pStyle w:val="7"/>
        <w:widowControl/>
        <w:numPr>
          <w:ilvl w:val="0"/>
          <w:numId w:val="5"/>
        </w:numPr>
        <w:spacing w:line="360" w:lineRule="auto"/>
        <w:rPr>
          <w:rFonts w:hint="eastAsia" w:ascii="宋体" w:hAnsi="宋体" w:eastAsia="宋体" w:cs="宋体"/>
          <w:b/>
          <w:bCs/>
          <w:color w:val="auto"/>
          <w:sz w:val="32"/>
          <w:szCs w:val="32"/>
        </w:rPr>
      </w:pPr>
      <w:r>
        <w:rPr>
          <w:rFonts w:hint="eastAsia" w:ascii="宋体" w:hAnsi="宋体" w:eastAsia="宋体" w:cs="宋体"/>
          <w:b/>
          <w:bCs/>
          <w:color w:val="auto"/>
          <w:sz w:val="32"/>
          <w:szCs w:val="32"/>
        </w:rPr>
        <w:t>部门整体支出管理及使用情况</w:t>
      </w:r>
    </w:p>
    <w:p>
      <w:pPr>
        <w:pStyle w:val="7"/>
        <w:widowControl/>
        <w:spacing w:line="360" w:lineRule="auto"/>
        <w:jc w:val="both"/>
        <w:rPr>
          <w:rFonts w:hint="eastAsia" w:ascii="宋体" w:hAnsi="宋体" w:eastAsia="宋体" w:cs="宋体"/>
          <w:b/>
          <w:bCs/>
          <w:color w:val="auto"/>
          <w:sz w:val="32"/>
          <w:szCs w:val="32"/>
        </w:rPr>
      </w:pPr>
      <w:r>
        <w:rPr>
          <w:rFonts w:hint="eastAsia" w:ascii="仿宋_GB2312" w:hAnsi="华文仿宋" w:eastAsia="仿宋_GB2312" w:cs="华文仿宋"/>
          <w:b/>
          <w:bCs/>
          <w:color w:val="auto"/>
          <w:sz w:val="32"/>
          <w:szCs w:val="32"/>
        </w:rPr>
        <w:t xml:space="preserve">    </w:t>
      </w:r>
      <w:r>
        <w:rPr>
          <w:rFonts w:hint="eastAsia" w:ascii="宋体" w:hAnsi="宋体" w:eastAsia="宋体" w:cs="宋体"/>
          <w:b/>
          <w:bCs/>
          <w:color w:val="auto"/>
          <w:sz w:val="32"/>
          <w:szCs w:val="32"/>
        </w:rPr>
        <w:t>（一）预算情况</w:t>
      </w:r>
    </w:p>
    <w:p>
      <w:pPr>
        <w:snapToGrid w:val="0"/>
        <w:spacing w:line="520" w:lineRule="exact"/>
        <w:ind w:firstLine="640" w:firstLineChars="200"/>
        <w:rPr>
          <w:rFonts w:hint="eastAsia" w:ascii="宋体" w:hAnsi="宋体" w:cs="宋体"/>
          <w:b w:val="0"/>
          <w:bCs w:val="0"/>
          <w:sz w:val="32"/>
          <w:szCs w:val="32"/>
          <w:lang w:val="en-US" w:eastAsia="zh-CN"/>
        </w:rPr>
      </w:pPr>
      <w:r>
        <w:rPr>
          <w:rFonts w:hint="eastAsia" w:ascii="宋体" w:hAnsi="宋体" w:eastAsia="宋体" w:cs="宋体"/>
          <w:b w:val="0"/>
          <w:bCs w:val="0"/>
          <w:sz w:val="32"/>
          <w:szCs w:val="32"/>
        </w:rPr>
        <w:t>年初预算：</w:t>
      </w:r>
      <w:r>
        <w:rPr>
          <w:rFonts w:hint="eastAsia" w:ascii="宋体" w:hAnsi="宋体" w:eastAsia="宋体" w:cs="宋体"/>
          <w:color w:val="000000"/>
          <w:sz w:val="32"/>
          <w:szCs w:val="32"/>
        </w:rPr>
        <w:t>20</w:t>
      </w:r>
      <w:r>
        <w:rPr>
          <w:rFonts w:hint="eastAsia" w:ascii="宋体" w:hAnsi="宋体" w:cs="宋体"/>
          <w:color w:val="000000"/>
          <w:sz w:val="32"/>
          <w:szCs w:val="32"/>
          <w:lang w:val="en-US" w:eastAsia="zh-CN"/>
        </w:rPr>
        <w:t>20</w:t>
      </w:r>
      <w:r>
        <w:rPr>
          <w:rFonts w:hint="eastAsia" w:ascii="宋体" w:hAnsi="宋体" w:eastAsia="宋体" w:cs="宋体"/>
          <w:color w:val="000000"/>
          <w:sz w:val="32"/>
          <w:szCs w:val="32"/>
          <w:lang w:val="en-US" w:eastAsia="zh-CN"/>
        </w:rPr>
        <w:t>年</w:t>
      </w:r>
      <w:r>
        <w:rPr>
          <w:rFonts w:hint="eastAsia" w:ascii="仿宋" w:hAnsi="仿宋" w:eastAsia="仿宋"/>
          <w:sz w:val="32"/>
          <w:lang w:val="en-US"/>
        </w:rPr>
        <w:t>一般公共预算财政拨款</w:t>
      </w:r>
      <w:r>
        <w:rPr>
          <w:rFonts w:hint="eastAsia" w:ascii="仿宋" w:hAnsi="仿宋" w:eastAsia="仿宋"/>
          <w:sz w:val="32"/>
          <w:lang w:val="en-US" w:eastAsia="zh-CN"/>
        </w:rPr>
        <w:t>收入为</w:t>
      </w:r>
      <w:r>
        <w:rPr>
          <w:rFonts w:hint="eastAsia" w:ascii="宋体" w:hAnsi="宋体" w:cs="宋体"/>
          <w:color w:val="000000"/>
          <w:sz w:val="32"/>
          <w:szCs w:val="32"/>
          <w:lang w:val="en-US" w:eastAsia="zh-CN"/>
        </w:rPr>
        <w:t>879.47</w:t>
      </w:r>
      <w:r>
        <w:rPr>
          <w:rFonts w:hint="eastAsia" w:ascii="宋体" w:hAnsi="宋体" w:eastAsia="宋体" w:cs="宋体"/>
          <w:color w:val="000000"/>
          <w:sz w:val="32"/>
          <w:szCs w:val="32"/>
        </w:rPr>
        <w:t>万元。其中基本支出</w:t>
      </w:r>
      <w:r>
        <w:rPr>
          <w:rFonts w:hint="eastAsia" w:ascii="宋体" w:hAnsi="宋体" w:cs="宋体"/>
          <w:color w:val="000000"/>
          <w:sz w:val="32"/>
          <w:szCs w:val="32"/>
          <w:lang w:val="en-US" w:eastAsia="zh-CN"/>
        </w:rPr>
        <w:t>589.67</w:t>
      </w:r>
      <w:r>
        <w:rPr>
          <w:rFonts w:hint="eastAsia" w:ascii="宋体" w:hAnsi="宋体" w:eastAsia="宋体" w:cs="宋体"/>
          <w:color w:val="000000"/>
          <w:sz w:val="32"/>
          <w:szCs w:val="32"/>
        </w:rPr>
        <w:t>万元，占总支出数的</w:t>
      </w:r>
      <w:r>
        <w:rPr>
          <w:rFonts w:hint="eastAsia" w:ascii="宋体" w:hAnsi="宋体" w:cs="宋体"/>
          <w:color w:val="000000"/>
          <w:sz w:val="32"/>
          <w:szCs w:val="32"/>
          <w:lang w:val="en-US" w:eastAsia="zh-CN"/>
        </w:rPr>
        <w:t>67</w:t>
      </w:r>
      <w:r>
        <w:rPr>
          <w:rFonts w:hint="eastAsia" w:ascii="宋体" w:hAnsi="宋体" w:eastAsia="宋体" w:cs="宋体"/>
          <w:color w:val="000000"/>
          <w:sz w:val="32"/>
          <w:szCs w:val="32"/>
        </w:rPr>
        <w:t>%，</w:t>
      </w:r>
      <w:r>
        <w:rPr>
          <w:rFonts w:hint="eastAsia" w:ascii="宋体" w:hAnsi="宋体" w:eastAsia="宋体" w:cs="宋体"/>
          <w:b w:val="0"/>
          <w:bCs w:val="0"/>
          <w:sz w:val="32"/>
          <w:szCs w:val="32"/>
        </w:rPr>
        <w:t>系保障支付机关正常运转、完成日常工作任务而发生的各项支出。</w:t>
      </w:r>
      <w:r>
        <w:rPr>
          <w:rFonts w:hint="eastAsia" w:ascii="宋体" w:hAnsi="宋体" w:eastAsia="宋体" w:cs="宋体"/>
          <w:color w:val="000000"/>
          <w:sz w:val="32"/>
          <w:szCs w:val="32"/>
        </w:rPr>
        <w:t>项目支出数为</w:t>
      </w:r>
      <w:r>
        <w:rPr>
          <w:rFonts w:hint="eastAsia" w:ascii="宋体" w:hAnsi="宋体" w:cs="宋体"/>
          <w:color w:val="000000"/>
          <w:sz w:val="32"/>
          <w:szCs w:val="32"/>
          <w:lang w:val="en-US" w:eastAsia="zh-CN"/>
        </w:rPr>
        <w:t>289.8</w:t>
      </w:r>
      <w:r>
        <w:rPr>
          <w:rFonts w:hint="eastAsia" w:ascii="宋体" w:hAnsi="宋体" w:eastAsia="宋体" w:cs="宋体"/>
          <w:color w:val="000000"/>
          <w:sz w:val="32"/>
          <w:szCs w:val="32"/>
        </w:rPr>
        <w:t>万元，占总支出数的</w:t>
      </w:r>
      <w:r>
        <w:rPr>
          <w:rFonts w:hint="eastAsia" w:ascii="宋体" w:hAnsi="宋体" w:cs="宋体"/>
          <w:color w:val="000000"/>
          <w:sz w:val="32"/>
          <w:szCs w:val="32"/>
          <w:lang w:val="en-US" w:eastAsia="zh-CN"/>
        </w:rPr>
        <w:t>33</w:t>
      </w:r>
      <w:r>
        <w:rPr>
          <w:rFonts w:hint="eastAsia" w:ascii="宋体" w:hAnsi="宋体" w:eastAsia="宋体" w:cs="宋体"/>
          <w:color w:val="000000"/>
          <w:sz w:val="32"/>
          <w:szCs w:val="32"/>
        </w:rPr>
        <w:t>%。</w:t>
      </w:r>
      <w:r>
        <w:rPr>
          <w:rFonts w:hint="eastAsia" w:ascii="宋体" w:hAnsi="宋体" w:eastAsia="宋体" w:cs="宋体"/>
          <w:b w:val="0"/>
          <w:bCs w:val="0"/>
          <w:sz w:val="32"/>
          <w:szCs w:val="32"/>
        </w:rPr>
        <w:t>具体明细如下表：</w:t>
      </w:r>
      <w:r>
        <w:rPr>
          <w:rFonts w:hint="eastAsia" w:ascii="宋体" w:hAnsi="宋体" w:cs="宋体"/>
          <w:b w:val="0"/>
          <w:bCs w:val="0"/>
          <w:sz w:val="32"/>
          <w:szCs w:val="32"/>
          <w:lang w:val="en-US" w:eastAsia="zh-CN"/>
        </w:rPr>
        <w:t xml:space="preserve"> </w:t>
      </w:r>
    </w:p>
    <w:tbl>
      <w:tblPr>
        <w:tblStyle w:val="8"/>
        <w:tblW w:w="8085" w:type="dxa"/>
        <w:tblInd w:w="0" w:type="dxa"/>
        <w:tblLayout w:type="autofit"/>
        <w:tblCellMar>
          <w:top w:w="0" w:type="dxa"/>
          <w:left w:w="0" w:type="dxa"/>
          <w:bottom w:w="0" w:type="dxa"/>
          <w:right w:w="0" w:type="dxa"/>
        </w:tblCellMar>
      </w:tblPr>
      <w:tblGrid>
        <w:gridCol w:w="846"/>
        <w:gridCol w:w="589"/>
        <w:gridCol w:w="590"/>
        <w:gridCol w:w="4080"/>
        <w:gridCol w:w="1980"/>
      </w:tblGrid>
      <w:tr>
        <w:tblPrEx>
          <w:tblCellMar>
            <w:top w:w="0" w:type="dxa"/>
            <w:left w:w="0" w:type="dxa"/>
            <w:bottom w:w="0" w:type="dxa"/>
            <w:right w:w="0" w:type="dxa"/>
          </w:tblCellMar>
        </w:tblPrEx>
        <w:trPr>
          <w:trHeight w:val="225" w:hRule="atLeast"/>
        </w:trPr>
        <w:tc>
          <w:tcPr>
            <w:tcW w:w="2025"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功能科目</w:t>
            </w:r>
          </w:p>
        </w:tc>
        <w:tc>
          <w:tcPr>
            <w:tcW w:w="408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项目名称</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金额</w:t>
            </w:r>
          </w:p>
        </w:tc>
      </w:tr>
      <w:tr>
        <w:tblPrEx>
          <w:tblCellMar>
            <w:top w:w="0" w:type="dxa"/>
            <w:left w:w="0" w:type="dxa"/>
            <w:bottom w:w="0" w:type="dxa"/>
            <w:right w:w="0" w:type="dxa"/>
          </w:tblCellMar>
        </w:tblPrEx>
        <w:trPr>
          <w:trHeight w:val="225" w:hRule="atLeast"/>
        </w:trPr>
        <w:tc>
          <w:tcPr>
            <w:tcW w:w="2025"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408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2,898,000 </w:t>
            </w:r>
          </w:p>
        </w:tc>
      </w:tr>
      <w:tr>
        <w:trPr>
          <w:trHeight w:val="610"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产业招商</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blPrEx>
          <w:tblCellMar>
            <w:top w:w="0" w:type="dxa"/>
            <w:left w:w="0" w:type="dxa"/>
            <w:bottom w:w="0" w:type="dxa"/>
            <w:right w:w="0" w:type="dxa"/>
          </w:tblCellMar>
        </w:tblPrEx>
        <w:trPr>
          <w:trHeight w:val="716"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国家可持续发展实验区梳理复核专项经费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90,000 </w:t>
            </w:r>
          </w:p>
        </w:tc>
      </w:tr>
      <w:tr>
        <w:tblPrEx>
          <w:tblCellMar>
            <w:top w:w="0" w:type="dxa"/>
            <w:left w:w="0" w:type="dxa"/>
            <w:bottom w:w="0" w:type="dxa"/>
            <w:right w:w="0" w:type="dxa"/>
          </w:tblCellMar>
        </w:tblPrEx>
        <w:trPr>
          <w:trHeight w:val="1093"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未改制企业留守人员8人工资及守护及保卫人员工资、已改制企业留守负责人4人工资及医保养保费用</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216,000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职教幼教专项工作经费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07</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科技活动周</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信息产业发展、“两化”融合专项经费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二次入伍人员费用</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27,000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企业离休干部及无固定收入的配偶及遗孀费用</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135,000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企业改制遗留问题处理</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1,350,000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科技成果转移转化示范县建设、科技培训、项目绩效评价</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增桥煤矿抚恤等经费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225,000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规模工业企业联网直报工作目标考核奖惩经费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中小企业平台日常管理</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电力执法工作经费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45,000 </w:t>
            </w:r>
          </w:p>
        </w:tc>
      </w:tr>
      <w:tr>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w:t>
            </w:r>
          </w:p>
        </w:tc>
        <w:tc>
          <w:tcPr>
            <w:tcW w:w="4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新型工业化办公室工作经费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90,000 </w:t>
            </w:r>
          </w:p>
        </w:tc>
      </w:tr>
    </w:tbl>
    <w:p>
      <w:pPr>
        <w:pStyle w:val="2"/>
        <w:rPr>
          <w:rFonts w:hint="eastAsia"/>
          <w:lang w:val="en-US" w:eastAsia="zh-CN"/>
        </w:rPr>
      </w:pPr>
    </w:p>
    <w:p>
      <w:pPr>
        <w:numPr>
          <w:ilvl w:val="0"/>
          <w:numId w:val="6"/>
        </w:numPr>
        <w:ind w:firstLine="560"/>
        <w:rPr>
          <w:rFonts w:hint="eastAsia" w:ascii="宋体" w:hAnsi="宋体" w:eastAsia="宋体" w:cs="宋体"/>
          <w:b/>
          <w:bCs/>
          <w:sz w:val="32"/>
          <w:szCs w:val="32"/>
        </w:rPr>
      </w:pPr>
      <w:r>
        <w:rPr>
          <w:rFonts w:hint="eastAsia" w:ascii="宋体" w:hAnsi="宋体" w:eastAsia="宋体" w:cs="宋体"/>
          <w:b/>
          <w:bCs/>
          <w:sz w:val="32"/>
          <w:szCs w:val="32"/>
        </w:rPr>
        <w:t>预算执行情况</w:t>
      </w:r>
    </w:p>
    <w:p>
      <w:pPr>
        <w:pStyle w:val="7"/>
        <w:widowControl/>
        <w:spacing w:line="360" w:lineRule="auto"/>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（1）</w:t>
      </w:r>
      <w:r>
        <w:rPr>
          <w:rFonts w:hint="eastAsia" w:ascii="宋体" w:hAnsi="宋体" w:eastAsia="宋体" w:cs="宋体"/>
          <w:color w:val="000000"/>
          <w:sz w:val="32"/>
          <w:szCs w:val="32"/>
        </w:rPr>
        <w:t>20</w:t>
      </w:r>
      <w:r>
        <w:rPr>
          <w:rFonts w:hint="eastAsia" w:ascii="宋体" w:hAnsi="宋体" w:cs="宋体"/>
          <w:color w:val="000000"/>
          <w:sz w:val="32"/>
          <w:szCs w:val="32"/>
          <w:lang w:val="en-US" w:eastAsia="zh-CN"/>
        </w:rPr>
        <w:t>20</w:t>
      </w:r>
      <w:r>
        <w:rPr>
          <w:rFonts w:hint="eastAsia" w:ascii="宋体" w:hAnsi="宋体" w:eastAsia="宋体" w:cs="宋体"/>
          <w:color w:val="000000"/>
          <w:sz w:val="32"/>
          <w:szCs w:val="32"/>
        </w:rPr>
        <w:t>年决算收入总数</w:t>
      </w:r>
      <w:r>
        <w:rPr>
          <w:rFonts w:hint="eastAsia" w:ascii="宋体" w:hAnsi="宋体" w:cs="宋体"/>
          <w:color w:val="000000"/>
          <w:sz w:val="32"/>
          <w:szCs w:val="32"/>
          <w:lang w:val="en-US" w:eastAsia="zh-CN"/>
        </w:rPr>
        <w:t>4706.8</w:t>
      </w:r>
      <w:r>
        <w:rPr>
          <w:rFonts w:hint="eastAsia" w:ascii="宋体" w:hAnsi="宋体" w:eastAsia="宋体" w:cs="宋体"/>
          <w:color w:val="000000"/>
          <w:sz w:val="32"/>
          <w:szCs w:val="32"/>
        </w:rPr>
        <w:t>万元，</w:t>
      </w:r>
      <w:r>
        <w:rPr>
          <w:rFonts w:hint="eastAsia" w:ascii="宋体" w:hAnsi="宋体" w:cs="宋体"/>
          <w:color w:val="000000"/>
          <w:sz w:val="32"/>
          <w:szCs w:val="32"/>
          <w:lang w:eastAsia="zh-CN"/>
        </w:rPr>
        <w:t>（其中本极年初预算收入</w:t>
      </w:r>
      <w:r>
        <w:rPr>
          <w:rFonts w:hint="eastAsia" w:ascii="宋体" w:hAnsi="宋体" w:cs="宋体"/>
          <w:color w:val="000000"/>
          <w:sz w:val="32"/>
          <w:szCs w:val="32"/>
          <w:lang w:val="en-US" w:eastAsia="zh-CN"/>
        </w:rPr>
        <w:t>879.47</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，年终追加</w:t>
      </w:r>
      <w:r>
        <w:rPr>
          <w:rFonts w:hint="eastAsia" w:ascii="宋体" w:hAnsi="宋体" w:eastAsia="宋体" w:cs="宋体"/>
          <w:color w:val="000000"/>
          <w:sz w:val="32"/>
          <w:szCs w:val="32"/>
          <w:lang w:val="en-US" w:eastAsia="zh-CN"/>
        </w:rPr>
        <w:t>3827.33万元）</w:t>
      </w:r>
      <w:r>
        <w:rPr>
          <w:rFonts w:hint="eastAsia" w:ascii="宋体" w:hAnsi="宋体" w:cs="宋体"/>
          <w:color w:val="000000"/>
          <w:sz w:val="32"/>
          <w:szCs w:val="32"/>
          <w:lang w:eastAsia="zh-CN"/>
        </w:rPr>
        <w:t>上年结余</w:t>
      </w:r>
      <w:r>
        <w:rPr>
          <w:rFonts w:hint="eastAsia" w:ascii="宋体" w:hAnsi="宋体" w:cs="宋体"/>
          <w:color w:val="000000"/>
          <w:sz w:val="32"/>
          <w:szCs w:val="32"/>
          <w:lang w:val="en-US" w:eastAsia="zh-CN"/>
        </w:rPr>
        <w:t>434.33万元</w:t>
      </w:r>
      <w:r>
        <w:rPr>
          <w:rFonts w:hint="eastAsia" w:ascii="宋体" w:hAnsi="宋体" w:eastAsia="宋体" w:cs="宋体"/>
          <w:color w:val="000000"/>
          <w:sz w:val="32"/>
          <w:szCs w:val="32"/>
        </w:rPr>
        <w:t>，20</w:t>
      </w:r>
      <w:r>
        <w:rPr>
          <w:rFonts w:hint="eastAsia" w:ascii="宋体" w:hAnsi="宋体" w:cs="宋体"/>
          <w:color w:val="000000"/>
          <w:sz w:val="32"/>
          <w:szCs w:val="32"/>
          <w:lang w:val="en-US" w:eastAsia="zh-CN"/>
        </w:rPr>
        <w:t>20</w:t>
      </w:r>
      <w:r>
        <w:rPr>
          <w:rFonts w:hint="eastAsia" w:ascii="宋体" w:hAnsi="宋体" w:eastAsia="宋体" w:cs="宋体"/>
          <w:color w:val="000000"/>
          <w:sz w:val="32"/>
          <w:szCs w:val="32"/>
        </w:rPr>
        <w:t>年决算支出总数</w:t>
      </w:r>
      <w:r>
        <w:rPr>
          <w:rFonts w:hint="eastAsia" w:ascii="宋体" w:hAnsi="宋体" w:cs="宋体"/>
          <w:color w:val="000000"/>
          <w:sz w:val="32"/>
          <w:szCs w:val="32"/>
          <w:lang w:val="en-US" w:eastAsia="zh-CN"/>
        </w:rPr>
        <w:t>4964.64</w:t>
      </w:r>
      <w:r>
        <w:rPr>
          <w:rFonts w:hint="eastAsia" w:ascii="宋体" w:hAnsi="宋体" w:eastAsia="宋体" w:cs="宋体"/>
          <w:color w:val="000000"/>
          <w:sz w:val="32"/>
          <w:szCs w:val="32"/>
        </w:rPr>
        <w:t>万元</w:t>
      </w:r>
      <w:r>
        <w:rPr>
          <w:rFonts w:hint="eastAsia" w:ascii="宋体" w:hAnsi="宋体" w:cs="宋体"/>
          <w:color w:val="000000"/>
          <w:sz w:val="32"/>
          <w:szCs w:val="32"/>
          <w:lang w:eastAsia="zh-CN"/>
        </w:rPr>
        <w:t>，</w:t>
      </w:r>
      <w:r>
        <w:rPr>
          <w:rFonts w:hint="eastAsia" w:ascii="宋体" w:hAnsi="宋体" w:cs="宋体"/>
          <w:color w:val="000000"/>
          <w:sz w:val="32"/>
          <w:szCs w:val="32"/>
          <w:lang w:val="en-US" w:eastAsia="zh-CN"/>
        </w:rPr>
        <w:t>2020年结余176.49万元。年终追加金额比较大的</w:t>
      </w:r>
      <w:r>
        <w:rPr>
          <w:rFonts w:hint="eastAsia" w:ascii="宋体" w:hAnsi="宋体" w:eastAsia="宋体" w:cs="宋体"/>
          <w:color w:val="000000"/>
          <w:sz w:val="32"/>
          <w:szCs w:val="32"/>
          <w:lang w:eastAsia="zh-CN"/>
        </w:rPr>
        <w:t>原因是：</w:t>
      </w:r>
      <w:r>
        <w:rPr>
          <w:rFonts w:hint="eastAsia" w:ascii="宋体" w:hAnsi="宋体" w:eastAsia="宋体" w:cs="宋体"/>
          <w:sz w:val="32"/>
          <w:szCs w:val="32"/>
        </w:rPr>
        <w:t>财政体制改革，流向市场主体资金必须通过主管部门拨付，因此企业向上争取的项目必须通过我局拨付，所以年终决算，收入支出增加比率非常大</w:t>
      </w:r>
      <w:r>
        <w:rPr>
          <w:rFonts w:hint="eastAsia" w:ascii="宋体" w:hAnsi="宋体" w:cs="宋体"/>
          <w:sz w:val="32"/>
          <w:szCs w:val="32"/>
          <w:lang w:eastAsia="zh-CN"/>
        </w:rPr>
        <w:t>。</w:t>
      </w:r>
    </w:p>
    <w:p>
      <w:pPr>
        <w:numPr>
          <w:ilvl w:val="0"/>
          <w:numId w:val="7"/>
        </w:numPr>
        <w:snapToGrid w:val="0"/>
        <w:spacing w:line="520" w:lineRule="exact"/>
        <w:ind w:firstLine="320" w:firstLineChars="100"/>
        <w:rPr>
          <w:rFonts w:hint="eastAsia" w:ascii="宋体" w:hAnsi="宋体" w:eastAsia="宋体" w:cs="宋体"/>
          <w:sz w:val="32"/>
          <w:szCs w:val="32"/>
        </w:rPr>
      </w:pPr>
      <w:r>
        <w:rPr>
          <w:rFonts w:hint="eastAsia" w:ascii="宋体" w:hAnsi="宋体" w:eastAsia="宋体" w:cs="宋体"/>
          <w:sz w:val="32"/>
          <w:szCs w:val="32"/>
        </w:rPr>
        <w:t>收入支出按部门所属单位分布情况见下表 ：</w:t>
      </w:r>
    </w:p>
    <w:p>
      <w:pPr>
        <w:pStyle w:val="2"/>
        <w:spacing w:beforeLines="0" w:afterLines="0"/>
        <w:rPr>
          <w:rFonts w:hint="eastAsia"/>
          <w:sz w:val="21"/>
          <w:lang w:val="en-US" w:eastAsia="zh-CN"/>
        </w:rPr>
      </w:pPr>
      <w:r>
        <w:rPr>
          <w:rFonts w:hint="eastAsia" w:ascii="仿宋" w:hAnsi="仿宋" w:eastAsia="仿宋"/>
          <w:sz w:val="32"/>
          <w:lang w:val="en-US" w:eastAsia="zh-CN"/>
        </w:rPr>
        <w:t>1、</w:t>
      </w:r>
      <w:r>
        <w:rPr>
          <w:rFonts w:hint="eastAsia" w:ascii="仿宋" w:hAnsi="仿宋" w:eastAsia="仿宋"/>
          <w:sz w:val="32"/>
          <w:lang w:val="en-US"/>
        </w:rPr>
        <w:t>各项收入占总收入的比重</w:t>
      </w:r>
    </w:p>
    <w:tbl>
      <w:tblPr>
        <w:tblStyle w:val="8"/>
        <w:tblW w:w="79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54"/>
        <w:gridCol w:w="254"/>
        <w:gridCol w:w="746"/>
        <w:gridCol w:w="3909"/>
        <w:gridCol w:w="1577"/>
        <w:gridCol w:w="12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5163" w:type="dxa"/>
            <w:gridSpan w:val="4"/>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项目</w:t>
            </w:r>
          </w:p>
        </w:tc>
        <w:tc>
          <w:tcPr>
            <w:tcW w:w="1577" w:type="dxa"/>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财政拨款收入</w:t>
            </w:r>
          </w:p>
        </w:tc>
        <w:tc>
          <w:tcPr>
            <w:tcW w:w="1255" w:type="dxa"/>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支出功能分类科目编码</w:t>
            </w:r>
          </w:p>
        </w:tc>
        <w:tc>
          <w:tcPr>
            <w:tcW w:w="3909" w:type="dxa"/>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科目名称</w:t>
            </w:r>
          </w:p>
        </w:tc>
        <w:tc>
          <w:tcPr>
            <w:tcW w:w="1577"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255"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3909"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577"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255"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254" w:type="dxa"/>
            <w:gridSpan w:val="3"/>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3909"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577"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255"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54" w:type="dxa"/>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类</w:t>
            </w:r>
          </w:p>
        </w:tc>
        <w:tc>
          <w:tcPr>
            <w:tcW w:w="254" w:type="dxa"/>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款</w:t>
            </w:r>
          </w:p>
        </w:tc>
        <w:tc>
          <w:tcPr>
            <w:tcW w:w="746" w:type="dxa"/>
            <w:vMerge w:val="restart"/>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项</w:t>
            </w:r>
          </w:p>
        </w:tc>
        <w:tc>
          <w:tcPr>
            <w:tcW w:w="3909" w:type="dxa"/>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栏次</w:t>
            </w:r>
          </w:p>
        </w:tc>
        <w:tc>
          <w:tcPr>
            <w:tcW w:w="1577" w:type="dxa"/>
            <w:tcBorders>
              <w:top w:val="single" w:color="000000" w:sz="4" w:space="0"/>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bottom"/>
          </w:tcPr>
          <w:p>
            <w:pPr>
              <w:spacing w:beforeLines="0" w:afterLines="0"/>
              <w:rPr>
                <w:rFonts w:hint="default" w:ascii="宋体" w:hAnsi="Arial" w:eastAsia="宋体"/>
                <w:color w:val="00000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54"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254"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746" w:type="dxa"/>
            <w:vMerge w:val="continue"/>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3909" w:type="dxa"/>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合计</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47,068,027.00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2010199</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其他人大事务支出</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2060101</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行政运行</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5,440,729.00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2060102</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一般行政管理事务</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2,493,000.00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2060404</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科技成果转化与扩散</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559,500.00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2060499</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其他技术研究与开发支出</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17,546,000.00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2060702</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科普活动</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45,000.00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2069999</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其他科学技术支出</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5,406,300.00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2080501</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行政单位离退休</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192,732.00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2080505</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机关事业单位基本养老保险缴费支出</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538,012.00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2082501</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其他城市生活救助</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2089901</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其他社会保障和就业支出</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360,000.00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2100410</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突发公共卫生事件应急处理</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2,219,000.00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2101102</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事业单位医疗</w:t>
            </w:r>
          </w:p>
        </w:tc>
        <w:tc>
          <w:tcPr>
            <w:tcW w:w="157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269,006.00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2150299</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其他制造业支出</w:t>
            </w:r>
          </w:p>
        </w:tc>
        <w:tc>
          <w:tcPr>
            <w:tcW w:w="1577" w:type="dxa"/>
            <w:tcBorders>
              <w:top w:val="single" w:color="000000" w:sz="4" w:space="0"/>
              <w:left w:val="single" w:color="000000" w:sz="4" w:space="0"/>
              <w:bottom w:val="single" w:color="000000" w:sz="4" w:space="0"/>
              <w:right w:val="nil"/>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1,200,000.00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2150805</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中小企业发展专项</w:t>
            </w:r>
          </w:p>
        </w:tc>
        <w:tc>
          <w:tcPr>
            <w:tcW w:w="1577" w:type="dxa"/>
            <w:tcBorders>
              <w:top w:val="single" w:color="000000" w:sz="4" w:space="0"/>
              <w:left w:val="single" w:color="000000" w:sz="4" w:space="0"/>
              <w:bottom w:val="single" w:color="000000" w:sz="4" w:space="0"/>
              <w:right w:val="nil"/>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1,470,000.00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2210201</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住房公积金</w:t>
            </w:r>
          </w:p>
        </w:tc>
        <w:tc>
          <w:tcPr>
            <w:tcW w:w="1577" w:type="dxa"/>
            <w:tcBorders>
              <w:top w:val="single" w:color="000000" w:sz="4" w:space="0"/>
              <w:left w:val="single" w:color="000000" w:sz="4" w:space="0"/>
              <w:bottom w:val="single" w:color="000000" w:sz="4" w:space="0"/>
              <w:right w:val="nil"/>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2220599</w:t>
            </w:r>
          </w:p>
        </w:tc>
        <w:tc>
          <w:tcPr>
            <w:tcW w:w="3909"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其他重要商品储备支出</w:t>
            </w:r>
          </w:p>
        </w:tc>
        <w:tc>
          <w:tcPr>
            <w:tcW w:w="1577" w:type="dxa"/>
            <w:tcBorders>
              <w:top w:val="single" w:color="000000" w:sz="4" w:space="0"/>
              <w:left w:val="single" w:color="000000" w:sz="4" w:space="0"/>
              <w:bottom w:val="single" w:color="000000" w:sz="4" w:space="0"/>
              <w:right w:val="nil"/>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254" w:type="dxa"/>
            <w:gridSpan w:val="3"/>
            <w:tcBorders>
              <w:top w:val="nil"/>
              <w:left w:val="single" w:color="000000" w:sz="4" w:space="0"/>
              <w:bottom w:val="nil"/>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2340102</w:t>
            </w:r>
          </w:p>
        </w:tc>
        <w:tc>
          <w:tcPr>
            <w:tcW w:w="3909" w:type="dxa"/>
            <w:tcBorders>
              <w:top w:val="nil"/>
              <w:left w:val="nil"/>
              <w:bottom w:val="nil"/>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重大疫情防控救治体系建设</w:t>
            </w:r>
          </w:p>
        </w:tc>
        <w:tc>
          <w:tcPr>
            <w:tcW w:w="1577" w:type="dxa"/>
            <w:tcBorders>
              <w:top w:val="nil"/>
              <w:left w:val="nil"/>
              <w:bottom w:val="nil"/>
              <w:right w:val="nil"/>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c>
          <w:tcPr>
            <w:tcW w:w="12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0.34%</w:t>
            </w:r>
          </w:p>
        </w:tc>
      </w:tr>
    </w:tbl>
    <w:p>
      <w:pPr>
        <w:numPr>
          <w:ilvl w:val="0"/>
          <w:numId w:val="8"/>
        </w:numPr>
        <w:spacing w:line="520" w:lineRule="exact"/>
        <w:ind w:firstLine="640"/>
        <w:rPr>
          <w:rFonts w:hint="eastAsia" w:ascii="仿宋" w:hAnsi="仿宋" w:eastAsia="仿宋"/>
          <w:sz w:val="32"/>
          <w:lang w:val="en-US"/>
        </w:rPr>
      </w:pPr>
      <w:r>
        <w:rPr>
          <w:rFonts w:hint="eastAsia" w:ascii="仿宋" w:hAnsi="仿宋" w:eastAsia="仿宋"/>
          <w:sz w:val="32"/>
          <w:lang w:val="en-US"/>
        </w:rPr>
        <w:t>各项支出占总支出的比重</w:t>
      </w:r>
    </w:p>
    <w:tbl>
      <w:tblPr>
        <w:tblStyle w:val="8"/>
        <w:tblW w:w="91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7"/>
        <w:gridCol w:w="267"/>
        <w:gridCol w:w="1008"/>
        <w:gridCol w:w="2727"/>
        <w:gridCol w:w="1682"/>
        <w:gridCol w:w="1636"/>
        <w:gridCol w:w="1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4269" w:type="dxa"/>
            <w:gridSpan w:val="4"/>
            <w:tcBorders>
              <w:top w:val="single" w:color="000000" w:sz="4" w:space="0"/>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项目</w:t>
            </w:r>
          </w:p>
        </w:tc>
        <w:tc>
          <w:tcPr>
            <w:tcW w:w="1682" w:type="dxa"/>
            <w:vMerge w:val="restart"/>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本年支出合计</w:t>
            </w:r>
          </w:p>
        </w:tc>
        <w:tc>
          <w:tcPr>
            <w:tcW w:w="1636" w:type="dxa"/>
            <w:vMerge w:val="restart"/>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基本支出</w:t>
            </w:r>
          </w:p>
        </w:tc>
        <w:tc>
          <w:tcPr>
            <w:tcW w:w="1555" w:type="dxa"/>
            <w:vMerge w:val="restart"/>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vMerge w:val="restart"/>
            <w:tcBorders>
              <w:top w:val="nil"/>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支出功能分类科目编码</w:t>
            </w:r>
          </w:p>
        </w:tc>
        <w:tc>
          <w:tcPr>
            <w:tcW w:w="2727" w:type="dxa"/>
            <w:vMerge w:val="restart"/>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科目名称</w:t>
            </w:r>
          </w:p>
        </w:tc>
        <w:tc>
          <w:tcPr>
            <w:tcW w:w="1682"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636"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555"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vMerge w:val="continue"/>
            <w:tcBorders>
              <w:top w:val="nil"/>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2727" w:type="dxa"/>
            <w:vMerge w:val="continue"/>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682"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636"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555"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vMerge w:val="continue"/>
            <w:tcBorders>
              <w:top w:val="nil"/>
              <w:left w:val="single" w:color="000000" w:sz="4" w:space="0"/>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2727" w:type="dxa"/>
            <w:vMerge w:val="continue"/>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682"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636"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555" w:type="dxa"/>
            <w:vMerge w:val="continue"/>
            <w:tcBorders>
              <w:top w:val="single" w:color="000000" w:sz="4" w:space="0"/>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rPr>
                <w:rFonts w:hint="default" w:ascii="宋体" w:hAns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67" w:type="dxa"/>
            <w:vMerge w:val="restart"/>
            <w:tcBorders>
              <w:top w:val="nil"/>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类</w:t>
            </w:r>
          </w:p>
        </w:tc>
        <w:tc>
          <w:tcPr>
            <w:tcW w:w="267" w:type="dxa"/>
            <w:vMerge w:val="restart"/>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款</w:t>
            </w:r>
          </w:p>
        </w:tc>
        <w:tc>
          <w:tcPr>
            <w:tcW w:w="1008" w:type="dxa"/>
            <w:vMerge w:val="restart"/>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项</w:t>
            </w:r>
          </w:p>
        </w:tc>
        <w:tc>
          <w:tcPr>
            <w:tcW w:w="2727" w:type="dxa"/>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栏次</w:t>
            </w:r>
          </w:p>
        </w:tc>
        <w:tc>
          <w:tcPr>
            <w:tcW w:w="1682" w:type="dxa"/>
            <w:tcBorders>
              <w:top w:val="nil"/>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w:t>
            </w:r>
          </w:p>
        </w:tc>
        <w:tc>
          <w:tcPr>
            <w:tcW w:w="1636" w:type="dxa"/>
            <w:tcBorders>
              <w:top w:val="nil"/>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w:t>
            </w:r>
          </w:p>
        </w:tc>
        <w:tc>
          <w:tcPr>
            <w:tcW w:w="1555" w:type="dxa"/>
            <w:tcBorders>
              <w:top w:val="nil"/>
              <w:left w:val="nil"/>
              <w:bottom w:val="single" w:color="000000" w:sz="4" w:space="0"/>
              <w:right w:val="single" w:color="000000" w:sz="4" w:space="0"/>
              <w:tl2br w:val="nil"/>
              <w:tr2bl w:val="nil"/>
            </w:tcBorders>
            <w:shd w:val="clear" w:color="FFFFFF" w:fill="C0C0C0"/>
            <w:noWrap w:val="0"/>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267" w:type="dxa"/>
            <w:vMerge w:val="continue"/>
            <w:tcBorders>
              <w:top w:val="nil"/>
              <w:left w:val="single" w:color="000000" w:sz="4" w:space="0"/>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267" w:type="dxa"/>
            <w:vMerge w:val="continue"/>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1008" w:type="dxa"/>
            <w:vMerge w:val="continue"/>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rPr>
                <w:rFonts w:hint="default" w:ascii="宋体" w:hAnsi="宋体" w:eastAsia="宋体"/>
                <w:color w:val="000000"/>
                <w:sz w:val="22"/>
              </w:rPr>
            </w:pPr>
          </w:p>
        </w:tc>
        <w:tc>
          <w:tcPr>
            <w:tcW w:w="2727" w:type="dxa"/>
            <w:tcBorders>
              <w:top w:val="nil"/>
              <w:left w:val="nil"/>
              <w:bottom w:val="single" w:color="000000" w:sz="4" w:space="0"/>
              <w:right w:val="single" w:color="000000" w:sz="4" w:space="0"/>
              <w:tl2br w:val="nil"/>
              <w:tr2bl w:val="nil"/>
            </w:tcBorders>
            <w:shd w:val="clear" w:color="FFFFFF" w:fill="C0C0C0"/>
            <w:noWrap/>
            <w:tcMar>
              <w:top w:w="15" w:type="dxa"/>
              <w:left w:w="15" w:type="dxa"/>
              <w:right w:w="15" w:type="dxa"/>
            </w:tcMar>
            <w:vAlign w:val="center"/>
          </w:tcPr>
          <w:p>
            <w:pPr>
              <w:spacing w:beforeLines="0" w:afterLines="0"/>
              <w:jc w:val="center"/>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合计</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49,756,197.55</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8,852,645.66</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40,903,551.89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一般公共服务支出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20101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人大事务</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2010199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其他人大事务支出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4,924.00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科学技术支出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31,490,529.00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7,226,385.66</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24,264,143.34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科学技术管理事务</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7,933,729.00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5,440,729.00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2,493,000.00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2060101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行政运行</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5,440,729.00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5,440,729.00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2060102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一般行政管理事务</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2,493,000.00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2,493,000.00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20604</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技术研究与开发</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18,105,500.00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18,105,500.00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2060404</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科技成果转化与扩散</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559,500.00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559,500.00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2060499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其他技术研究与开发支出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17,546,000.00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17,546,000.00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20607</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科学技术普及</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45,000.00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45,000.00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2060702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科普活动</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45,000.00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45,000.00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其他科学技术支出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5,406,300.00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1,785,656.66</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3,620,643.34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2069999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其他科学技术支出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5,406,300.00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1,785,656.66</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3,620,643.34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社会保障和就业支出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1,013,106.00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1,013,106.00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20805</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行政事业单位养老支出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643,106.00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643,106.00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2080501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行政单位离退休</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105,094.00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105,094.00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2080505</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机关事业单位基本养老保险缴费支出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538,012.00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538,012.00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20825</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其他生活救助</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2082501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其他城市生活救助</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其他社会保障和就业支出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360,000.00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2089901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其他社会保障和就业支出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360,000.00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卫生健康支出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2,488,006.00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269,006.00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2,219,000.00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21004</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公共卫生</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2,219,000.00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2,219,000.00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2100410</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突发公共卫生事件应急处理</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2,219,000.00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2,219,000.00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21011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行政事业单位医疗</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269,006.00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269,006.00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2101102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事业单位医疗</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269,006.00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269,006.00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资源勘探工业信息等支出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5,046,084.55</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5,046,084.55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制造业</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1,200,000.00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1,200,000.00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2150299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其他制造业支出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1,200,000.00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1,200,000.00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21508</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支持中小企业发展和管理支出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3,596,084.55</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3,596,084.55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2150801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行政运行</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1,365,870.29</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1,365,870.29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2150802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一般行政管理事务</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2150805</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中小企业发展专项</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1,942,214.26</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1,942,214.26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2150899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其他支持中小企业发展和管理支出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188,000.00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188,000.00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其他资源勘探工业信息等支出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250,000.00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250,000.00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2159904</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技术改造支出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250,000.00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250,000.00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住房保障支出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22102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住房改革支出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2210201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住房公积金</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339,224.00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222</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粮油物资储备支出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22205</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重要商品储备</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2220599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其他重要商品储备支出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8,814,600.00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224</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灾害防治及应急管理支出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399,724.00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399,724.00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22401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应急管理事务</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399,724.00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399,724.00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2240199</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其他应急管理支出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399,724.00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399,724.00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234</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抗疫特别国债安排的支出</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23401</w:t>
            </w:r>
          </w:p>
        </w:tc>
        <w:tc>
          <w:tcPr>
            <w:tcW w:w="2727"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基础设施建设</w:t>
            </w:r>
          </w:p>
        </w:tc>
        <w:tc>
          <w:tcPr>
            <w:tcW w:w="1682"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c>
          <w:tcPr>
            <w:tcW w:w="1636"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4"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1542" w:type="dxa"/>
            <w:gridSpan w:val="3"/>
            <w:tcBorders>
              <w:top w:val="nil"/>
              <w:left w:val="single" w:color="000000" w:sz="4" w:space="0"/>
              <w:bottom w:val="single" w:color="000000" w:sz="8" w:space="0"/>
              <w:right w:val="single" w:color="000000" w:sz="4" w:space="0"/>
              <w:tl2br w:val="nil"/>
              <w:tr2bl w:val="nil"/>
            </w:tcBorders>
            <w:noWrap/>
            <w:tcMar>
              <w:top w:w="15" w:type="dxa"/>
              <w:left w:w="15" w:type="dxa"/>
              <w:right w:w="15" w:type="dxa"/>
            </w:tcMar>
            <w:vAlign w:val="center"/>
          </w:tcPr>
          <w:p>
            <w:pPr>
              <w:spacing w:beforeLines="0" w:afterLines="0"/>
              <w:jc w:val="lef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2340102</w:t>
            </w:r>
          </w:p>
        </w:tc>
        <w:tc>
          <w:tcPr>
            <w:tcW w:w="2727" w:type="dxa"/>
            <w:tcBorders>
              <w:top w:val="nil"/>
              <w:left w:val="nil"/>
              <w:bottom w:val="single" w:color="000000" w:sz="8" w:space="0"/>
              <w:right w:val="single" w:color="000000" w:sz="4" w:space="0"/>
              <w:tl2br w:val="nil"/>
              <w:tr2bl w:val="nil"/>
            </w:tcBorders>
            <w:noWrap/>
            <w:tcMar>
              <w:top w:w="15" w:type="dxa"/>
              <w:left w:w="15" w:type="dxa"/>
              <w:right w:w="15" w:type="dxa"/>
            </w:tcMar>
            <w:vAlign w:val="center"/>
          </w:tcPr>
          <w:p>
            <w:pPr>
              <w:spacing w:beforeLines="0" w:afterLines="0"/>
              <w:jc w:val="both"/>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 xml:space="preserve">  重大疫情防控救治体系建设</w:t>
            </w:r>
          </w:p>
        </w:tc>
        <w:tc>
          <w:tcPr>
            <w:tcW w:w="1682" w:type="dxa"/>
            <w:tcBorders>
              <w:top w:val="nil"/>
              <w:left w:val="nil"/>
              <w:bottom w:val="single" w:color="000000" w:sz="8"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c>
          <w:tcPr>
            <w:tcW w:w="1636" w:type="dxa"/>
            <w:tcBorders>
              <w:top w:val="nil"/>
              <w:left w:val="nil"/>
              <w:bottom w:val="single" w:color="000000" w:sz="8"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0.00</w:t>
            </w:r>
          </w:p>
        </w:tc>
        <w:tc>
          <w:tcPr>
            <w:tcW w:w="1555" w:type="dxa"/>
            <w:tcBorders>
              <w:top w:val="nil"/>
              <w:left w:val="nil"/>
              <w:bottom w:val="single" w:color="000000" w:sz="8" w:space="0"/>
              <w:right w:val="single" w:color="000000" w:sz="4" w:space="0"/>
              <w:tl2br w:val="nil"/>
              <w:tr2bl w:val="nil"/>
            </w:tcBorders>
            <w:noWrap/>
            <w:tcMar>
              <w:top w:w="15" w:type="dxa"/>
              <w:left w:w="15" w:type="dxa"/>
              <w:right w:w="15" w:type="dxa"/>
            </w:tcMar>
            <w:vAlign w:val="center"/>
          </w:tcPr>
          <w:p>
            <w:pPr>
              <w:spacing w:beforeLines="0" w:afterLines="0"/>
              <w:jc w:val="right"/>
              <w:textAlignment w:val="center"/>
              <w:rPr>
                <w:rFonts w:hint="default" w:ascii="宋体" w:hAnsi="宋体" w:eastAsia="宋体"/>
                <w:color w:val="000000"/>
                <w:sz w:val="22"/>
              </w:rPr>
            </w:pPr>
            <w:r>
              <w:rPr>
                <w:rFonts w:hint="default" w:ascii="宋体" w:hAnsi="宋体" w:eastAsia="宋体"/>
                <w:color w:val="000000"/>
                <w:kern w:val="0"/>
                <w:sz w:val="22"/>
                <w:lang w:val="en-US" w:eastAsia="zh-CN"/>
              </w:rPr>
              <w:t>160,000.00</w:t>
            </w:r>
          </w:p>
        </w:tc>
      </w:tr>
    </w:tbl>
    <w:p>
      <w:pPr>
        <w:pStyle w:val="7"/>
        <w:shd w:val="clear" w:color="auto" w:fill="FFFFFF"/>
        <w:spacing w:line="525" w:lineRule="atLeast"/>
        <w:ind w:firstLine="640" w:firstLineChars="200"/>
        <w:rPr>
          <w:rFonts w:hint="eastAsia" w:ascii="宋体" w:hAnsi="宋体" w:eastAsia="宋体" w:cs="宋体"/>
          <w:sz w:val="32"/>
          <w:szCs w:val="32"/>
        </w:rPr>
      </w:pPr>
      <w:r>
        <w:rPr>
          <w:rFonts w:hint="eastAsia" w:ascii="宋体" w:hAnsi="宋体" w:eastAsia="宋体" w:cs="宋体"/>
          <w:color w:val="555555"/>
          <w:sz w:val="32"/>
          <w:szCs w:val="32"/>
        </w:rPr>
        <w:t>由上图表可看出，20</w:t>
      </w:r>
      <w:r>
        <w:rPr>
          <w:rFonts w:hint="eastAsia" w:ascii="宋体" w:hAnsi="宋体" w:cs="宋体"/>
          <w:color w:val="555555"/>
          <w:sz w:val="32"/>
          <w:szCs w:val="32"/>
          <w:lang w:val="en-US" w:eastAsia="zh-CN"/>
        </w:rPr>
        <w:t>20</w:t>
      </w:r>
      <w:r>
        <w:rPr>
          <w:rFonts w:hint="eastAsia" w:ascii="宋体" w:hAnsi="宋体" w:eastAsia="宋体" w:cs="宋体"/>
          <w:color w:val="555555"/>
          <w:sz w:val="32"/>
          <w:szCs w:val="32"/>
        </w:rPr>
        <w:t>年科</w:t>
      </w:r>
      <w:r>
        <w:rPr>
          <w:rFonts w:hint="eastAsia" w:ascii="宋体" w:hAnsi="宋体" w:eastAsia="宋体" w:cs="宋体"/>
          <w:color w:val="555555"/>
          <w:sz w:val="32"/>
          <w:szCs w:val="32"/>
          <w:lang w:eastAsia="zh-CN"/>
        </w:rPr>
        <w:t>工</w:t>
      </w:r>
      <w:r>
        <w:rPr>
          <w:rFonts w:hint="eastAsia" w:ascii="宋体" w:hAnsi="宋体" w:eastAsia="宋体" w:cs="宋体"/>
          <w:color w:val="555555"/>
          <w:sz w:val="32"/>
          <w:szCs w:val="32"/>
        </w:rPr>
        <w:t>局各项收入、支出中</w:t>
      </w:r>
      <w:r>
        <w:rPr>
          <w:rFonts w:hint="eastAsia" w:ascii="宋体" w:hAnsi="宋体" w:eastAsia="宋体" w:cs="宋体"/>
          <w:sz w:val="32"/>
          <w:szCs w:val="32"/>
        </w:rPr>
        <w:t>科学技术支出（</w:t>
      </w:r>
      <w:r>
        <w:rPr>
          <w:rFonts w:hint="eastAsia" w:ascii="宋体" w:hAnsi="宋体" w:cs="宋体"/>
          <w:color w:val="555555"/>
          <w:sz w:val="32"/>
          <w:szCs w:val="32"/>
          <w:lang w:val="en-US" w:eastAsia="zh-CN"/>
        </w:rPr>
        <w:t>66.92</w:t>
      </w:r>
      <w:r>
        <w:rPr>
          <w:rFonts w:hint="eastAsia" w:ascii="宋体" w:hAnsi="宋体" w:eastAsia="宋体" w:cs="宋体"/>
          <w:color w:val="555555"/>
          <w:sz w:val="32"/>
          <w:szCs w:val="32"/>
        </w:rPr>
        <w:t>%）占总收入的比重最大。</w:t>
      </w:r>
      <w:r>
        <w:rPr>
          <w:rFonts w:hint="eastAsia" w:ascii="宋体" w:hAnsi="宋体" w:eastAsia="宋体" w:cs="宋体"/>
          <w:color w:val="333333"/>
          <w:sz w:val="32"/>
          <w:szCs w:val="32"/>
        </w:rPr>
        <w:t>主要是</w:t>
      </w:r>
      <w:r>
        <w:rPr>
          <w:rFonts w:hint="eastAsia" w:ascii="宋体" w:hAnsi="宋体" w:eastAsia="宋体" w:cs="宋体"/>
          <w:color w:val="3D3D3D"/>
          <w:sz w:val="32"/>
          <w:szCs w:val="32"/>
        </w:rPr>
        <w:t>科技研发投入稳步增长，</w:t>
      </w:r>
      <w:r>
        <w:rPr>
          <w:rFonts w:hint="eastAsia" w:ascii="宋体" w:hAnsi="宋体" w:eastAsia="宋体" w:cs="宋体"/>
          <w:color w:val="333333"/>
          <w:sz w:val="32"/>
          <w:szCs w:val="32"/>
        </w:rPr>
        <w:t>加大了中小企业政策扶持力度，引导和激励我市中小企业科技创新，不断提高自主创新能力，加快转型升级进度，促进全市经济高质量发展。</w:t>
      </w:r>
    </w:p>
    <w:p>
      <w:pPr>
        <w:snapToGrid w:val="0"/>
        <w:spacing w:line="520" w:lineRule="exact"/>
        <w:ind w:firstLine="640" w:firstLineChars="200"/>
        <w:rPr>
          <w:rFonts w:hint="eastAsia" w:ascii="宋体" w:hAnsi="宋体" w:eastAsia="宋体" w:cs="宋体"/>
          <w:b/>
          <w:sz w:val="32"/>
          <w:szCs w:val="32"/>
        </w:rPr>
      </w:pPr>
      <w:r>
        <w:rPr>
          <w:rFonts w:hint="eastAsia" w:ascii="宋体" w:hAnsi="宋体" w:eastAsia="宋体" w:cs="宋体"/>
          <w:b/>
          <w:sz w:val="32"/>
          <w:szCs w:val="32"/>
        </w:rPr>
        <w:t>3．支出按经济分类科目分析。</w:t>
      </w:r>
    </w:p>
    <w:p>
      <w:pPr>
        <w:snapToGrid w:val="0"/>
        <w:spacing w:line="52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b/>
          <w:sz w:val="32"/>
          <w:szCs w:val="32"/>
        </w:rPr>
        <w:t>“</w:t>
      </w:r>
      <w:r>
        <w:rPr>
          <w:rFonts w:hint="eastAsia" w:ascii="宋体" w:hAnsi="宋体" w:eastAsia="宋体" w:cs="宋体"/>
          <w:sz w:val="32"/>
          <w:szCs w:val="32"/>
        </w:rPr>
        <w:t>三公</w:t>
      </w:r>
      <w:r>
        <w:rPr>
          <w:rFonts w:hint="eastAsia" w:ascii="宋体" w:hAnsi="宋体" w:eastAsia="宋体" w:cs="宋体"/>
          <w:b/>
          <w:sz w:val="32"/>
          <w:szCs w:val="32"/>
        </w:rPr>
        <w:t>”</w:t>
      </w:r>
      <w:r>
        <w:rPr>
          <w:rFonts w:hint="eastAsia" w:ascii="宋体" w:hAnsi="宋体" w:eastAsia="宋体" w:cs="宋体"/>
          <w:sz w:val="32"/>
          <w:szCs w:val="32"/>
        </w:rPr>
        <w:t>经费支出情况：</w:t>
      </w:r>
    </w:p>
    <w:p>
      <w:pPr>
        <w:spacing w:line="520" w:lineRule="exact"/>
        <w:ind w:firstLine="640"/>
        <w:rPr>
          <w:rFonts w:hint="eastAsia"/>
          <w:sz w:val="32"/>
          <w:lang w:val="zh-CN"/>
        </w:rPr>
      </w:pPr>
      <w:r>
        <w:rPr>
          <w:rFonts w:hint="eastAsia" w:ascii="仿宋" w:hAnsi="仿宋" w:eastAsia="仿宋"/>
          <w:sz w:val="32"/>
          <w:lang w:val="en-US"/>
        </w:rPr>
        <w:t>2020年，</w:t>
      </w:r>
      <w:r>
        <w:rPr>
          <w:rFonts w:hint="eastAsia"/>
          <w:sz w:val="32"/>
          <w:lang w:val="en-US"/>
        </w:rPr>
        <w:t>“</w:t>
      </w:r>
      <w:r>
        <w:rPr>
          <w:rFonts w:hint="eastAsia" w:ascii="仿宋" w:hAnsi="仿宋" w:eastAsia="仿宋"/>
          <w:sz w:val="32"/>
          <w:lang w:val="en-US"/>
        </w:rPr>
        <w:t>三公</w:t>
      </w:r>
      <w:r>
        <w:rPr>
          <w:rFonts w:hint="eastAsia"/>
          <w:sz w:val="32"/>
          <w:lang w:val="en-US"/>
        </w:rPr>
        <w:t>”</w:t>
      </w:r>
      <w:r>
        <w:rPr>
          <w:rFonts w:hint="eastAsia" w:ascii="仿宋" w:hAnsi="仿宋" w:eastAsia="仿宋"/>
          <w:sz w:val="32"/>
          <w:lang w:val="en-US"/>
        </w:rPr>
        <w:t>经费</w:t>
      </w:r>
      <w:r>
        <w:rPr>
          <w:rFonts w:hint="eastAsia" w:ascii="仿宋" w:hAnsi="仿宋" w:eastAsia="仿宋"/>
          <w:sz w:val="32"/>
          <w:lang w:val="en-US" w:eastAsia="zh-CN"/>
        </w:rPr>
        <w:t>支出</w:t>
      </w:r>
      <w:r>
        <w:rPr>
          <w:rFonts w:hint="eastAsia" w:ascii="仿宋" w:hAnsi="仿宋" w:eastAsia="仿宋"/>
          <w:sz w:val="32"/>
          <w:lang w:val="en-US"/>
        </w:rPr>
        <w:t>22,558.16元，比上年减</w:t>
      </w:r>
      <w:r>
        <w:rPr>
          <w:rFonts w:hint="eastAsia" w:ascii="仿宋" w:hAnsi="仿宋" w:eastAsia="仿宋"/>
          <w:sz w:val="32"/>
          <w:lang w:val="en-US" w:eastAsia="zh-CN"/>
        </w:rPr>
        <w:t>少</w:t>
      </w:r>
      <w:r>
        <w:rPr>
          <w:rFonts w:hint="eastAsia" w:ascii="仿宋" w:hAnsi="仿宋" w:eastAsia="仿宋"/>
          <w:sz w:val="32"/>
          <w:lang w:val="en-US"/>
        </w:rPr>
        <w:t>1,333.97元，下降5.58%，增减变化的主要原因是：厉行节约，严格控制支出</w:t>
      </w:r>
      <w:r>
        <w:rPr>
          <w:rFonts w:hint="eastAsia" w:ascii="仿宋" w:hAnsi="仿宋" w:eastAsia="仿宋"/>
          <w:sz w:val="32"/>
          <w:lang w:val="zh-CN"/>
        </w:rPr>
        <w:t>。其中：</w:t>
      </w:r>
      <w:r>
        <w:rPr>
          <w:rFonts w:hint="eastAsia" w:ascii="仿宋" w:hAnsi="仿宋" w:eastAsia="仿宋"/>
          <w:b/>
          <w:sz w:val="32"/>
          <w:lang w:val="zh-CN"/>
        </w:rPr>
        <w:t>因公出国（境）费</w:t>
      </w:r>
      <w:r>
        <w:rPr>
          <w:rFonts w:hint="eastAsia" w:ascii="仿宋" w:hAnsi="仿宋" w:eastAsia="仿宋"/>
          <w:sz w:val="32"/>
          <w:lang w:val="en-US"/>
        </w:rPr>
        <w:t>完成0元，比上年增减0元，增加下降0%，</w:t>
      </w:r>
      <w:r>
        <w:rPr>
          <w:rFonts w:hint="eastAsia" w:ascii="仿宋" w:hAnsi="仿宋" w:eastAsia="仿宋"/>
          <w:b/>
          <w:sz w:val="32"/>
          <w:lang w:val="zh-CN"/>
        </w:rPr>
        <w:t>公务接待费</w:t>
      </w:r>
      <w:r>
        <w:rPr>
          <w:rFonts w:hint="eastAsia" w:ascii="仿宋" w:hAnsi="仿宋" w:eastAsia="仿宋"/>
          <w:sz w:val="32"/>
          <w:lang w:val="en-US"/>
        </w:rPr>
        <w:t>7,000元，比上年减</w:t>
      </w:r>
      <w:r>
        <w:rPr>
          <w:rFonts w:hint="eastAsia" w:ascii="仿宋" w:hAnsi="仿宋" w:eastAsia="仿宋"/>
          <w:sz w:val="32"/>
          <w:lang w:val="en-US" w:eastAsia="zh-CN"/>
        </w:rPr>
        <w:t>少</w:t>
      </w:r>
      <w:r>
        <w:rPr>
          <w:rFonts w:hint="eastAsia" w:ascii="仿宋" w:hAnsi="仿宋" w:eastAsia="仿宋"/>
          <w:sz w:val="32"/>
          <w:lang w:val="en-US"/>
        </w:rPr>
        <w:t>1,370元，下降16.37%，增减变化的主要原因是：厉行节约，严格控制支出</w:t>
      </w:r>
      <w:r>
        <w:rPr>
          <w:rFonts w:hint="eastAsia" w:ascii="仿宋" w:hAnsi="仿宋" w:eastAsia="仿宋"/>
          <w:sz w:val="32"/>
          <w:lang w:val="zh-CN"/>
        </w:rPr>
        <w:t>；</w:t>
      </w:r>
      <w:r>
        <w:rPr>
          <w:rFonts w:hint="eastAsia" w:ascii="仿宋" w:hAnsi="仿宋" w:eastAsia="仿宋"/>
          <w:b/>
          <w:sz w:val="32"/>
          <w:lang w:val="zh-CN"/>
        </w:rPr>
        <w:t>公务用车购置及运行维护费</w:t>
      </w:r>
      <w:r>
        <w:rPr>
          <w:rFonts w:hint="eastAsia" w:ascii="仿宋" w:hAnsi="仿宋" w:eastAsia="仿宋"/>
          <w:sz w:val="32"/>
          <w:lang w:val="en-US"/>
        </w:rPr>
        <w:t>15,558.16元，比上年增</w:t>
      </w:r>
      <w:r>
        <w:rPr>
          <w:rFonts w:hint="eastAsia" w:ascii="仿宋" w:hAnsi="仿宋" w:eastAsia="仿宋"/>
          <w:sz w:val="32"/>
          <w:lang w:val="en-US" w:eastAsia="zh-CN"/>
        </w:rPr>
        <w:t>加</w:t>
      </w:r>
      <w:r>
        <w:rPr>
          <w:rFonts w:hint="eastAsia" w:ascii="仿宋" w:hAnsi="仿宋" w:eastAsia="仿宋"/>
          <w:sz w:val="32"/>
          <w:lang w:val="en-US"/>
        </w:rPr>
        <w:t>36.03元，增加</w:t>
      </w:r>
      <w:r>
        <w:rPr>
          <w:rFonts w:hint="eastAsia" w:ascii="仿宋" w:hAnsi="仿宋" w:eastAsia="仿宋"/>
          <w:sz w:val="32"/>
          <w:lang w:val="en-US" w:eastAsia="zh-CN"/>
        </w:rPr>
        <w:t>0</w:t>
      </w:r>
      <w:r>
        <w:rPr>
          <w:rFonts w:hint="eastAsia" w:ascii="仿宋" w:hAnsi="仿宋" w:eastAsia="仿宋"/>
          <w:sz w:val="32"/>
          <w:lang w:val="en-US"/>
        </w:rPr>
        <w:t>.23%</w:t>
      </w:r>
      <w:r>
        <w:rPr>
          <w:rFonts w:hint="eastAsia" w:ascii="仿宋" w:hAnsi="仿宋" w:eastAsia="仿宋"/>
          <w:sz w:val="32"/>
          <w:lang w:val="zh-CN"/>
        </w:rPr>
        <w:t>。</w:t>
      </w:r>
    </w:p>
    <w:p>
      <w:pPr>
        <w:spacing w:line="520" w:lineRule="exact"/>
        <w:ind w:firstLine="640"/>
        <w:rPr>
          <w:rFonts w:hint="eastAsia"/>
          <w:sz w:val="32"/>
          <w:lang w:val="en-US"/>
        </w:rPr>
      </w:pPr>
      <w:r>
        <w:rPr>
          <w:rFonts w:hint="eastAsia" w:ascii="仿宋" w:hAnsi="仿宋" w:eastAsia="仿宋"/>
          <w:sz w:val="32"/>
          <w:lang w:val="en-US"/>
        </w:rPr>
        <w:t>（2）会议费支出情况：2020年会议费</w:t>
      </w:r>
      <w:r>
        <w:rPr>
          <w:rFonts w:hint="eastAsia" w:ascii="仿宋" w:hAnsi="仿宋" w:eastAsia="仿宋"/>
          <w:sz w:val="28"/>
          <w:lang w:val="en-US"/>
        </w:rPr>
        <w:t>24,565</w:t>
      </w:r>
      <w:r>
        <w:rPr>
          <w:rFonts w:hint="eastAsia" w:ascii="仿宋" w:hAnsi="仿宋" w:eastAsia="仿宋"/>
          <w:sz w:val="32"/>
          <w:lang w:val="en-US"/>
        </w:rPr>
        <w:t>元，比上年减</w:t>
      </w:r>
      <w:r>
        <w:rPr>
          <w:rFonts w:hint="eastAsia" w:ascii="仿宋" w:hAnsi="仿宋" w:eastAsia="仿宋"/>
          <w:sz w:val="32"/>
          <w:lang w:val="en-US" w:eastAsia="zh-CN"/>
        </w:rPr>
        <w:t>少</w:t>
      </w:r>
      <w:r>
        <w:rPr>
          <w:rFonts w:hint="eastAsia" w:ascii="仿宋" w:hAnsi="仿宋" w:eastAsia="仿宋"/>
          <w:sz w:val="28"/>
          <w:lang w:val="en-US"/>
        </w:rPr>
        <w:t>10,545</w:t>
      </w:r>
      <w:r>
        <w:rPr>
          <w:rFonts w:hint="eastAsia" w:ascii="仿宋" w:hAnsi="仿宋" w:eastAsia="仿宋"/>
          <w:sz w:val="32"/>
          <w:lang w:val="en-US"/>
        </w:rPr>
        <w:t>元，下降</w:t>
      </w:r>
      <w:r>
        <w:rPr>
          <w:rFonts w:hint="eastAsia" w:ascii="仿宋" w:hAnsi="仿宋" w:eastAsia="仿宋"/>
          <w:sz w:val="28"/>
          <w:lang w:val="en-US"/>
        </w:rPr>
        <w:t>30.03%，增减变化的主要原因是：厉行节约，严格控制支出</w:t>
      </w:r>
      <w:r>
        <w:rPr>
          <w:rFonts w:hint="eastAsia" w:ascii="仿宋" w:hAnsi="仿宋" w:eastAsia="仿宋"/>
          <w:sz w:val="32"/>
          <w:lang w:val="zh-CN"/>
        </w:rPr>
        <w:t>。</w:t>
      </w:r>
    </w:p>
    <w:p>
      <w:pPr>
        <w:spacing w:line="520" w:lineRule="exact"/>
        <w:ind w:firstLine="640"/>
        <w:rPr>
          <w:rFonts w:hint="eastAsia"/>
          <w:sz w:val="32"/>
          <w:lang w:val="en-US"/>
        </w:rPr>
      </w:pPr>
      <w:r>
        <w:rPr>
          <w:rFonts w:hint="eastAsia" w:ascii="仿宋" w:hAnsi="仿宋" w:eastAsia="仿宋"/>
          <w:sz w:val="32"/>
          <w:lang w:val="en-US"/>
        </w:rPr>
        <w:t>（3）培训费支出情况：2020年培训费</w:t>
      </w:r>
      <w:r>
        <w:rPr>
          <w:rFonts w:hint="eastAsia" w:ascii="仿宋" w:hAnsi="仿宋" w:eastAsia="仿宋"/>
          <w:sz w:val="28"/>
          <w:lang w:val="en-US"/>
        </w:rPr>
        <w:t>125,530</w:t>
      </w:r>
      <w:r>
        <w:rPr>
          <w:rFonts w:hint="eastAsia" w:ascii="仿宋" w:hAnsi="仿宋" w:eastAsia="仿宋"/>
          <w:sz w:val="32"/>
          <w:lang w:val="en-US"/>
        </w:rPr>
        <w:t>元，比上年增</w:t>
      </w:r>
      <w:r>
        <w:rPr>
          <w:rFonts w:hint="eastAsia" w:ascii="仿宋" w:hAnsi="仿宋" w:eastAsia="仿宋"/>
          <w:sz w:val="32"/>
          <w:lang w:val="en-US" w:eastAsia="zh-CN"/>
        </w:rPr>
        <w:t>加</w:t>
      </w:r>
      <w:r>
        <w:rPr>
          <w:rFonts w:hint="eastAsia" w:ascii="仿宋" w:hAnsi="仿宋" w:eastAsia="仿宋"/>
          <w:sz w:val="28"/>
          <w:lang w:val="en-US"/>
        </w:rPr>
        <w:t>70,031</w:t>
      </w:r>
      <w:r>
        <w:rPr>
          <w:rFonts w:hint="eastAsia" w:ascii="仿宋" w:hAnsi="仿宋" w:eastAsia="仿宋"/>
          <w:sz w:val="32"/>
          <w:lang w:val="en-US"/>
        </w:rPr>
        <w:t>元，增</w:t>
      </w:r>
      <w:r>
        <w:rPr>
          <w:rFonts w:hint="eastAsia" w:ascii="仿宋" w:hAnsi="仿宋" w:eastAsia="仿宋"/>
          <w:sz w:val="32"/>
          <w:lang w:val="en-US" w:eastAsia="zh-CN"/>
        </w:rPr>
        <w:t>加</w:t>
      </w:r>
      <w:r>
        <w:rPr>
          <w:rFonts w:hint="eastAsia" w:ascii="仿宋" w:hAnsi="仿宋" w:eastAsia="仿宋"/>
          <w:sz w:val="28"/>
          <w:lang w:val="en-US"/>
        </w:rPr>
        <w:t>126.18%，增减变化的主要原因是：本年度对企业培训增多，培训费用相应的增加</w:t>
      </w:r>
      <w:r>
        <w:rPr>
          <w:rFonts w:hint="eastAsia" w:ascii="仿宋" w:hAnsi="仿宋" w:eastAsia="仿宋"/>
          <w:sz w:val="32"/>
          <w:lang w:val="zh-CN"/>
        </w:rPr>
        <w:t>。</w:t>
      </w:r>
    </w:p>
    <w:p>
      <w:pPr>
        <w:pStyle w:val="7"/>
        <w:widowControl/>
        <w:spacing w:line="360" w:lineRule="auto"/>
        <w:jc w:val="both"/>
        <w:rPr>
          <w:rFonts w:hint="eastAsia" w:ascii="宋体" w:hAnsi="宋体" w:eastAsia="宋体" w:cs="宋体"/>
          <w:b/>
          <w:bCs/>
          <w:color w:val="auto"/>
          <w:kern w:val="2"/>
          <w:sz w:val="32"/>
          <w:szCs w:val="32"/>
        </w:rPr>
      </w:pPr>
      <w:r>
        <w:rPr>
          <w:rFonts w:hint="eastAsia" w:ascii="宋体" w:hAnsi="宋体" w:cs="宋体"/>
          <w:b/>
          <w:bCs/>
          <w:color w:val="auto"/>
          <w:kern w:val="2"/>
          <w:sz w:val="32"/>
          <w:szCs w:val="32"/>
          <w:lang w:eastAsia="zh-CN"/>
        </w:rPr>
        <w:t>三、</w:t>
      </w:r>
      <w:r>
        <w:rPr>
          <w:rFonts w:hint="eastAsia" w:ascii="宋体" w:hAnsi="宋体" w:eastAsia="宋体" w:cs="宋体"/>
          <w:b/>
          <w:bCs/>
          <w:color w:val="auto"/>
          <w:kern w:val="2"/>
          <w:sz w:val="32"/>
          <w:szCs w:val="32"/>
        </w:rPr>
        <w:t>20</w:t>
      </w:r>
      <w:r>
        <w:rPr>
          <w:rFonts w:hint="eastAsia" w:ascii="宋体" w:hAnsi="宋体" w:cs="宋体"/>
          <w:b/>
          <w:bCs/>
          <w:color w:val="auto"/>
          <w:kern w:val="2"/>
          <w:sz w:val="32"/>
          <w:szCs w:val="32"/>
          <w:lang w:val="en-US" w:eastAsia="zh-CN"/>
        </w:rPr>
        <w:t>20</w:t>
      </w:r>
      <w:r>
        <w:rPr>
          <w:rFonts w:hint="eastAsia" w:ascii="宋体" w:hAnsi="宋体" w:eastAsia="宋体" w:cs="宋体"/>
          <w:b/>
          <w:bCs/>
          <w:color w:val="auto"/>
          <w:kern w:val="2"/>
          <w:sz w:val="32"/>
          <w:szCs w:val="32"/>
        </w:rPr>
        <w:t>年</w:t>
      </w:r>
      <w:r>
        <w:rPr>
          <w:rFonts w:hint="eastAsia" w:ascii="宋体" w:hAnsi="宋体" w:cs="宋体"/>
          <w:b/>
          <w:bCs/>
          <w:color w:val="auto"/>
          <w:kern w:val="2"/>
          <w:sz w:val="32"/>
          <w:szCs w:val="32"/>
          <w:lang w:eastAsia="zh-CN"/>
        </w:rPr>
        <w:t>工作</w:t>
      </w:r>
      <w:r>
        <w:rPr>
          <w:rFonts w:hint="eastAsia" w:ascii="宋体" w:hAnsi="宋体" w:eastAsia="宋体" w:cs="宋体"/>
          <w:b/>
          <w:bCs/>
          <w:color w:val="auto"/>
          <w:kern w:val="2"/>
          <w:sz w:val="32"/>
          <w:szCs w:val="32"/>
        </w:rPr>
        <w:t>主要绩效：</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宋体" w:hAnsi="宋体" w:cs="宋体"/>
          <w:b/>
          <w:bCs/>
          <w:color w:val="auto"/>
          <w:kern w:val="2"/>
          <w:sz w:val="32"/>
          <w:szCs w:val="32"/>
          <w:lang w:val="en-US" w:eastAsia="zh-CN"/>
        </w:rPr>
        <w:t xml:space="preserve"> </w:t>
      </w:r>
      <w:r>
        <w:rPr>
          <w:rFonts w:hint="eastAsia" w:ascii="仿宋" w:hAnsi="仿宋" w:eastAsia="仿宋"/>
          <w:sz w:val="32"/>
          <w:lang w:val="en-US" w:eastAsia="zh-CN"/>
        </w:rPr>
        <w:t>2020年以来，在湘乡市委市政府的坚强领导下，全局上下一心，攻坚克难、积极作为，坚持一手抓疫情防控、一手抓复工复产，</w:t>
      </w:r>
      <w:r>
        <w:rPr>
          <w:rFonts w:hint="eastAsia" w:ascii="仿宋" w:hAnsi="仿宋" w:eastAsia="仿宋"/>
          <w:color w:val="000000"/>
          <w:kern w:val="0"/>
          <w:sz w:val="32"/>
          <w:lang w:eastAsia="zh-CN"/>
        </w:rPr>
        <w:t>圆满完成了市委、市政府交办的各项工作任务，</w:t>
      </w:r>
      <w:r>
        <w:rPr>
          <w:rFonts w:hint="eastAsia" w:ascii="仿宋" w:hAnsi="仿宋" w:eastAsia="仿宋"/>
          <w:sz w:val="32"/>
          <w:lang w:val="en-US" w:eastAsia="zh-CN"/>
        </w:rPr>
        <w:t>全市工业经济保持平稳运行。现将基本情况汇报如下：</w:t>
      </w:r>
    </w:p>
    <w:p>
      <w:pPr>
        <w:numPr>
          <w:ilvl w:val="0"/>
          <w:numId w:val="0"/>
        </w:numPr>
        <w:spacing w:beforeLines="0" w:afterLines="0"/>
        <w:ind w:firstLine="640" w:firstLineChars="200"/>
        <w:rPr>
          <w:rFonts w:hint="eastAsia" w:ascii="黑体" w:hAnsi="黑体" w:eastAsia="黑体"/>
          <w:sz w:val="32"/>
          <w:lang w:val="en-US" w:eastAsia="zh-CN"/>
        </w:rPr>
      </w:pPr>
      <w:r>
        <w:rPr>
          <w:rFonts w:hint="eastAsia" w:ascii="黑体" w:hAnsi="黑体" w:eastAsia="黑体"/>
          <w:sz w:val="32"/>
          <w:lang w:val="en-US" w:eastAsia="zh-CN"/>
        </w:rPr>
        <w:t>一、三大攻坚战取得实质性胜利</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楷体" w:hAnsi="楷体" w:eastAsia="楷体"/>
          <w:sz w:val="32"/>
          <w:lang w:val="en-US" w:eastAsia="zh-CN"/>
        </w:rPr>
        <w:t>1.精准脱贫工作圆满收官。</w:t>
      </w:r>
      <w:r>
        <w:rPr>
          <w:rFonts w:hint="eastAsia" w:ascii="仿宋" w:hAnsi="仿宋" w:eastAsia="仿宋"/>
          <w:b/>
          <w:sz w:val="32"/>
          <w:lang w:val="en-US" w:eastAsia="zh-CN"/>
        </w:rPr>
        <w:t>一是</w:t>
      </w:r>
      <w:r>
        <w:rPr>
          <w:rFonts w:hint="eastAsia" w:ascii="仿宋" w:hAnsi="仿宋" w:eastAsia="仿宋"/>
          <w:sz w:val="32"/>
          <w:lang w:val="en-US" w:eastAsia="zh-CN"/>
        </w:rPr>
        <w:t>我局</w:t>
      </w:r>
      <w:r>
        <w:rPr>
          <w:rFonts w:hint="eastAsia" w:ascii="仿宋" w:hAnsi="仿宋" w:eastAsia="仿宋"/>
          <w:sz w:val="32"/>
          <w:lang w:eastAsia="zh-CN"/>
        </w:rPr>
        <w:t>机关党员干部与龙洞镇长太村建档立卡困难户一对一结对帮扶，全年为长太村送去慰问资金</w:t>
      </w:r>
      <w:r>
        <w:rPr>
          <w:rFonts w:hint="eastAsia" w:ascii="仿宋" w:hAnsi="仿宋" w:eastAsia="仿宋"/>
          <w:sz w:val="32"/>
          <w:lang w:val="en-US" w:eastAsia="zh-CN"/>
        </w:rPr>
        <w:t>3.6万元，扎实</w:t>
      </w:r>
      <w:r>
        <w:rPr>
          <w:rFonts w:hint="eastAsia" w:ascii="仿宋" w:hAnsi="仿宋" w:eastAsia="仿宋"/>
          <w:snapToGrid w:val="0"/>
          <w:sz w:val="32"/>
        </w:rPr>
        <w:t>开展</w:t>
      </w:r>
      <w:r>
        <w:rPr>
          <w:rFonts w:hint="eastAsia" w:ascii="仿宋" w:hAnsi="仿宋" w:eastAsia="仿宋"/>
          <w:snapToGrid w:val="0"/>
          <w:sz w:val="32"/>
          <w:lang w:eastAsia="zh-CN"/>
        </w:rPr>
        <w:t>了产业扶贫和消费扶贫活动，在</w:t>
      </w:r>
      <w:r>
        <w:rPr>
          <w:rFonts w:hint="eastAsia" w:ascii="仿宋" w:hAnsi="仿宋" w:eastAsia="仿宋"/>
          <w:snapToGrid w:val="0"/>
          <w:sz w:val="32"/>
          <w:lang w:val="en-US" w:eastAsia="zh-CN"/>
        </w:rPr>
        <w:t>11月份精准脱贫工作验收时长太村</w:t>
      </w:r>
      <w:r>
        <w:rPr>
          <w:rFonts w:hint="eastAsia" w:ascii="仿宋" w:hAnsi="仿宋" w:eastAsia="仿宋"/>
          <w:sz w:val="32"/>
          <w:lang w:val="en-US" w:eastAsia="zh-CN"/>
        </w:rPr>
        <w:t>获省检查组抽检一致好评。</w:t>
      </w:r>
      <w:r>
        <w:rPr>
          <w:rFonts w:hint="eastAsia" w:ascii="仿宋" w:hAnsi="仿宋" w:eastAsia="仿宋"/>
          <w:b/>
          <w:sz w:val="32"/>
          <w:lang w:val="en-US" w:eastAsia="zh-CN"/>
        </w:rPr>
        <w:t>二是</w:t>
      </w:r>
      <w:r>
        <w:rPr>
          <w:rFonts w:hint="eastAsia" w:ascii="仿宋" w:hAnsi="仿宋" w:eastAsia="仿宋"/>
          <w:sz w:val="32"/>
          <w:lang w:val="en-US" w:eastAsia="zh-CN"/>
        </w:rPr>
        <w:t>全年共选派农业科技特派员100名，实现全市297个行政村科技特派员全覆盖，出台了《湘乡市农业科技服务团实施方案》，</w:t>
      </w:r>
      <w:r>
        <w:rPr>
          <w:rFonts w:hint="eastAsia" w:ascii="仿宋" w:hAnsi="仿宋" w:eastAsia="仿宋"/>
          <w:color w:val="000000"/>
          <w:sz w:val="32"/>
          <w:lang w:eastAsia="zh-CN"/>
        </w:rPr>
        <w:t>在常态化疫情防控新形势下，</w:t>
      </w:r>
      <w:r>
        <w:rPr>
          <w:rFonts w:hint="eastAsia" w:ascii="仿宋_GB2312" w:hAnsi="仿宋_GB2312" w:eastAsia="仿宋_GB2312"/>
          <w:sz w:val="32"/>
        </w:rPr>
        <w:t>科技专家服务团</w:t>
      </w:r>
      <w:r>
        <w:rPr>
          <w:rFonts w:hint="eastAsia" w:ascii="仿宋_GB2312" w:hAnsi="仿宋_GB2312" w:eastAsia="仿宋_GB2312"/>
          <w:sz w:val="32"/>
          <w:lang w:eastAsia="zh-CN"/>
        </w:rPr>
        <w:t>创新地开展了“村播带货”科技活动，助力乡村振兴。</w:t>
      </w:r>
      <w:r>
        <w:rPr>
          <w:rFonts w:hint="eastAsia" w:ascii="仿宋" w:hAnsi="仿宋" w:eastAsia="仿宋"/>
          <w:b/>
          <w:sz w:val="32"/>
          <w:lang w:val="en-US" w:eastAsia="zh-CN"/>
        </w:rPr>
        <w:t>三是</w:t>
      </w:r>
      <w:r>
        <w:rPr>
          <w:rFonts w:hint="eastAsia" w:eastAsia="仿宋_GB2312"/>
          <w:color w:val="000000"/>
          <w:kern w:val="0"/>
          <w:sz w:val="32"/>
          <w:lang w:val="en-US" w:eastAsia="zh-CN"/>
        </w:rPr>
        <w:t>积极开</w:t>
      </w:r>
      <w:r>
        <w:rPr>
          <w:rFonts w:hint="eastAsia" w:ascii="仿宋" w:hAnsi="仿宋" w:eastAsia="仿宋"/>
          <w:sz w:val="32"/>
          <w:lang w:val="en-US" w:eastAsia="zh-CN"/>
        </w:rPr>
        <w:t>展通讯扶贫工作，</w:t>
      </w:r>
      <w:r>
        <w:rPr>
          <w:rStyle w:val="16"/>
          <w:rFonts w:hint="eastAsia" w:ascii="仿宋" w:hAnsi="仿宋" w:eastAsia="仿宋"/>
          <w:sz w:val="32"/>
          <w:lang w:val="en-US" w:eastAsia="zh-CN"/>
        </w:rPr>
        <w:t>全市已基本实现光纤和4G信号入村与覆盖</w:t>
      </w:r>
      <w:r>
        <w:rPr>
          <w:rFonts w:hint="eastAsia" w:ascii="仿宋" w:hAnsi="仿宋" w:eastAsia="仿宋"/>
          <w:sz w:val="32"/>
          <w:lang w:val="en-US" w:eastAsia="zh-CN"/>
        </w:rPr>
        <w:t>。</w:t>
      </w:r>
    </w:p>
    <w:p>
      <w:pPr>
        <w:spacing w:beforeLines="0" w:afterLines="0" w:line="560" w:lineRule="exact"/>
        <w:ind w:firstLine="640" w:firstLineChars="200"/>
        <w:rPr>
          <w:rFonts w:hint="eastAsia" w:ascii="仿宋" w:hAnsi="仿宋" w:eastAsia="仿宋"/>
          <w:sz w:val="32"/>
          <w:lang w:val="en-US" w:eastAsia="zh-CN"/>
        </w:rPr>
      </w:pPr>
      <w:r>
        <w:rPr>
          <w:rFonts w:hint="eastAsia" w:ascii="楷体" w:hAnsi="楷体" w:eastAsia="楷体"/>
          <w:sz w:val="32"/>
          <w:lang w:val="en-US" w:eastAsia="zh-CN"/>
        </w:rPr>
        <w:t>2. 污染防治攻坚战成效显著。</w:t>
      </w:r>
      <w:r>
        <w:rPr>
          <w:rFonts w:hint="eastAsia" w:ascii="仿宋" w:hAnsi="仿宋" w:eastAsia="仿宋"/>
          <w:sz w:val="32"/>
          <w:lang w:val="en-US" w:eastAsia="zh-CN"/>
        </w:rPr>
        <w:t>认真推进淘汰落后产能工作，</w:t>
      </w:r>
      <w:r>
        <w:rPr>
          <w:rFonts w:hint="eastAsia" w:ascii="仿宋" w:hAnsi="仿宋" w:eastAsia="仿宋"/>
          <w:sz w:val="32"/>
        </w:rPr>
        <w:t>完成我市“散乱污”企业排查和分类整治工作</w:t>
      </w:r>
      <w:r>
        <w:rPr>
          <w:rFonts w:hint="eastAsia" w:ascii="仿宋" w:hAnsi="仿宋" w:eastAsia="仿宋"/>
          <w:sz w:val="32"/>
          <w:lang w:eastAsia="zh-CN"/>
        </w:rPr>
        <w:t>，</w:t>
      </w:r>
      <w:r>
        <w:rPr>
          <w:rFonts w:hint="eastAsia" w:ascii="仿宋" w:hAnsi="仿宋" w:eastAsia="仿宋"/>
          <w:sz w:val="32"/>
        </w:rPr>
        <w:t>同时将“散乱污”企业坚决整治到位</w:t>
      </w:r>
      <w:r>
        <w:rPr>
          <w:rFonts w:hint="eastAsia" w:ascii="仿宋" w:hAnsi="仿宋" w:eastAsia="仿宋"/>
          <w:sz w:val="32"/>
          <w:lang w:eastAsia="zh-CN"/>
        </w:rPr>
        <w:t>。</w:t>
      </w:r>
      <w:r>
        <w:rPr>
          <w:rFonts w:hint="eastAsia" w:ascii="仿宋" w:hAnsi="仿宋" w:eastAsia="仿宋"/>
          <w:b/>
          <w:sz w:val="32"/>
          <w:lang w:val="en-US" w:eastAsia="zh-CN"/>
        </w:rPr>
        <w:t>一是</w:t>
      </w:r>
      <w:r>
        <w:rPr>
          <w:rFonts w:hint="eastAsia" w:ascii="仿宋" w:hAnsi="仿宋" w:eastAsia="仿宋"/>
          <w:sz w:val="32"/>
        </w:rPr>
        <w:t>按“两断三清”要求，</w:t>
      </w:r>
      <w:r>
        <w:rPr>
          <w:rFonts w:hint="eastAsia" w:ascii="仿宋" w:hAnsi="仿宋" w:eastAsia="仿宋"/>
          <w:sz w:val="32"/>
          <w:lang w:eastAsia="zh-CN"/>
        </w:rPr>
        <w:t>将</w:t>
      </w:r>
      <w:r>
        <w:rPr>
          <w:rFonts w:hint="eastAsia" w:ascii="仿宋" w:hAnsi="仿宋" w:eastAsia="仿宋"/>
          <w:sz w:val="32"/>
          <w:lang w:val="en-US" w:eastAsia="zh-CN"/>
        </w:rPr>
        <w:t>拖延几年的红东方制革原地淘汰退出；</w:t>
      </w:r>
      <w:r>
        <w:rPr>
          <w:rFonts w:hint="eastAsia" w:ascii="仿宋" w:hAnsi="仿宋" w:eastAsia="仿宋"/>
          <w:b/>
          <w:sz w:val="32"/>
          <w:lang w:val="en-US" w:eastAsia="zh-CN"/>
        </w:rPr>
        <w:t>二是</w:t>
      </w:r>
      <w:r>
        <w:rPr>
          <w:rFonts w:hint="eastAsia" w:ascii="仿宋" w:hAnsi="仿宋" w:eastAsia="仿宋"/>
          <w:sz w:val="32"/>
          <w:lang w:val="en-US" w:eastAsia="zh-CN"/>
        </w:rPr>
        <w:t>燕京啤酒环保问题已彻底整改，</w:t>
      </w:r>
      <w:r>
        <w:rPr>
          <w:rFonts w:hint="eastAsia" w:ascii="仿宋" w:hAnsi="仿宋" w:eastAsia="仿宋"/>
          <w:sz w:val="32"/>
        </w:rPr>
        <w:t>得到了上级领导和</w:t>
      </w:r>
      <w:r>
        <w:rPr>
          <w:rFonts w:hint="eastAsia" w:ascii="仿宋" w:hAnsi="仿宋" w:eastAsia="仿宋"/>
          <w:sz w:val="32"/>
          <w:lang w:eastAsia="zh-CN"/>
        </w:rPr>
        <w:t>上级环保</w:t>
      </w:r>
      <w:r>
        <w:rPr>
          <w:rFonts w:hint="eastAsia" w:ascii="仿宋" w:hAnsi="仿宋" w:eastAsia="仿宋"/>
          <w:sz w:val="32"/>
        </w:rPr>
        <w:t>部门的充分肯定，并</w:t>
      </w:r>
      <w:r>
        <w:rPr>
          <w:rFonts w:hint="eastAsia" w:ascii="仿宋" w:hAnsi="仿宋" w:eastAsia="仿宋"/>
          <w:sz w:val="32"/>
          <w:lang w:eastAsia="zh-CN"/>
        </w:rPr>
        <w:t>将其</w:t>
      </w:r>
      <w:r>
        <w:rPr>
          <w:rFonts w:hint="eastAsia" w:ascii="仿宋" w:hAnsi="仿宋" w:eastAsia="仿宋"/>
          <w:sz w:val="32"/>
        </w:rPr>
        <w:t>作为湖南省环保整改工作先进案例进行推介</w:t>
      </w:r>
      <w:r>
        <w:rPr>
          <w:rFonts w:hint="eastAsia" w:ascii="仿宋" w:hAnsi="仿宋" w:eastAsia="仿宋"/>
          <w:sz w:val="32"/>
          <w:lang w:val="en-US" w:eastAsia="zh-CN"/>
        </w:rPr>
        <w:t>；</w:t>
      </w:r>
      <w:r>
        <w:rPr>
          <w:rFonts w:hint="eastAsia" w:ascii="仿宋" w:hAnsi="仿宋" w:eastAsia="仿宋"/>
          <w:b/>
          <w:sz w:val="32"/>
          <w:lang w:val="en-US" w:eastAsia="zh-CN"/>
        </w:rPr>
        <w:t>三是</w:t>
      </w:r>
      <w:r>
        <w:rPr>
          <w:rFonts w:hint="eastAsia" w:ascii="仿宋" w:hAnsi="仿宋" w:eastAsia="仿宋"/>
          <w:sz w:val="32"/>
          <w:lang w:val="en-US" w:eastAsia="zh-CN"/>
        </w:rPr>
        <w:t>工信系统环保涉企问题已按要求全部整改到位。</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仿宋" w:hAnsi="仿宋" w:eastAsia="仿宋"/>
          <w:sz w:val="32"/>
          <w:lang w:val="en-US" w:eastAsia="zh-CN"/>
        </w:rPr>
        <w:t>3. 加强财务规范化管理，按时完成了各项财务工作，落实好厉行节约工作，财务状况运行良好，做到了收支平衡。我局无债务化解任务。</w:t>
      </w:r>
    </w:p>
    <w:p>
      <w:pPr>
        <w:widowControl w:val="0"/>
        <w:spacing w:beforeLines="0" w:afterLines="0" w:line="560" w:lineRule="exact"/>
        <w:ind w:firstLine="640" w:firstLineChars="200"/>
        <w:jc w:val="left"/>
        <w:rPr>
          <w:rFonts w:hint="eastAsia" w:ascii="黑体" w:hAnsi="黑体" w:eastAsia="黑体"/>
          <w:sz w:val="32"/>
          <w:lang w:val="en-US" w:eastAsia="zh-CN"/>
        </w:rPr>
      </w:pPr>
      <w:r>
        <w:rPr>
          <w:rFonts w:hint="eastAsia" w:ascii="黑体" w:hAnsi="黑体" w:eastAsia="黑体"/>
          <w:sz w:val="32"/>
          <w:lang w:val="en-US" w:eastAsia="zh-CN"/>
        </w:rPr>
        <w:t>二、 复工复产成效显著</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仿宋" w:hAnsi="仿宋" w:eastAsia="仿宋"/>
          <w:sz w:val="32"/>
          <w:lang w:val="en-US" w:eastAsia="zh-CN"/>
        </w:rPr>
        <w:t>面对突如其来的新冠肺炎疫情，在市委市政府的坚强领导下，我局全体干部职工到企业任指导员，</w:t>
      </w:r>
      <w:r>
        <w:rPr>
          <w:rFonts w:hint="eastAsia" w:ascii="仿宋" w:hAnsi="仿宋" w:eastAsia="仿宋"/>
          <w:sz w:val="32"/>
          <w:lang w:eastAsia="zh-CN"/>
        </w:rPr>
        <w:t>建立“六员”联系制度，切实抓好了疫情防控期间复工复产各项工作，</w:t>
      </w:r>
      <w:r>
        <w:rPr>
          <w:rFonts w:hint="eastAsia" w:ascii="仿宋" w:hAnsi="仿宋" w:eastAsia="仿宋"/>
          <w:sz w:val="30"/>
          <w:lang w:eastAsia="zh-CN"/>
        </w:rPr>
        <w:t>出台</w:t>
      </w:r>
      <w:r>
        <w:rPr>
          <w:rFonts w:hint="eastAsia" w:ascii="仿宋" w:hAnsi="仿宋" w:eastAsia="仿宋"/>
          <w:sz w:val="30"/>
        </w:rPr>
        <w:t>了《应对新冠肺炎疫情影响促进企业健康发展的若干措施》</w:t>
      </w:r>
      <w:r>
        <w:rPr>
          <w:rFonts w:hint="eastAsia" w:ascii="仿宋" w:hAnsi="仿宋" w:eastAsia="仿宋"/>
          <w:sz w:val="30"/>
          <w:lang w:eastAsia="zh-CN"/>
        </w:rPr>
        <w:t>、</w:t>
      </w:r>
      <w:r>
        <w:rPr>
          <w:rFonts w:hint="eastAsia" w:ascii="仿宋" w:hAnsi="仿宋" w:eastAsia="仿宋"/>
          <w:sz w:val="32"/>
        </w:rPr>
        <w:t>《关于应对疫情防控加强企业复工复产金融支持力度的通知》</w:t>
      </w:r>
      <w:r>
        <w:rPr>
          <w:rFonts w:hint="eastAsia" w:ascii="仿宋" w:hAnsi="仿宋" w:eastAsia="仿宋"/>
          <w:sz w:val="32"/>
          <w:lang w:eastAsia="zh-CN"/>
        </w:rPr>
        <w:t>等文件，督促各项疫情防控措施落实到位：</w:t>
      </w:r>
      <w:r>
        <w:rPr>
          <w:rFonts w:hint="eastAsia" w:ascii="仿宋" w:hAnsi="仿宋" w:eastAsia="仿宋"/>
          <w:b/>
          <w:sz w:val="32"/>
          <w:lang w:eastAsia="zh-CN"/>
        </w:rPr>
        <w:t>一</w:t>
      </w:r>
      <w:r>
        <w:rPr>
          <w:rFonts w:hint="eastAsia" w:ascii="仿宋" w:hAnsi="仿宋" w:eastAsia="仿宋"/>
          <w:b/>
          <w:sz w:val="32"/>
          <w:lang w:val="en-US" w:eastAsia="zh-CN"/>
        </w:rPr>
        <w:t>是</w:t>
      </w:r>
      <w:r>
        <w:rPr>
          <w:rFonts w:hint="eastAsia" w:ascii="仿宋" w:hAnsi="仿宋" w:eastAsia="仿宋"/>
          <w:sz w:val="32"/>
          <w:lang w:eastAsia="zh-CN"/>
        </w:rPr>
        <w:t>共发放稳岗就业补贴221.9万元，免费赠送口罩80000只、体温仪132个，发放中药预防汤剂28059付；</w:t>
      </w:r>
      <w:r>
        <w:rPr>
          <w:rFonts w:hint="eastAsia" w:ascii="仿宋" w:hAnsi="仿宋" w:eastAsia="仿宋"/>
          <w:b/>
          <w:sz w:val="32"/>
          <w:lang w:eastAsia="zh-CN"/>
        </w:rPr>
        <w:t>二是</w:t>
      </w:r>
      <w:r>
        <w:rPr>
          <w:rFonts w:hint="eastAsia" w:ascii="仿宋" w:hAnsi="仿宋" w:eastAsia="仿宋"/>
          <w:sz w:val="32"/>
          <w:lang w:eastAsia="zh-CN"/>
        </w:rPr>
        <w:t>组织振添光学等6家企业纳入省疫情防控重点保障企业,协调简美汽贸转产建成人工、半自动口罩生产线各一条；</w:t>
      </w:r>
      <w:r>
        <w:rPr>
          <w:rFonts w:hint="eastAsia" w:ascii="仿宋" w:hAnsi="仿宋" w:eastAsia="仿宋"/>
          <w:b/>
          <w:sz w:val="32"/>
          <w:lang w:eastAsia="zh-CN"/>
        </w:rPr>
        <w:t>三是</w:t>
      </w:r>
      <w:r>
        <w:rPr>
          <w:rFonts w:hint="eastAsia" w:ascii="仿宋" w:hAnsi="仿宋" w:eastAsia="仿宋"/>
          <w:sz w:val="32"/>
          <w:lang w:val="en-US" w:eastAsia="zh-CN"/>
        </w:rPr>
        <w:t>3月份</w:t>
      </w:r>
      <w:r>
        <w:rPr>
          <w:rFonts w:hint="eastAsia" w:ascii="仿宋" w:hAnsi="仿宋" w:eastAsia="仿宋"/>
          <w:sz w:val="32"/>
        </w:rPr>
        <w:t>举办</w:t>
      </w:r>
      <w:r>
        <w:rPr>
          <w:rFonts w:hint="eastAsia" w:ascii="仿宋" w:hAnsi="仿宋" w:eastAsia="仿宋"/>
          <w:sz w:val="32"/>
          <w:lang w:eastAsia="zh-CN"/>
        </w:rPr>
        <w:t>了</w:t>
      </w:r>
      <w:r>
        <w:rPr>
          <w:rFonts w:hint="eastAsia" w:ascii="仿宋" w:hAnsi="仿宋" w:eastAsia="仿宋"/>
          <w:sz w:val="32"/>
        </w:rPr>
        <w:t>金融服务助力复工复产专场政银企对接会，全市11家银行与39家企业签订信贷意向22.14亿元</w:t>
      </w:r>
      <w:r>
        <w:rPr>
          <w:rFonts w:hint="eastAsia" w:ascii="仿宋" w:hAnsi="仿宋" w:eastAsia="仿宋"/>
          <w:sz w:val="32"/>
          <w:lang w:eastAsia="zh-CN"/>
        </w:rPr>
        <w:t>；</w:t>
      </w:r>
      <w:r>
        <w:rPr>
          <w:rFonts w:hint="eastAsia" w:ascii="仿宋" w:hAnsi="仿宋" w:eastAsia="仿宋"/>
          <w:b/>
          <w:sz w:val="32"/>
          <w:lang w:eastAsia="zh-CN"/>
        </w:rPr>
        <w:t>四是</w:t>
      </w:r>
      <w:r>
        <w:rPr>
          <w:rFonts w:hint="eastAsia" w:ascii="仿宋" w:hAnsi="仿宋" w:eastAsia="仿宋"/>
          <w:sz w:val="32"/>
          <w:lang w:eastAsia="zh-CN"/>
        </w:rPr>
        <w:t>全市</w:t>
      </w:r>
      <w:r>
        <w:rPr>
          <w:rFonts w:hint="eastAsia" w:ascii="仿宋" w:hAnsi="仿宋" w:eastAsia="仿宋"/>
          <w:sz w:val="32"/>
          <w:lang w:val="en-US" w:eastAsia="zh-CN"/>
        </w:rPr>
        <w:t>236家规模企业全部复工复产，复岗率96.29%，名列湘潭市第一。</w:t>
      </w:r>
    </w:p>
    <w:p>
      <w:pPr>
        <w:widowControl w:val="0"/>
        <w:spacing w:beforeLines="0" w:afterLines="0" w:line="560" w:lineRule="exact"/>
        <w:ind w:firstLine="640" w:firstLineChars="200"/>
        <w:jc w:val="left"/>
        <w:rPr>
          <w:rFonts w:hint="eastAsia" w:ascii="黑体" w:hAnsi="黑体" w:eastAsia="黑体"/>
          <w:sz w:val="32"/>
          <w:lang w:val="en-US" w:eastAsia="zh-CN"/>
        </w:rPr>
      </w:pPr>
      <w:r>
        <w:rPr>
          <w:rFonts w:hint="eastAsia" w:ascii="黑体" w:hAnsi="黑体" w:eastAsia="黑体"/>
          <w:sz w:val="32"/>
          <w:lang w:val="en-US" w:eastAsia="zh-CN"/>
        </w:rPr>
        <w:t>三、科技工信工作持续健康发展</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仿宋" w:hAnsi="仿宋" w:eastAsia="仿宋"/>
          <w:sz w:val="32"/>
          <w:lang w:val="en-US" w:eastAsia="zh-CN"/>
        </w:rPr>
        <w:t>全年新认定高新技术企业27家，全市现有高新技术企业53家，高新技术企业产值占GDP比重为26%，财政科技投入为2.07亿元，科技绩效考核工作名列湘潭市前茅。</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仿宋" w:hAnsi="仿宋" w:eastAsia="仿宋"/>
          <w:sz w:val="32"/>
          <w:lang w:val="en-US" w:eastAsia="zh-CN"/>
        </w:rPr>
        <w:t>全年实现规模工业总产值964.2亿元，同比增长4.0%；全年实现规模工业增加值265.3亿元（预计），同比增长4.0%，位居湘潭第二，申报新增规上企业个数53家，湘潭市排名第一，全年预计新增规模企业48家以上，全市规模工业企业达291家。全年全市规模工业企业上缴税金3.2亿元，同比增长11.0%，其中韶峰南方税收过亿。全年完成工业投资104亿元，同比增长18%。工业技改投资同比增长20% 。</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仿宋" w:hAnsi="仿宋" w:eastAsia="仿宋"/>
          <w:sz w:val="32"/>
          <w:lang w:val="en-US" w:eastAsia="zh-CN"/>
        </w:rPr>
        <w:t>正式启动5G建设，全年新建各类基站311个。</w:t>
      </w:r>
    </w:p>
    <w:p>
      <w:pPr>
        <w:pStyle w:val="2"/>
        <w:spacing w:beforeLines="0" w:afterLines="0"/>
        <w:ind w:firstLine="640" w:firstLineChars="200"/>
        <w:rPr>
          <w:rFonts w:hint="eastAsia" w:eastAsia="仿宋"/>
          <w:sz w:val="21"/>
          <w:lang w:val="en-US" w:eastAsia="zh-CN"/>
        </w:rPr>
      </w:pPr>
      <w:r>
        <w:rPr>
          <w:rFonts w:hint="eastAsia" w:ascii="仿宋" w:hAnsi="仿宋" w:eastAsia="仿宋"/>
          <w:sz w:val="32"/>
          <w:lang w:eastAsia="zh-CN"/>
        </w:rPr>
        <w:t>全年组织企业</w:t>
      </w:r>
      <w:r>
        <w:rPr>
          <w:rFonts w:hint="eastAsia" w:ascii="仿宋" w:hAnsi="仿宋" w:eastAsia="仿宋"/>
          <w:kern w:val="0"/>
          <w:sz w:val="32"/>
          <w:lang w:eastAsia="zh-CN"/>
        </w:rPr>
        <w:t>申报省市科技类项目</w:t>
      </w:r>
      <w:r>
        <w:rPr>
          <w:rFonts w:hint="eastAsia" w:ascii="仿宋" w:hAnsi="仿宋" w:eastAsia="仿宋"/>
          <w:kern w:val="0"/>
          <w:sz w:val="32"/>
          <w:lang w:val="en-US" w:eastAsia="zh-CN"/>
        </w:rPr>
        <w:t>56 项，</w:t>
      </w:r>
      <w:r>
        <w:rPr>
          <w:rFonts w:hint="eastAsia" w:ascii="仿宋" w:hAnsi="仿宋" w:eastAsia="仿宋"/>
          <w:sz w:val="32"/>
          <w:lang w:eastAsia="zh-CN"/>
        </w:rPr>
        <w:t>组织申报省市工信类项目</w:t>
      </w:r>
      <w:r>
        <w:rPr>
          <w:rFonts w:hint="eastAsia" w:ascii="仿宋" w:hAnsi="仿宋" w:eastAsia="仿宋"/>
          <w:sz w:val="32"/>
          <w:lang w:val="en-US" w:eastAsia="zh-CN"/>
        </w:rPr>
        <w:t>49项，</w:t>
      </w:r>
      <w:r>
        <w:rPr>
          <w:rFonts w:hint="eastAsia" w:ascii="仿宋" w:hAnsi="仿宋" w:eastAsia="仿宋"/>
          <w:kern w:val="0"/>
          <w:sz w:val="32"/>
          <w:lang w:val="en-US" w:eastAsia="zh-CN"/>
        </w:rPr>
        <w:t>共</w:t>
      </w:r>
      <w:r>
        <w:rPr>
          <w:rFonts w:hint="eastAsia" w:ascii="仿宋" w:hAnsi="仿宋" w:eastAsia="仿宋"/>
          <w:sz w:val="32"/>
        </w:rPr>
        <w:t>争取上级</w:t>
      </w:r>
      <w:r>
        <w:rPr>
          <w:rFonts w:hint="eastAsia" w:ascii="仿宋" w:hAnsi="仿宋" w:eastAsia="仿宋"/>
          <w:sz w:val="32"/>
          <w:lang w:eastAsia="zh-CN"/>
        </w:rPr>
        <w:t>各类</w:t>
      </w:r>
      <w:r>
        <w:rPr>
          <w:rFonts w:hint="eastAsia" w:ascii="仿宋" w:hAnsi="仿宋" w:eastAsia="仿宋"/>
          <w:sz w:val="32"/>
        </w:rPr>
        <w:t>专项资金约</w:t>
      </w:r>
      <w:r>
        <w:rPr>
          <w:rFonts w:hint="eastAsia" w:ascii="仿宋" w:hAnsi="仿宋" w:eastAsia="仿宋"/>
          <w:sz w:val="32"/>
          <w:lang w:val="en-US" w:eastAsia="zh-CN"/>
        </w:rPr>
        <w:t>1800</w:t>
      </w:r>
      <w:r>
        <w:rPr>
          <w:rFonts w:hint="eastAsia" w:ascii="仿宋" w:hAnsi="仿宋" w:eastAsia="仿宋"/>
          <w:sz w:val="32"/>
        </w:rPr>
        <w:t>万元</w:t>
      </w:r>
      <w:r>
        <w:rPr>
          <w:rFonts w:hint="eastAsia" w:ascii="仿宋" w:hAnsi="仿宋" w:eastAsia="仿宋"/>
          <w:sz w:val="32"/>
          <w:lang w:eastAsia="zh-CN"/>
        </w:rPr>
        <w:t>。</w:t>
      </w:r>
    </w:p>
    <w:p>
      <w:pPr>
        <w:widowControl w:val="0"/>
        <w:spacing w:beforeLines="0" w:afterLines="0" w:line="560" w:lineRule="exact"/>
        <w:ind w:firstLine="640" w:firstLineChars="200"/>
        <w:jc w:val="left"/>
        <w:rPr>
          <w:rFonts w:hint="eastAsia" w:ascii="黑体" w:hAnsi="黑体" w:eastAsia="黑体"/>
          <w:sz w:val="32"/>
          <w:lang w:val="en-US" w:eastAsia="zh-CN"/>
        </w:rPr>
      </w:pPr>
      <w:r>
        <w:rPr>
          <w:rFonts w:hint="eastAsia" w:ascii="黑体" w:hAnsi="黑体" w:eastAsia="黑体"/>
          <w:sz w:val="32"/>
          <w:lang w:val="en-US" w:eastAsia="zh-CN"/>
        </w:rPr>
        <w:t>四、项目建设加快推进</w:t>
      </w:r>
    </w:p>
    <w:p>
      <w:pPr>
        <w:widowControl w:val="0"/>
        <w:spacing w:beforeLines="0" w:afterLines="0" w:line="560" w:lineRule="exact"/>
        <w:ind w:firstLine="600" w:firstLineChars="200"/>
        <w:rPr>
          <w:rFonts w:hint="eastAsia" w:ascii="仿宋" w:hAnsi="仿宋" w:eastAsia="仿宋"/>
          <w:sz w:val="30"/>
          <w:lang w:eastAsia="zh-CN"/>
        </w:rPr>
      </w:pPr>
      <w:r>
        <w:rPr>
          <w:rFonts w:hint="eastAsia" w:ascii="楷体" w:hAnsi="楷体" w:eastAsia="楷体"/>
          <w:b/>
          <w:sz w:val="30"/>
          <w:lang w:val="en-US" w:eastAsia="zh-CN"/>
        </w:rPr>
        <w:t>1.</w:t>
      </w:r>
      <w:r>
        <w:rPr>
          <w:rFonts w:hint="eastAsia" w:ascii="楷体" w:hAnsi="楷体" w:eastAsia="楷体"/>
          <w:sz w:val="30"/>
        </w:rPr>
        <w:t>韶峰南方绿色建材产业园项目。</w:t>
      </w:r>
      <w:r>
        <w:rPr>
          <w:rFonts w:hint="eastAsia" w:ascii="仿宋" w:hAnsi="仿宋" w:eastAsia="仿宋"/>
          <w:sz w:val="32"/>
        </w:rPr>
        <w:t>湖南韶峰南方绿色建材产业园项目进展较好，目前已完成投资1.8亿元</w:t>
      </w:r>
      <w:r>
        <w:rPr>
          <w:rFonts w:hint="eastAsia" w:ascii="仿宋" w:hAnsi="仿宋" w:eastAsia="仿宋"/>
          <w:sz w:val="32"/>
          <w:lang w:eastAsia="zh-CN"/>
        </w:rPr>
        <w:t>，</w:t>
      </w:r>
      <w:r>
        <w:rPr>
          <w:rFonts w:hint="eastAsia" w:ascii="仿宋" w:hAnsi="仿宋" w:eastAsia="仿宋"/>
          <w:sz w:val="32"/>
        </w:rPr>
        <w:t>200万吨/年骨料生产线项目已于2020年10月顺利竣工投产；8000t/d熟料水泥生产线项目已通过中国建材股份立项和可研批复，计划</w:t>
      </w:r>
      <w:r>
        <w:rPr>
          <w:rFonts w:hint="eastAsia" w:ascii="仿宋" w:hAnsi="仿宋" w:eastAsia="仿宋"/>
          <w:sz w:val="32"/>
          <w:lang w:val="en-US" w:eastAsia="zh-CN"/>
        </w:rPr>
        <w:t>2</w:t>
      </w:r>
      <w:r>
        <w:rPr>
          <w:rFonts w:hint="eastAsia" w:ascii="仿宋" w:hAnsi="仿宋" w:eastAsia="仿宋"/>
          <w:sz w:val="32"/>
        </w:rPr>
        <w:t>月份开工建设，2022年上半年完成安装试生产；韶峰南方物流大道项目</w:t>
      </w:r>
      <w:r>
        <w:rPr>
          <w:rFonts w:hint="eastAsia" w:ascii="仿宋" w:hAnsi="仿宋" w:eastAsia="仿宋"/>
          <w:sz w:val="32"/>
          <w:lang w:eastAsia="zh-CN"/>
        </w:rPr>
        <w:t>投资</w:t>
      </w:r>
      <w:r>
        <w:rPr>
          <w:rFonts w:hint="eastAsia" w:ascii="仿宋" w:hAnsi="仿宋" w:eastAsia="仿宋"/>
          <w:sz w:val="32"/>
          <w:lang w:val="en-US" w:eastAsia="zh-CN"/>
        </w:rPr>
        <w:t>2亿元</w:t>
      </w:r>
      <w:r>
        <w:rPr>
          <w:rFonts w:hint="eastAsia" w:ascii="仿宋" w:hAnsi="仿宋" w:eastAsia="仿宋"/>
          <w:sz w:val="32"/>
        </w:rPr>
        <w:t>，计划2021年6月完成路基建设，2022年3月前建成通车。</w:t>
      </w:r>
      <w:r>
        <w:rPr>
          <w:rFonts w:hint="eastAsia" w:ascii="仿宋" w:hAnsi="仿宋" w:eastAsia="仿宋"/>
          <w:sz w:val="32"/>
          <w:lang w:eastAsia="zh-CN"/>
        </w:rPr>
        <w:t>韶峰技改项目获湘潭市优秀项目。</w:t>
      </w:r>
    </w:p>
    <w:p>
      <w:pPr>
        <w:widowControl w:val="0"/>
        <w:numPr>
          <w:ilvl w:val="0"/>
          <w:numId w:val="0"/>
        </w:numPr>
        <w:spacing w:beforeLines="0" w:afterLines="0" w:line="560" w:lineRule="exact"/>
        <w:ind w:firstLine="600" w:firstLineChars="200"/>
        <w:rPr>
          <w:rFonts w:hint="eastAsia" w:ascii="仿宋" w:hAnsi="仿宋" w:eastAsia="仿宋"/>
          <w:sz w:val="32"/>
        </w:rPr>
      </w:pPr>
      <w:r>
        <w:rPr>
          <w:rFonts w:hint="eastAsia" w:ascii="楷体" w:hAnsi="楷体" w:eastAsia="楷体"/>
          <w:sz w:val="30"/>
          <w:lang w:val="en-US" w:eastAsia="zh-CN"/>
        </w:rPr>
        <w:t>2.开门子肥业年产35万吨新型生态肥高塔项目。</w:t>
      </w:r>
      <w:r>
        <w:rPr>
          <w:rFonts w:hint="eastAsia" w:ascii="仿宋" w:hAnsi="仿宋" w:eastAsia="仿宋"/>
          <w:sz w:val="32"/>
        </w:rPr>
        <w:t>项目</w:t>
      </w:r>
      <w:r>
        <w:rPr>
          <w:rFonts w:hint="eastAsia" w:ascii="仿宋" w:hAnsi="仿宋" w:eastAsia="仿宋"/>
          <w:sz w:val="32"/>
          <w:lang w:eastAsia="zh-CN"/>
        </w:rPr>
        <w:t>总投资</w:t>
      </w:r>
      <w:r>
        <w:rPr>
          <w:rFonts w:hint="eastAsia" w:ascii="仿宋" w:hAnsi="仿宋" w:eastAsia="仿宋"/>
          <w:sz w:val="32"/>
          <w:lang w:val="en-US" w:eastAsia="zh-CN"/>
        </w:rPr>
        <w:t>6亿元，目前正在完成土地拆迁及铁路专</w:t>
      </w:r>
      <w:r>
        <w:rPr>
          <w:rFonts w:hint="eastAsia" w:ascii="仿宋" w:hAnsi="仿宋" w:eastAsia="仿宋"/>
          <w:sz w:val="32"/>
        </w:rPr>
        <w:t>线整治</w:t>
      </w:r>
      <w:r>
        <w:rPr>
          <w:rFonts w:hint="eastAsia" w:ascii="仿宋" w:hAnsi="仿宋" w:eastAsia="仿宋"/>
          <w:sz w:val="32"/>
          <w:lang w:eastAsia="zh-CN"/>
        </w:rPr>
        <w:t>工作，预计</w:t>
      </w:r>
      <w:r>
        <w:rPr>
          <w:rFonts w:hint="eastAsia" w:ascii="仿宋" w:hAnsi="仿宋" w:eastAsia="仿宋"/>
          <w:sz w:val="32"/>
          <w:lang w:val="en-US" w:eastAsia="zh-CN"/>
        </w:rPr>
        <w:t>2021年4月份全面启动建设</w:t>
      </w:r>
      <w:r>
        <w:rPr>
          <w:rFonts w:hint="eastAsia" w:ascii="仿宋" w:hAnsi="仿宋" w:eastAsia="仿宋"/>
          <w:sz w:val="32"/>
        </w:rPr>
        <w:t>。</w:t>
      </w:r>
    </w:p>
    <w:p>
      <w:pPr>
        <w:widowControl w:val="0"/>
        <w:spacing w:beforeLines="0" w:afterLines="0" w:line="560" w:lineRule="exact"/>
        <w:ind w:firstLine="600" w:firstLineChars="200"/>
        <w:jc w:val="left"/>
        <w:rPr>
          <w:rFonts w:hint="eastAsia" w:ascii="仿宋" w:hAnsi="仿宋" w:eastAsia="仿宋"/>
          <w:sz w:val="32"/>
          <w:lang w:val="en-US" w:eastAsia="zh-CN"/>
        </w:rPr>
      </w:pPr>
      <w:r>
        <w:rPr>
          <w:rFonts w:hint="eastAsia" w:ascii="楷体" w:hAnsi="楷体" w:eastAsia="楷体"/>
          <w:sz w:val="30"/>
          <w:lang w:val="en-US" w:eastAsia="zh-CN"/>
        </w:rPr>
        <w:t>3.“三供一业”已招标项目已全部完工。</w:t>
      </w:r>
      <w:r>
        <w:rPr>
          <w:rFonts w:hint="eastAsia" w:ascii="仿宋" w:hAnsi="仿宋" w:eastAsia="仿宋"/>
          <w:sz w:val="32"/>
          <w:lang w:val="en-US" w:eastAsia="zh-CN"/>
        </w:rPr>
        <w:t>该项工作获省、湘潭市国资委一致好评。</w:t>
      </w:r>
    </w:p>
    <w:p>
      <w:pPr>
        <w:widowControl w:val="0"/>
        <w:spacing w:beforeLines="0" w:afterLines="0" w:line="560" w:lineRule="exact"/>
        <w:ind w:firstLine="640" w:firstLineChars="200"/>
        <w:jc w:val="left"/>
        <w:rPr>
          <w:rFonts w:hint="eastAsia" w:ascii="黑体" w:hAnsi="黑体" w:eastAsia="黑体"/>
          <w:sz w:val="32"/>
          <w:lang w:val="en-US" w:eastAsia="zh-CN"/>
        </w:rPr>
      </w:pPr>
      <w:r>
        <w:rPr>
          <w:rFonts w:hint="eastAsia" w:ascii="黑体" w:hAnsi="黑体" w:eastAsia="黑体"/>
          <w:sz w:val="32"/>
          <w:lang w:val="en-US" w:eastAsia="zh-CN"/>
        </w:rPr>
        <w:t>五、党的建设全面加强</w:t>
      </w:r>
    </w:p>
    <w:p>
      <w:pPr>
        <w:widowControl w:val="0"/>
        <w:spacing w:beforeLines="0" w:afterLines="0" w:line="560" w:lineRule="exact"/>
        <w:ind w:firstLine="640" w:firstLineChars="200"/>
        <w:jc w:val="left"/>
        <w:rPr>
          <w:rFonts w:hint="eastAsia" w:ascii="仿宋" w:hAnsi="仿宋" w:eastAsia="仿宋"/>
          <w:sz w:val="32"/>
          <w:lang w:val="en-US" w:eastAsia="zh-CN"/>
        </w:rPr>
      </w:pPr>
      <w:r>
        <w:rPr>
          <w:rFonts w:hint="eastAsia" w:ascii="仿宋" w:hAnsi="仿宋" w:eastAsia="仿宋"/>
          <w:sz w:val="32"/>
          <w:lang w:val="en-US" w:eastAsia="zh-CN"/>
        </w:rPr>
        <w:t>局党委班子带头旗帜鲜明讲政治，强化思想理论武装，坚持理论学习，始终在思想上政治上行动上同以习近平同志为核心的党中央保持高度一致，以“党建领航”工程为推手，着力务实基层基础，打造了理论素质高、综合能力强的科技工信队伍。</w:t>
      </w:r>
    </w:p>
    <w:p>
      <w:pPr>
        <w:widowControl w:val="0"/>
        <w:spacing w:beforeLines="0" w:afterLines="0" w:line="560" w:lineRule="exact"/>
        <w:ind w:firstLine="640" w:firstLineChars="200"/>
        <w:jc w:val="left"/>
        <w:rPr>
          <w:rFonts w:hint="eastAsia" w:ascii="仿宋" w:hAnsi="仿宋" w:eastAsia="仿宋"/>
          <w:kern w:val="0"/>
          <w:sz w:val="32"/>
          <w:lang w:eastAsia="zh-CN"/>
        </w:rPr>
      </w:pPr>
      <w:r>
        <w:rPr>
          <w:rFonts w:hint="eastAsia" w:ascii="仿宋" w:hAnsi="仿宋" w:eastAsia="仿宋"/>
          <w:b/>
          <w:kern w:val="0"/>
          <w:sz w:val="32"/>
          <w:lang w:eastAsia="zh-CN"/>
        </w:rPr>
        <w:t>一是</w:t>
      </w:r>
      <w:r>
        <w:rPr>
          <w:rFonts w:hint="eastAsia" w:ascii="仿宋" w:hAnsi="仿宋" w:eastAsia="仿宋"/>
          <w:kern w:val="0"/>
          <w:sz w:val="32"/>
        </w:rPr>
        <w:t>选举</w:t>
      </w:r>
      <w:r>
        <w:rPr>
          <w:rFonts w:hint="eastAsia" w:ascii="仿宋" w:hAnsi="仿宋" w:eastAsia="仿宋"/>
          <w:kern w:val="0"/>
          <w:sz w:val="32"/>
          <w:lang w:eastAsia="zh-CN"/>
        </w:rPr>
        <w:t>产生</w:t>
      </w:r>
      <w:r>
        <w:rPr>
          <w:rFonts w:hint="eastAsia" w:ascii="仿宋" w:hAnsi="仿宋" w:eastAsia="仿宋"/>
          <w:kern w:val="0"/>
          <w:sz w:val="32"/>
        </w:rPr>
        <w:t>了</w:t>
      </w:r>
      <w:r>
        <w:rPr>
          <w:rFonts w:hint="eastAsia" w:ascii="仿宋" w:hAnsi="仿宋" w:eastAsia="仿宋"/>
          <w:kern w:val="0"/>
          <w:sz w:val="32"/>
          <w:lang w:eastAsia="zh-CN"/>
        </w:rPr>
        <w:t>第</w:t>
      </w:r>
      <w:r>
        <w:rPr>
          <w:rFonts w:hint="eastAsia" w:ascii="仿宋" w:hAnsi="仿宋" w:eastAsia="仿宋"/>
          <w:kern w:val="0"/>
          <w:sz w:val="32"/>
        </w:rPr>
        <w:t>一届</w:t>
      </w:r>
      <w:r>
        <w:rPr>
          <w:rFonts w:hint="eastAsia" w:ascii="仿宋" w:hAnsi="仿宋" w:eastAsia="仿宋"/>
          <w:kern w:val="0"/>
          <w:sz w:val="32"/>
          <w:lang w:eastAsia="zh-CN"/>
        </w:rPr>
        <w:t>党总支，完成了机关支部和离退休支部的换届选举。</w:t>
      </w:r>
    </w:p>
    <w:p>
      <w:pPr>
        <w:widowControl w:val="0"/>
        <w:spacing w:beforeLines="0" w:afterLines="0" w:line="560" w:lineRule="exact"/>
        <w:ind w:firstLine="640" w:firstLineChars="200"/>
        <w:jc w:val="left"/>
        <w:rPr>
          <w:rFonts w:hint="eastAsia" w:ascii="仿宋" w:hAnsi="仿宋" w:eastAsia="仿宋"/>
          <w:kern w:val="0"/>
          <w:sz w:val="32"/>
          <w:lang w:val="en-US" w:eastAsia="zh-CN"/>
        </w:rPr>
      </w:pPr>
      <w:r>
        <w:rPr>
          <w:rFonts w:hint="eastAsia" w:ascii="仿宋" w:hAnsi="仿宋" w:eastAsia="仿宋"/>
          <w:b/>
          <w:kern w:val="0"/>
          <w:sz w:val="32"/>
          <w:lang w:val="en-US" w:eastAsia="zh-CN"/>
        </w:rPr>
        <w:t>二是</w:t>
      </w:r>
      <w:r>
        <w:rPr>
          <w:rFonts w:hint="eastAsia" w:ascii="仿宋" w:hAnsi="仿宋" w:eastAsia="仿宋"/>
          <w:kern w:val="0"/>
          <w:sz w:val="32"/>
          <w:lang w:val="en-US" w:eastAsia="zh-CN"/>
        </w:rPr>
        <w:t>较好的完成了省巡察整改任务以及湘乡市委第七轮巡察“回头看”，48个问题已全部整改到位。</w:t>
      </w:r>
    </w:p>
    <w:p>
      <w:pPr>
        <w:widowControl w:val="0"/>
        <w:numPr>
          <w:ilvl w:val="0"/>
          <w:numId w:val="0"/>
        </w:numPr>
        <w:spacing w:beforeLines="0" w:afterLines="0"/>
        <w:ind w:firstLine="640" w:firstLineChars="200"/>
        <w:rPr>
          <w:rFonts w:hint="eastAsia" w:ascii="仿宋" w:hAnsi="仿宋" w:eastAsia="仿宋"/>
          <w:color w:val="auto"/>
          <w:sz w:val="32"/>
        </w:rPr>
      </w:pPr>
      <w:r>
        <w:rPr>
          <w:rFonts w:hint="eastAsia" w:ascii="仿宋" w:hAnsi="仿宋" w:eastAsia="仿宋"/>
          <w:b/>
          <w:kern w:val="0"/>
          <w:sz w:val="32"/>
          <w:lang w:val="en-US" w:eastAsia="zh-CN"/>
        </w:rPr>
        <w:t>三是</w:t>
      </w:r>
      <w:r>
        <w:rPr>
          <w:rFonts w:hint="eastAsia" w:ascii="仿宋" w:hAnsi="仿宋" w:eastAsia="仿宋"/>
          <w:sz w:val="32"/>
          <w:lang w:eastAsia="zh-CN"/>
        </w:rPr>
        <w:t>组织全体党员去汝城沙洲村开展红色教育主题党日活动</w:t>
      </w:r>
      <w:r>
        <w:rPr>
          <w:rFonts w:hint="eastAsia" w:ascii="仿宋" w:hAnsi="仿宋" w:eastAsia="仿宋"/>
          <w:kern w:val="0"/>
          <w:sz w:val="32"/>
          <w:lang w:eastAsia="zh-CN"/>
        </w:rPr>
        <w:t>，邀请组织部、宣传部领导为科工信系统党员开展“习近平谈治国理政（第三卷）”、党的意识形态工作专题党课培训</w:t>
      </w:r>
      <w:r>
        <w:rPr>
          <w:rFonts w:hint="eastAsia" w:ascii="仿宋" w:hAnsi="仿宋" w:eastAsia="仿宋"/>
          <w:color w:val="auto"/>
          <w:sz w:val="32"/>
        </w:rPr>
        <w:t>。</w:t>
      </w:r>
    </w:p>
    <w:p>
      <w:pPr>
        <w:widowControl w:val="0"/>
        <w:spacing w:beforeLines="0" w:afterLines="0" w:line="560" w:lineRule="exact"/>
        <w:ind w:firstLine="640" w:firstLineChars="200"/>
        <w:jc w:val="left"/>
        <w:rPr>
          <w:rFonts w:hint="eastAsia" w:ascii="仿宋" w:hAnsi="仿宋" w:eastAsia="仿宋"/>
          <w:sz w:val="32"/>
        </w:rPr>
      </w:pPr>
      <w:r>
        <w:rPr>
          <w:rFonts w:hint="eastAsia" w:ascii="仿宋" w:hAnsi="仿宋" w:eastAsia="仿宋"/>
          <w:b/>
          <w:kern w:val="0"/>
          <w:sz w:val="32"/>
          <w:lang w:val="en-US" w:eastAsia="zh-CN"/>
        </w:rPr>
        <w:t>四是</w:t>
      </w:r>
      <w:r>
        <w:rPr>
          <w:rFonts w:hint="eastAsia" w:ascii="仿宋" w:hAnsi="仿宋" w:eastAsia="仿宋"/>
          <w:kern w:val="0"/>
          <w:sz w:val="32"/>
          <w:lang w:val="en-US" w:eastAsia="zh-CN"/>
        </w:rPr>
        <w:t>全年工信系统未发生一例舆情事故以及赴省进京事件，</w:t>
      </w:r>
      <w:r>
        <w:rPr>
          <w:rFonts w:hint="eastAsia" w:ascii="仿宋" w:hAnsi="仿宋" w:eastAsia="仿宋"/>
          <w:sz w:val="32"/>
          <w:lang w:eastAsia="zh-CN"/>
        </w:rPr>
        <w:t>确保了“两会”以及重大节假日期间的社会大局稳定</w:t>
      </w:r>
      <w:r>
        <w:rPr>
          <w:rFonts w:hint="eastAsia" w:ascii="仿宋" w:hAnsi="仿宋" w:eastAsia="仿宋"/>
          <w:sz w:val="32"/>
        </w:rPr>
        <w:t>。</w:t>
      </w:r>
    </w:p>
    <w:p>
      <w:pPr>
        <w:spacing w:before="312" w:beforeLines="100" w:after="156" w:afterLines="50" w:line="360" w:lineRule="auto"/>
        <w:rPr>
          <w:rFonts w:hint="eastAsia" w:ascii="宋体" w:hAnsi="宋体" w:eastAsia="宋体" w:cs="宋体"/>
          <w:b/>
          <w:bCs/>
          <w:sz w:val="32"/>
          <w:szCs w:val="32"/>
        </w:rPr>
      </w:pPr>
      <w:r>
        <w:rPr>
          <w:rFonts w:hint="eastAsia" w:ascii="宋体" w:hAnsi="宋体" w:eastAsia="宋体" w:cs="宋体"/>
          <w:b/>
          <w:bCs/>
          <w:sz w:val="32"/>
          <w:szCs w:val="32"/>
        </w:rPr>
        <w:t>四、存在的主要问题</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仿宋" w:hAnsi="仿宋" w:eastAsia="仿宋"/>
          <w:sz w:val="32"/>
          <w:lang w:val="en-US" w:eastAsia="zh-CN"/>
        </w:rPr>
        <w:t>1.产业链建设不实，四条产业链成立了办公室，制定了方案，除绿色建材产业链之外，其他三条产业链引进上下游企业不多。</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仿宋" w:hAnsi="仿宋" w:eastAsia="仿宋"/>
          <w:sz w:val="32"/>
          <w:lang w:val="en-US" w:eastAsia="zh-CN"/>
        </w:rPr>
        <w:t>2.合成化工厂改制不快，由于多方面原因，合成化工厂改制未按要求完成任务。</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仿宋" w:hAnsi="仿宋" w:eastAsia="仿宋"/>
          <w:sz w:val="32"/>
          <w:lang w:val="en-US" w:eastAsia="zh-CN"/>
        </w:rPr>
        <w:t>3.帮扶企业能力不足，面对经济下行压力，全局干部职工帮扶企业能力明显不足。</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仿宋" w:hAnsi="仿宋" w:eastAsia="仿宋"/>
          <w:sz w:val="32"/>
          <w:lang w:val="en-US" w:eastAsia="zh-CN"/>
        </w:rPr>
        <w:t>4.科技创新平台不多，在新时代高质量发展的要求下，科技作用日趋突显，目前我市只有湖南省工程技术研究中心（2个），湘潭市工程技术研究中心（4个），其他平台较少，科技创新支撑能力略显不足。</w:t>
      </w:r>
    </w:p>
    <w:p>
      <w:pPr>
        <w:spacing w:line="560" w:lineRule="exact"/>
        <w:rPr>
          <w:rFonts w:hint="eastAsia" w:ascii="宋体" w:hAnsi="宋体" w:eastAsia="宋体" w:cs="宋体"/>
          <w:b/>
          <w:bCs/>
          <w:sz w:val="32"/>
          <w:szCs w:val="32"/>
        </w:rPr>
      </w:pPr>
      <w:r>
        <w:rPr>
          <w:rFonts w:hint="eastAsia" w:ascii="宋体" w:hAnsi="宋体" w:cs="宋体"/>
          <w:b/>
          <w:bCs/>
          <w:sz w:val="32"/>
          <w:szCs w:val="32"/>
          <w:lang w:eastAsia="zh-CN"/>
        </w:rPr>
        <w:t>五、</w:t>
      </w:r>
      <w:r>
        <w:rPr>
          <w:rFonts w:hint="eastAsia" w:ascii="宋体" w:hAnsi="宋体" w:eastAsia="宋体" w:cs="宋体"/>
          <w:b/>
          <w:bCs/>
          <w:sz w:val="32"/>
          <w:szCs w:val="32"/>
        </w:rPr>
        <w:t>改进措施和有关建议</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仿宋" w:hAnsi="仿宋" w:eastAsia="仿宋"/>
          <w:sz w:val="32"/>
          <w:lang w:val="en-US" w:eastAsia="zh-CN"/>
        </w:rPr>
        <w:t xml:space="preserve">2021年，我局坚持以习近平新时代中国特色社会主义思想为指导，以习近平总书记考察湖南重要讲话精神为引领，深入落实“三高四新”战略，全面贯彻落实党的十九届五中全会精神，中央、省委、湘潭市委经济工作会议以及湘乡市七届五次党代会精神，在市委市政府的坚强领导下，结合我局职责职能，坚定不移贯彻新发展理念，重点做好以下工作：   </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楷体" w:hAnsi="楷体" w:eastAsia="楷体"/>
          <w:sz w:val="32"/>
          <w:lang w:val="en-US" w:eastAsia="zh-CN"/>
        </w:rPr>
        <w:t>1.明确一个目标</w:t>
      </w:r>
      <w:r>
        <w:rPr>
          <w:rFonts w:hint="eastAsia" w:ascii="仿宋" w:hAnsi="仿宋" w:eastAsia="仿宋"/>
          <w:sz w:val="32"/>
          <w:lang w:val="en-US" w:eastAsia="zh-CN"/>
        </w:rPr>
        <w:t>：争创全省真抓实干先进单位，湘潭绩效考核力争第一。</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楷体" w:hAnsi="楷体" w:eastAsia="楷体"/>
          <w:sz w:val="32"/>
          <w:lang w:val="en-US" w:eastAsia="zh-CN"/>
        </w:rPr>
        <w:t>2.提升两大产业</w:t>
      </w:r>
      <w:r>
        <w:rPr>
          <w:rFonts w:hint="eastAsia" w:ascii="仿宋" w:hAnsi="仿宋" w:eastAsia="仿宋"/>
          <w:sz w:val="32"/>
          <w:lang w:val="en-US" w:eastAsia="zh-CN"/>
        </w:rPr>
        <w:t>。将皮革、铸造两大产业作为重点，以绿色化、精细化、高质量发展为导向，提质升级皮革产业；加强自主创新，加大铸造企业的重组和结构调整，促进产业转型升级。</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楷体" w:hAnsi="楷体" w:eastAsia="楷体"/>
          <w:sz w:val="32"/>
          <w:lang w:val="en-US" w:eastAsia="zh-CN"/>
        </w:rPr>
        <w:t>3.加快三个工业小区建设</w:t>
      </w:r>
      <w:r>
        <w:rPr>
          <w:rFonts w:hint="eastAsia" w:ascii="仿宋" w:hAnsi="仿宋" w:eastAsia="仿宋"/>
          <w:sz w:val="32"/>
          <w:lang w:val="en-US" w:eastAsia="zh-CN"/>
        </w:rPr>
        <w:t>。将金石、棋梓、虞唐三个工业小区作为工业发展的重点，实施“一区一特”、以点带面，全面提升全市工业水平。</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楷体" w:hAnsi="楷体" w:eastAsia="楷体"/>
          <w:sz w:val="32"/>
          <w:lang w:val="en-US" w:eastAsia="zh-CN"/>
        </w:rPr>
        <w:t>4.抓实四条新兴优势产业链。</w:t>
      </w:r>
      <w:r>
        <w:rPr>
          <w:rFonts w:hint="eastAsia" w:ascii="仿宋" w:hAnsi="仿宋" w:eastAsia="仿宋"/>
          <w:sz w:val="32"/>
          <w:lang w:val="en-US" w:eastAsia="zh-CN"/>
        </w:rPr>
        <w:t>出台具体考核办法，加大招商引资力度，引进培育一批链主型龙头骨干企业和补链型小巨人企业。进一步加强产业链建设，优化“两图”“两库”等产业链基础工作，建立督查督办、绩效考核和联席会议制度。由市级领导挂帅，坚持一月一调度、一年一考核，提升四条产业链水平，打造湘乡特色品牌。</w:t>
      </w:r>
    </w:p>
    <w:p>
      <w:pPr>
        <w:pStyle w:val="2"/>
        <w:numPr>
          <w:ilvl w:val="0"/>
          <w:numId w:val="0"/>
        </w:numPr>
        <w:spacing w:beforeLines="0" w:afterLines="0"/>
        <w:ind w:firstLine="640" w:firstLineChars="200"/>
        <w:rPr>
          <w:rFonts w:hint="eastAsia" w:ascii="仿宋" w:hAnsi="仿宋" w:eastAsia="仿宋"/>
          <w:sz w:val="32"/>
          <w:lang w:val="en-US" w:eastAsia="zh-CN"/>
        </w:rPr>
      </w:pPr>
      <w:r>
        <w:rPr>
          <w:rFonts w:hint="eastAsia" w:ascii="楷体" w:hAnsi="楷体" w:eastAsia="楷体"/>
          <w:sz w:val="32"/>
          <w:lang w:val="en-US" w:eastAsia="zh-CN"/>
        </w:rPr>
        <w:t>5.抓实五项具体工作</w:t>
      </w:r>
      <w:r>
        <w:rPr>
          <w:rFonts w:hint="eastAsia" w:ascii="仿宋" w:hAnsi="仿宋" w:eastAsia="仿宋"/>
          <w:sz w:val="32"/>
          <w:lang w:val="en-US" w:eastAsia="zh-CN"/>
        </w:rPr>
        <w:t>。在“入规、登高、上市、智造”上狠下功夫，一是全年新增高新技术企业30家，高新技术产品产值增加值占GDP比重为25%；二是全年新增规模企业40家，规模工业增加值增速为8.5%；三是打造智能制造示范企业1个；四是打造“专精特新”小巨人企业3个；五是完成5G基站建设286个。</w:t>
      </w:r>
    </w:p>
    <w:p>
      <w:pPr>
        <w:pStyle w:val="2"/>
        <w:rPr>
          <w:rFonts w:hint="eastAsia"/>
        </w:rPr>
      </w:pPr>
    </w:p>
    <w:p>
      <w:pPr>
        <w:spacing w:line="360" w:lineRule="auto"/>
        <w:ind w:right="280" w:firstLine="640" w:firstLineChars="200"/>
        <w:jc w:val="right"/>
        <w:rPr>
          <w:rFonts w:hint="eastAsia" w:ascii="仿宋_GB2312" w:hAnsi="华文仿宋" w:eastAsia="仿宋_GB2312" w:cs="华文仿宋"/>
          <w:sz w:val="32"/>
          <w:szCs w:val="32"/>
        </w:rPr>
      </w:pPr>
    </w:p>
    <w:p>
      <w:pPr>
        <w:spacing w:line="360" w:lineRule="auto"/>
        <w:ind w:right="280" w:firstLine="640" w:firstLineChars="200"/>
        <w:jc w:val="right"/>
        <w:rPr>
          <w:rFonts w:hint="eastAsia" w:ascii="宋体" w:hAnsi="宋体" w:eastAsia="宋体" w:cs="宋体"/>
          <w:sz w:val="32"/>
          <w:szCs w:val="32"/>
        </w:rPr>
      </w:pPr>
      <w:r>
        <w:rPr>
          <w:rFonts w:hint="eastAsia" w:ascii="宋体" w:hAnsi="宋体" w:eastAsia="宋体" w:cs="宋体"/>
          <w:sz w:val="32"/>
          <w:szCs w:val="32"/>
        </w:rPr>
        <w:t>湘乡市科技和工业信息化局</w:t>
      </w:r>
    </w:p>
    <w:p>
      <w:pPr>
        <w:spacing w:line="360" w:lineRule="auto"/>
        <w:ind w:firstLine="640" w:firstLineChars="200"/>
        <w:jc w:val="right"/>
        <w:rPr>
          <w:rFonts w:hint="eastAsia" w:ascii="宋体" w:hAnsi="宋体" w:eastAsia="宋体" w:cs="宋体"/>
          <w:sz w:val="32"/>
          <w:szCs w:val="32"/>
        </w:rPr>
      </w:pPr>
      <w:r>
        <w:rPr>
          <w:rFonts w:hint="eastAsia" w:ascii="宋体" w:hAnsi="宋体" w:eastAsia="宋体" w:cs="宋体"/>
          <w:sz w:val="32"/>
          <w:szCs w:val="32"/>
        </w:rPr>
        <w:t>20</w:t>
      </w:r>
      <w:r>
        <w:rPr>
          <w:rFonts w:hint="eastAsia" w:ascii="宋体" w:hAnsi="宋体" w:cs="宋体"/>
          <w:sz w:val="32"/>
          <w:szCs w:val="32"/>
          <w:lang w:val="en-US" w:eastAsia="zh-CN"/>
        </w:rPr>
        <w:t>21</w:t>
      </w:r>
      <w:r>
        <w:rPr>
          <w:rFonts w:hint="eastAsia" w:ascii="宋体" w:hAnsi="宋体" w:eastAsia="宋体" w:cs="宋体"/>
          <w:sz w:val="32"/>
          <w:szCs w:val="32"/>
        </w:rPr>
        <w:t>年</w:t>
      </w:r>
      <w:r>
        <w:rPr>
          <w:rFonts w:hint="eastAsia" w:ascii="宋体" w:hAnsi="宋体" w:cs="宋体"/>
          <w:sz w:val="32"/>
          <w:szCs w:val="32"/>
          <w:lang w:val="en-US" w:eastAsia="zh-CN"/>
        </w:rPr>
        <w:t>4</w:t>
      </w:r>
      <w:r>
        <w:rPr>
          <w:rFonts w:hint="eastAsia" w:ascii="宋体" w:hAnsi="宋体" w:eastAsia="宋体" w:cs="宋体"/>
          <w:sz w:val="32"/>
          <w:szCs w:val="32"/>
        </w:rPr>
        <w:t>月</w:t>
      </w:r>
      <w:r>
        <w:rPr>
          <w:rFonts w:hint="eastAsia" w:ascii="宋体" w:hAnsi="宋体" w:cs="宋体"/>
          <w:sz w:val="32"/>
          <w:szCs w:val="32"/>
          <w:lang w:val="en-US" w:eastAsia="zh-CN"/>
        </w:rPr>
        <w:t>30</w:t>
      </w:r>
      <w:r>
        <w:rPr>
          <w:rFonts w:hint="eastAsia" w:ascii="宋体" w:hAnsi="宋体" w:eastAsia="宋体" w:cs="宋体"/>
          <w:sz w:val="32"/>
          <w:szCs w:val="32"/>
        </w:rPr>
        <w:t>日</w:t>
      </w: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rFonts w:hint="eastAsia"/>
          <w:sz w:val="72"/>
          <w:szCs w:val="72"/>
        </w:rPr>
      </w:pPr>
    </w:p>
    <w:p>
      <w:pPr>
        <w:pStyle w:val="13"/>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一、财政拨款收入：指本年度从本级财政部门取得的财政拨款，包括一般公共预算财政拨款和政府性基金预算财政拨款。</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二、</w:t>
      </w:r>
      <w:r>
        <w:rPr>
          <w:rFonts w:hint="eastAsia" w:cs="黑体" w:asciiTheme="minorEastAsia" w:hAnsiTheme="minorEastAsia"/>
          <w:color w:val="000000"/>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三、</w:t>
      </w:r>
      <w:r>
        <w:rPr>
          <w:rFonts w:hint="eastAsia" w:cs="黑体" w:asciiTheme="minorEastAsia" w:hAnsiTheme="minorEastAsia"/>
          <w:color w:val="000000"/>
          <w:kern w:val="0"/>
          <w:sz w:val="32"/>
          <w:szCs w:val="32"/>
        </w:rPr>
        <w:t>项目支出：指在基本支出之外为完成特定行政任务和事业发展目标所发生的支出。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五、</w:t>
      </w:r>
      <w:r>
        <w:rPr>
          <w:rFonts w:hint="eastAsia" w:cs="黑体" w:asciiTheme="minorEastAsia" w:hAnsiTheme="minorEastAsia"/>
          <w:color w:val="000000"/>
          <w:kern w:val="0"/>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六、</w:t>
      </w:r>
      <w:r>
        <w:rPr>
          <w:rFonts w:hint="eastAsia" w:cs="黑体" w:asciiTheme="minorEastAsia" w:hAnsiTheme="minorEastAsia"/>
          <w:color w:val="000000"/>
          <w:kern w:val="0"/>
          <w:sz w:val="32"/>
          <w:szCs w:val="32"/>
        </w:rPr>
        <w:t>工资福利支出(支出经济分类科目类级)：反映单位开支的在职职工和编制外长期聘用人员的各类劳动报酬，以及为上述人员缴纳的各项社会保险费等。</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商品和服务支出(支出经济分类科目类级)：反映单位购买商品和服务的支出(不包括用于购置固定资产的支出、战略性和应急储备支出)。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八、</w:t>
      </w:r>
      <w:r>
        <w:rPr>
          <w:rFonts w:hint="eastAsia" w:cs="黑体" w:asciiTheme="minorEastAsia" w:hAnsiTheme="minorEastAsia"/>
          <w:color w:val="000000"/>
          <w:kern w:val="0"/>
          <w:sz w:val="32"/>
          <w:szCs w:val="32"/>
        </w:rPr>
        <w:t>对个人和家庭的补助(支出经济分类科目类级)：反映用于对个人和家庭的补助支出。</w:t>
      </w:r>
    </w:p>
    <w:p>
      <w:pPr>
        <w:widowControl/>
        <w:spacing w:line="480" w:lineRule="exact"/>
        <w:ind w:firstLine="640" w:firstLineChars="200"/>
        <w:rPr>
          <w:rFonts w:hint="eastAsia" w:cs="黑体" w:asciiTheme="minorEastAsia" w:hAnsiTheme="minorEastAsia"/>
          <w:color w:val="000000"/>
          <w:kern w:val="0"/>
          <w:sz w:val="32"/>
          <w:szCs w:val="32"/>
        </w:rPr>
      </w:pP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3"/>
        <w:jc w:val="center"/>
        <w:rPr>
          <w:sz w:val="72"/>
          <w:szCs w:val="72"/>
        </w:rPr>
      </w:pPr>
    </w:p>
    <w:p>
      <w:pPr>
        <w:pStyle w:val="13"/>
        <w:jc w:val="center"/>
        <w:rPr>
          <w:sz w:val="72"/>
          <w:szCs w:val="72"/>
        </w:rPr>
      </w:pPr>
    </w:p>
    <w:p>
      <w:pPr>
        <w:pStyle w:val="13"/>
        <w:jc w:val="both"/>
        <w:rPr>
          <w:sz w:val="72"/>
          <w:szCs w:val="72"/>
        </w:rPr>
      </w:pPr>
    </w:p>
    <w:p>
      <w:pPr>
        <w:pStyle w:val="13"/>
        <w:jc w:val="center"/>
        <w:rPr>
          <w:sz w:val="72"/>
          <w:szCs w:val="72"/>
        </w:rPr>
      </w:pPr>
    </w:p>
    <w:p>
      <w:pPr>
        <w:pStyle w:val="13"/>
        <w:jc w:val="center"/>
        <w:rPr>
          <w:rFonts w:hint="eastAsia"/>
          <w:sz w:val="72"/>
          <w:szCs w:val="72"/>
        </w:rPr>
      </w:pPr>
    </w:p>
    <w:p>
      <w:pPr>
        <w:pStyle w:val="13"/>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仿宋">
    <w:altName w:val="Arial Unicode MS"/>
    <w:panose1 w:val="02010609060101010101"/>
    <w:charset w:val="86"/>
    <w:family w:val="auto"/>
    <w:pitch w:val="default"/>
    <w:sig w:usb0="00000000" w:usb1="00000000" w:usb2="00000016" w:usb3="00000000" w:csb0="00040001" w:csb1="00000000"/>
  </w:font>
  <w:font w:name="楷体">
    <w:altName w:val="宋体"/>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786949"/>
    <w:multiLevelType w:val="singleLevel"/>
    <w:tmpl w:val="AB786949"/>
    <w:lvl w:ilvl="0" w:tentative="0">
      <w:start w:val="2"/>
      <w:numFmt w:val="chineseCounting"/>
      <w:suff w:val="nothing"/>
      <w:lvlText w:val="（%1）"/>
      <w:lvlJc w:val="left"/>
      <w:rPr>
        <w:rFonts w:hint="eastAsia"/>
      </w:rPr>
    </w:lvl>
  </w:abstractNum>
  <w:abstractNum w:abstractNumId="1">
    <w:nsid w:val="C4F76A09"/>
    <w:multiLevelType w:val="multilevel"/>
    <w:tmpl w:val="C4F76A09"/>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D468CC74"/>
    <w:multiLevelType w:val="singleLevel"/>
    <w:tmpl w:val="D468CC74"/>
    <w:lvl w:ilvl="0" w:tentative="0">
      <w:start w:val="1"/>
      <w:numFmt w:val="decimal"/>
      <w:suff w:val="nothing"/>
      <w:lvlText w:val="%1、"/>
      <w:lvlJc w:val="left"/>
    </w:lvl>
  </w:abstractNum>
  <w:abstractNum w:abstractNumId="3">
    <w:nsid w:val="08F385E5"/>
    <w:multiLevelType w:val="singleLevel"/>
    <w:tmpl w:val="08F385E5"/>
    <w:lvl w:ilvl="0" w:tentative="0">
      <w:start w:val="1"/>
      <w:numFmt w:val="decimal"/>
      <w:suff w:val="nothing"/>
      <w:lvlText w:val="%1、"/>
      <w:lvlJc w:val="left"/>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91945C8"/>
    <w:multiLevelType w:val="singleLevel"/>
    <w:tmpl w:val="591945C8"/>
    <w:lvl w:ilvl="0" w:tentative="0">
      <w:start w:val="3"/>
      <w:numFmt w:val="chineseCounting"/>
      <w:suff w:val="nothing"/>
      <w:lvlText w:val="（%1）"/>
      <w:lvlJc w:val="left"/>
    </w:lvl>
  </w:abstractNum>
  <w:abstractNum w:abstractNumId="6">
    <w:nsid w:val="591953E8"/>
    <w:multiLevelType w:val="singleLevel"/>
    <w:tmpl w:val="591953E8"/>
    <w:lvl w:ilvl="0" w:tentative="0">
      <w:start w:val="2"/>
      <w:numFmt w:val="chineseCounting"/>
      <w:suff w:val="nothing"/>
      <w:lvlText w:val="%1、"/>
      <w:lvlJc w:val="left"/>
    </w:lvl>
  </w:abstractNum>
  <w:abstractNum w:abstractNumId="7">
    <w:nsid w:val="595566A9"/>
    <w:multiLevelType w:val="singleLevel"/>
    <w:tmpl w:val="595566A9"/>
    <w:lvl w:ilvl="0" w:tentative="0">
      <w:start w:val="2"/>
      <w:numFmt w:val="decimal"/>
      <w:suff w:val="nothing"/>
      <w:lvlText w:val="（%1）"/>
      <w:lvlJc w:val="left"/>
    </w:lvl>
  </w:abstractNum>
  <w:num w:numId="1">
    <w:abstractNumId w:val="4"/>
  </w:num>
  <w:num w:numId="2">
    <w:abstractNumId w:val="3"/>
  </w:num>
  <w:num w:numId="3">
    <w:abstractNumId w:val="2"/>
  </w:num>
  <w:num w:numId="4">
    <w:abstractNumId w:val="5"/>
  </w:num>
  <w:num w:numId="5">
    <w:abstractNumId w:val="6"/>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870F2"/>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3DE142A"/>
    <w:rsid w:val="05047E36"/>
    <w:rsid w:val="0AA973EE"/>
    <w:rsid w:val="0C252BA2"/>
    <w:rsid w:val="22EE0F7D"/>
    <w:rsid w:val="232336C6"/>
    <w:rsid w:val="23F66534"/>
    <w:rsid w:val="25B24637"/>
    <w:rsid w:val="261D72AE"/>
    <w:rsid w:val="29635B9F"/>
    <w:rsid w:val="2D661CB3"/>
    <w:rsid w:val="35C504BE"/>
    <w:rsid w:val="377A2CE1"/>
    <w:rsid w:val="39267FEA"/>
    <w:rsid w:val="3DD90EDD"/>
    <w:rsid w:val="45452A12"/>
    <w:rsid w:val="493B32AC"/>
    <w:rsid w:val="54F50E1C"/>
    <w:rsid w:val="55622CBA"/>
    <w:rsid w:val="596A366E"/>
    <w:rsid w:val="5D9D2295"/>
    <w:rsid w:val="63404018"/>
    <w:rsid w:val="65203B61"/>
    <w:rsid w:val="652A3AEA"/>
    <w:rsid w:val="6A853311"/>
    <w:rsid w:val="6C2202E7"/>
    <w:rsid w:val="7AAF59A7"/>
    <w:rsid w:val="7CA1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index 8"/>
    <w:basedOn w:val="1"/>
    <w:next w:val="1"/>
    <w:qFormat/>
    <w:uiPriority w:val="99"/>
    <w:pPr>
      <w:ind w:left="294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default" w:ascii="Arial" w:hAnsi="Arial" w:cs="Arial"/>
      <w:color w:val="333333"/>
      <w:kern w:val="0"/>
      <w:sz w:val="18"/>
      <w:szCs w:val="18"/>
      <w:lang w:val="en-US" w:eastAsia="zh-CN" w:bidi="ar"/>
    </w:rPr>
  </w:style>
  <w:style w:type="paragraph" w:customStyle="1" w:styleId="10">
    <w:name w:val="列出段落1"/>
    <w:basedOn w:val="1"/>
    <w:qFormat/>
    <w:uiPriority w:val="0"/>
    <w:pPr>
      <w:ind w:firstLine="420" w:firstLineChars="200"/>
    </w:pPr>
    <w:rPr>
      <w:rFonts w:ascii="Calibri" w:hAnsi="Calibri" w:eastAsia="宋体" w:cs="宋体"/>
      <w:szCs w:val="21"/>
    </w:rPr>
  </w:style>
  <w:style w:type="character" w:customStyle="1" w:styleId="11">
    <w:name w:val="页眉 Char"/>
    <w:basedOn w:val="9"/>
    <w:link w:val="6"/>
    <w:uiPriority w:val="99"/>
    <w:rPr>
      <w:sz w:val="18"/>
      <w:szCs w:val="18"/>
    </w:rPr>
  </w:style>
  <w:style w:type="character" w:customStyle="1" w:styleId="12">
    <w:name w:val="页脚 Char"/>
    <w:basedOn w:val="9"/>
    <w:link w:val="5"/>
    <w:qFormat/>
    <w:uiPriority w:val="99"/>
    <w:rPr>
      <w:sz w:val="18"/>
      <w:szCs w:val="18"/>
    </w:rPr>
  </w:style>
  <w:style w:type="paragraph" w:customStyle="1" w:styleId="13">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9"/>
    <w:link w:val="4"/>
    <w:semiHidden/>
    <w:qFormat/>
    <w:uiPriority w:val="99"/>
    <w:rPr>
      <w:sz w:val="18"/>
      <w:szCs w:val="18"/>
    </w:rPr>
  </w:style>
  <w:style w:type="character" w:customStyle="1" w:styleId="16">
    <w:name w:val="NormalCharacter"/>
    <w:unhideWhenUsed/>
    <w:qFormat/>
    <w:uiPriority w:val="0"/>
    <w:rPr>
      <w:rFonts w:hint="eastAsia" w:ascii="Times New Roman" w:hAnsi="Times New Roman" w:eastAsia="Times New Roman"/>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1308</Words>
  <Characters>7462</Characters>
  <Lines>62</Lines>
  <Paragraphs>17</Paragraphs>
  <TotalTime>13</TotalTime>
  <ScaleCrop>false</ScaleCrop>
  <LinksUpToDate>false</LinksUpToDate>
  <CharactersWithSpaces>8753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蔷薇</cp:lastModifiedBy>
  <cp:lastPrinted>2021-07-28T00:12:00Z</cp:lastPrinted>
  <dcterms:modified xsi:type="dcterms:W3CDTF">2021-08-10T03:11:03Z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