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910" w:type="dxa"/>
        <w:tblInd w:w="307" w:type="dxa"/>
        <w:tblLayout w:type="fixed"/>
        <w:tblCellMar>
          <w:top w:w="0" w:type="dxa"/>
          <w:left w:w="108" w:type="dxa"/>
          <w:bottom w:w="0" w:type="dxa"/>
          <w:right w:w="108" w:type="dxa"/>
        </w:tblCellMar>
      </w:tblPr>
      <w:tblGrid>
        <w:gridCol w:w="525"/>
        <w:gridCol w:w="1275"/>
        <w:gridCol w:w="615"/>
        <w:gridCol w:w="2190"/>
        <w:gridCol w:w="9090"/>
        <w:gridCol w:w="1215"/>
      </w:tblGrid>
      <w:tr>
        <w:tblPrEx>
          <w:tblCellMar>
            <w:top w:w="0" w:type="dxa"/>
            <w:left w:w="108" w:type="dxa"/>
            <w:bottom w:w="0" w:type="dxa"/>
            <w:right w:w="108" w:type="dxa"/>
          </w:tblCellMar>
        </w:tblPrEx>
        <w:trPr>
          <w:trHeight w:val="979" w:hRule="atLeast"/>
        </w:trPr>
        <w:tc>
          <w:tcPr>
            <w:tcW w:w="14910" w:type="dxa"/>
            <w:gridSpan w:val="6"/>
            <w:tcBorders>
              <w:top w:val="nil"/>
              <w:left w:val="nil"/>
              <w:bottom w:val="single" w:color="auto" w:sz="4" w:space="0"/>
              <w:right w:val="nil"/>
            </w:tcBorders>
            <w:vAlign w:val="center"/>
          </w:tcPr>
          <w:p>
            <w:pPr>
              <w:adjustRightInd/>
              <w:snapToGrid/>
              <w:spacing w:after="0"/>
              <w:jc w:val="center"/>
              <w:rPr>
                <w:rFonts w:eastAsia="宋体" w:cs="Tahoma"/>
                <w:color w:val="000000"/>
                <w:sz w:val="52"/>
                <w:szCs w:val="52"/>
              </w:rPr>
            </w:pPr>
            <w:bookmarkStart w:id="0" w:name="_GoBack"/>
            <w:r>
              <w:rPr>
                <w:rFonts w:hint="eastAsia" w:ascii="宋体" w:hAnsi="宋体" w:eastAsia="宋体" w:cs="Tahoma"/>
                <w:color w:val="000000"/>
                <w:sz w:val="52"/>
                <w:szCs w:val="52"/>
              </w:rPr>
              <w:t>湘乡市司法局行政权力清单</w:t>
            </w:r>
            <w:bookmarkEnd w:id="0"/>
          </w:p>
        </w:tc>
      </w:tr>
      <w:tr>
        <w:tblPrEx>
          <w:tblCellMar>
            <w:top w:w="0" w:type="dxa"/>
            <w:left w:w="108" w:type="dxa"/>
            <w:bottom w:w="0" w:type="dxa"/>
            <w:right w:w="108" w:type="dxa"/>
          </w:tblCellMar>
        </w:tblPrEx>
        <w:trPr>
          <w:trHeight w:val="657" w:hRule="atLeast"/>
        </w:trPr>
        <w:tc>
          <w:tcPr>
            <w:tcW w:w="525" w:type="dxa"/>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Tahoma"/>
                <w:sz w:val="24"/>
                <w:szCs w:val="24"/>
              </w:rPr>
            </w:pPr>
            <w:r>
              <w:rPr>
                <w:rFonts w:hint="eastAsia" w:ascii="宋体" w:hAnsi="宋体" w:eastAsia="宋体" w:cs="Tahoma"/>
                <w:sz w:val="24"/>
                <w:szCs w:val="24"/>
              </w:rPr>
              <w:t>序号</w:t>
            </w:r>
          </w:p>
        </w:tc>
        <w:tc>
          <w:tcPr>
            <w:tcW w:w="1275"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Tahoma"/>
                <w:sz w:val="24"/>
                <w:szCs w:val="24"/>
              </w:rPr>
            </w:pPr>
            <w:r>
              <w:rPr>
                <w:rFonts w:hint="eastAsia" w:ascii="宋体" w:hAnsi="宋体" w:eastAsia="宋体" w:cs="Tahoma"/>
                <w:sz w:val="24"/>
                <w:szCs w:val="24"/>
              </w:rPr>
              <w:t>事项名称</w:t>
            </w:r>
          </w:p>
        </w:tc>
        <w:tc>
          <w:tcPr>
            <w:tcW w:w="615"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Tahoma"/>
                <w:sz w:val="24"/>
                <w:szCs w:val="24"/>
              </w:rPr>
            </w:pPr>
            <w:r>
              <w:rPr>
                <w:rFonts w:hint="eastAsia" w:ascii="宋体" w:hAnsi="宋体" w:eastAsia="宋体" w:cs="Tahoma"/>
                <w:sz w:val="24"/>
                <w:szCs w:val="24"/>
              </w:rPr>
              <w:t>权力</w:t>
            </w:r>
          </w:p>
          <w:p>
            <w:pPr>
              <w:adjustRightInd/>
              <w:snapToGrid/>
              <w:spacing w:after="0"/>
              <w:jc w:val="center"/>
              <w:rPr>
                <w:rFonts w:ascii="宋体" w:hAnsi="宋体" w:eastAsia="宋体" w:cs="Tahoma"/>
                <w:sz w:val="24"/>
                <w:szCs w:val="24"/>
              </w:rPr>
            </w:pPr>
            <w:r>
              <w:rPr>
                <w:rFonts w:hint="eastAsia" w:ascii="宋体" w:hAnsi="宋体" w:eastAsia="宋体" w:cs="Tahoma"/>
                <w:sz w:val="24"/>
                <w:szCs w:val="24"/>
              </w:rPr>
              <w:t>类别</w:t>
            </w:r>
          </w:p>
        </w:tc>
        <w:tc>
          <w:tcPr>
            <w:tcW w:w="2190" w:type="dxa"/>
            <w:tcBorders>
              <w:top w:val="nil"/>
              <w:left w:val="nil"/>
              <w:bottom w:val="nil"/>
              <w:right w:val="nil"/>
            </w:tcBorders>
            <w:vAlign w:val="center"/>
          </w:tcPr>
          <w:p>
            <w:pPr>
              <w:adjustRightInd/>
              <w:snapToGrid/>
              <w:spacing w:after="0"/>
              <w:jc w:val="center"/>
              <w:rPr>
                <w:rFonts w:ascii="宋体" w:hAnsi="宋体" w:eastAsia="宋体" w:cs="Tahoma"/>
                <w:sz w:val="24"/>
                <w:szCs w:val="24"/>
              </w:rPr>
            </w:pPr>
            <w:r>
              <w:rPr>
                <w:rFonts w:hint="eastAsia" w:ascii="宋体" w:hAnsi="宋体" w:eastAsia="宋体" w:cs="Tahoma"/>
                <w:sz w:val="24"/>
                <w:szCs w:val="24"/>
              </w:rPr>
              <w:t>实施依据（简化）</w:t>
            </w:r>
          </w:p>
        </w:tc>
        <w:tc>
          <w:tcPr>
            <w:tcW w:w="9090" w:type="dxa"/>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Tahoma"/>
                <w:sz w:val="24"/>
                <w:szCs w:val="24"/>
              </w:rPr>
            </w:pPr>
            <w:r>
              <w:rPr>
                <w:rFonts w:hint="eastAsia" w:ascii="宋体" w:hAnsi="宋体" w:eastAsia="宋体" w:cs="Tahoma"/>
                <w:sz w:val="24"/>
                <w:szCs w:val="24"/>
              </w:rPr>
              <w:t>实施依据</w:t>
            </w:r>
          </w:p>
        </w:tc>
        <w:tc>
          <w:tcPr>
            <w:tcW w:w="1215" w:type="dxa"/>
            <w:tcBorders>
              <w:top w:val="nil"/>
              <w:left w:val="nil"/>
              <w:bottom w:val="single" w:color="auto" w:sz="4" w:space="0"/>
              <w:right w:val="single" w:color="auto" w:sz="4" w:space="0"/>
            </w:tcBorders>
            <w:vAlign w:val="center"/>
          </w:tcPr>
          <w:p>
            <w:pPr>
              <w:adjustRightInd/>
              <w:snapToGrid/>
              <w:spacing w:after="0"/>
              <w:jc w:val="center"/>
              <w:rPr>
                <w:rFonts w:ascii="宋体" w:hAnsi="宋体" w:eastAsia="宋体" w:cs="Tahoma"/>
                <w:sz w:val="24"/>
                <w:szCs w:val="24"/>
              </w:rPr>
            </w:pPr>
            <w:r>
              <w:rPr>
                <w:rFonts w:hint="eastAsia" w:ascii="宋体" w:hAnsi="宋体" w:eastAsia="宋体" w:cs="Tahoma"/>
                <w:sz w:val="24"/>
                <w:szCs w:val="24"/>
              </w:rPr>
              <w:t>实施主体</w:t>
            </w:r>
          </w:p>
        </w:tc>
      </w:tr>
      <w:tr>
        <w:tblPrEx>
          <w:tblCellMar>
            <w:top w:w="0" w:type="dxa"/>
            <w:left w:w="108" w:type="dxa"/>
            <w:bottom w:w="0" w:type="dxa"/>
            <w:right w:w="108" w:type="dxa"/>
          </w:tblCellMar>
        </w:tblPrEx>
        <w:trPr>
          <w:trHeight w:val="5416" w:hRule="atLeast"/>
        </w:trPr>
        <w:tc>
          <w:tcPr>
            <w:tcW w:w="525" w:type="dxa"/>
            <w:tcBorders>
              <w:top w:val="nil"/>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w:t>
            </w:r>
          </w:p>
        </w:tc>
        <w:tc>
          <w:tcPr>
            <w:tcW w:w="1275"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法律援助机构及其工作人员在法律援助活动中违规行为的处罚</w:t>
            </w:r>
          </w:p>
        </w:tc>
        <w:tc>
          <w:tcPr>
            <w:tcW w:w="615" w:type="dxa"/>
            <w:tcBorders>
              <w:top w:val="nil"/>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1.《法律援助条例》（中华人民共和国国务院令第385号）第二十六条</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2.《湖南省法律援助条例》（湖南省第十一届人民代表大会常务委员会第53号）第二十九条 </w:t>
            </w:r>
          </w:p>
        </w:tc>
        <w:tc>
          <w:tcPr>
            <w:tcW w:w="9090"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1.《法律援助条例》（中华人民共和国国务院令第385号）第二十六条　法律援助机构及其工作人员有下列情形之一的，对直接负责的主管人员以及其他直接责任人员依法给予纪律处分：(一)为不符合法律援助条件的人员提供法律援助，或者拒绝为符合法律援助条件的人员提供法律援助的；(二)办理法律援助案件收取财物的；(三)从事有偿法律服务的；(四)侵占、私分、挪用法律援助经费的。办理法律援助案件收取的财物，由司法行政部门责令退还；从事有偿法律服务的违法所得，由司法行政部门予以没收；侵占、私分、挪用法律援助经费的，由司法行政部门责令追回，情节严重，构成犯罪的，依法追究刑事责任。</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2.《湖南省法律援助条例》（湖南省第十一届人民代表大会常务委员会第53号）第二十九条 法律援助机构及其工作人员违反本条例，有下列情形之一的，由司法行政部门责令限期改正，给予处分；有第五、六、七项行为之一的，由司法行政部门责令退还或者追回；触犯刑法构成犯罪的，依法追究刑事责任：（一）未在规定期限内作出是否给予法律援助决定的；（二）未按规定期限和标准支付办案补贴的；（三）为不符合法律援助条件的人员提供法律援助，或者拒绝为符合法律援助条件的人员提供法律援助的；（四）办理法律援助事项应当回避而没有回避的；（五）办理法律援助案件收取财物的；（六）从事有偿法律服务的；（七）侵占、私分、挪用法律援助经费的。</w:t>
            </w:r>
          </w:p>
        </w:tc>
        <w:tc>
          <w:tcPr>
            <w:tcW w:w="1215"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4718"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2</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基层法律服务工作者无正当理由拒绝接受指派的法律援助案件，或者接受指派后，懈怠履行、擅自停止履行法律援助职责的处罚</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1.《湖南省法律援助条例》（湖南省第十一届人民代表大会常务委员会第53号）第二十六条第一款、第二款</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2.《基层法律服务工作者管理办法》（中华人民共和国司法部令第59号)第五十五条 第（五）项</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1.《湖南省法律援助条例》（湖南省第十一届人民代表大会常务委员会第53号）第二十六条 第一款 律师无正当理由拒绝接受律师事务所或者法律援助机构指派的法律援助案件，或者接受指派后，懈怠履行、擅自停止履行法律援助职责的，由设区的市或者自治州人民政府司法行政部门给予警告，可以处五千元以下罚款；情节严重的，责令停止执业一个月以上三个月以下。第二款：基层法律服务工作者有前款违法行为的，由县级以上人民政府司法行政部门给予警告，责令改正；情节严重的，责令停止执业一个月以上三个月以下。</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2.《基层法律服务工作者管理办法》（中华人民共和国司法部令第59号)第五十五条  基层法律服务工作者有下列行为之一的，由所在地的县级司法行政机关予以警告；有违法所得的，按照法律、法规的规定没收违法所得，并由地级司法行政机关处以违法所得三倍以下的罚款，但罚款数额最高不得超过三万元：(五)无正当理由拒绝履行法律援助义务的。</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3360"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3</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基层法律服务工作者办理法律援助案件收取财物或者牟取其他不正当利益的的处罚</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《湖南省法律援助条例》（湖南省第十一届人民代表大会常务委员会第53号）第二十七条第一款、第二款</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《湖南省法律援助条例》（湖南省第十一届人民代表大会常务委员会第53号）第二十七条第一款  律师向受援人收取财物或者牟取其他不正当利益的，由设区的市或者自治州人民政府司法行政部门给予警告；有违法所得的，没收违法所得，可以并处所收财物价值一倍以上三倍以下罚款；情节严重的，责令停止执业一个月以上三个月以下。                                                第二十七条第二款  基层法律服务工作者有前款违法行为的，由县级以上人民政府司法行政部门给予警告，责令退还违法所得；情节严重的，责令停止执业一个月以上三个月以下。</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4035"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4</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基层法律服务所违反法律援助规定的处罚</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《湖南省法律援助条例》（湖南省第十一届人民代表大会常务委员会第53号）第二十八条第一款 、第二款 </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《湖南省法律援助条例》（湖南省第十一届人民代表大会常务委员会第53号）第二十八条第一款  律师事务所有下列情形之一的，由设区的市或者自治州人民政府司法行政部门视情节给予警告、责令停业整顿一个月以上六个月以下，可以处十万元以下罚款；情节特别严重的，由省人民政府司法行政部门依法吊销律师事务所执业证书：（一）无正当理由拒绝接受法律援助机构指派的法律援助案件的；（二）接受指派后，不按规定及时安排本所律师承办法律援助案件或者拒绝为法律援助案件的办理提供条件和便利的；（三）纵容或者放任本所律师懈怠履行、擅自停止履行法律援助职责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 第二十八条第二款  基层法律服务所有前款所列情形之一的，由县级以上人民政府司法行政部门给予警告，责令改正；情节严重的，责令停业整顿一个月以上三个月以下。</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4902" w:hRule="atLeast"/>
        </w:trPr>
        <w:tc>
          <w:tcPr>
            <w:tcW w:w="525" w:type="dxa"/>
            <w:tcBorders>
              <w:top w:val="nil"/>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5</w:t>
            </w:r>
          </w:p>
        </w:tc>
        <w:tc>
          <w:tcPr>
            <w:tcW w:w="1275"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 基层法律服务所不正当经营、违反法律规定的处罚</w:t>
            </w:r>
          </w:p>
        </w:tc>
        <w:tc>
          <w:tcPr>
            <w:tcW w:w="615" w:type="dxa"/>
            <w:tcBorders>
              <w:top w:val="nil"/>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《基层法律服务所管理办法》（中华人民共和国司法部令第59号）第四十二条 </w:t>
            </w:r>
          </w:p>
        </w:tc>
        <w:tc>
          <w:tcPr>
            <w:tcW w:w="9090"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《基层法律服务所管理办法》（中华人民共和国司法部令第59号）第四十二条  基层法律服务所有下列行为之一的，由住所地县级司法行政机关予以警告；有违法所得的，按照法律、法规的规定没收违法所得，并由地级司法行政机关处以违法所得三倍以下的罚款，但罚款数额最高不得超过三万元：　　（一）超越业务范围的；（二）违反业务收费管理规定，擅自提高收费标准，自立名目乱收费的；（三）以贬损他人、抬高自己、虚假承诺或者支付介绍费等不正当手段争揽业务的；（四）伪造、涂改、抵押、出租、出借本所执业证书的；　　 （五）未经核准登记变更本所名称、法定代表人、执业场所和章程，擅自分立、合并或者设立业务接待站（点）的；　　 （六）不按规定接受年度检查，采用弄虚作假手段骗取通过年度检查的；　　 （七）违反财务管理规定，私分、挪用或者以其他方式非法处置本所资产的；　　 （八）聘用不具备执业资格的人员以基层法律服务工作者名义承办业务的；　　 （九）放纵、包庇本所基层法律服务工作者的违法违纪行为的；（十）内部管理混乱，导致无法正常开展业务的；　　 （十一）法律、法规、规章规定应予处罚的其他行为。</w:t>
            </w:r>
          </w:p>
        </w:tc>
        <w:tc>
          <w:tcPr>
            <w:tcW w:w="1215"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3721"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6</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对未取得基层法律服务所执业证书或者持已失效的执业证书开展基层法律服务的处罚</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《湖南省基层法律服务所条例》（湖南省第九届人大常委会第45号）第二十二条第一款、第二十三条、第二十五条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基层法律服务所条例》（湖南省第九届人大常委会第45号）第二十二条第一款：未取得基层法律服务所执业证书或者持已失效的执业证书开展基层法律服务的，责令停止执业，没收违法所得，可以并处违法所得一倍以上三倍以下的罚款。</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第二十三条  基层法律服务所违反本条例规定的，给予警告，有违法所得的，没收违法所得；情节严重的，责令限期停业整顿，逾期不整顿或者经整顿后仍不合格的，吊销执业证书。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第二十五条：本条例规定的给予警告、没收违法所得、罚款、停止执业、停业整顿的处罚，由县级以上人民政府司法行政部门决定。</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90" w:hRule="atLeast"/>
        </w:trPr>
        <w:tc>
          <w:tcPr>
            <w:tcW w:w="525" w:type="dxa"/>
            <w:tcBorders>
              <w:top w:val="nil"/>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7</w:t>
            </w:r>
          </w:p>
        </w:tc>
        <w:tc>
          <w:tcPr>
            <w:tcW w:w="1275"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对未取得基层法律服务工作者执业证书或者持已失效的执业证书，以基层法律服务工作者名义从事法律服务的处罚</w:t>
            </w:r>
          </w:p>
        </w:tc>
        <w:tc>
          <w:tcPr>
            <w:tcW w:w="615" w:type="dxa"/>
            <w:tcBorders>
              <w:top w:val="nil"/>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《湖南省基层法律服务所条例》（湖南省第九届人大常委会第46号）第二十二条第二款、第二十三条、第二十五条</w:t>
            </w:r>
          </w:p>
        </w:tc>
        <w:tc>
          <w:tcPr>
            <w:tcW w:w="9090"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基层法律服务所条例》（湖南省第九届人大常务委员会第十八次会议通过）第二十二条第二款：未取得基层法律服务工作者执业证书或者持已失效的执业证书，以基层法律服务工作者名义从事法律服务的，责令停止执业，没收违法所得，可以并处违法所得一倍以上五倍以下的罚款。</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第二十三条  基层法律服务所违反本条例规定的，给予警告，有违法所得的，没收违法所得；情节严重的，责令限期停业整顿，逾期不整顿或者经整顿后仍不合格的，吊销执业证书。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第二十五条：本条例规定的给予警告、没收违法所得、罚款、停止执业、停业整顿的处罚，由县级以上人民政府司法行政部门决定。</w:t>
            </w:r>
          </w:p>
        </w:tc>
        <w:tc>
          <w:tcPr>
            <w:tcW w:w="1215" w:type="dxa"/>
            <w:tcBorders>
              <w:top w:val="nil"/>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1688"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8</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基层法律服务工作者违规开展法律服务的处罚</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1.《湖南省基层法律服务所条例》（湖南省第九届人大常委会第45号）第十八条 、第十九条、 第二十四条 、第二十五条</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2.《基层法律服务工作者管理办法》（中华人民共和国司法部令第59号)第五十五条                           </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1.《湖南省基层法律服务所条例》（湖南省第九届人大常委会第45号）第十八条  基层法律服务工作者开展法律服务，不得有下列行为：（一）同时在两个或者两个以上基层法律服务所执业；（二）私自接受委托或者收取费用；（三）收受当事人的财物或者牟取其他不正当的利益；（四）在同一案件中为双方当事人担任代理人；（五）提供虚假证据或者威胁、利诱他人提供虚假证据；（六）干扰司法机关、行政机关或者仲裁机构依法行使职权；（七）向有关国家工作人员和仲裁人员行贿或者指使、诱导当事人行贿；（八）泄露当事人的商业秘密或者个人隐私；（九）泄露国家秘密；（十）法律、法规禁止的其他行为。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第十九条 基层法律服务工作者接受委托后，无正当理由的，不得拒绝为委托人办理法律事务。</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第二十四条  基层法律服务工作者违反本条例第十八条（一）、（二）、（三）、（四）、（六）、（八）项或者第十九条规定之一的，给予警告，有违法所得的，没收违法所得；情节严重的，给予停止执业三个月以上六个月以下的处罚。基层法律服务工作者违反本条例第十八条（五）、（七）、（九）项规定之一的，吊销执业证书。基层法律服务工作者违法执业，构成犯罪的，依法追究刑事责任。 基层法律服务工作者被决定劳动教养或者因故意犯罪受刑事处罚的，应当吊销其执业证书。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第二十五条：本条例规定的给予警告、没收违法所得、罚款、停止执业、停业整顿的处罚，由县级以上人民政府司法行政部门决定。</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2.《基层法律服务工作者管理办法》（中华人民共和国司法部令第59号)第五十五条  基层法律服务工作者有下列行为之一的，由所在地的县级司法行政机关予以警告；有违法所得的，按照法律、法规的规定没收违法所得，并由地级司法行政机关处以违法所得三倍以下的罚款，但罚款数额最高不得超过三万元：(一)以贬损他人、抬高自己、虚假承诺或者支付介绍费等不正当手段争揽业务的；(二)曾担任法官的基层法律服务工作者，在离任不满二年内担任原任职法院审理的诉讼案件的代理人的；(三)冒用律师名义执业的；(四)同时在基层法律服务所和律师事务所或者公证机构执业，或者同时在两个以上基层法律服务所执业的；(五)无正当理由拒绝履行法律援助义务的；(六)明知委托人的要求是非法的、欺诈性的，仍为其提供帮助的；(七)在代理活动中超越代理权限或者滥用代理权，侵犯被代理人合法利益的；(八)在同一诉讼、仲裁、行政裁决中，为双方当事人或者有利害关系的第三人代理的；(九)不遵守与当事人订立的委托合同，拒绝或者疏怠履行法律服务义务，损害委托人合法权益的；(十)在调解、代理、法律顾问等执业活动中压制、侮辱、报复当事人，造成恶劣影响的；(十一)故意泄露当事人的商业秘密或者个人隐私的；(十二)以影响案件审判、仲裁或者行政裁定结果为目的，违反规定会见有关司法、仲裁或者行政执法人员，或者向其请客送礼的；(十三)私自接受委托承办法律事务，或者私自收取费用，或者向委托人索要额外报酬的；(十四)在代理活动中收受对方当事人、利害关系人财物或者与其恶意串通，损害委托人合法权益的；(十五)违反司法、仲裁、行政执法工作有关制度规定，干扰或者阻碍司法、仲裁、行政执法工作正常进行的；(十六)泄露在执业中知悉的国家秘密的；(十七)伪造、隐匿、毁灭证据或者故意协助委托人伪造、隐匿、毁灭证据的；(十八)向有关司法人员、仲裁人员或者行政执法人员行贿，或者指使、诱导委托人向其行贿的；(十九)法律、法规、规章规定应予处罚的其他行为。司法行政机关对基层法律服务工作者实施上述行政处罚的同时，应当责令其改正。                                      </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3484"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9</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对没有取得律师执业证书的人员以律师名义从事法律服务业务的处罚</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行政处罚</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《律师法》第五十五条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《律师法》第五十五条  没有取得律师执业证书的人员以律师名义从事法律服务业务的，由所在地的县级以上地方人民政府司法行政部门责令停止非法执业，没收违法所得，处违法所得一倍以上五倍以下的罚款。　</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2250"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10</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行政给付</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1.《法律援助条例》（国务院令第385号）第十八条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2.《湖南省法律援助条例》（湖南省第十一届人民代表大会常务委员会第53号）第八条 、第九条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 xml:space="preserve">3.《湖南省法律援助条例》（湖南省第十一届人民代表大会常务委员会第53号）第十五条 </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1.《法律援助条例》（中华人民共和国国务院令第385号）第十八条 法律援助机构收到法律援助申请后，应当进行审查；认为申请人提交的证件、证明材料不齐全的，可以要求申请人作出必要的补充或者说明，申请人未按要求作出补充或者说明的，视为撤销申请；认为申请人提交的证件、证明材料需要查证的，由法律援助机构向有关机关、单位查证。 对符合法律援助条件的，法律援助机构应当及时决定提供法律援助；对不符合法律援助条件的，应当书面告知申请人理由。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2.《湖南省法律援助条例》（湖南省第十一届人民代表大会常务委员会第53号）第八条 公民对下列事项，因经济困难没有委托代理人的，可以向法律援助机构申请法律援助。本条例所称公民经济困难的标准，由省人民政府根据经济发展状况和法律援助事业的需要规定。</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第九条 刑事诉讼中有下列情形之一的，公民可以向法律援助机构申请法律援助：（一）犯罪嫌疑人在被侦查机关第一次讯问后或者采取强制措施之日起，因经济困难没有聘请律师的；（二）公诉案件中的被害人及其法定代理人或者近亲属，自案件移送审查起诉之日起，因经济困难没有委托诉讼代理人的；（三）自诉案件的自诉人及其法定代理人、被告人，自人民法院受理案件之日起，因经济困难没有委托诉讼代理人或者辩护人的。</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3.《湖南省法律援助条例》第十五条 法律援助机构应当在收到法律援助申请之日起五个工作日内进行审查，并作出是否援助的决定；决定援助的，应当在三个工作日内指派或者安排法律援助人员。法律援助人员接受指派后，其所在机构应当与受援人签订法律援助协议。法律援助机构对不符合法律援助条件、申请事项和请求或者相对人不明确、申请事项不属于人民法院或者其他机构受理范围、超过时效规定等情形，应当作出不予援助的决定，并向申请人说明理由。</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2022"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11</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对在法律援助工作中作出突出贡献的组织和个人奖励</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行政奖励</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《法律援助条例》（中华人民共和国国务院令第385号）第九条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《法律援助条例》（中华人民共和国国务院令第385号）第九条　对在法律援助工作中作出突出贡献的组织和个人，有关的人民政府、司法行政部门应当给予表彰、奖励。</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2545"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12</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区域内法制宣传教育工作的监督检查</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行政检查</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《湖南省法制宣传教育条例》（湖南省第十一届人大常委会第二十三次会议通过）（湖南省第十一届人大常委会公告第58号）第七条、第十八条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《湖南省法制宣传教育条例》（湖南省第十一届人大常委会第二十三次会议通过）（湖南省第十一届人大常委会公告第58号）第七条 县级以上人民政府司法行政部门主管本行政区域的法制宣传教育工作，协调、指导、检查考核本行政区域的法制宣传教育工作以及做好法制宣传教育的其他工作。</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第十八条：司法行政部门应当按照管理权限对各单位法制宣传教育规划和年度计划落实情况实行年度和阶段性评估考核。评估考核结果应当报告同级人民政府。</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2430"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13</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区域内基层法律服务所的监督检查</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行政检查</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1.《基层法律服务所管理办法》（中华人民共和国司法部令第59号)第四十七条</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2.《基层法律服务工作者管理办法》（中华人民共和国司法部令第59号)第五十九条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1.《基层法律服务所管理办法》（中华人民共和国司法部令第59号)第四十七条  司法行政机关应当建立对基层法律服务所的投诉监督制度，设立投诉电话、投诉信箱，受理当事人和其他公民对基层法律服务所及其从业人员的投诉。</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2.《基层法律服务工作者管理办法》（中华人民共和国司法部令第59号)第五十九条　司法行政机关应当建立对基层法律服务工作者执业的投诉监督制度，设立投诉电话、投诉信箱，受理当事人和其他公民对基层法律服务工作者违纪行为的投诉，并且应当将查处结果告知投诉人。</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1470"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14</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基层法律服务所的监督检查</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行政检查</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《律师事务所管理办法》（司法部令第125号）第四十条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《律师事务所管理办法》（司法部令第125号）第四十条　基层法律服务所的日常执业活动和内部管理工作，由住所地的县级司法行政机关和所在乡镇、街道司法所负责指导和监督。</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1485"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15</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对法律援助的监督</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行政检查</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《法律援助条例》（中华人民共和国国务院令第385号）第四条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《法律援助条例》（中华人民共和国国务院令第385号）第四条  国务院司法行政部门监督管理全国的法律援助工作。县级以上地方各级人民政府司法行政部门监督管理本行政区域的法律援助工作。</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1952"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16</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法律援助机构确定</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其他行政权力</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《法律援助条例》（中华人民共和国国务院令第385号）第五条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《法律援助条例》（中华人民共和国国务院令第385号）第五条直辖市、设区的市或者县级人民政府司法行政部门根据需要确定本行政区域的法律援助机构。  法律援助机构负责受理、审查法律援助申请，指派或者安排人员为符合本条例规定的公民提供法律援助。  对符合法律援助条件的，法律援助机构应当及时决定提供法律援助；对不符合法律援助条件的，应当书面告知申请人理由。</w:t>
            </w:r>
            <w:r>
              <w:rPr>
                <w:rFonts w:hint="eastAsia" w:ascii="宋体" w:hAnsi="宋体" w:eastAsia="宋体" w:cs="宋体"/>
                <w:color w:val="000000"/>
                <w:sz w:val="24"/>
                <w:szCs w:val="24"/>
              </w:rPr>
              <w:br w:type="textWrapping"/>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3322"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17</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对法律援助机构作出不予援助决定的审查</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其他行政权力</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1、《法律援助条例》（中华人民共和国国务院令第385号）第十九条</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 《湖南省法律援助条例》（湖南省第十一届人民代表大会常务委员会第53号）第十五条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1、《法律援助条例》（中华人民共和国国务院令第385号）第十九条 申请人对法律援助机构作出的不符合法律援助条件的通知有异议的，可以向确定该法律援助机构的司法行政部门提出，司法行政部门应当在收到异议之日起５个工作日内进行审查，经审查认为申请人符合法律援助条件的，应当以书面形式责令法律援助机构及时对该申请人提供法律援助。</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2、 《湖南省法律援助条例》（湖南省第十一届人民代表大会常务委员会第53号）第十五条：法律援助机构对不符合法律援助条件、申请事项和请求或者相对人不明确、申请事项不属于人民法院或者其他机构受理范围、超过时效规定等情形，应当作出不予援助的决定，并向申请人说明理由。</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申请人对法律援助机构作出不予援助的决定有异议的，可以向同级司法行政部门申请重新审查，司法行政部门应当在收到申请之日起五个工作日内作出决定，并书面通知申请人。</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r>
        <w:tblPrEx>
          <w:tblCellMar>
            <w:top w:w="0" w:type="dxa"/>
            <w:left w:w="108" w:type="dxa"/>
            <w:bottom w:w="0" w:type="dxa"/>
            <w:right w:w="108" w:type="dxa"/>
          </w:tblCellMar>
        </w:tblPrEx>
        <w:trPr>
          <w:trHeight w:val="3380" w:hRule="atLeast"/>
        </w:trPr>
        <w:tc>
          <w:tcPr>
            <w:tcW w:w="525"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eastAsia="宋体" w:cs="Tahoma"/>
                <w:sz w:val="24"/>
                <w:szCs w:val="24"/>
              </w:rPr>
            </w:pPr>
            <w:r>
              <w:rPr>
                <w:rFonts w:hint="eastAsia" w:ascii="宋体" w:hAnsi="宋体" w:eastAsia="宋体" w:cs="宋体"/>
                <w:color w:val="000000"/>
                <w:sz w:val="24"/>
                <w:szCs w:val="24"/>
              </w:rPr>
              <w:t>18</w:t>
            </w:r>
          </w:p>
        </w:tc>
        <w:tc>
          <w:tcPr>
            <w:tcW w:w="127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指导对本行政区域人民调解工作</w:t>
            </w:r>
          </w:p>
        </w:tc>
        <w:tc>
          <w:tcPr>
            <w:tcW w:w="6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18"/>
                <w:szCs w:val="18"/>
              </w:rPr>
            </w:pPr>
            <w:r>
              <w:rPr>
                <w:rFonts w:hint="eastAsia" w:ascii="宋体" w:hAnsi="宋体" w:eastAsia="宋体" w:cs="宋体"/>
                <w:color w:val="000000"/>
                <w:sz w:val="24"/>
                <w:szCs w:val="24"/>
              </w:rPr>
              <w:t>其他行政权力</w:t>
            </w:r>
          </w:p>
        </w:tc>
        <w:tc>
          <w:tcPr>
            <w:tcW w:w="21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 《中华人民共和国人民调解法》（主席令第三十四号）（第十一届全国人民代表大会常务委员会第十六次会议通过）第五条、第十四条</w:t>
            </w:r>
          </w:p>
        </w:tc>
        <w:tc>
          <w:tcPr>
            <w:tcW w:w="9090"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 xml:space="preserve"> 《中华人民共和国人民调解法》（主席令第三十四号）（第十一届全国人民代表大会常务委员会第十六次会议通过）第五条：国务院司法行政部门负责指导全国的人民调解工作，县级以上地方人民政府司法行政部门负责指导本行政区域的人民调解工作。</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第十四条：县级人民政府司法行政部门应当定期对人民调解员进行业务培训。</w:t>
            </w:r>
          </w:p>
        </w:tc>
        <w:tc>
          <w:tcPr>
            <w:tcW w:w="1215" w:type="dxa"/>
            <w:tcBorders>
              <w:top w:val="single" w:color="auto" w:sz="4" w:space="0"/>
              <w:left w:val="nil"/>
              <w:bottom w:val="single" w:color="auto" w:sz="4" w:space="0"/>
              <w:right w:val="single" w:color="auto" w:sz="4" w:space="0"/>
            </w:tcBorders>
            <w:vAlign w:val="center"/>
          </w:tcPr>
          <w:p>
            <w:pPr>
              <w:textAlignment w:val="center"/>
              <w:rPr>
                <w:rFonts w:ascii="宋体" w:hAnsi="宋体" w:eastAsia="宋体" w:cs="Tahoma"/>
                <w:sz w:val="20"/>
                <w:szCs w:val="20"/>
              </w:rPr>
            </w:pPr>
            <w:r>
              <w:rPr>
                <w:rFonts w:hint="eastAsia" w:ascii="宋体" w:hAnsi="宋体" w:eastAsia="宋体" w:cs="宋体"/>
                <w:color w:val="000000"/>
                <w:sz w:val="24"/>
                <w:szCs w:val="24"/>
              </w:rPr>
              <w:t>市司法局</w:t>
            </w:r>
          </w:p>
        </w:tc>
      </w:tr>
    </w:tbl>
    <w:p>
      <w:pPr>
        <w:spacing w:line="220" w:lineRule="atLeast"/>
      </w:pPr>
    </w:p>
    <w:sectPr>
      <w:pgSz w:w="16838" w:h="11906" w:orient="landscape"/>
      <w:pgMar w:top="1440" w:right="896" w:bottom="1440" w:left="896" w:header="708" w:footer="709"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footnotePr>
    <w:footnote w:id="0"/>
    <w:footnote w:id="1"/>
  </w:footnotePr>
  <w:compat>
    <w:spaceForUL/>
    <w:doNotLeaveBackslashAlone/>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152F1"/>
    <w:rsid w:val="00015A7A"/>
    <w:rsid w:val="000F0712"/>
    <w:rsid w:val="00117D76"/>
    <w:rsid w:val="00211ABB"/>
    <w:rsid w:val="00323B43"/>
    <w:rsid w:val="003D37D8"/>
    <w:rsid w:val="00426133"/>
    <w:rsid w:val="004358AB"/>
    <w:rsid w:val="008B7726"/>
    <w:rsid w:val="00983064"/>
    <w:rsid w:val="00A53932"/>
    <w:rsid w:val="00BA36AA"/>
    <w:rsid w:val="00D31D50"/>
    <w:rsid w:val="00F95840"/>
    <w:rsid w:val="01DB7918"/>
    <w:rsid w:val="090F576C"/>
    <w:rsid w:val="0C3E4FDA"/>
    <w:rsid w:val="18B277EA"/>
    <w:rsid w:val="1DCA77EF"/>
    <w:rsid w:val="23C50DBF"/>
    <w:rsid w:val="2F9E609F"/>
    <w:rsid w:val="33540C46"/>
    <w:rsid w:val="35610744"/>
    <w:rsid w:val="437429E0"/>
    <w:rsid w:val="52BE0E38"/>
    <w:rsid w:val="59114FB0"/>
    <w:rsid w:val="5C580924"/>
    <w:rsid w:val="5ECA2293"/>
    <w:rsid w:val="6923630A"/>
    <w:rsid w:val="69FF662F"/>
    <w:rsid w:val="7D6430B2"/>
    <w:rsid w:val="7E8C5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
    <w:name w:val="Hyperlink"/>
    <w:basedOn w:val="4"/>
    <w:unhideWhenUsed/>
    <w:qFormat/>
    <w:uiPriority w:val="0"/>
    <w:rPr>
      <w:color w:val="0000FF"/>
      <w:u w:val="single"/>
    </w:rPr>
  </w:style>
  <w:style w:type="paragraph" w:customStyle="1" w:styleId="6">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1211</Words>
  <Characters>6908</Characters>
  <Lines>57</Lines>
  <Paragraphs>16</Paragraphs>
  <TotalTime>1</TotalTime>
  <ScaleCrop>false</ScaleCrop>
  <LinksUpToDate>false</LinksUpToDate>
  <CharactersWithSpaces>8103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2016-11-24T03:38:00Z</dcterms:created>
  <dc:creator>Administrator</dc:creator>
  <cp:lastModifiedBy>jdbgs</cp:lastModifiedBy>
  <cp:lastPrinted>2016-10-18T03:08:00Z</cp:lastPrinted>
  <dcterms:modified xsi:type="dcterms:W3CDTF">2021-11-22T09:07:42Z</dcterms:modified>
  <dc:title>湘乡市统计局 部门行政权力清单</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FCAFB660385E4093A833A770C7784752</vt:lpwstr>
  </property>
</Properties>
</file>