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center"/>
        <w:rPr>
          <w:rFonts w:hint="eastAsia" w:ascii="黑体" w:hAnsi="黑体" w:eastAsia="黑体" w:cs="黑体"/>
          <w:kern w:val="0"/>
          <w:sz w:val="44"/>
          <w:szCs w:val="44"/>
        </w:rPr>
      </w:pPr>
      <w:r>
        <w:rPr>
          <w:rFonts w:hint="eastAsia" w:ascii="Arial" w:hAnsi="Arial" w:eastAsia="黑体" w:cs="Arial"/>
          <w:b w:val="0"/>
          <w:bCs w:val="0"/>
          <w:kern w:val="0"/>
          <w:sz w:val="44"/>
          <w:szCs w:val="44"/>
          <w:lang w:val="en-US" w:eastAsia="zh-CN"/>
        </w:rPr>
        <w:t>2022</w:t>
      </w:r>
      <w:r>
        <w:rPr>
          <w:rFonts w:hint="eastAsia" w:ascii="黑体" w:hAnsi="黑体" w:eastAsia="黑体" w:cs="黑体"/>
          <w:kern w:val="0"/>
          <w:sz w:val="44"/>
          <w:szCs w:val="44"/>
        </w:rPr>
        <w:t>年水府旅游区管理委员</w:t>
      </w:r>
      <w:r>
        <w:rPr>
          <w:rFonts w:hint="eastAsia" w:ascii="黑体" w:hAnsi="黑体" w:eastAsia="黑体" w:cs="黑体"/>
          <w:kern w:val="0"/>
          <w:sz w:val="44"/>
          <w:szCs w:val="44"/>
          <w:lang w:val="en-US" w:eastAsia="zh-CN"/>
        </w:rPr>
        <w:t>会</w:t>
      </w:r>
      <w:r>
        <w:rPr>
          <w:rFonts w:hint="eastAsia" w:ascii="黑体" w:hAnsi="黑体" w:eastAsia="黑体" w:cs="黑体"/>
          <w:kern w:val="0"/>
          <w:sz w:val="44"/>
          <w:szCs w:val="44"/>
        </w:rPr>
        <w:t>部门预算</w:t>
      </w:r>
    </w:p>
    <w:p>
      <w:pPr>
        <w:widowControl/>
        <w:spacing w:line="600" w:lineRule="exact"/>
        <w:jc w:val="center"/>
        <w:rPr>
          <w:rFonts w:hint="eastAsia" w:ascii="黑体" w:hAnsi="黑体" w:eastAsia="黑体" w:cs="黑体"/>
          <w:kern w:val="0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kern w:val="0"/>
          <w:sz w:val="44"/>
          <w:szCs w:val="44"/>
        </w:rPr>
        <w:t>公开</w:t>
      </w:r>
      <w:r>
        <w:rPr>
          <w:rFonts w:hint="eastAsia" w:ascii="黑体" w:hAnsi="黑体" w:eastAsia="黑体" w:cs="黑体"/>
          <w:kern w:val="0"/>
          <w:sz w:val="44"/>
          <w:szCs w:val="44"/>
          <w:lang w:eastAsia="zh-CN"/>
        </w:rPr>
        <w:t>说明</w:t>
      </w:r>
    </w:p>
    <w:p>
      <w:pPr>
        <w:widowControl/>
        <w:spacing w:line="600" w:lineRule="exact"/>
        <w:jc w:val="center"/>
        <w:rPr>
          <w:rFonts w:hint="eastAsia" w:ascii="黑体" w:hAnsi="黑体" w:eastAsia="黑体" w:cs="黑体"/>
          <w:kern w:val="0"/>
          <w:sz w:val="44"/>
          <w:szCs w:val="44"/>
        </w:rPr>
      </w:pPr>
    </w:p>
    <w:p>
      <w:pPr>
        <w:jc w:val="center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z w:val="44"/>
          <w:szCs w:val="44"/>
        </w:rPr>
        <w:t>目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 xml:space="preserve">  </w:t>
      </w:r>
      <w:r>
        <w:rPr>
          <w:rFonts w:ascii="宋体" w:hAnsi="宋体" w:eastAsia="宋体" w:cs="宋体"/>
          <w:b/>
          <w:bCs/>
          <w:sz w:val="44"/>
          <w:szCs w:val="44"/>
        </w:rPr>
        <w:t>录</w:t>
      </w:r>
      <w:r>
        <w:rPr>
          <w:rFonts w:ascii="宋体" w:hAnsi="宋体" w:eastAsia="宋体" w:cs="宋体"/>
          <w:b/>
          <w:bCs/>
          <w:sz w:val="44"/>
          <w:szCs w:val="44"/>
        </w:rPr>
        <w:br w:type="textWrapping"/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2022</w:t>
      </w:r>
      <w:r>
        <w:rPr>
          <w:rFonts w:ascii="宋体" w:hAnsi="宋体" w:eastAsia="宋体" w:cs="宋体"/>
          <w:b/>
          <w:bCs/>
          <w:sz w:val="32"/>
          <w:szCs w:val="32"/>
        </w:rPr>
        <w:t>年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度</w:t>
      </w:r>
      <w:r>
        <w:rPr>
          <w:rFonts w:ascii="宋体" w:hAnsi="宋体" w:eastAsia="宋体" w:cs="宋体"/>
          <w:b/>
          <w:bCs/>
          <w:sz w:val="32"/>
          <w:szCs w:val="32"/>
        </w:rPr>
        <w:t>部门预算说明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  <w:t>部门基本概况</w:t>
      </w:r>
      <w:bookmarkStart w:id="0" w:name="_GoBack"/>
      <w:bookmarkEnd w:id="0"/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  <w:t>部门预算单位构成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  <w:t>部门收支总体情况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  <w:t>一般公共预算拨款支出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  <w:t>政府性基金预算支出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  <w:t>其他重要事项的情况说明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  <w:t>名词解释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ascii="宋体" w:hAnsi="宋体" w:eastAsia="宋体" w:cs="宋体"/>
          <w:b/>
          <w:bCs/>
          <w:sz w:val="32"/>
          <w:szCs w:val="32"/>
        </w:rPr>
        <w:t xml:space="preserve">第二部分 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2022</w:t>
      </w:r>
      <w:r>
        <w:rPr>
          <w:rFonts w:ascii="宋体" w:hAnsi="宋体" w:eastAsia="宋体" w:cs="宋体"/>
          <w:b/>
          <w:bCs/>
          <w:sz w:val="32"/>
          <w:szCs w:val="32"/>
        </w:rPr>
        <w:t>年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度</w:t>
      </w:r>
      <w:r>
        <w:rPr>
          <w:rFonts w:ascii="宋体" w:hAnsi="宋体" w:eastAsia="宋体" w:cs="宋体"/>
          <w:b/>
          <w:bCs/>
          <w:sz w:val="32"/>
          <w:szCs w:val="32"/>
        </w:rPr>
        <w:t>部门预算表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</w:t>
      </w:r>
      <w:r>
        <w:rPr>
          <w:rFonts w:ascii="宋体" w:hAnsi="宋体" w:eastAsia="宋体" w:cs="宋体"/>
          <w:sz w:val="32"/>
          <w:szCs w:val="32"/>
        </w:rPr>
        <w:t>、</w:t>
      </w:r>
      <w:r>
        <w:rPr>
          <w:rFonts w:hint="eastAsia" w:ascii="宋体" w:hAnsi="宋体" w:cs="宋体"/>
          <w:sz w:val="32"/>
          <w:szCs w:val="32"/>
          <w:lang w:eastAsia="zh-CN"/>
        </w:rPr>
        <w:t>部门预算基本情况表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cs="宋体"/>
          <w:sz w:val="32"/>
          <w:szCs w:val="32"/>
          <w:lang w:eastAsia="zh-CN"/>
        </w:rPr>
        <w:t>、部门预算基本数据表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3、部门收支预算总表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4、部门收入预算总表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5、部门支出预算总表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6、财政拨款收支预算总表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7、一般公共预算支出表（功能分类）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8、一般公共预算支出表（政府预算支出经济分类）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9、一般公共预算支出表（部门预算支出经济分类）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10、部门政府性基金预算支出表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11、公共财政拨款“三公”经费及会议费预算表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12、项目支出明细表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13、政府采购预算表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14、非税收入表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15、非税收入安排的支出表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16、政府采购服务预算表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17、部门整体支出绩效目标申报表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18、项目支出绩效目标申报表</w:t>
      </w:r>
    </w:p>
    <w:p>
      <w:pPr>
        <w:widowControl/>
        <w:spacing w:line="600" w:lineRule="exact"/>
        <w:rPr>
          <w:rFonts w:eastAsia="仿宋_GB2312"/>
          <w:b/>
          <w:bCs w:val="0"/>
          <w:kern w:val="0"/>
          <w:sz w:val="32"/>
          <w:szCs w:val="32"/>
        </w:rPr>
      </w:pPr>
      <w:r>
        <w:rPr>
          <w:rFonts w:eastAsia="仿宋_GB2312"/>
          <w:b/>
          <w:bCs w:val="0"/>
          <w:kern w:val="0"/>
          <w:sz w:val="32"/>
          <w:szCs w:val="32"/>
        </w:rPr>
        <w:t>注：以上部门预算报表中，空表表示本部门无相关收支情况。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方正小标宋_GBK"/>
          <w:bCs/>
          <w:kern w:val="0"/>
          <w:sz w:val="36"/>
          <w:szCs w:val="36"/>
        </w:rPr>
      </w:pPr>
      <w:r>
        <w:rPr>
          <w:rFonts w:eastAsia="方正小标宋_GBK"/>
          <w:bCs/>
          <w:kern w:val="0"/>
          <w:sz w:val="36"/>
          <w:szCs w:val="36"/>
        </w:rPr>
        <w:t>第一部分 部门预算说明</w:t>
      </w:r>
    </w:p>
    <w:p>
      <w:pPr>
        <w:widowControl/>
        <w:numPr>
          <w:ilvl w:val="0"/>
          <w:numId w:val="0"/>
        </w:numPr>
        <w:spacing w:line="600" w:lineRule="exact"/>
        <w:jc w:val="left"/>
        <w:rPr>
          <w:rFonts w:eastAsia="黑体"/>
          <w:bCs/>
          <w:kern w:val="0"/>
          <w:sz w:val="32"/>
          <w:szCs w:val="32"/>
        </w:rPr>
      </w:pPr>
    </w:p>
    <w:p>
      <w:pPr>
        <w:widowControl/>
        <w:numPr>
          <w:ilvl w:val="0"/>
          <w:numId w:val="0"/>
        </w:numPr>
        <w:spacing w:line="600" w:lineRule="exact"/>
        <w:jc w:val="left"/>
        <w:rPr>
          <w:rFonts w:eastAsia="黑体"/>
          <w:bCs/>
          <w:kern w:val="0"/>
          <w:sz w:val="32"/>
          <w:szCs w:val="32"/>
        </w:rPr>
      </w:pPr>
      <w:r>
        <w:rPr>
          <w:rFonts w:hint="eastAsia" w:eastAsia="黑体"/>
          <w:bCs/>
          <w:kern w:val="0"/>
          <w:sz w:val="32"/>
          <w:szCs w:val="32"/>
          <w:lang w:eastAsia="zh-CN"/>
        </w:rPr>
        <w:t>一、</w:t>
      </w:r>
      <w:r>
        <w:rPr>
          <w:rFonts w:eastAsia="黑体"/>
          <w:bCs/>
          <w:kern w:val="0"/>
          <w:sz w:val="32"/>
          <w:szCs w:val="32"/>
        </w:rPr>
        <w:t>部门基本概况</w:t>
      </w:r>
    </w:p>
    <w:p>
      <w:pPr>
        <w:widowControl/>
        <w:numPr>
          <w:ilvl w:val="0"/>
          <w:numId w:val="0"/>
        </w:numPr>
        <w:spacing w:line="600" w:lineRule="exact"/>
        <w:ind w:firstLine="320" w:firstLineChars="100"/>
        <w:jc w:val="left"/>
        <w:rPr>
          <w:rFonts w:hint="eastAsia" w:ascii="仿宋_GB2312" w:hAnsi="仿宋_GB2312" w:eastAsia="仿宋_GB2312" w:cs="仿宋_GB2312"/>
          <w:color w:val="FF0000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（一）职能职责。</w:t>
      </w:r>
    </w:p>
    <w:p>
      <w:pPr>
        <w:widowControl/>
        <w:spacing w:line="600" w:lineRule="exact"/>
        <w:ind w:firstLine="480" w:firstLineChars="15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cs="宋体"/>
          <w:sz w:val="32"/>
          <w:szCs w:val="32"/>
        </w:rPr>
        <w:t>负责水府旅游区的统一管理、统一规划设计、统一开发建设、统一收费管理、承办相关服务工作。</w:t>
      </w:r>
    </w:p>
    <w:p>
      <w:pPr>
        <w:widowControl/>
        <w:spacing w:line="600" w:lineRule="exact"/>
        <w:ind w:firstLine="320" w:firstLineChars="1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（二）机构设置。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本单位在职人员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sz w:val="32"/>
          <w:szCs w:val="32"/>
        </w:rPr>
        <w:t>人，离退休人员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人。有公车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辆。本单位拥有国有资产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318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</w:t>
      </w:r>
      <w:r>
        <w:rPr>
          <w:rFonts w:hint="eastAsia" w:cs="宋体"/>
          <w:sz w:val="32"/>
          <w:szCs w:val="32"/>
        </w:rPr>
        <w:t>其中办公楼</w:t>
      </w:r>
      <w:r>
        <w:rPr>
          <w:rFonts w:hint="eastAsia"/>
          <w:sz w:val="32"/>
          <w:szCs w:val="32"/>
        </w:rPr>
        <w:t>1</w:t>
      </w:r>
      <w:r>
        <w:rPr>
          <w:rFonts w:hint="eastAsia" w:cs="宋体"/>
          <w:sz w:val="32"/>
          <w:szCs w:val="32"/>
        </w:rPr>
        <w:t>栋</w:t>
      </w:r>
      <w:r>
        <w:rPr>
          <w:rFonts w:hint="eastAsia" w:eastAsiaTheme="minorEastAsia"/>
          <w:sz w:val="32"/>
          <w:szCs w:val="32"/>
        </w:rPr>
        <w:t>927.69</w:t>
      </w:r>
      <w:r>
        <w:rPr>
          <w:rFonts w:hint="eastAsia" w:cs="宋体"/>
          <w:sz w:val="32"/>
          <w:szCs w:val="32"/>
        </w:rPr>
        <w:t>平方米。</w:t>
      </w:r>
    </w:p>
    <w:p>
      <w:pPr>
        <w:widowControl/>
        <w:spacing w:line="600" w:lineRule="exact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eastAsia="黑体"/>
          <w:bCs/>
          <w:kern w:val="0"/>
          <w:sz w:val="32"/>
          <w:szCs w:val="32"/>
          <w:lang w:eastAsia="zh-CN"/>
        </w:rPr>
        <w:t>二、</w:t>
      </w:r>
      <w:r>
        <w:rPr>
          <w:rFonts w:eastAsia="黑体"/>
          <w:kern w:val="0"/>
          <w:sz w:val="32"/>
          <w:szCs w:val="32"/>
        </w:rPr>
        <w:t>部门预算单位构成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水府旅游区管委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会</w:t>
      </w:r>
      <w:r>
        <w:rPr>
          <w:rFonts w:hint="eastAsia" w:ascii="仿宋_GB2312" w:hAnsi="仿宋_GB2312" w:eastAsia="仿宋_GB2312" w:cs="仿宋_GB2312"/>
          <w:sz w:val="32"/>
          <w:szCs w:val="32"/>
        </w:rPr>
        <w:t>部门只有本级，没有其他预算单位，因此本部门预算仅含本级预算。</w:t>
      </w:r>
    </w:p>
    <w:p>
      <w:pPr>
        <w:widowControl/>
        <w:numPr>
          <w:ilvl w:val="0"/>
          <w:numId w:val="3"/>
        </w:numPr>
        <w:spacing w:line="600" w:lineRule="exact"/>
        <w:jc w:val="left"/>
        <w:rPr>
          <w:rFonts w:hint="eastAsia" w:eastAsia="黑体"/>
          <w:bCs/>
          <w:kern w:val="0"/>
          <w:sz w:val="32"/>
          <w:szCs w:val="32"/>
          <w:lang w:eastAsia="zh-CN"/>
        </w:rPr>
      </w:pPr>
      <w:r>
        <w:rPr>
          <w:rFonts w:eastAsia="黑体"/>
          <w:bCs/>
          <w:kern w:val="0"/>
          <w:sz w:val="32"/>
          <w:szCs w:val="32"/>
        </w:rPr>
        <w:t>部门收支</w:t>
      </w:r>
      <w:r>
        <w:rPr>
          <w:rFonts w:hint="eastAsia" w:eastAsia="黑体"/>
          <w:bCs/>
          <w:kern w:val="0"/>
          <w:sz w:val="32"/>
          <w:szCs w:val="32"/>
          <w:lang w:eastAsia="zh-CN"/>
        </w:rPr>
        <w:t>预算</w:t>
      </w:r>
      <w:r>
        <w:rPr>
          <w:rFonts w:eastAsia="黑体"/>
          <w:bCs/>
          <w:kern w:val="0"/>
          <w:sz w:val="32"/>
          <w:szCs w:val="32"/>
        </w:rPr>
        <w:t>总体情况</w:t>
      </w:r>
      <w:r>
        <w:rPr>
          <w:rFonts w:hint="eastAsia" w:eastAsia="黑体"/>
          <w:bCs/>
          <w:kern w:val="0"/>
          <w:sz w:val="32"/>
          <w:szCs w:val="32"/>
          <w:lang w:eastAsia="zh-CN"/>
        </w:rPr>
        <w:t>说明</w:t>
      </w:r>
    </w:p>
    <w:p>
      <w:pPr>
        <w:widowControl/>
        <w:spacing w:line="600" w:lineRule="exact"/>
        <w:ind w:firstLine="643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（一）收入预算</w:t>
      </w:r>
      <w:r>
        <w:rPr>
          <w:rFonts w:hint="eastAsia" w:ascii="仿宋_GB2312" w:hAnsi="仿宋_GB2312" w:eastAsia="仿宋_GB2312" w:cs="仿宋_GB2312"/>
          <w:sz w:val="32"/>
          <w:szCs w:val="32"/>
        </w:rPr>
        <w:t>：包括一般公共预算、政府性基金、国有资本经营预算等财政拨款收入，以及经营收入、事业收入等单位资金。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年本部门收入预算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519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万元，其中，一般公共预算拨款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519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万元，政府性基金预算拨款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万元，国有资本经营预算拨款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万元，纳入专户管理的非税收入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万元。收入较去年增加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万元，主要是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新增在职人员1人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widowControl/>
        <w:spacing w:line="600" w:lineRule="exact"/>
        <w:ind w:firstLine="643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（二）支出预算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年本部门支出预算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519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万元，其中，一般公共服务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465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万元，社会保障和就业支出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万元，卫生健康支出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万元，住房保障支出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  <w:r>
        <w:rPr>
          <w:rFonts w:hint="eastAsia" w:ascii="仿宋_GB2312" w:hAnsi="仿宋_GB2312" w:eastAsia="仿宋_GB2312" w:cs="仿宋_GB2312"/>
          <w:sz w:val="32"/>
          <w:szCs w:val="32"/>
        </w:rPr>
        <w:t>支出较去年增加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万元，主要是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新增在职人员1人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widowControl/>
        <w:spacing w:line="600" w:lineRule="exact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四、一般公共预算拨款支出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2022</w:t>
      </w:r>
      <w:r>
        <w:rPr>
          <w:rFonts w:eastAsia="仿宋_GB2312"/>
          <w:sz w:val="32"/>
          <w:szCs w:val="32"/>
        </w:rPr>
        <w:t>年本部门一般公共预算拨款支出预算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>519</w:t>
      </w:r>
      <w:r>
        <w:rPr>
          <w:rFonts w:eastAsia="仿宋_GB2312"/>
          <w:sz w:val="32"/>
          <w:szCs w:val="32"/>
        </w:rPr>
        <w:t>万元，具体安排情况如下：</w:t>
      </w:r>
    </w:p>
    <w:p>
      <w:pPr>
        <w:widowControl/>
        <w:spacing w:line="600" w:lineRule="exact"/>
        <w:ind w:firstLine="66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（一）基本支出：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年本部门基本支出预算数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285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万元，主要是为保障部门正常运转、完成日常工作任务而发生的各项支出，包括用于基本工资、津贴补贴等人员经费以及办公费、印刷费、水电费、办公设备购置等公用经费。</w:t>
      </w:r>
    </w:p>
    <w:p>
      <w:pPr>
        <w:widowControl/>
        <w:spacing w:line="600" w:lineRule="exact"/>
        <w:ind w:firstLine="66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（二）项目支出：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年本部门项目支出预算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234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万元，主要是部门为完成特定行政</w:t>
      </w:r>
      <w:r>
        <w:rPr>
          <w:rFonts w:eastAsia="仿宋_GB2312"/>
          <w:sz w:val="32"/>
          <w:szCs w:val="32"/>
        </w:rPr>
        <w:t>工作任务或事业发展目标而发生的支出，包括有关事业发展专项、专项业务费、基本建设支出等，其</w:t>
      </w:r>
      <w:r>
        <w:rPr>
          <w:rFonts w:hint="eastAsia" w:ascii="仿宋_GB2312" w:hAnsi="仿宋_GB2312" w:eastAsia="仿宋_GB2312" w:cs="仿宋_GB2312"/>
          <w:sz w:val="32"/>
          <w:szCs w:val="32"/>
        </w:rPr>
        <w:t>中：安全生产支出38.5万元，水府旅游区内的安全生产由水府管委会负责，水府庙水库水域广，水上安全压力巨大。据往年经费使用情况依实测算，需要38.5万元；招商引资支出29万元，主要用于来市考察投资的商务接待等费用；旅游宣传及推广29万元，主要用于进一步加大水府旅游营销力度，提升旅游形象；湿地保护及宣教29万元，主要用于水府自然保护区保护及宣教等费用；旅游产业及旅游企业培育奖扶29万，主要用于加强渔民上岸后的帮扶，对符合法律法规要求，发展种养殖业和名优特农产品加工业并达到一定规模的，给予相应奖励；旅游管理培训25万元；主汛期水上垃圾打捞29.5万元，主要用于打捞每年汛期水库流域遭遇持续暴雨袭击后，来自水库上游流域和岸线的飘浮垃圾劳务费用；溪口渔场运行经费25万元，[2019]年41号中共湘乡市委常委议事协调会议纪要明确：“溪口渔场按每年25万元进行财政补贴”。</w:t>
      </w:r>
    </w:p>
    <w:p>
      <w:pPr>
        <w:widowControl/>
        <w:spacing w:line="600" w:lineRule="exact"/>
        <w:ind w:firstLine="660"/>
        <w:jc w:val="left"/>
        <w:rPr>
          <w:rFonts w:eastAsia="仿宋_GB2312"/>
          <w:sz w:val="32"/>
          <w:szCs w:val="32"/>
        </w:rPr>
      </w:pPr>
    </w:p>
    <w:p>
      <w:pPr>
        <w:widowControl/>
        <w:spacing w:line="600" w:lineRule="exact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五、政府性基金预算支出</w:t>
      </w:r>
    </w:p>
    <w:p>
      <w:pPr>
        <w:widowControl/>
        <w:spacing w:line="600" w:lineRule="exact"/>
        <w:ind w:firstLine="320" w:firstLineChars="100"/>
        <w:rPr>
          <w:rFonts w:hint="eastAsia" w:eastAsia="仿宋_GB2312"/>
          <w:b w:val="0"/>
          <w:bCs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2022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b w:val="0"/>
          <w:bCs/>
          <w:sz w:val="32"/>
          <w:szCs w:val="32"/>
        </w:rPr>
        <w:t>本部门无政府性基金安排的支出</w:t>
      </w:r>
      <w:r>
        <w:rPr>
          <w:rFonts w:hint="eastAsia" w:eastAsia="仿宋_GB2312"/>
          <w:b w:val="0"/>
          <w:bCs/>
          <w:sz w:val="32"/>
          <w:szCs w:val="32"/>
          <w:lang w:eastAsia="zh-CN"/>
        </w:rPr>
        <w:t>。</w:t>
      </w:r>
    </w:p>
    <w:p>
      <w:pPr>
        <w:widowControl/>
        <w:spacing w:line="600" w:lineRule="exact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六、其他重要事项的情况说明</w:t>
      </w:r>
    </w:p>
    <w:p>
      <w:pPr>
        <w:widowControl/>
        <w:spacing w:line="600" w:lineRule="exact"/>
        <w:ind w:firstLine="66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（一）机关运行经费：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年本部门机关行政事业单位的机关运行经费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53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万元，比上年预算增加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万元，主要是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新增在职人员1人。</w:t>
      </w:r>
    </w:p>
    <w:p>
      <w:pPr>
        <w:widowControl/>
        <w:spacing w:line="600" w:lineRule="exact"/>
        <w:ind w:firstLine="66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（二）“三公”经费预算：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年本部门机关行政事业单位“三公”经费预算数为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11.8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万元，其中，公务接待费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万元，公务用车购置及运行费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4.8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万元（其中，公务用车购置费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万元，公务用车运行费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万元），因公出国（境）费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年“三公”经费预算较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上</w:t>
      </w:r>
      <w:r>
        <w:rPr>
          <w:rFonts w:hint="eastAsia" w:ascii="仿宋_GB2312" w:hAnsi="仿宋_GB2312" w:eastAsia="仿宋_GB2312" w:cs="仿宋_GB2312"/>
          <w:sz w:val="32"/>
          <w:szCs w:val="32"/>
        </w:rPr>
        <w:t>年减少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万元，主要是主要是招商引资公务接待费大幅压缩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widowControl/>
        <w:spacing w:line="600" w:lineRule="exact"/>
        <w:ind w:firstLine="66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（三）一般性支出情况：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年本部门会议费预算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万元，拟召开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会议；培训费预算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万元，拟开展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培训，人数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人；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无计划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举办节庆、晚会、论坛、赛事活动，经费预算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万元。</w:t>
      </w:r>
    </w:p>
    <w:p>
      <w:pPr>
        <w:widowControl/>
        <w:spacing w:line="600" w:lineRule="exact"/>
        <w:ind w:firstLine="6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（四）政府采购情况：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年本部门政府采购预算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万元，其中，货物类采购预算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万元；工程类采购预算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万元；服务类采购预算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</w:p>
    <w:p>
      <w:pPr>
        <w:widowControl/>
        <w:numPr>
          <w:ilvl w:val="0"/>
          <w:numId w:val="4"/>
        </w:numPr>
        <w:spacing w:line="600" w:lineRule="exact"/>
        <w:ind w:firstLine="66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政府购买服务情况说明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年本部门政府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购买服务</w:t>
      </w:r>
      <w:r>
        <w:rPr>
          <w:rFonts w:hint="eastAsia" w:ascii="仿宋_GB2312" w:hAnsi="仿宋_GB2312" w:eastAsia="仿宋_GB2312" w:cs="仿宋_GB2312"/>
          <w:sz w:val="32"/>
          <w:szCs w:val="32"/>
        </w:rPr>
        <w:t>预算总额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。</w:t>
      </w:r>
    </w:p>
    <w:p>
      <w:pPr>
        <w:widowControl/>
        <w:numPr>
          <w:ilvl w:val="0"/>
          <w:numId w:val="4"/>
        </w:numPr>
        <w:spacing w:line="600" w:lineRule="exact"/>
        <w:ind w:left="0" w:leftChars="0" w:firstLine="660" w:firstLineChars="0"/>
        <w:jc w:val="left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国有资产占用使用及新增资产配置情况：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  <w:t>目前，本部门共有公务用车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u w:val="singl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  <w:t>辆，其中，机要通信用车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  <w:t>辆，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应急保障用车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辆，执法执勤用车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辆，特种专业技术用车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辆，其他按照规定配备的公务用车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u w:val="singl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辆；单位价值50万元以上通用设备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台，单位价值100万元以上专用设备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台。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年拟新增配置公务用车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辆，其中，机要通信用车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辆，应急保障用车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辆，执法执勤用车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辆，特种专业技术用车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辆，其他按照规定配备的公务用车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辆；新增配备单位价值50万元以上通用设备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台，单位价值100万元以上专用设备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台。</w:t>
      </w:r>
    </w:p>
    <w:p>
      <w:pPr>
        <w:widowControl/>
        <w:spacing w:line="600" w:lineRule="exact"/>
        <w:ind w:firstLine="660"/>
        <w:jc w:val="left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eastAsia="zh-CN"/>
        </w:rPr>
        <w:t>七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）预算绩效目标说明：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2021年安全生产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项目支出纳入了财政绩效评价，财政绩效评价结果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  <w:t>为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中评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  <w:t>年本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部门所有支出实行绩效目标管理。纳入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年部门整体支出绩效目标的金额为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506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万元，其中，基本支出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272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万元，项目支出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234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万元，具体绩效目标详见报表。</w:t>
      </w:r>
    </w:p>
    <w:p>
      <w:pPr>
        <w:widowControl/>
        <w:spacing w:line="60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七、名词解释</w:t>
      </w:r>
    </w:p>
    <w:p>
      <w:pPr>
        <w:widowControl/>
        <w:spacing w:line="600" w:lineRule="exact"/>
        <w:ind w:firstLine="66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widowControl/>
        <w:spacing w:line="600" w:lineRule="exact"/>
        <w:ind w:firstLine="66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、“三公”经费：纳入省（市/县）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住宿费、伙食费、培训费、公杂费等支出。</w:t>
      </w:r>
    </w:p>
    <w:p>
      <w:pPr>
        <w:widowControl/>
        <w:numPr>
          <w:ilvl w:val="0"/>
          <w:numId w:val="0"/>
        </w:numPr>
        <w:spacing w:line="600" w:lineRule="exact"/>
        <w:jc w:val="left"/>
        <w:rPr>
          <w:rFonts w:hint="eastAsia" w:eastAsia="黑体"/>
          <w:bCs/>
          <w:kern w:val="0"/>
          <w:sz w:val="32"/>
          <w:szCs w:val="32"/>
          <w:lang w:eastAsia="zh-CN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97328E"/>
    <w:multiLevelType w:val="singleLevel"/>
    <w:tmpl w:val="8C97328E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EA6EB3D2"/>
    <w:multiLevelType w:val="singleLevel"/>
    <w:tmpl w:val="EA6EB3D2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C4611DB"/>
    <w:multiLevelType w:val="singleLevel"/>
    <w:tmpl w:val="4C4611D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663E6BDE"/>
    <w:multiLevelType w:val="singleLevel"/>
    <w:tmpl w:val="663E6BDE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871"/>
    <w:rsid w:val="000D7350"/>
    <w:rsid w:val="0020174A"/>
    <w:rsid w:val="002D16C4"/>
    <w:rsid w:val="002D7251"/>
    <w:rsid w:val="003E3871"/>
    <w:rsid w:val="003F3476"/>
    <w:rsid w:val="00414B59"/>
    <w:rsid w:val="00435C97"/>
    <w:rsid w:val="00847955"/>
    <w:rsid w:val="009340DD"/>
    <w:rsid w:val="009B6981"/>
    <w:rsid w:val="00A121F9"/>
    <w:rsid w:val="00CE47C7"/>
    <w:rsid w:val="00D9092A"/>
    <w:rsid w:val="00E827A7"/>
    <w:rsid w:val="00F662A7"/>
    <w:rsid w:val="017D2882"/>
    <w:rsid w:val="0227293C"/>
    <w:rsid w:val="045E24A9"/>
    <w:rsid w:val="04605D75"/>
    <w:rsid w:val="06ED1CCE"/>
    <w:rsid w:val="07F12954"/>
    <w:rsid w:val="0A430D0D"/>
    <w:rsid w:val="0AEE53BA"/>
    <w:rsid w:val="0D121618"/>
    <w:rsid w:val="0D5D6C5C"/>
    <w:rsid w:val="0E4716BA"/>
    <w:rsid w:val="0E544D74"/>
    <w:rsid w:val="0EE707F6"/>
    <w:rsid w:val="0FDE127A"/>
    <w:rsid w:val="130D0C27"/>
    <w:rsid w:val="134A2874"/>
    <w:rsid w:val="14F92240"/>
    <w:rsid w:val="16D23ADD"/>
    <w:rsid w:val="1CA506E8"/>
    <w:rsid w:val="1D5F7B08"/>
    <w:rsid w:val="1D93708A"/>
    <w:rsid w:val="1DA63635"/>
    <w:rsid w:val="1DD9425D"/>
    <w:rsid w:val="1EBB1BEE"/>
    <w:rsid w:val="1FD247DF"/>
    <w:rsid w:val="212013EF"/>
    <w:rsid w:val="21241BCD"/>
    <w:rsid w:val="21BC49E6"/>
    <w:rsid w:val="28E94267"/>
    <w:rsid w:val="2B59057C"/>
    <w:rsid w:val="2C512791"/>
    <w:rsid w:val="2C940ED8"/>
    <w:rsid w:val="301F6F84"/>
    <w:rsid w:val="34F50AD6"/>
    <w:rsid w:val="363C59DE"/>
    <w:rsid w:val="393E63DF"/>
    <w:rsid w:val="3F016907"/>
    <w:rsid w:val="41410E54"/>
    <w:rsid w:val="41815B11"/>
    <w:rsid w:val="438C6E72"/>
    <w:rsid w:val="45133691"/>
    <w:rsid w:val="46DA670A"/>
    <w:rsid w:val="47A27ED1"/>
    <w:rsid w:val="48305828"/>
    <w:rsid w:val="48A93870"/>
    <w:rsid w:val="493E3C12"/>
    <w:rsid w:val="4C312198"/>
    <w:rsid w:val="4ED31142"/>
    <w:rsid w:val="4FEA46F0"/>
    <w:rsid w:val="504D4E4D"/>
    <w:rsid w:val="512618DB"/>
    <w:rsid w:val="5268345B"/>
    <w:rsid w:val="52722142"/>
    <w:rsid w:val="55130421"/>
    <w:rsid w:val="554808C5"/>
    <w:rsid w:val="56017B40"/>
    <w:rsid w:val="56632179"/>
    <w:rsid w:val="58660C09"/>
    <w:rsid w:val="5A5A6D5E"/>
    <w:rsid w:val="5A92668A"/>
    <w:rsid w:val="5F4128AA"/>
    <w:rsid w:val="5F5F1CBD"/>
    <w:rsid w:val="602B2290"/>
    <w:rsid w:val="60F0595B"/>
    <w:rsid w:val="610C5D4B"/>
    <w:rsid w:val="62BC704A"/>
    <w:rsid w:val="63181C3A"/>
    <w:rsid w:val="646F1D07"/>
    <w:rsid w:val="68F013AE"/>
    <w:rsid w:val="6C1E5983"/>
    <w:rsid w:val="6D25023E"/>
    <w:rsid w:val="6D4A1E18"/>
    <w:rsid w:val="6D8B6FE8"/>
    <w:rsid w:val="6EEE573F"/>
    <w:rsid w:val="712B304A"/>
    <w:rsid w:val="733177D2"/>
    <w:rsid w:val="7505670F"/>
    <w:rsid w:val="751B5D91"/>
    <w:rsid w:val="769A1DB9"/>
    <w:rsid w:val="79737D0B"/>
    <w:rsid w:val="7F0B302B"/>
    <w:rsid w:val="7F7D0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czj</Company>
  <Pages>4</Pages>
  <Words>275</Words>
  <Characters>1574</Characters>
  <Lines>0</Lines>
  <Paragraphs>0</Paragraphs>
  <TotalTime>23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2017-12-27T00:31:00Z</dcterms:created>
  <dc:creator>Administrator</dc:creator>
  <cp:lastModifiedBy>Administrator</cp:lastModifiedBy>
  <cp:lastPrinted>2021-03-23T06:22:00Z</cp:lastPrinted>
  <dcterms:modified xsi:type="dcterms:W3CDTF">2021-11-23T02:37:40Z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4FB2BE644B5D48A2AEEE9EEEA2316787</vt:lpwstr>
  </property>
</Properties>
</file>