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黑体" w:hAnsi="黑体" w:eastAsia="黑体" w:cs="黑体"/>
          <w:kern w:val="0"/>
          <w:sz w:val="44"/>
          <w:szCs w:val="44"/>
          <w:lang w:eastAsia="zh-CN"/>
        </w:rPr>
      </w:pPr>
      <w:r>
        <w:rPr>
          <w:rFonts w:hint="eastAsia" w:ascii="Arial" w:hAnsi="Arial" w:eastAsia="黑体" w:cs="Arial"/>
          <w:b w:val="0"/>
          <w:bCs w:val="0"/>
          <w:kern w:val="0"/>
          <w:sz w:val="44"/>
          <w:szCs w:val="44"/>
          <w:lang w:val="en-US" w:eastAsia="zh-CN"/>
        </w:rPr>
        <w:t>2022</w:t>
      </w:r>
      <w:r>
        <w:rPr>
          <w:rFonts w:hint="eastAsia" w:ascii="黑体" w:hAnsi="黑体" w:eastAsia="黑体" w:cs="黑体"/>
          <w:kern w:val="0"/>
          <w:sz w:val="44"/>
          <w:szCs w:val="44"/>
        </w:rPr>
        <w:t>年</w:t>
      </w:r>
      <w:r>
        <w:rPr>
          <w:rFonts w:hint="eastAsia" w:ascii="黑体" w:hAnsi="黑体" w:eastAsia="黑体" w:cs="黑体"/>
          <w:kern w:val="0"/>
          <w:sz w:val="44"/>
          <w:szCs w:val="44"/>
          <w:lang w:eastAsia="zh-CN"/>
        </w:rPr>
        <w:t>湘乡市建设工程质量安全监督站</w:t>
      </w:r>
      <w:r>
        <w:rPr>
          <w:rFonts w:hint="eastAsia" w:ascii="黑体" w:hAnsi="黑体" w:eastAsia="黑体" w:cs="黑体"/>
          <w:kern w:val="0"/>
          <w:sz w:val="44"/>
          <w:szCs w:val="44"/>
        </w:rPr>
        <w:t>部门预算公开</w:t>
      </w:r>
      <w:r>
        <w:rPr>
          <w:rFonts w:hint="eastAsia" w:ascii="黑体" w:hAnsi="黑体" w:eastAsia="黑体" w:cs="黑体"/>
          <w:kern w:val="0"/>
          <w:sz w:val="44"/>
          <w:szCs w:val="44"/>
          <w:lang w:eastAsia="zh-CN"/>
        </w:rPr>
        <w:t>说明</w:t>
      </w:r>
    </w:p>
    <w:p>
      <w:pPr>
        <w:jc w:val="both"/>
        <w:rPr>
          <w:rFonts w:ascii="宋体" w:hAnsi="宋体" w:eastAsia="宋体" w:cs="宋体"/>
          <w:b/>
          <w:bCs/>
          <w:sz w:val="44"/>
          <w:szCs w:val="44"/>
        </w:rPr>
      </w:pPr>
    </w:p>
    <w:p>
      <w:pPr>
        <w:jc w:val="center"/>
        <w:rPr>
          <w:rFonts w:ascii="宋体" w:hAnsi="宋体" w:eastAsia="宋体" w:cs="宋体"/>
          <w:sz w:val="44"/>
          <w:szCs w:val="44"/>
        </w:rPr>
      </w:pPr>
      <w:r>
        <w:rPr>
          <w:rFonts w:ascii="宋体" w:hAnsi="宋体" w:eastAsia="宋体" w:cs="宋体"/>
          <w:b/>
          <w:bCs/>
          <w:sz w:val="44"/>
          <w:szCs w:val="44"/>
        </w:rPr>
        <w:t>目</w:t>
      </w:r>
      <w:r>
        <w:rPr>
          <w:rFonts w:hint="eastAsia" w:ascii="宋体" w:hAnsi="宋体" w:eastAsia="宋体" w:cs="宋体"/>
          <w:b/>
          <w:bCs/>
          <w:sz w:val="44"/>
          <w:szCs w:val="44"/>
          <w:lang w:val="en-US" w:eastAsia="zh-CN"/>
        </w:rPr>
        <w:t xml:space="preserve">  </w:t>
      </w:r>
      <w:r>
        <w:rPr>
          <w:rFonts w:ascii="宋体" w:hAnsi="宋体" w:eastAsia="宋体" w:cs="宋体"/>
          <w:b/>
          <w:bCs/>
          <w:sz w:val="44"/>
          <w:szCs w:val="44"/>
        </w:rPr>
        <w:t>录</w:t>
      </w:r>
      <w:r>
        <w:rPr>
          <w:rFonts w:ascii="宋体" w:hAnsi="宋体" w:eastAsia="宋体" w:cs="宋体"/>
          <w:b/>
          <w:bCs/>
          <w:sz w:val="44"/>
          <w:szCs w:val="44"/>
        </w:rPr>
        <w:br w:type="textWrapping"/>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hint="eastAsia" w:ascii="宋体" w:hAnsi="宋体" w:cs="宋体"/>
          <w:b/>
          <w:bCs/>
          <w:sz w:val="32"/>
          <w:szCs w:val="32"/>
          <w:lang w:val="en-US" w:eastAsia="zh-CN"/>
        </w:rPr>
        <w:t xml:space="preserve"> 2022</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部门预算说明</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部门基本概况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部门预算单位构成</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部门收支总体情况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一般公共预算拨款支出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政府性基金预算支出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其他重要事项的情况说明</w:t>
      </w:r>
    </w:p>
    <w:p>
      <w:pPr>
        <w:widowControl/>
        <w:numPr>
          <w:ilvl w:val="0"/>
          <w:numId w:val="2"/>
        </w:numPr>
        <w:spacing w:line="600" w:lineRule="exact"/>
        <w:jc w:val="left"/>
        <w:rPr>
          <w:rFonts w:ascii="宋体" w:hAnsi="宋体" w:eastAsia="宋体" w:cs="宋体"/>
          <w:b/>
          <w:bCs/>
          <w:sz w:val="32"/>
          <w:szCs w:val="32"/>
        </w:rPr>
      </w:pPr>
      <w:r>
        <w:rPr>
          <w:rFonts w:hint="eastAsia" w:asciiTheme="minorEastAsia" w:hAnsiTheme="minorEastAsia" w:eastAsiaTheme="minorEastAsia" w:cstheme="minorEastAsia"/>
          <w:b w:val="0"/>
          <w:bCs/>
          <w:kern w:val="0"/>
          <w:sz w:val="32"/>
          <w:szCs w:val="32"/>
        </w:rPr>
        <w:t>名词解释</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ascii="宋体" w:hAnsi="宋体" w:eastAsia="宋体" w:cs="宋体"/>
          <w:b/>
          <w:bCs/>
          <w:sz w:val="32"/>
          <w:szCs w:val="32"/>
        </w:rPr>
        <w:t xml:space="preserve">第二部分 </w:t>
      </w:r>
      <w:r>
        <w:rPr>
          <w:rFonts w:hint="eastAsia" w:ascii="宋体" w:hAnsi="宋体" w:cs="宋体"/>
          <w:b/>
          <w:bCs/>
          <w:sz w:val="32"/>
          <w:szCs w:val="32"/>
          <w:lang w:val="en-US" w:eastAsia="zh-CN"/>
        </w:rPr>
        <w:t xml:space="preserve">  2022</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eastAsia="宋体" w:cs="宋体"/>
          <w:sz w:val="32"/>
          <w:szCs w:val="32"/>
          <w:lang w:val="en-US" w:eastAsia="zh-CN"/>
        </w:rPr>
      </w:pPr>
      <w:r>
        <w:rPr>
          <w:rFonts w:hint="eastAsia" w:ascii="宋体" w:hAnsi="宋体" w:cs="宋体"/>
          <w:sz w:val="32"/>
          <w:szCs w:val="32"/>
          <w:lang w:val="en-US" w:eastAsia="zh-CN"/>
        </w:rPr>
        <w:t>1</w:t>
      </w:r>
      <w:r>
        <w:rPr>
          <w:rFonts w:ascii="宋体" w:hAnsi="宋体" w:eastAsia="宋体" w:cs="宋体"/>
          <w:sz w:val="32"/>
          <w:szCs w:val="32"/>
        </w:rPr>
        <w:t>、</w:t>
      </w:r>
      <w:r>
        <w:rPr>
          <w:rFonts w:hint="eastAsia" w:ascii="宋体" w:hAnsi="宋体" w:cs="宋体"/>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eastAsia="zh-CN"/>
        </w:rPr>
      </w:pPr>
      <w:r>
        <w:rPr>
          <w:rFonts w:hint="eastAsia" w:ascii="宋体" w:hAnsi="宋体" w:cs="宋体"/>
          <w:sz w:val="32"/>
          <w:szCs w:val="32"/>
          <w:lang w:val="en-US" w:eastAsia="zh-CN"/>
        </w:rPr>
        <w:t>2</w:t>
      </w:r>
      <w:r>
        <w:rPr>
          <w:rFonts w:hint="eastAsia" w:ascii="宋体" w:hAnsi="宋体" w:cs="宋体"/>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cs="宋体"/>
          <w:sz w:val="32"/>
          <w:szCs w:val="32"/>
          <w:lang w:val="en-US" w:eastAsia="zh-CN"/>
        </w:rPr>
      </w:pPr>
      <w:r>
        <w:rPr>
          <w:rFonts w:hint="eastAsia" w:ascii="宋体" w:hAnsi="宋体" w:cs="宋体"/>
          <w:sz w:val="32"/>
          <w:szCs w:val="32"/>
          <w:lang w:val="en-US" w:eastAsia="zh-CN"/>
        </w:rPr>
        <w:t>7、一般公共预算支出表（功能分类）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8、一般公共预算支出表（政府预算支出经济分类）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9、一般公共预算支出表（部门预算支出经济分类）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10、部门政府性基金预算支出表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11、公共财政拨款“三公”经费及会议费预算表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12、项目支出明细表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13、政府采购预算表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14、非税收入表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15、非税收入安排的支出表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16、政府采购服务预算表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eastAsia="宋体"/>
          <w:sz w:val="32"/>
          <w:szCs w:val="32"/>
          <w:lang w:val="en-US" w:eastAsia="zh-CN"/>
        </w:rPr>
      </w:pPr>
      <w:r>
        <w:rPr>
          <w:rFonts w:hint="eastAsia" w:ascii="宋体" w:hAnsi="宋体" w:cs="宋体"/>
          <w:sz w:val="32"/>
          <w:szCs w:val="32"/>
          <w:lang w:val="en-US" w:eastAsia="zh-CN"/>
        </w:rPr>
        <w:t>17、部门整体支出绩效目标申报表</w:t>
      </w:r>
      <w:r>
        <w:rPr>
          <w:rFonts w:ascii="宋体" w:hAnsi="宋体" w:eastAsia="宋体" w:cs="宋体"/>
          <w:sz w:val="32"/>
          <w:szCs w:val="32"/>
        </w:rPr>
        <w:br w:type="textWrapping"/>
      </w:r>
      <w:r>
        <w:rPr>
          <w:rFonts w:hint="eastAsia" w:ascii="宋体" w:hAnsi="宋体" w:cs="宋体"/>
          <w:sz w:val="32"/>
          <w:szCs w:val="32"/>
          <w:lang w:val="en-US" w:eastAsia="zh-CN"/>
        </w:rPr>
        <w:t>18、项目支出绩效目标申报表</w:t>
      </w:r>
    </w:p>
    <w:p>
      <w:pPr>
        <w:widowControl/>
        <w:spacing w:line="600" w:lineRule="exact"/>
        <w:rPr>
          <w:rFonts w:eastAsia="仿宋_GB2312"/>
          <w:b/>
          <w:bCs w:val="0"/>
          <w:kern w:val="0"/>
          <w:sz w:val="32"/>
          <w:szCs w:val="32"/>
        </w:rPr>
      </w:pPr>
      <w:r>
        <w:rPr>
          <w:rFonts w:eastAsia="仿宋_GB2312"/>
          <w:b/>
          <w:bCs w:val="0"/>
          <w:kern w:val="0"/>
          <w:sz w:val="32"/>
          <w:szCs w:val="32"/>
        </w:rPr>
        <w:t>注：以上部门预算报表中，空表表示本部门无相关收支情况。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widowControl/>
        <w:spacing w:line="600" w:lineRule="exact"/>
        <w:ind w:firstLine="2160" w:firstLineChars="600"/>
        <w:jc w:val="both"/>
        <w:rPr>
          <w:rFonts w:eastAsia="方正小标宋_GBK"/>
          <w:bCs/>
          <w:kern w:val="0"/>
          <w:sz w:val="36"/>
          <w:szCs w:val="36"/>
        </w:rPr>
      </w:pPr>
      <w:r>
        <w:rPr>
          <w:rFonts w:eastAsia="方正小标宋_GBK"/>
          <w:bCs/>
          <w:kern w:val="0"/>
          <w:sz w:val="36"/>
          <w:szCs w:val="36"/>
        </w:rPr>
        <w:t>第一部分 部门预算说明</w:t>
      </w:r>
    </w:p>
    <w:p>
      <w:pPr>
        <w:widowControl/>
        <w:numPr>
          <w:ilvl w:val="0"/>
          <w:numId w:val="0"/>
        </w:numPr>
        <w:spacing w:line="600" w:lineRule="exact"/>
        <w:jc w:val="left"/>
        <w:rPr>
          <w:rFonts w:eastAsia="黑体"/>
          <w:bCs/>
          <w:kern w:val="0"/>
          <w:sz w:val="32"/>
          <w:szCs w:val="32"/>
        </w:rPr>
      </w:pPr>
    </w:p>
    <w:p>
      <w:pPr>
        <w:widowControl/>
        <w:numPr>
          <w:ilvl w:val="0"/>
          <w:numId w:val="0"/>
        </w:numPr>
        <w:spacing w:line="600" w:lineRule="exact"/>
        <w:jc w:val="left"/>
        <w:rPr>
          <w:rFonts w:eastAsia="黑体"/>
          <w:bCs/>
          <w:kern w:val="0"/>
          <w:sz w:val="32"/>
          <w:szCs w:val="32"/>
        </w:rPr>
      </w:pPr>
      <w:r>
        <w:rPr>
          <w:rFonts w:hint="eastAsia" w:eastAsia="黑体"/>
          <w:bCs/>
          <w:kern w:val="0"/>
          <w:sz w:val="32"/>
          <w:szCs w:val="32"/>
          <w:lang w:eastAsia="zh-CN"/>
        </w:rPr>
        <w:t>一、</w:t>
      </w:r>
      <w:r>
        <w:rPr>
          <w:rFonts w:eastAsia="黑体"/>
          <w:bCs/>
          <w:kern w:val="0"/>
          <w:sz w:val="32"/>
          <w:szCs w:val="32"/>
        </w:rPr>
        <w:t>部门基本概况</w:t>
      </w:r>
    </w:p>
    <w:p>
      <w:pPr>
        <w:widowControl/>
        <w:numPr>
          <w:ilvl w:val="0"/>
          <w:numId w:val="0"/>
        </w:numPr>
        <w:spacing w:line="600" w:lineRule="exact"/>
        <w:ind w:firstLine="320" w:firstLineChars="1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职能职责。受湘乡市住房和城乡建设局委托：负责本行政区域内已办理施工许可的房屋建筑和市政基础设施工程实施质量、安全、消防验收、备案和抽查等事务性工作。负责本行政区域内已办理施工许可项目使用的建筑起重机械的备案、租赁、使用登记、安装、拆卸、检验检测及安装验收、运行使用实施监督管理工作。负责工程报建管理权限范围内建筑工程开工安全生产条件审查工作。负责本行政区域内已办理施工许可的民用建筑节能、绿色建筑实施及文明施工等日常现场监督管理工作。负责本行政区域内建筑施工企业安全生产许可证、安管人员申报、延期等工作。组织实施本行政区域内的建筑施工安全生产责任保险日常管理工作。负责本行政区域内已办理施工许可的装配式混凝土建筑结构工程的监督管理。负责本行政区域内实施建筑施工质量、安全、消防管理标准化考评工作。受理本行政区域内已办理施工许可的新建、改建、扩建的各类建筑安装、市政、公用、装饰装修等建设工程在保修期内和建设过程中质量投诉及建筑施工安全投诉（噪音污染投诉除外）。负责本行政区域内商品混凝土企业、监理企业、质量检测活动实施监督管理工作。</w:t>
      </w:r>
    </w:p>
    <w:p>
      <w:pPr>
        <w:widowControl/>
        <w:spacing w:line="60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w:t>
      </w:r>
    </w:p>
    <w:p>
      <w:pPr>
        <w:spacing w:line="580" w:lineRule="exact"/>
        <w:ind w:firstLine="602" w:firstLineChars="200"/>
        <w:rPr>
          <w:rFonts w:ascii="仿宋" w:hAnsi="仿宋" w:eastAsia="仿宋" w:cs="仿宋"/>
          <w:sz w:val="30"/>
          <w:szCs w:val="30"/>
        </w:rPr>
      </w:pP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1）</w:t>
      </w:r>
      <w:r>
        <w:rPr>
          <w:rFonts w:hint="eastAsia" w:ascii="仿宋" w:hAnsi="仿宋" w:eastAsia="仿宋" w:cs="仿宋"/>
          <w:b/>
          <w:bCs/>
          <w:sz w:val="30"/>
          <w:szCs w:val="30"/>
        </w:rPr>
        <w:t>内设机构</w:t>
      </w:r>
      <w:r>
        <w:rPr>
          <w:rFonts w:hint="eastAsia" w:ascii="仿宋" w:hAnsi="仿宋" w:eastAsia="仿宋" w:cs="仿宋"/>
          <w:sz w:val="30"/>
          <w:szCs w:val="30"/>
        </w:rPr>
        <w:t>：综合办公室，质量安全监督管理办公室</w:t>
      </w:r>
      <w:r>
        <w:rPr>
          <w:rFonts w:hint="eastAsia" w:ascii="仿宋" w:hAnsi="仿宋" w:eastAsia="仿宋" w:cs="仿宋"/>
          <w:sz w:val="30"/>
          <w:szCs w:val="30"/>
          <w:lang w:eastAsia="zh-CN"/>
        </w:rPr>
        <w:t>、</w:t>
      </w:r>
      <w:r>
        <w:rPr>
          <w:rFonts w:hint="eastAsia" w:ascii="仿宋" w:hAnsi="仿宋" w:eastAsia="仿宋" w:cs="仿宋"/>
          <w:sz w:val="30"/>
          <w:szCs w:val="30"/>
        </w:rPr>
        <w:t>土建监督一室（东山片区）</w:t>
      </w:r>
      <w:r>
        <w:rPr>
          <w:rFonts w:hint="eastAsia" w:ascii="仿宋" w:hAnsi="仿宋" w:eastAsia="仿宋" w:cs="仿宋"/>
          <w:sz w:val="30"/>
          <w:szCs w:val="30"/>
          <w:lang w:eastAsia="zh-CN"/>
        </w:rPr>
        <w:t>、</w:t>
      </w:r>
      <w:r>
        <w:rPr>
          <w:rFonts w:hint="eastAsia" w:ascii="仿宋" w:hAnsi="仿宋" w:eastAsia="仿宋" w:cs="仿宋"/>
          <w:sz w:val="30"/>
          <w:szCs w:val="30"/>
        </w:rPr>
        <w:t>土建二室（经开区）</w:t>
      </w:r>
      <w:r>
        <w:rPr>
          <w:rFonts w:hint="eastAsia" w:ascii="仿宋" w:hAnsi="仿宋" w:eastAsia="仿宋" w:cs="仿宋"/>
          <w:sz w:val="30"/>
          <w:szCs w:val="30"/>
          <w:lang w:eastAsia="zh-CN"/>
        </w:rPr>
        <w:t>、</w:t>
      </w:r>
      <w:r>
        <w:rPr>
          <w:rFonts w:hint="eastAsia" w:ascii="仿宋" w:hAnsi="仿宋" w:eastAsia="仿宋" w:cs="仿宋"/>
          <w:sz w:val="30"/>
          <w:szCs w:val="30"/>
        </w:rPr>
        <w:t>市政监督室</w:t>
      </w:r>
      <w:r>
        <w:rPr>
          <w:rFonts w:hint="eastAsia" w:ascii="仿宋" w:hAnsi="仿宋" w:eastAsia="仿宋" w:cs="仿宋"/>
          <w:sz w:val="30"/>
          <w:szCs w:val="30"/>
          <w:lang w:eastAsia="zh-CN"/>
        </w:rPr>
        <w:t>、</w:t>
      </w:r>
      <w:r>
        <w:rPr>
          <w:rFonts w:hint="eastAsia" w:ascii="仿宋" w:hAnsi="仿宋" w:eastAsia="仿宋" w:cs="仿宋"/>
          <w:sz w:val="30"/>
          <w:szCs w:val="30"/>
        </w:rPr>
        <w:t>消防监督室</w:t>
      </w:r>
      <w:r>
        <w:rPr>
          <w:rFonts w:hint="eastAsia" w:ascii="仿宋" w:hAnsi="仿宋" w:eastAsia="仿宋" w:cs="仿宋"/>
          <w:sz w:val="30"/>
          <w:szCs w:val="30"/>
          <w:lang w:eastAsia="zh-CN"/>
        </w:rPr>
        <w:t>、</w:t>
      </w:r>
      <w:r>
        <w:rPr>
          <w:rFonts w:hint="eastAsia" w:ascii="仿宋" w:hAnsi="仿宋" w:eastAsia="仿宋" w:cs="仿宋"/>
          <w:sz w:val="30"/>
          <w:szCs w:val="30"/>
        </w:rPr>
        <w:t>起重机械设备监督室</w:t>
      </w:r>
      <w:r>
        <w:rPr>
          <w:rFonts w:hint="eastAsia" w:ascii="仿宋" w:hAnsi="仿宋" w:eastAsia="仿宋" w:cs="仿宋"/>
          <w:sz w:val="30"/>
          <w:szCs w:val="30"/>
          <w:lang w:eastAsia="zh-CN"/>
        </w:rPr>
        <w:t>。</w:t>
      </w:r>
    </w:p>
    <w:p>
      <w:pPr>
        <w:widowControl/>
        <w:spacing w:line="600" w:lineRule="exact"/>
        <w:ind w:firstLine="643" w:firstLineChars="200"/>
        <w:jc w:val="left"/>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lang w:eastAsia="zh-CN"/>
        </w:rPr>
        <w:t>部门预算单位构成</w:t>
      </w:r>
    </w:p>
    <w:p>
      <w:pPr>
        <w:widowControl/>
        <w:spacing w:line="600" w:lineRule="exact"/>
        <w:ind w:firstLine="588" w:firstLineChars="196"/>
        <w:rPr>
          <w:rFonts w:hint="eastAsia" w:ascii="仿宋_GB2312" w:hAnsi="仿宋_GB2312" w:eastAsia="仿宋_GB2312" w:cs="仿宋_GB2312"/>
          <w:sz w:val="32"/>
          <w:szCs w:val="32"/>
        </w:rPr>
      </w:pPr>
      <w:r>
        <w:rPr>
          <w:rFonts w:hint="eastAsia" w:ascii="仿宋" w:hAnsi="仿宋" w:eastAsia="仿宋" w:cs="仿宋"/>
          <w:sz w:val="30"/>
          <w:szCs w:val="30"/>
        </w:rPr>
        <w:t>本单位在职人员3</w:t>
      </w:r>
      <w:r>
        <w:rPr>
          <w:rFonts w:hint="eastAsia" w:ascii="仿宋" w:hAnsi="仿宋" w:eastAsia="仿宋" w:cs="仿宋"/>
          <w:sz w:val="30"/>
          <w:szCs w:val="30"/>
          <w:lang w:val="en-US" w:eastAsia="zh-CN"/>
        </w:rPr>
        <w:t>7</w:t>
      </w:r>
      <w:r>
        <w:rPr>
          <w:rFonts w:hint="eastAsia" w:ascii="仿宋" w:hAnsi="仿宋" w:eastAsia="仿宋" w:cs="仿宋"/>
          <w:sz w:val="30"/>
          <w:szCs w:val="30"/>
        </w:rPr>
        <w:t>人，离退休人员4人。本单位无公车，本单位拥有国有资产</w:t>
      </w:r>
      <w:r>
        <w:rPr>
          <w:rFonts w:hint="eastAsia" w:ascii="仿宋" w:hAnsi="仿宋" w:eastAsia="仿宋" w:cs="仿宋"/>
          <w:sz w:val="30"/>
          <w:szCs w:val="30"/>
          <w:lang w:val="en-US" w:eastAsia="zh-CN"/>
        </w:rPr>
        <w:t>20.23</w:t>
      </w:r>
      <w:r>
        <w:rPr>
          <w:rFonts w:hint="eastAsia" w:ascii="仿宋" w:hAnsi="仿宋" w:eastAsia="仿宋" w:cs="仿宋"/>
          <w:sz w:val="30"/>
          <w:szCs w:val="30"/>
        </w:rPr>
        <w:t>万元。</w:t>
      </w:r>
    </w:p>
    <w:p>
      <w:pPr>
        <w:widowControl/>
        <w:numPr>
          <w:ilvl w:val="0"/>
          <w:numId w:val="3"/>
        </w:numPr>
        <w:spacing w:line="600" w:lineRule="exact"/>
        <w:jc w:val="left"/>
        <w:rPr>
          <w:rFonts w:eastAsia="黑体"/>
          <w:kern w:val="0"/>
          <w:sz w:val="32"/>
          <w:szCs w:val="32"/>
        </w:rPr>
      </w:pPr>
      <w:r>
        <w:rPr>
          <w:rFonts w:eastAsia="黑体"/>
          <w:kern w:val="0"/>
          <w:sz w:val="32"/>
          <w:szCs w:val="32"/>
        </w:rPr>
        <w:t>部门预算单位构成</w:t>
      </w:r>
    </w:p>
    <w:p>
      <w:pPr>
        <w:pStyle w:val="2"/>
        <w:numPr>
          <w:ilvl w:val="0"/>
          <w:numId w:val="0"/>
        </w:numPr>
        <w:ind w:firstLine="600" w:firstLineChars="200"/>
      </w:pPr>
      <w:r>
        <w:rPr>
          <w:rFonts w:hint="eastAsia" w:ascii="仿宋" w:hAnsi="仿宋" w:eastAsia="仿宋" w:cs="仿宋"/>
          <w:sz w:val="30"/>
          <w:szCs w:val="30"/>
        </w:rPr>
        <w:t>湘乡市建设工程质量安全监督站是下辖于湘乡市住房和城</w:t>
      </w:r>
      <w:r>
        <w:rPr>
          <w:rFonts w:hint="eastAsia" w:ascii="仿宋" w:hAnsi="仿宋" w:eastAsia="仿宋" w:cs="仿宋"/>
          <w:sz w:val="30"/>
          <w:szCs w:val="30"/>
          <w:u w:val="none"/>
        </w:rPr>
        <w:t>乡建设局的二级机构，只有本级，没有其他二级预算单位，因此，纳入20</w:t>
      </w:r>
      <w:r>
        <w:rPr>
          <w:rFonts w:hint="eastAsia" w:ascii="仿宋" w:hAnsi="仿宋" w:eastAsia="仿宋" w:cs="仿宋"/>
          <w:sz w:val="30"/>
          <w:szCs w:val="30"/>
          <w:u w:val="none"/>
          <w:lang w:val="en-US" w:eastAsia="zh-CN"/>
        </w:rPr>
        <w:t>22</w:t>
      </w:r>
      <w:r>
        <w:rPr>
          <w:rFonts w:hint="eastAsia" w:ascii="仿宋" w:hAnsi="仿宋" w:eastAsia="仿宋" w:cs="仿宋"/>
          <w:sz w:val="30"/>
          <w:szCs w:val="30"/>
          <w:u w:val="none"/>
        </w:rPr>
        <w:t>年部门预算编制范围的只有质安站本级。</w:t>
      </w:r>
    </w:p>
    <w:p>
      <w:pPr>
        <w:widowControl/>
        <w:numPr>
          <w:ilvl w:val="0"/>
          <w:numId w:val="4"/>
        </w:numPr>
        <w:spacing w:line="600" w:lineRule="exact"/>
        <w:jc w:val="left"/>
        <w:rPr>
          <w:rFonts w:hint="eastAsia" w:eastAsia="黑体"/>
          <w:bCs/>
          <w:kern w:val="0"/>
          <w:sz w:val="32"/>
          <w:szCs w:val="32"/>
          <w:lang w:eastAsia="zh-CN"/>
        </w:rPr>
      </w:pPr>
      <w:r>
        <w:rPr>
          <w:rFonts w:eastAsia="黑体"/>
          <w:bCs/>
          <w:kern w:val="0"/>
          <w:sz w:val="32"/>
          <w:szCs w:val="32"/>
        </w:rPr>
        <w:t>部门收支</w:t>
      </w:r>
      <w:r>
        <w:rPr>
          <w:rFonts w:hint="eastAsia" w:eastAsia="黑体"/>
          <w:bCs/>
          <w:kern w:val="0"/>
          <w:sz w:val="32"/>
          <w:szCs w:val="32"/>
          <w:lang w:eastAsia="zh-CN"/>
        </w:rPr>
        <w:t>预算</w:t>
      </w:r>
      <w:r>
        <w:rPr>
          <w:rFonts w:eastAsia="黑体"/>
          <w:bCs/>
          <w:kern w:val="0"/>
          <w:sz w:val="32"/>
          <w:szCs w:val="32"/>
        </w:rPr>
        <w:t>总体情况</w:t>
      </w:r>
      <w:r>
        <w:rPr>
          <w:rFonts w:hint="eastAsia" w:eastAsia="黑体"/>
          <w:bCs/>
          <w:kern w:val="0"/>
          <w:sz w:val="32"/>
          <w:szCs w:val="32"/>
          <w:lang w:eastAsia="zh-CN"/>
        </w:rPr>
        <w:t>说明</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（一）收入预算</w:t>
      </w:r>
      <w:r>
        <w:rPr>
          <w:rFonts w:hint="eastAsia" w:ascii="仿宋_GB2312" w:hAnsi="仿宋_GB2312" w:eastAsia="仿宋_GB2312" w:cs="仿宋_GB2312"/>
          <w:sz w:val="32"/>
          <w:szCs w:val="32"/>
        </w:rPr>
        <w:t>：包括一般公共预算、政府性基金、国有资本经营预算等财政拨款收入，以及经营收入、事业收入等单位资金。</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年本部门收入预算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525.09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万元，其中，一般公共预算拨款</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525.09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万元。收入较去年减少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7.67</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万元，主要</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lang w:val="en-US" w:eastAsia="zh-CN"/>
        </w:rPr>
        <w:t>2022年质安站减少1名工作人员</w:t>
      </w:r>
      <w:r>
        <w:rPr>
          <w:rFonts w:hint="eastAsia" w:ascii="仿宋_GB2312" w:hAnsi="仿宋_GB2312" w:eastAsia="仿宋_GB2312" w:cs="仿宋_GB2312"/>
          <w:sz w:val="32"/>
          <w:szCs w:val="32"/>
        </w:rPr>
        <w:t>。</w:t>
      </w:r>
    </w:p>
    <w:p>
      <w:pPr>
        <w:widowControl/>
        <w:spacing w:line="600" w:lineRule="exact"/>
        <w:ind w:firstLine="321" w:firstLineChars="100"/>
        <w:rPr>
          <w:rFonts w:hint="eastAsia" w:eastAsia="黑体"/>
          <w:bCs/>
          <w:kern w:val="0"/>
          <w:sz w:val="32"/>
          <w:szCs w:val="32"/>
          <w:lang w:eastAsia="zh-CN"/>
        </w:rPr>
      </w:pPr>
      <w:r>
        <w:rPr>
          <w:rFonts w:hint="eastAsia" w:ascii="仿宋_GB2312" w:hAnsi="仿宋_GB2312" w:eastAsia="仿宋_GB2312" w:cs="仿宋_GB2312"/>
          <w:b/>
          <w:bCs/>
          <w:sz w:val="32"/>
          <w:szCs w:val="32"/>
        </w:rPr>
        <w:t>（二）支出预算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年本部门支出预算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525.09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万元，其中，一般公共服务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525.09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r>
        <w:rPr>
          <w:rFonts w:hint="eastAsia" w:ascii="仿宋" w:hAnsi="仿宋" w:eastAsia="仿宋" w:cs="仿宋"/>
          <w:sz w:val="30"/>
          <w:szCs w:val="30"/>
        </w:rPr>
        <w:t>其中，社会保障和就业支出</w:t>
      </w:r>
      <w:r>
        <w:rPr>
          <w:rFonts w:hint="eastAsia" w:ascii="仿宋" w:hAnsi="仿宋" w:eastAsia="仿宋" w:cs="仿宋"/>
          <w:sz w:val="30"/>
          <w:szCs w:val="30"/>
          <w:lang w:val="en-US" w:eastAsia="zh-CN"/>
        </w:rPr>
        <w:t>39.32</w:t>
      </w:r>
      <w:r>
        <w:rPr>
          <w:rFonts w:hint="eastAsia" w:ascii="仿宋" w:hAnsi="仿宋" w:eastAsia="仿宋" w:cs="仿宋"/>
          <w:sz w:val="30"/>
          <w:szCs w:val="30"/>
        </w:rPr>
        <w:t>万元，卫生健康支出</w:t>
      </w:r>
      <w:r>
        <w:rPr>
          <w:rFonts w:hint="eastAsia" w:ascii="仿宋" w:hAnsi="仿宋" w:eastAsia="仿宋" w:cs="仿宋"/>
          <w:sz w:val="30"/>
          <w:szCs w:val="30"/>
          <w:lang w:val="en-US" w:eastAsia="zh-CN"/>
        </w:rPr>
        <w:t>18.88</w:t>
      </w:r>
      <w:r>
        <w:rPr>
          <w:rFonts w:hint="eastAsia" w:ascii="仿宋" w:hAnsi="仿宋" w:eastAsia="仿宋" w:cs="仿宋"/>
          <w:sz w:val="30"/>
          <w:szCs w:val="30"/>
        </w:rPr>
        <w:t>万元，城乡社区支出</w:t>
      </w:r>
      <w:r>
        <w:rPr>
          <w:rFonts w:hint="eastAsia" w:ascii="仿宋" w:hAnsi="仿宋" w:eastAsia="仿宋" w:cs="仿宋"/>
          <w:sz w:val="30"/>
          <w:szCs w:val="30"/>
          <w:lang w:val="en-US" w:eastAsia="zh-CN"/>
        </w:rPr>
        <w:t>433.47</w:t>
      </w:r>
      <w:r>
        <w:rPr>
          <w:rFonts w:hint="eastAsia" w:ascii="仿宋" w:hAnsi="仿宋" w:eastAsia="仿宋" w:cs="仿宋"/>
          <w:sz w:val="30"/>
          <w:szCs w:val="30"/>
        </w:rPr>
        <w:t>万元，住房保障支出</w:t>
      </w:r>
      <w:r>
        <w:rPr>
          <w:rFonts w:hint="eastAsia" w:ascii="仿宋" w:hAnsi="仿宋" w:eastAsia="仿宋" w:cs="仿宋"/>
          <w:sz w:val="30"/>
          <w:szCs w:val="30"/>
          <w:lang w:val="en-US" w:eastAsia="zh-CN"/>
        </w:rPr>
        <w:t>33.43</w:t>
      </w:r>
      <w:r>
        <w:rPr>
          <w:rFonts w:hint="eastAsia" w:ascii="仿宋" w:hAnsi="仿宋" w:eastAsia="仿宋" w:cs="仿宋"/>
          <w:sz w:val="30"/>
          <w:szCs w:val="30"/>
        </w:rPr>
        <w:t>万元。支出较去年</w:t>
      </w:r>
      <w:r>
        <w:rPr>
          <w:rFonts w:hint="eastAsia" w:ascii="仿宋" w:hAnsi="仿宋" w:eastAsia="仿宋" w:cs="仿宋"/>
          <w:sz w:val="30"/>
          <w:szCs w:val="30"/>
          <w:lang w:eastAsia="zh-CN"/>
        </w:rPr>
        <w:t>减少</w:t>
      </w:r>
      <w:r>
        <w:rPr>
          <w:rFonts w:hint="eastAsia" w:ascii="仿宋" w:hAnsi="仿宋" w:eastAsia="仿宋" w:cs="仿宋"/>
          <w:sz w:val="30"/>
          <w:szCs w:val="30"/>
          <w:lang w:val="en-US" w:eastAsia="zh-CN"/>
        </w:rPr>
        <w:t>7.67</w:t>
      </w:r>
      <w:r>
        <w:rPr>
          <w:rFonts w:hint="eastAsia" w:ascii="仿宋" w:hAnsi="仿宋" w:eastAsia="仿宋" w:cs="仿宋"/>
          <w:sz w:val="30"/>
          <w:szCs w:val="30"/>
        </w:rPr>
        <w:t>万元，主要是工资、社保经费</w:t>
      </w:r>
      <w:r>
        <w:rPr>
          <w:rFonts w:hint="eastAsia" w:ascii="仿宋" w:hAnsi="仿宋" w:eastAsia="仿宋" w:cs="仿宋"/>
          <w:sz w:val="30"/>
          <w:szCs w:val="30"/>
          <w:lang w:eastAsia="zh-CN"/>
        </w:rPr>
        <w:t>减少。</w:t>
      </w:r>
    </w:p>
    <w:p>
      <w:pPr>
        <w:widowControl/>
        <w:spacing w:line="600" w:lineRule="exact"/>
        <w:jc w:val="left"/>
        <w:rPr>
          <w:rFonts w:eastAsia="黑体"/>
          <w:sz w:val="32"/>
          <w:szCs w:val="32"/>
        </w:rPr>
      </w:pPr>
      <w:r>
        <w:rPr>
          <w:rFonts w:eastAsia="黑体"/>
          <w:sz w:val="32"/>
          <w:szCs w:val="32"/>
        </w:rPr>
        <w:t>四、一般公共预算拨款支出</w:t>
      </w:r>
    </w:p>
    <w:p>
      <w:pPr>
        <w:widowControl/>
        <w:spacing w:line="600" w:lineRule="exact"/>
        <w:ind w:firstLine="660"/>
        <w:jc w:val="left"/>
        <w:rPr>
          <w:rFonts w:eastAsia="黑体"/>
          <w:sz w:val="32"/>
          <w:szCs w:val="32"/>
        </w:rPr>
      </w:pPr>
      <w:r>
        <w:rPr>
          <w:rFonts w:hint="eastAsia" w:eastAsia="仿宋_GB2312"/>
          <w:sz w:val="32"/>
          <w:szCs w:val="32"/>
          <w:lang w:val="en-US" w:eastAsia="zh-CN"/>
        </w:rPr>
        <w:t>2022</w:t>
      </w:r>
      <w:r>
        <w:rPr>
          <w:rFonts w:eastAsia="仿宋_GB2312"/>
          <w:sz w:val="32"/>
          <w:szCs w:val="32"/>
        </w:rPr>
        <w:t>年本部门一般公共预算拨款支出预算</w:t>
      </w:r>
      <w:r>
        <w:rPr>
          <w:rFonts w:eastAsia="仿宋_GB2312"/>
          <w:sz w:val="32"/>
          <w:szCs w:val="32"/>
          <w:u w:val="single"/>
        </w:rPr>
        <w:t xml:space="preserve"> </w:t>
      </w:r>
      <w:r>
        <w:rPr>
          <w:rFonts w:hint="eastAsia" w:eastAsia="仿宋_GB2312"/>
          <w:sz w:val="32"/>
          <w:szCs w:val="32"/>
          <w:u w:val="single"/>
          <w:lang w:val="en-US" w:eastAsia="zh-CN"/>
        </w:rPr>
        <w:t>525.09</w:t>
      </w:r>
      <w:r>
        <w:rPr>
          <w:rFonts w:eastAsia="仿宋_GB2312"/>
          <w:sz w:val="32"/>
          <w:szCs w:val="32"/>
          <w:u w:val="single"/>
        </w:rPr>
        <w:t xml:space="preserve"> </w:t>
      </w:r>
      <w:r>
        <w:rPr>
          <w:rFonts w:eastAsia="仿宋_GB2312"/>
          <w:sz w:val="32"/>
          <w:szCs w:val="32"/>
        </w:rPr>
        <w:t>万元，具体安排情况如下：</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（一）基本支出：</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年本部门基本支出预算数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425.09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60"/>
        <w:jc w:val="left"/>
        <w:rPr>
          <w:rFonts w:eastAsia="仿宋_GB2312"/>
          <w:sz w:val="32"/>
          <w:szCs w:val="32"/>
        </w:rPr>
      </w:pPr>
      <w:r>
        <w:rPr>
          <w:rFonts w:hint="eastAsia" w:ascii="仿宋_GB2312" w:hAnsi="仿宋_GB2312" w:eastAsia="仿宋_GB2312" w:cs="仿宋_GB2312"/>
          <w:b/>
          <w:sz w:val="32"/>
          <w:szCs w:val="32"/>
        </w:rPr>
        <w:t>（二）项目支出：</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年本部门项目支出预算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100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万元，主要是部门为完成特定行政</w:t>
      </w:r>
      <w:r>
        <w:rPr>
          <w:rFonts w:eastAsia="仿宋_GB2312"/>
          <w:sz w:val="32"/>
          <w:szCs w:val="32"/>
        </w:rPr>
        <w:t>工作任务或事业发展目标而发生的支出，包括有关事业发展专项、专项业务费、基本建设支出等，其中：</w:t>
      </w:r>
      <w:r>
        <w:rPr>
          <w:rFonts w:eastAsia="仿宋_GB2312"/>
          <w:sz w:val="32"/>
          <w:szCs w:val="32"/>
          <w:u w:val="single"/>
        </w:rPr>
        <w:t xml:space="preserve">  </w:t>
      </w:r>
      <w:r>
        <w:rPr>
          <w:rFonts w:hint="eastAsia" w:eastAsia="仿宋_GB2312"/>
          <w:sz w:val="32"/>
          <w:szCs w:val="32"/>
          <w:u w:val="single"/>
        </w:rPr>
        <w:t>预拌混凝土质量专项检测</w:t>
      </w:r>
      <w:r>
        <w:rPr>
          <w:rFonts w:eastAsia="仿宋_GB2312"/>
          <w:sz w:val="32"/>
          <w:szCs w:val="32"/>
          <w:u w:val="single"/>
        </w:rPr>
        <w:t xml:space="preserve"> </w:t>
      </w:r>
      <w:r>
        <w:rPr>
          <w:rFonts w:eastAsia="仿宋_GB2312"/>
          <w:sz w:val="32"/>
          <w:szCs w:val="32"/>
        </w:rPr>
        <w:t>支出</w:t>
      </w:r>
      <w:r>
        <w:rPr>
          <w:rFonts w:eastAsia="仿宋_GB2312"/>
          <w:sz w:val="32"/>
          <w:szCs w:val="32"/>
          <w:u w:val="single"/>
        </w:rPr>
        <w:t xml:space="preserve"> </w:t>
      </w:r>
      <w:r>
        <w:rPr>
          <w:rFonts w:hint="eastAsia" w:eastAsia="仿宋_GB2312"/>
          <w:sz w:val="32"/>
          <w:szCs w:val="32"/>
          <w:u w:val="single"/>
          <w:lang w:val="en-US" w:eastAsia="zh-CN"/>
        </w:rPr>
        <w:t>60</w:t>
      </w:r>
      <w:r>
        <w:rPr>
          <w:rFonts w:eastAsia="仿宋_GB2312"/>
          <w:sz w:val="32"/>
          <w:szCs w:val="32"/>
          <w:u w:val="single"/>
        </w:rPr>
        <w:t xml:space="preserve"> </w:t>
      </w:r>
      <w:r>
        <w:rPr>
          <w:rFonts w:eastAsia="仿宋_GB2312"/>
          <w:sz w:val="32"/>
          <w:szCs w:val="32"/>
        </w:rPr>
        <w:t>万元，主要用于</w:t>
      </w:r>
      <w:r>
        <w:rPr>
          <w:rFonts w:hint="eastAsia" w:eastAsia="仿宋_GB2312"/>
          <w:sz w:val="32"/>
          <w:szCs w:val="32"/>
        </w:rPr>
        <w:t>加强我市202</w:t>
      </w:r>
      <w:r>
        <w:rPr>
          <w:rFonts w:hint="eastAsia" w:eastAsia="仿宋_GB2312"/>
          <w:sz w:val="32"/>
          <w:szCs w:val="32"/>
          <w:lang w:val="en-US" w:eastAsia="zh-CN"/>
        </w:rPr>
        <w:t>1</w:t>
      </w:r>
      <w:r>
        <w:rPr>
          <w:rFonts w:hint="eastAsia" w:eastAsia="仿宋_GB2312"/>
          <w:sz w:val="32"/>
          <w:szCs w:val="32"/>
        </w:rPr>
        <w:t>年度预拌混凝土生产施工质量管理，规范各预拌混凝土生产企业的质量行为</w:t>
      </w:r>
      <w:r>
        <w:rPr>
          <w:rFonts w:eastAsia="仿宋_GB2312"/>
          <w:sz w:val="32"/>
          <w:szCs w:val="32"/>
        </w:rPr>
        <w:t>等方面；</w:t>
      </w:r>
      <w:r>
        <w:rPr>
          <w:rFonts w:hint="eastAsia" w:eastAsia="仿宋_GB2312"/>
          <w:sz w:val="32"/>
          <w:szCs w:val="32"/>
          <w:u w:val="single"/>
          <w:lang w:eastAsia="zh-CN"/>
        </w:rPr>
        <w:t>建筑起重机械特种设备技术服务</w:t>
      </w:r>
      <w:r>
        <w:rPr>
          <w:rFonts w:hint="eastAsia" w:eastAsia="仿宋_GB2312"/>
          <w:sz w:val="32"/>
          <w:szCs w:val="32"/>
          <w:lang w:eastAsia="zh-CN"/>
        </w:rPr>
        <w:t>支出</w:t>
      </w:r>
      <w:r>
        <w:rPr>
          <w:rFonts w:hint="eastAsia" w:eastAsia="仿宋_GB2312"/>
          <w:sz w:val="32"/>
          <w:szCs w:val="32"/>
          <w:u w:val="single"/>
          <w:lang w:val="en-US" w:eastAsia="zh-CN"/>
        </w:rPr>
        <w:t>10</w:t>
      </w:r>
      <w:r>
        <w:rPr>
          <w:rFonts w:hint="eastAsia" w:eastAsia="仿宋_GB2312"/>
          <w:sz w:val="32"/>
          <w:szCs w:val="32"/>
          <w:lang w:val="en-US" w:eastAsia="zh-CN"/>
        </w:rPr>
        <w:t>万元，主要提升湘乡市建筑起重机特种设备安全生产管理水平，预防和减少安全事故发生；</w:t>
      </w:r>
      <w:r>
        <w:rPr>
          <w:rFonts w:hint="eastAsia" w:eastAsia="仿宋_GB2312"/>
          <w:sz w:val="32"/>
          <w:szCs w:val="32"/>
          <w:u w:val="single"/>
          <w:lang w:val="en-US" w:eastAsia="zh-CN"/>
        </w:rPr>
        <w:t>附着式升降脚手架、高处作业吊篮检测评估服务经费</w:t>
      </w:r>
      <w:r>
        <w:rPr>
          <w:rFonts w:hint="eastAsia" w:eastAsia="仿宋_GB2312"/>
          <w:sz w:val="32"/>
          <w:szCs w:val="32"/>
          <w:lang w:val="en-US" w:eastAsia="zh-CN"/>
        </w:rPr>
        <w:t>支出</w:t>
      </w:r>
      <w:r>
        <w:rPr>
          <w:rFonts w:hint="eastAsia" w:eastAsia="仿宋_GB2312"/>
          <w:sz w:val="32"/>
          <w:szCs w:val="32"/>
          <w:u w:val="single"/>
          <w:lang w:val="en-US" w:eastAsia="zh-CN"/>
        </w:rPr>
        <w:t>8</w:t>
      </w:r>
      <w:r>
        <w:rPr>
          <w:rFonts w:hint="eastAsia" w:eastAsia="仿宋_GB2312"/>
          <w:sz w:val="32"/>
          <w:szCs w:val="32"/>
          <w:lang w:val="en-US" w:eastAsia="zh-CN"/>
        </w:rPr>
        <w:t>万元，提升湘乡市建筑施工工具式脚手架安全生产管理水平，预防和减少安全生产事故发生；</w:t>
      </w:r>
      <w:r>
        <w:rPr>
          <w:rFonts w:hint="eastAsia" w:eastAsia="仿宋_GB2312"/>
          <w:sz w:val="32"/>
          <w:szCs w:val="32"/>
          <w:u w:val="single"/>
          <w:lang w:val="en-US" w:eastAsia="zh-CN"/>
        </w:rPr>
        <w:t>全市性安全生产会议及培训支出10</w:t>
      </w:r>
      <w:r>
        <w:rPr>
          <w:rFonts w:hint="eastAsia" w:eastAsia="仿宋_GB2312"/>
          <w:sz w:val="32"/>
          <w:szCs w:val="32"/>
          <w:lang w:val="en-US" w:eastAsia="zh-CN"/>
        </w:rPr>
        <w:t>万元，提升全市建筑行业质量、安全生产水平及从业人员素质；</w:t>
      </w:r>
      <w:r>
        <w:rPr>
          <w:rFonts w:hint="eastAsia" w:eastAsia="仿宋_GB2312"/>
          <w:sz w:val="32"/>
          <w:szCs w:val="32"/>
          <w:u w:val="single"/>
          <w:lang w:eastAsia="zh-CN"/>
        </w:rPr>
        <w:t>《质安在线》栏目</w:t>
      </w:r>
      <w:r>
        <w:rPr>
          <w:rFonts w:eastAsia="仿宋_GB2312"/>
          <w:sz w:val="32"/>
          <w:szCs w:val="32"/>
          <w:u w:val="single"/>
        </w:rPr>
        <w:t xml:space="preserve"> </w:t>
      </w:r>
      <w:r>
        <w:rPr>
          <w:rFonts w:eastAsia="仿宋_GB2312"/>
          <w:sz w:val="32"/>
          <w:szCs w:val="32"/>
        </w:rPr>
        <w:t>支出</w:t>
      </w:r>
      <w:r>
        <w:rPr>
          <w:rFonts w:eastAsia="仿宋_GB2312"/>
          <w:sz w:val="32"/>
          <w:szCs w:val="32"/>
          <w:u w:val="single"/>
        </w:rPr>
        <w:t xml:space="preserve">  </w:t>
      </w:r>
      <w:r>
        <w:rPr>
          <w:rFonts w:hint="eastAsia" w:eastAsia="仿宋_GB2312"/>
          <w:sz w:val="32"/>
          <w:szCs w:val="32"/>
          <w:u w:val="single"/>
          <w:lang w:val="en-US" w:eastAsia="zh-CN"/>
        </w:rPr>
        <w:t>12</w:t>
      </w:r>
      <w:r>
        <w:rPr>
          <w:rFonts w:eastAsia="仿宋_GB2312"/>
          <w:sz w:val="32"/>
          <w:szCs w:val="32"/>
          <w:u w:val="single"/>
        </w:rPr>
        <w:t xml:space="preserve"> </w:t>
      </w:r>
      <w:r>
        <w:rPr>
          <w:rFonts w:eastAsia="仿宋_GB2312"/>
          <w:sz w:val="32"/>
          <w:szCs w:val="32"/>
        </w:rPr>
        <w:t>万元，主要用于</w:t>
      </w:r>
      <w:r>
        <w:rPr>
          <w:rFonts w:hint="eastAsia" w:eastAsia="仿宋_GB2312"/>
          <w:sz w:val="32"/>
          <w:szCs w:val="32"/>
          <w:lang w:eastAsia="zh-CN"/>
        </w:rPr>
        <w:t>公开公示全市受监项目质量安全消防情况</w:t>
      </w:r>
      <w:r>
        <w:rPr>
          <w:rFonts w:eastAsia="仿宋_GB2312"/>
          <w:sz w:val="32"/>
          <w:szCs w:val="32"/>
        </w:rPr>
        <w:t>等方面。</w:t>
      </w:r>
    </w:p>
    <w:p>
      <w:pPr>
        <w:widowControl/>
        <w:spacing w:line="600" w:lineRule="exact"/>
        <w:jc w:val="left"/>
        <w:rPr>
          <w:rFonts w:eastAsia="黑体"/>
          <w:sz w:val="32"/>
          <w:szCs w:val="32"/>
        </w:rPr>
      </w:pPr>
      <w:r>
        <w:rPr>
          <w:rFonts w:eastAsia="黑体"/>
          <w:sz w:val="32"/>
          <w:szCs w:val="32"/>
        </w:rPr>
        <w:t>五、政府性基金预算支出</w:t>
      </w:r>
      <w:bookmarkStart w:id="0" w:name="_GoBack"/>
      <w:bookmarkEnd w:id="0"/>
    </w:p>
    <w:p>
      <w:pPr>
        <w:widowControl/>
        <w:spacing w:line="600" w:lineRule="exact"/>
        <w:ind w:firstLine="320" w:firstLineChars="100"/>
        <w:rPr>
          <w:rFonts w:hint="eastAsia" w:eastAsia="仿宋_GB2312"/>
          <w:b w:val="0"/>
          <w:bCs/>
          <w:sz w:val="32"/>
          <w:szCs w:val="32"/>
          <w:lang w:eastAsia="zh-CN"/>
        </w:rPr>
      </w:pPr>
      <w:r>
        <w:rPr>
          <w:rFonts w:hint="eastAsia" w:eastAsia="仿宋_GB2312"/>
          <w:sz w:val="32"/>
          <w:szCs w:val="32"/>
          <w:lang w:val="en-US" w:eastAsia="zh-CN"/>
        </w:rPr>
        <w:t>2022</w:t>
      </w:r>
      <w:r>
        <w:rPr>
          <w:rFonts w:eastAsia="仿宋_GB2312"/>
          <w:sz w:val="32"/>
          <w:szCs w:val="32"/>
        </w:rPr>
        <w:t>年</w:t>
      </w:r>
      <w:r>
        <w:rPr>
          <w:rFonts w:eastAsia="仿宋_GB2312"/>
          <w:b w:val="0"/>
          <w:bCs/>
          <w:sz w:val="32"/>
          <w:szCs w:val="32"/>
        </w:rPr>
        <w:t>本部门无政府性基金安排的支出</w:t>
      </w:r>
      <w:r>
        <w:rPr>
          <w:rFonts w:hint="eastAsia" w:eastAsia="仿宋_GB2312"/>
          <w:b w:val="0"/>
          <w:bCs/>
          <w:sz w:val="32"/>
          <w:szCs w:val="32"/>
          <w:lang w:eastAsia="zh-CN"/>
        </w:rPr>
        <w:t>。</w:t>
      </w:r>
    </w:p>
    <w:p>
      <w:pPr>
        <w:widowControl/>
        <w:spacing w:line="600" w:lineRule="exact"/>
        <w:jc w:val="left"/>
        <w:rPr>
          <w:rFonts w:eastAsia="黑体"/>
          <w:sz w:val="32"/>
          <w:szCs w:val="32"/>
        </w:rPr>
      </w:pPr>
      <w:r>
        <w:rPr>
          <w:rFonts w:eastAsia="黑体"/>
          <w:sz w:val="32"/>
          <w:szCs w:val="32"/>
        </w:rPr>
        <w:t>六、其他重要事项的情况说明</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（一）机关运行经费：</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年行政事业单位的机关运行经费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52.29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万元，比上年预算减少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1.15</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%，主要</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lang w:val="en-US" w:eastAsia="zh-CN"/>
        </w:rPr>
        <w:t>2022年质安站减少1名工作人员</w:t>
      </w:r>
      <w:r>
        <w:rPr>
          <w:rFonts w:hint="eastAsia" w:ascii="仿宋_GB2312" w:hAnsi="仿宋_GB2312" w:eastAsia="仿宋_GB2312" w:cs="仿宋_GB2312"/>
          <w:sz w:val="32"/>
          <w:szCs w:val="32"/>
        </w:rPr>
        <w:t>。</w:t>
      </w:r>
    </w:p>
    <w:p>
      <w:pPr>
        <w:widowControl/>
        <w:spacing w:line="60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（二）“三公”经费预算：</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年本部门机关行政事业单位“三公”经费预算数为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年“三公”经费预算较</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年持平。</w:t>
      </w:r>
    </w:p>
    <w:p>
      <w:pPr>
        <w:widowControl/>
        <w:spacing w:line="600" w:lineRule="exact"/>
        <w:ind w:firstLine="660"/>
        <w:rPr>
          <w:rFonts w:hint="eastAsia" w:ascii="仿宋_GB2312" w:hAnsi="仿宋_GB2312" w:eastAsia="仿宋_GB2312" w:cs="仿宋_GB2312"/>
          <w:kern w:val="0"/>
          <w:sz w:val="32"/>
          <w:szCs w:val="32"/>
        </w:rPr>
      </w:pPr>
      <w:r>
        <w:rPr>
          <w:rFonts w:hint="eastAsia" w:ascii="仿宋_GB2312" w:hAnsi="仿宋_GB2312" w:eastAsia="仿宋_GB2312" w:cs="仿宋_GB2312"/>
          <w:b/>
          <w:sz w:val="32"/>
          <w:szCs w:val="32"/>
        </w:rPr>
        <w:t>（三）一般性支出情况：</w:t>
      </w:r>
      <w:r>
        <w:rPr>
          <w:rFonts w:hint="eastAsia" w:ascii="仿宋_GB2312" w:hAnsi="仿宋_GB2312" w:eastAsia="仿宋_GB2312" w:cs="仿宋_GB2312"/>
          <w:kern w:val="0"/>
          <w:sz w:val="32"/>
          <w:szCs w:val="32"/>
          <w:lang w:val="en-US" w:eastAsia="zh-CN"/>
        </w:rPr>
        <w:t>2022</w:t>
      </w:r>
      <w:r>
        <w:rPr>
          <w:rFonts w:hint="eastAsia" w:ascii="仿宋_GB2312" w:hAnsi="仿宋_GB2312" w:eastAsia="仿宋_GB2312" w:cs="仿宋_GB2312"/>
          <w:kern w:val="0"/>
          <w:sz w:val="32"/>
          <w:szCs w:val="32"/>
        </w:rPr>
        <w:t>年培训费预算</w:t>
      </w:r>
      <w:r>
        <w:rPr>
          <w:rFonts w:hint="eastAsia" w:ascii="仿宋_GB2312" w:hAnsi="仿宋_GB2312" w:eastAsia="仿宋_GB2312" w:cs="仿宋_GB2312"/>
          <w:sz w:val="32"/>
          <w:szCs w:val="32"/>
          <w:u w:val="single"/>
          <w:lang w:val="en-US" w:eastAsia="zh-CN"/>
        </w:rPr>
        <w:t>11.5</w:t>
      </w:r>
      <w:r>
        <w:rPr>
          <w:rFonts w:hint="eastAsia" w:ascii="仿宋_GB2312" w:hAnsi="仿宋_GB2312" w:eastAsia="仿宋_GB2312" w:cs="仿宋_GB2312"/>
          <w:kern w:val="0"/>
          <w:sz w:val="32"/>
          <w:szCs w:val="32"/>
        </w:rPr>
        <w:t>万元，拟开展</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全市性消防、质量、安全生产</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培训，人数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800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人，内容为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消防设计审查验收能力培训、建筑施工机械设备设施管理人员安全知识培训等</w:t>
      </w:r>
      <w:r>
        <w:rPr>
          <w:rFonts w:hint="eastAsia" w:ascii="仿宋_GB2312" w:hAnsi="仿宋_GB2312" w:eastAsia="仿宋_GB2312" w:cs="仿宋_GB2312"/>
          <w:kern w:val="0"/>
          <w:sz w:val="32"/>
          <w:szCs w:val="32"/>
        </w:rPr>
        <w:t>；</w:t>
      </w:r>
    </w:p>
    <w:p>
      <w:pPr>
        <w:widowControl/>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（四）政府采购情况：</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年本部门政府采购预算总额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万元，其中，货物类采购预算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万元；工程类采购预算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万元；服务类采购预算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widowControl/>
        <w:numPr>
          <w:ilvl w:val="0"/>
          <w:numId w:val="5"/>
        </w:numPr>
        <w:spacing w:line="600" w:lineRule="exact"/>
        <w:ind w:firstLine="66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政府购买服务情况说明</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年本部门政府</w:t>
      </w:r>
      <w:r>
        <w:rPr>
          <w:rFonts w:hint="eastAsia" w:ascii="仿宋_GB2312" w:hAnsi="仿宋_GB2312" w:eastAsia="仿宋_GB2312" w:cs="仿宋_GB2312"/>
          <w:sz w:val="32"/>
          <w:szCs w:val="32"/>
          <w:lang w:eastAsia="zh-CN"/>
        </w:rPr>
        <w:t>购买服务</w:t>
      </w:r>
      <w:r>
        <w:rPr>
          <w:rFonts w:hint="eastAsia" w:ascii="仿宋_GB2312" w:hAnsi="仿宋_GB2312" w:eastAsia="仿宋_GB2312" w:cs="仿宋_GB2312"/>
          <w:sz w:val="32"/>
          <w:szCs w:val="32"/>
        </w:rPr>
        <w:t>预算总额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r>
        <w:rPr>
          <w:rFonts w:hint="eastAsia" w:eastAsia="仿宋_GB2312"/>
          <w:sz w:val="32"/>
          <w:szCs w:val="32"/>
          <w:lang w:eastAsia="zh-CN"/>
        </w:rPr>
        <w:t>。</w:t>
      </w:r>
    </w:p>
    <w:p>
      <w:pPr>
        <w:widowControl/>
        <w:numPr>
          <w:ilvl w:val="0"/>
          <w:numId w:val="5"/>
        </w:numPr>
        <w:spacing w:line="600" w:lineRule="exact"/>
        <w:ind w:left="0" w:leftChars="0" w:firstLine="660" w:firstLineChars="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sz w:val="32"/>
          <w:szCs w:val="32"/>
        </w:rPr>
        <w:t>国有资产占用使用及新增资产配置情况：</w:t>
      </w:r>
      <w:r>
        <w:rPr>
          <w:rFonts w:hint="eastAsia" w:ascii="仿宋_GB2312" w:hAnsi="仿宋_GB2312" w:eastAsia="仿宋_GB2312" w:cs="仿宋_GB2312"/>
          <w:bCs/>
          <w:kern w:val="0"/>
          <w:sz w:val="32"/>
          <w:szCs w:val="32"/>
          <w:lang w:eastAsia="zh-CN"/>
        </w:rPr>
        <w:t>目前，本部门共有公务用车</w:t>
      </w:r>
      <w:r>
        <w:rPr>
          <w:rFonts w:hint="eastAsia" w:ascii="仿宋_GB2312" w:hAnsi="仿宋_GB2312" w:eastAsia="仿宋_GB2312" w:cs="仿宋_GB2312"/>
          <w:bCs/>
          <w:kern w:val="0"/>
          <w:sz w:val="32"/>
          <w:szCs w:val="32"/>
          <w:u w:val="single"/>
          <w:lang w:val="en-US" w:eastAsia="zh-CN"/>
        </w:rPr>
        <w:t xml:space="preserve"> 0  </w:t>
      </w:r>
      <w:r>
        <w:rPr>
          <w:rFonts w:hint="eastAsia" w:ascii="仿宋_GB2312" w:hAnsi="仿宋_GB2312" w:eastAsia="仿宋_GB2312" w:cs="仿宋_GB2312"/>
          <w:bCs/>
          <w:kern w:val="0"/>
          <w:sz w:val="32"/>
          <w:szCs w:val="32"/>
          <w:lang w:eastAsia="zh-CN"/>
        </w:rPr>
        <w:t>辆</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2022</w:t>
      </w:r>
      <w:r>
        <w:rPr>
          <w:rFonts w:hint="eastAsia" w:ascii="仿宋_GB2312" w:hAnsi="仿宋_GB2312" w:eastAsia="仿宋_GB2312" w:cs="仿宋_GB2312"/>
          <w:bCs/>
          <w:kern w:val="0"/>
          <w:sz w:val="32"/>
          <w:szCs w:val="32"/>
        </w:rPr>
        <w:t>年拟新增配置公务用车</w:t>
      </w:r>
      <w:r>
        <w:rPr>
          <w:rFonts w:hint="eastAsia" w:ascii="仿宋_GB2312" w:hAnsi="仿宋_GB2312" w:eastAsia="仿宋_GB2312" w:cs="仿宋_GB2312"/>
          <w:bCs/>
          <w:kern w:val="0"/>
          <w:sz w:val="32"/>
          <w:szCs w:val="32"/>
          <w:u w:val="single"/>
        </w:rPr>
        <w:t xml:space="preserve"> </w:t>
      </w:r>
      <w:r>
        <w:rPr>
          <w:rFonts w:hint="eastAsia" w:ascii="仿宋_GB2312" w:hAnsi="仿宋_GB2312" w:eastAsia="仿宋_GB2312" w:cs="仿宋_GB2312"/>
          <w:bCs/>
          <w:kern w:val="0"/>
          <w:sz w:val="32"/>
          <w:szCs w:val="32"/>
          <w:u w:val="single"/>
          <w:lang w:val="en-US" w:eastAsia="zh-CN"/>
        </w:rPr>
        <w:t>0</w:t>
      </w:r>
      <w:r>
        <w:rPr>
          <w:rFonts w:hint="eastAsia" w:ascii="仿宋_GB2312" w:hAnsi="仿宋_GB2312" w:eastAsia="仿宋_GB2312" w:cs="仿宋_GB2312"/>
          <w:bCs/>
          <w:kern w:val="0"/>
          <w:sz w:val="32"/>
          <w:szCs w:val="32"/>
          <w:u w:val="single"/>
        </w:rPr>
        <w:t xml:space="preserve"> </w:t>
      </w:r>
      <w:r>
        <w:rPr>
          <w:rFonts w:hint="eastAsia" w:ascii="仿宋_GB2312" w:hAnsi="仿宋_GB2312" w:eastAsia="仿宋_GB2312" w:cs="仿宋_GB2312"/>
          <w:bCs/>
          <w:kern w:val="0"/>
          <w:sz w:val="32"/>
          <w:szCs w:val="32"/>
        </w:rPr>
        <w:t>辆</w:t>
      </w:r>
      <w:r>
        <w:rPr>
          <w:rFonts w:hint="eastAsia" w:ascii="仿宋_GB2312" w:hAnsi="仿宋_GB2312" w:eastAsia="仿宋_GB2312" w:cs="仿宋_GB2312"/>
          <w:bCs/>
          <w:kern w:val="0"/>
          <w:sz w:val="32"/>
          <w:szCs w:val="32"/>
          <w:lang w:eastAsia="zh-CN"/>
        </w:rPr>
        <w:t>。</w:t>
      </w:r>
    </w:p>
    <w:p>
      <w:pPr>
        <w:widowControl/>
        <w:spacing w:line="600" w:lineRule="exact"/>
        <w:ind w:firstLine="66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七</w:t>
      </w:r>
      <w:r>
        <w:rPr>
          <w:rFonts w:hint="eastAsia" w:ascii="仿宋_GB2312" w:hAnsi="仿宋_GB2312" w:eastAsia="仿宋_GB2312" w:cs="仿宋_GB2312"/>
          <w:b/>
          <w:bCs/>
          <w:kern w:val="0"/>
          <w:sz w:val="32"/>
          <w:szCs w:val="32"/>
        </w:rPr>
        <w:t>）预算绩效目标说明：</w:t>
      </w:r>
      <w:r>
        <w:rPr>
          <w:rFonts w:hint="eastAsia" w:ascii="仿宋_GB2312" w:hAnsi="仿宋_GB2312" w:eastAsia="仿宋_GB2312" w:cs="仿宋_GB2312"/>
          <w:bCs/>
          <w:kern w:val="0"/>
          <w:sz w:val="32"/>
          <w:szCs w:val="32"/>
          <w:lang w:val="en-US" w:eastAsia="zh-CN"/>
        </w:rPr>
        <w:t>2021年</w:t>
      </w:r>
      <w:r>
        <w:rPr>
          <w:rFonts w:hint="eastAsia" w:eastAsia="仿宋_GB2312"/>
          <w:sz w:val="32"/>
          <w:szCs w:val="32"/>
          <w:u w:val="single"/>
        </w:rPr>
        <w:t>预拌混凝土质量专项检测</w:t>
      </w:r>
      <w:r>
        <w:rPr>
          <w:rFonts w:hint="eastAsia" w:ascii="仿宋_GB2312" w:hAnsi="仿宋_GB2312" w:eastAsia="仿宋_GB2312" w:cs="仿宋_GB2312"/>
          <w:bCs/>
          <w:kern w:val="0"/>
          <w:sz w:val="32"/>
          <w:szCs w:val="32"/>
        </w:rPr>
        <w:t>项目支出纳入了财政绩效评价，财政绩效评价结果</w:t>
      </w:r>
      <w:r>
        <w:rPr>
          <w:rFonts w:hint="eastAsia" w:ascii="仿宋_GB2312" w:hAnsi="仿宋_GB2312" w:eastAsia="仿宋_GB2312" w:cs="仿宋_GB2312"/>
          <w:bCs/>
          <w:kern w:val="0"/>
          <w:sz w:val="32"/>
          <w:szCs w:val="32"/>
          <w:lang w:eastAsia="zh-CN"/>
        </w:rPr>
        <w:t>为中。</w:t>
      </w:r>
      <w:r>
        <w:rPr>
          <w:rFonts w:hint="eastAsia" w:ascii="仿宋_GB2312" w:hAnsi="仿宋_GB2312" w:eastAsia="仿宋_GB2312" w:cs="仿宋_GB2312"/>
          <w:bCs/>
          <w:kern w:val="0"/>
          <w:sz w:val="32"/>
          <w:szCs w:val="32"/>
          <w:lang w:val="en-US" w:eastAsia="zh-CN"/>
        </w:rPr>
        <w:t>2022</w:t>
      </w:r>
      <w:r>
        <w:rPr>
          <w:rFonts w:hint="eastAsia" w:ascii="仿宋_GB2312" w:hAnsi="仿宋_GB2312" w:eastAsia="仿宋_GB2312" w:cs="仿宋_GB2312"/>
          <w:bCs/>
          <w:kern w:val="0"/>
          <w:sz w:val="32"/>
          <w:szCs w:val="32"/>
          <w:lang w:eastAsia="zh-CN"/>
        </w:rPr>
        <w:t>年本</w:t>
      </w:r>
      <w:r>
        <w:rPr>
          <w:rFonts w:hint="eastAsia" w:ascii="仿宋_GB2312" w:hAnsi="仿宋_GB2312" w:eastAsia="仿宋_GB2312" w:cs="仿宋_GB2312"/>
          <w:bCs/>
          <w:kern w:val="0"/>
          <w:sz w:val="32"/>
          <w:szCs w:val="32"/>
        </w:rPr>
        <w:t>部门所有支出实行绩效目标管理。纳入</w:t>
      </w:r>
      <w:r>
        <w:rPr>
          <w:rFonts w:hint="eastAsia" w:ascii="仿宋_GB2312" w:hAnsi="仿宋_GB2312" w:eastAsia="仿宋_GB2312" w:cs="仿宋_GB2312"/>
          <w:bCs/>
          <w:kern w:val="0"/>
          <w:sz w:val="32"/>
          <w:szCs w:val="32"/>
          <w:lang w:val="en-US" w:eastAsia="zh-CN"/>
        </w:rPr>
        <w:t>2022</w:t>
      </w:r>
      <w:r>
        <w:rPr>
          <w:rFonts w:hint="eastAsia" w:ascii="仿宋_GB2312" w:hAnsi="仿宋_GB2312" w:eastAsia="仿宋_GB2312" w:cs="仿宋_GB2312"/>
          <w:bCs/>
          <w:kern w:val="0"/>
          <w:sz w:val="32"/>
          <w:szCs w:val="32"/>
        </w:rPr>
        <w:t>年部门整体支出绩效目标的金额为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525.09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Cs/>
          <w:kern w:val="0"/>
          <w:sz w:val="32"/>
          <w:szCs w:val="32"/>
        </w:rPr>
        <w:t>万元，其中，基本支出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425.09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Cs/>
          <w:kern w:val="0"/>
          <w:sz w:val="32"/>
          <w:szCs w:val="32"/>
        </w:rPr>
        <w:t>万元，项目支出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100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Cs/>
          <w:kern w:val="0"/>
          <w:sz w:val="32"/>
          <w:szCs w:val="32"/>
        </w:rPr>
        <w:t>万元，具体绩效目标详见报表。</w:t>
      </w:r>
    </w:p>
    <w:p>
      <w:pPr>
        <w:widowControl/>
        <w:spacing w:line="600" w:lineRule="exact"/>
        <w:rPr>
          <w:rFonts w:eastAsia="黑体"/>
          <w:sz w:val="32"/>
          <w:szCs w:val="32"/>
        </w:rPr>
      </w:pPr>
      <w:r>
        <w:rPr>
          <w:rFonts w:eastAsia="黑体"/>
          <w:sz w:val="32"/>
          <w:szCs w:val="32"/>
        </w:rPr>
        <w:t>七、名词解释</w:t>
      </w:r>
    </w:p>
    <w:p>
      <w:pPr>
        <w:widowControl/>
        <w:spacing w:line="600" w:lineRule="exact"/>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numPr>
          <w:ilvl w:val="0"/>
          <w:numId w:val="0"/>
        </w:numPr>
        <w:spacing w:line="600" w:lineRule="exact"/>
        <w:jc w:val="left"/>
        <w:rPr>
          <w:rFonts w:hint="eastAsia" w:eastAsia="黑体"/>
          <w:bCs/>
          <w:kern w:val="0"/>
          <w:sz w:val="32"/>
          <w:szCs w:val="32"/>
          <w:lang w:eastAsia="zh-CN"/>
        </w:rPr>
      </w:pPr>
    </w:p>
    <w:p>
      <w:pPr>
        <w:widowControl/>
        <w:spacing w:line="600" w:lineRule="exact"/>
        <w:jc w:val="center"/>
        <w:rPr>
          <w:rFonts w:eastAsia="黑体"/>
          <w:kern w:val="0"/>
          <w:sz w:val="32"/>
          <w:szCs w:val="32"/>
        </w:rPr>
      </w:pPr>
    </w:p>
    <w:p>
      <w:pPr>
        <w:widowControl/>
        <w:spacing w:line="600" w:lineRule="exact"/>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BF49845-CEFD-4060-ABC0-A8D470493B15}"/>
  </w:font>
  <w:font w:name="黑体">
    <w:panose1 w:val="02010609060101010101"/>
    <w:charset w:val="86"/>
    <w:family w:val="auto"/>
    <w:pitch w:val="default"/>
    <w:sig w:usb0="800002BF" w:usb1="38CF7CFA" w:usb2="00000016" w:usb3="00000000" w:csb0="00040001" w:csb1="00000000"/>
    <w:embedRegular r:id="rId2" w:fontKey="{8D9D80AA-CEEF-4603-9390-BF395C88FC8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3" w:fontKey="{484E0F67-6A41-4210-94F0-C5567E719FF3}"/>
  </w:font>
  <w:font w:name="方正小标宋_GBK">
    <w:panose1 w:val="02000000000000000000"/>
    <w:charset w:val="86"/>
    <w:family w:val="script"/>
    <w:pitch w:val="default"/>
    <w:sig w:usb0="A00002BF" w:usb1="38CF7CFA" w:usb2="00082016" w:usb3="00000000" w:csb0="00040001" w:csb1="00000000"/>
    <w:embedRegular r:id="rId4" w:fontKey="{7F8C0BFC-D4C8-4C17-9075-190AAAA3C33B}"/>
  </w:font>
  <w:font w:name="仿宋">
    <w:panose1 w:val="02010609060101010101"/>
    <w:charset w:val="86"/>
    <w:family w:val="auto"/>
    <w:pitch w:val="default"/>
    <w:sig w:usb0="800002BF" w:usb1="38CF7CFA" w:usb2="00000016" w:usb3="00000000" w:csb0="00040001" w:csb1="00000000"/>
    <w:embedRegular r:id="rId5" w:fontKey="{F5C21267-5112-4942-9365-5884F377850E}"/>
  </w:font>
  <w:font w:name="楷体_GB2312">
    <w:altName w:val="楷体"/>
    <w:panose1 w:val="02010609030101010101"/>
    <w:charset w:val="86"/>
    <w:family w:val="auto"/>
    <w:pitch w:val="default"/>
    <w:sig w:usb0="00000000" w:usb1="00000000" w:usb2="00000000" w:usb3="00000000" w:csb0="00040000" w:csb1="00000000"/>
    <w:embedRegular r:id="rId6" w:fontKey="{48C5BBE5-5DDD-498E-AD26-41CDA5A4AC79}"/>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97328E"/>
    <w:multiLevelType w:val="singleLevel"/>
    <w:tmpl w:val="8C97328E"/>
    <w:lvl w:ilvl="0" w:tentative="0">
      <w:start w:val="5"/>
      <w:numFmt w:val="chineseCounting"/>
      <w:suff w:val="nothing"/>
      <w:lvlText w:val="（%1）"/>
      <w:lvlJc w:val="left"/>
      <w:rPr>
        <w:rFonts w:hint="eastAsia"/>
      </w:rPr>
    </w:lvl>
  </w:abstractNum>
  <w:abstractNum w:abstractNumId="1">
    <w:nsid w:val="EA6EB3D2"/>
    <w:multiLevelType w:val="singleLevel"/>
    <w:tmpl w:val="EA6EB3D2"/>
    <w:lvl w:ilvl="0" w:tentative="0">
      <w:start w:val="3"/>
      <w:numFmt w:val="chineseCounting"/>
      <w:suff w:val="nothing"/>
      <w:lvlText w:val="%1、"/>
      <w:lvlJc w:val="left"/>
      <w:rPr>
        <w:rFonts w:hint="eastAsia"/>
      </w:rPr>
    </w:lvl>
  </w:abstractNum>
  <w:abstractNum w:abstractNumId="2">
    <w:nsid w:val="2F75FAC7"/>
    <w:multiLevelType w:val="singleLevel"/>
    <w:tmpl w:val="2F75FAC7"/>
    <w:lvl w:ilvl="0" w:tentative="0">
      <w:start w:val="2"/>
      <w:numFmt w:val="chineseCounting"/>
      <w:suff w:val="nothing"/>
      <w:lvlText w:val="%1、"/>
      <w:lvlJc w:val="left"/>
      <w:rPr>
        <w:rFonts w:hint="eastAsia"/>
      </w:rPr>
    </w:lvl>
  </w:abstractNum>
  <w:abstractNum w:abstractNumId="3">
    <w:nsid w:val="4C4611DB"/>
    <w:multiLevelType w:val="singleLevel"/>
    <w:tmpl w:val="4C4611DB"/>
    <w:lvl w:ilvl="0" w:tentative="0">
      <w:start w:val="1"/>
      <w:numFmt w:val="chineseCounting"/>
      <w:suff w:val="nothing"/>
      <w:lvlText w:val="%1、"/>
      <w:lvlJc w:val="left"/>
      <w:rPr>
        <w:rFonts w:hint="eastAsia"/>
      </w:rPr>
    </w:lvl>
  </w:abstractNum>
  <w:abstractNum w:abstractNumId="4">
    <w:nsid w:val="663E6BDE"/>
    <w:multiLevelType w:val="singleLevel"/>
    <w:tmpl w:val="663E6BDE"/>
    <w:lvl w:ilvl="0" w:tentative="0">
      <w:start w:val="1"/>
      <w:numFmt w:val="chineseCounting"/>
      <w:suff w:val="space"/>
      <w:lvlText w:val="第%1部分"/>
      <w:lvlJc w:val="left"/>
      <w:rPr>
        <w:rFonts w:hint="eastAsia"/>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D7350"/>
    <w:rsid w:val="0020174A"/>
    <w:rsid w:val="002D16C4"/>
    <w:rsid w:val="002D7251"/>
    <w:rsid w:val="003E3871"/>
    <w:rsid w:val="003F3476"/>
    <w:rsid w:val="00414B59"/>
    <w:rsid w:val="00435C97"/>
    <w:rsid w:val="00847955"/>
    <w:rsid w:val="009340DD"/>
    <w:rsid w:val="009B6981"/>
    <w:rsid w:val="00A121F9"/>
    <w:rsid w:val="00CE47C7"/>
    <w:rsid w:val="00D9092A"/>
    <w:rsid w:val="00E827A7"/>
    <w:rsid w:val="00F662A7"/>
    <w:rsid w:val="017D2882"/>
    <w:rsid w:val="0227293C"/>
    <w:rsid w:val="045E24A9"/>
    <w:rsid w:val="04605D75"/>
    <w:rsid w:val="066D50CE"/>
    <w:rsid w:val="06ED1CCE"/>
    <w:rsid w:val="07F12954"/>
    <w:rsid w:val="0AEE53BA"/>
    <w:rsid w:val="0D121618"/>
    <w:rsid w:val="0D5D6C5C"/>
    <w:rsid w:val="0DD86E17"/>
    <w:rsid w:val="0E4716BA"/>
    <w:rsid w:val="0E544D74"/>
    <w:rsid w:val="0EE707F6"/>
    <w:rsid w:val="0FDE127A"/>
    <w:rsid w:val="130D0C27"/>
    <w:rsid w:val="134A2874"/>
    <w:rsid w:val="14F92240"/>
    <w:rsid w:val="15E66BAF"/>
    <w:rsid w:val="16D23ADD"/>
    <w:rsid w:val="1CA506E8"/>
    <w:rsid w:val="1D5F7B08"/>
    <w:rsid w:val="1D93708A"/>
    <w:rsid w:val="1DA63635"/>
    <w:rsid w:val="1DD9425D"/>
    <w:rsid w:val="1EBB1BEE"/>
    <w:rsid w:val="1FD247DF"/>
    <w:rsid w:val="212013EF"/>
    <w:rsid w:val="21241BCD"/>
    <w:rsid w:val="21BC49E6"/>
    <w:rsid w:val="28E94267"/>
    <w:rsid w:val="2B59057C"/>
    <w:rsid w:val="2C512791"/>
    <w:rsid w:val="2C940ED8"/>
    <w:rsid w:val="2CC475C7"/>
    <w:rsid w:val="301F6F84"/>
    <w:rsid w:val="34F50AD6"/>
    <w:rsid w:val="363C59DE"/>
    <w:rsid w:val="393E63DF"/>
    <w:rsid w:val="3F016907"/>
    <w:rsid w:val="405B20B7"/>
    <w:rsid w:val="438C6E72"/>
    <w:rsid w:val="45133691"/>
    <w:rsid w:val="46DA670A"/>
    <w:rsid w:val="46FD5AFB"/>
    <w:rsid w:val="47A27ED1"/>
    <w:rsid w:val="48305828"/>
    <w:rsid w:val="48A93870"/>
    <w:rsid w:val="4C312198"/>
    <w:rsid w:val="4ED31142"/>
    <w:rsid w:val="504D4E4D"/>
    <w:rsid w:val="512618DB"/>
    <w:rsid w:val="5268345B"/>
    <w:rsid w:val="52722142"/>
    <w:rsid w:val="55130421"/>
    <w:rsid w:val="554808C5"/>
    <w:rsid w:val="55D618F3"/>
    <w:rsid w:val="56017B40"/>
    <w:rsid w:val="56632179"/>
    <w:rsid w:val="58660C09"/>
    <w:rsid w:val="5A5A6D5E"/>
    <w:rsid w:val="5A92668A"/>
    <w:rsid w:val="5F4128AA"/>
    <w:rsid w:val="5F5F1CBD"/>
    <w:rsid w:val="602B2290"/>
    <w:rsid w:val="60F0595B"/>
    <w:rsid w:val="610C5D4B"/>
    <w:rsid w:val="63181C3A"/>
    <w:rsid w:val="646F1D07"/>
    <w:rsid w:val="68F013AE"/>
    <w:rsid w:val="6C1E5983"/>
    <w:rsid w:val="6D25023E"/>
    <w:rsid w:val="6D4A1E18"/>
    <w:rsid w:val="6D8B6FE8"/>
    <w:rsid w:val="6EEE573F"/>
    <w:rsid w:val="712B304A"/>
    <w:rsid w:val="733177D2"/>
    <w:rsid w:val="7505670F"/>
    <w:rsid w:val="751B5D91"/>
    <w:rsid w:val="769A1DB9"/>
    <w:rsid w:val="79737D0B"/>
    <w:rsid w:val="7F0B302B"/>
    <w:rsid w:val="7F7D0A2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czj</Company>
  <Pages>4</Pages>
  <Words>275</Words>
  <Characters>1574</Characters>
  <Lines>0</Lines>
  <Paragraphs>0</Paragraphs>
  <TotalTime>28</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莫静</cp:lastModifiedBy>
  <cp:lastPrinted>2021-03-23T06:22:00Z</cp:lastPrinted>
  <dcterms:modified xsi:type="dcterms:W3CDTF">2021-11-30T08:12:18Z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y fmtid="{D5CDD505-2E9C-101B-9397-08002B2CF9AE}" pid="3" name="ICV">
    <vt:lpwstr>4FB2BE644B5D48A2AEEE9EEEA2316787</vt:lpwstr>
  </property>
</Properties>
</file>