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eastAsia="zh-CN"/>
        </w:rPr>
        <w:t>推荐评选全国行政执法先进集体公示</w:t>
      </w:r>
      <w:bookmarkStart w:id="0" w:name="_GoBack"/>
      <w:bookmarkEnd w:id="0"/>
    </w:p>
    <w:p>
      <w:pPr>
        <w:jc w:val="center"/>
        <w:rPr>
          <w:rFonts w:hint="eastAsia" w:asciiTheme="majorEastAsia" w:hAnsiTheme="majorEastAsia" w:eastAsiaTheme="majorEastAsia" w:cstheme="majorEastAsia"/>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湘乡市应急管理局组建于2019年3月，全局</w:t>
      </w:r>
      <w:r>
        <w:rPr>
          <w:rFonts w:hint="default" w:ascii="仿宋_GB2312" w:hAnsi="仿宋_GB2312" w:eastAsia="仿宋_GB2312" w:cs="仿宋_GB2312"/>
          <w:color w:val="000000"/>
          <w:sz w:val="28"/>
          <w:szCs w:val="28"/>
          <w:lang w:val="en-US" w:eastAsia="zh-CN"/>
        </w:rPr>
        <w:t>总编制54个，其中行政编制21个，事业编制30个，机关工勤编制3个。目前，该局有干部职工51人，其中行政人员13人，机关工勤人员8人，事业人员30人。</w:t>
      </w:r>
      <w:r>
        <w:rPr>
          <w:rFonts w:hint="eastAsia" w:ascii="仿宋_GB2312" w:hAnsi="仿宋_GB2312" w:eastAsia="仿宋_GB2312" w:cs="仿宋_GB2312"/>
          <w:color w:val="000000"/>
          <w:sz w:val="28"/>
          <w:szCs w:val="28"/>
          <w:lang w:val="en-US" w:eastAsia="zh-CN"/>
        </w:rPr>
        <w:t>局机关内设危化、非煤矿山、烟花爆竹、工贸行业四个安全监管股室，下设二级机构执法大队，直接承担全市19家非煤矿山企业、95家危险化学品企业、3家烟花爆竹批发企业、515家烟花爆竹零售网店、218家工贸行业企业的安全生产监管和行政执法工作。</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近年来，湘乡市应急管理局始终坚持以政治建设为统领，认真贯彻习近平法治思想和习近平总书记关于应急管理重要论述精神，全面加强安全生产监管执法，</w:t>
      </w:r>
      <w:r>
        <w:rPr>
          <w:rFonts w:hint="eastAsia" w:ascii="仿宋_GB2312" w:hAnsi="仿宋_GB2312" w:eastAsia="仿宋_GB2312" w:cs="仿宋_GB2312"/>
          <w:color w:val="000000"/>
          <w:sz w:val="28"/>
          <w:szCs w:val="28"/>
          <w:lang w:val="zh-CN" w:eastAsia="zh-CN"/>
        </w:rPr>
        <w:t>执法数量和质量</w:t>
      </w:r>
      <w:r>
        <w:rPr>
          <w:rFonts w:hint="eastAsia" w:ascii="仿宋_GB2312" w:hAnsi="仿宋_GB2312" w:eastAsia="仿宋_GB2312" w:cs="仿宋_GB2312"/>
          <w:color w:val="000000"/>
          <w:sz w:val="28"/>
          <w:szCs w:val="28"/>
          <w:lang w:val="en-US" w:eastAsia="zh-CN"/>
        </w:rPr>
        <w:t>连续多年</w:t>
      </w:r>
      <w:r>
        <w:rPr>
          <w:rFonts w:hint="eastAsia" w:ascii="仿宋_GB2312" w:hAnsi="仿宋_GB2312" w:eastAsia="仿宋_GB2312" w:cs="仿宋_GB2312"/>
          <w:color w:val="000000"/>
          <w:sz w:val="28"/>
          <w:szCs w:val="28"/>
          <w:lang w:val="zh-CN" w:eastAsia="zh-CN"/>
        </w:rPr>
        <w:t>位居全省前列，</w:t>
      </w:r>
      <w:r>
        <w:rPr>
          <w:rFonts w:hint="eastAsia" w:ascii="仿宋_GB2312" w:hAnsi="仿宋_GB2312" w:eastAsia="仿宋_GB2312" w:cs="仿宋_GB2312"/>
          <w:color w:val="000000"/>
          <w:sz w:val="28"/>
          <w:szCs w:val="28"/>
          <w:lang w:val="zh-CN"/>
        </w:rPr>
        <w:t>多次荣获湘乡市法治政府建设先进单位，</w:t>
      </w:r>
      <w:r>
        <w:rPr>
          <w:rFonts w:hint="eastAsia" w:ascii="仿宋_GB2312" w:hAnsi="仿宋_GB2312" w:eastAsia="仿宋_GB2312" w:cs="仿宋_GB2312"/>
          <w:color w:val="000000"/>
          <w:sz w:val="28"/>
          <w:szCs w:val="28"/>
          <w:lang w:val="zh-CN" w:eastAsia="zh-CN"/>
        </w:rPr>
        <w:t>未因行政执法不当引发一起行政复议、行政诉讼或群众上访等事件，</w:t>
      </w:r>
      <w:r>
        <w:rPr>
          <w:rFonts w:hint="eastAsia" w:ascii="仿宋_GB2312" w:hAnsi="仿宋_GB2312" w:eastAsia="仿宋_GB2312" w:cs="仿宋_GB2312"/>
          <w:color w:val="000000"/>
          <w:sz w:val="28"/>
          <w:szCs w:val="28"/>
          <w:lang w:val="en-US" w:eastAsia="zh-CN"/>
        </w:rPr>
        <w:t>2018年、2019年、2021年，湘乡市获湖南省安全生产和消防工作优秀单位。2018—2021连续四年获湘潭市安全生产和消防工作优秀单位。安全生产行政执法工作先后两次在全省应急管理局行政执法工作会议上作典型发言。</w:t>
      </w:r>
    </w:p>
    <w:p>
      <w:pPr>
        <w:keepNext w:val="0"/>
        <w:keepLines w:val="0"/>
        <w:pageBreakBefore w:val="0"/>
        <w:kinsoku/>
        <w:wordWrap/>
        <w:overflowPunct/>
        <w:topLinePunct w:val="0"/>
        <w:autoSpaceDE/>
        <w:autoSpaceDN/>
        <w:bidi w:val="0"/>
        <w:spacing w:line="580" w:lineRule="exact"/>
        <w:ind w:left="0" w:leftChars="0" w:right="0" w:rightChars="0" w:firstLine="560" w:firstLineChars="200"/>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近年来，湘乡市应急管理局创新方式方法、狠抓安全生产执法全过程管理，积极破解监管难题，构筑依法治安长效机制。</w:t>
      </w:r>
      <w:r>
        <w:rPr>
          <w:rFonts w:hint="eastAsia" w:ascii="方正楷体_GBK" w:hAnsi="方正楷体_GBK" w:eastAsia="方正楷体_GBK" w:cs="方正楷体_GBK"/>
          <w:b/>
          <w:bCs/>
          <w:color w:val="auto"/>
          <w:sz w:val="28"/>
          <w:szCs w:val="28"/>
          <w:lang w:val="en-US" w:eastAsia="zh-CN"/>
        </w:rPr>
        <w:t>一是强化“保障到位”。</w:t>
      </w:r>
      <w:r>
        <w:rPr>
          <w:rFonts w:hint="eastAsia" w:ascii="仿宋_GB2312" w:hAnsi="仿宋_GB2312" w:eastAsia="仿宋_GB2312" w:cs="仿宋_GB2312"/>
          <w:color w:val="000000"/>
          <w:sz w:val="28"/>
          <w:szCs w:val="28"/>
          <w:lang w:val="en-US" w:eastAsia="zh-CN"/>
        </w:rPr>
        <w:t>应急局编制由原安监15个增加至51个，其中执法大队从原来3个增加至13个，每个乡镇街道再配备3-5名执法人员。同时市委特批专业研究生招聘指标各1名，由人社部门统一公开招考并充实到业务股室，各业务股室由原来的2人增加至4人，目前全市共有112名应急管理干部取得安全生产执法资格，一线执法力量明显增强。</w:t>
      </w:r>
    </w:p>
    <w:p>
      <w:pPr>
        <w:keepNext w:val="0"/>
        <w:keepLines w:val="0"/>
        <w:pageBreakBefore w:val="0"/>
        <w:kinsoku/>
        <w:wordWrap/>
        <w:overflowPunct/>
        <w:topLinePunct w:val="0"/>
        <w:autoSpaceDE/>
        <w:autoSpaceDN/>
        <w:bidi w:val="0"/>
        <w:spacing w:line="580" w:lineRule="exact"/>
        <w:ind w:right="0" w:rightChars="0"/>
        <w:textAlignment w:val="auto"/>
        <w:outlineLvl w:val="9"/>
        <w:rPr>
          <w:rFonts w:hint="eastAsia" w:ascii="仿宋_GB2312" w:hAnsi="仿宋_GB2312" w:eastAsia="仿宋_GB2312" w:cs="仿宋_GB2312"/>
          <w:color w:val="000000"/>
          <w:sz w:val="28"/>
          <w:szCs w:val="28"/>
          <w:lang w:val="en-US" w:eastAsia="zh-CN"/>
        </w:rPr>
      </w:pPr>
      <w:r>
        <w:rPr>
          <w:rFonts w:hint="eastAsia" w:ascii="方正楷体_GBK" w:hAnsi="方正楷体_GBK" w:eastAsia="方正楷体_GBK" w:cs="方正楷体_GBK"/>
          <w:b/>
          <w:bCs/>
          <w:color w:val="auto"/>
          <w:sz w:val="28"/>
          <w:szCs w:val="28"/>
          <w:lang w:val="en-US" w:eastAsia="zh-CN"/>
        </w:rPr>
        <w:t>二是健全“机制体制”。</w:t>
      </w:r>
      <w:r>
        <w:rPr>
          <w:rFonts w:hint="eastAsia" w:ascii="仿宋_GB2312" w:hAnsi="仿宋_GB2312" w:eastAsia="仿宋_GB2312" w:cs="仿宋_GB2312"/>
          <w:color w:val="000000"/>
          <w:sz w:val="28"/>
          <w:szCs w:val="28"/>
          <w:lang w:val="en-US" w:eastAsia="zh-CN"/>
        </w:rPr>
        <w:t>制定《安全生产举报奖励制度》《行政执法公示制度》等10余项监管执法工作制度，严格执行重大行政处罚案件集体审核决定，一般行政处罚案件集体审查，强力推行“案审会”严管、法律顾问常驻等工作机制，加强执法事前、事中、事后全过程监管，提升执法效能。</w:t>
      </w:r>
      <w:r>
        <w:rPr>
          <w:rFonts w:hint="eastAsia" w:ascii="方正楷体_GBK" w:hAnsi="方正楷体_GBK" w:eastAsia="方正楷体_GBK" w:cs="方正楷体_GBK"/>
          <w:b/>
          <w:bCs/>
          <w:color w:val="auto"/>
          <w:sz w:val="28"/>
          <w:szCs w:val="28"/>
          <w:lang w:val="en-US" w:eastAsia="zh-CN"/>
        </w:rPr>
        <w:t>三是实行“查处分离”。</w:t>
      </w:r>
      <w:r>
        <w:rPr>
          <w:rFonts w:hint="eastAsia" w:ascii="仿宋_GB2312" w:hAnsi="仿宋_GB2312" w:eastAsia="仿宋_GB2312" w:cs="仿宋_GB2312"/>
          <w:color w:val="000000"/>
          <w:sz w:val="28"/>
          <w:szCs w:val="28"/>
          <w:lang w:val="en-US" w:eastAsia="zh-CN"/>
        </w:rPr>
        <w:t>将行政执法案件的调查、审核、处罚、执行分别由局内部不同部门负责办理：由业务股室负责“查”、政策法规股负责“审”、案审委员会负责“定”、执法大队负责“罚”，形成分工明确、职责清晰、程序规范的执法处罚机制，确保执法公正、程序合法、决策民主。</w:t>
      </w:r>
      <w:r>
        <w:rPr>
          <w:rFonts w:hint="eastAsia" w:ascii="方正楷体_GBK" w:hAnsi="方正楷体_GBK" w:eastAsia="方正楷体_GBK" w:cs="方正楷体_GBK"/>
          <w:b/>
          <w:bCs/>
          <w:color w:val="auto"/>
          <w:sz w:val="28"/>
          <w:szCs w:val="28"/>
          <w:lang w:val="en-US" w:eastAsia="zh-CN"/>
        </w:rPr>
        <w:t>四是狠抓“执法规范”。</w:t>
      </w:r>
      <w:r>
        <w:rPr>
          <w:rFonts w:hint="eastAsia" w:ascii="仿宋_GB2312" w:hAnsi="仿宋_GB2312" w:eastAsia="仿宋_GB2312" w:cs="仿宋_GB2312"/>
          <w:color w:val="000000"/>
          <w:sz w:val="28"/>
          <w:szCs w:val="28"/>
          <w:lang w:val="en-US" w:eastAsia="zh-CN"/>
        </w:rPr>
        <w:t>积极推行执法规范化建设，全面实施检查诊断、整改复查、行政处罚“三步曲”工作规范，检查执法过程中做到“五个见”：见问题清单、见责任人签字、见整改结果、见处罚指令、见复查验收。</w:t>
      </w:r>
      <w:r>
        <w:rPr>
          <w:rFonts w:hint="eastAsia" w:ascii="方正楷体_GBK" w:hAnsi="方正楷体_GBK" w:eastAsia="方正楷体_GBK" w:cs="方正楷体_GBK"/>
          <w:b/>
          <w:bCs/>
          <w:color w:val="auto"/>
          <w:sz w:val="28"/>
          <w:szCs w:val="28"/>
          <w:lang w:val="en-US" w:eastAsia="zh-CN"/>
        </w:rPr>
        <w:t>五是推广“模拟纠错”。</w:t>
      </w:r>
      <w:r>
        <w:rPr>
          <w:rFonts w:hint="eastAsia" w:ascii="仿宋_GB2312" w:hAnsi="仿宋_GB2312" w:eastAsia="仿宋_GB2312" w:cs="仿宋_GB2312"/>
          <w:color w:val="000000"/>
          <w:sz w:val="28"/>
          <w:szCs w:val="28"/>
          <w:lang w:val="en-US" w:eastAsia="zh-CN"/>
        </w:rPr>
        <w:t>模拟检查、处罚、听证、复议重大行政处罚案件，由法律顾问充当被处罚单位当事人，与执法人员进行无彩排辩论，检查执法行为、执法程序瑕疵与错误，及时纠正、及时解决，确保行政执法的合法性合理性，做到未雨绸缪，实现公平正义。</w:t>
      </w:r>
      <w:r>
        <w:rPr>
          <w:rFonts w:hint="eastAsia" w:ascii="方正楷体_GBK" w:hAnsi="方正楷体_GBK" w:eastAsia="方正楷体_GBK" w:cs="方正楷体_GBK"/>
          <w:b/>
          <w:bCs/>
          <w:color w:val="auto"/>
          <w:sz w:val="28"/>
          <w:szCs w:val="28"/>
          <w:lang w:val="en-US" w:eastAsia="zh-CN"/>
        </w:rPr>
        <w:t>六是严格“行刑衔接”。</w:t>
      </w:r>
      <w:r>
        <w:rPr>
          <w:rFonts w:hint="eastAsia" w:ascii="仿宋_GB2312" w:hAnsi="仿宋_GB2312" w:eastAsia="仿宋_GB2312" w:cs="仿宋_GB2312"/>
          <w:color w:val="000000"/>
          <w:sz w:val="28"/>
          <w:szCs w:val="28"/>
          <w:lang w:val="en-US" w:eastAsia="zh-CN"/>
        </w:rPr>
        <w:t>应急、公安、检察院、法院分别明确本单位行刑衔接工作分管领导和业务科室建立联席会议制度，定期会商，办理了一批安全生产领域行刑衔接典型案件，其中“邓某非法经营烟花爆竹案”、“周某良非法储存烟花爆竹涉嫌危险作业罪”等典型案件被公安部门刑事立案侦查，或已被法院宣判，成为全省推介的行刑衔接典型案件。</w:t>
      </w:r>
      <w:r>
        <w:rPr>
          <w:rFonts w:hint="eastAsia" w:ascii="方正楷体_GBK" w:hAnsi="方正楷体_GBK" w:eastAsia="方正楷体_GBK" w:cs="方正楷体_GBK"/>
          <w:b/>
          <w:bCs/>
          <w:color w:val="auto"/>
          <w:sz w:val="28"/>
          <w:szCs w:val="28"/>
          <w:lang w:val="en-US" w:eastAsia="zh-CN"/>
        </w:rPr>
        <w:t>七是强化“宣教先行”。</w:t>
      </w:r>
      <w:r>
        <w:rPr>
          <w:rFonts w:hint="eastAsia" w:ascii="仿宋_GB2312" w:hAnsi="仿宋_GB2312" w:eastAsia="仿宋_GB2312" w:cs="仿宋_GB2312"/>
          <w:color w:val="000000"/>
          <w:sz w:val="28"/>
          <w:szCs w:val="28"/>
          <w:lang w:val="en-US" w:eastAsia="zh-CN"/>
        </w:rPr>
        <w:t>以“新安法”、行政处罚法、刑法修正案（十一）实施为契机，广泛开展安全生产宣教“五进”活动，通过“村村响”、短信、微信等线上线下各类媒体，狠抓安全生产监管工作的“以案说法”“以案学法”“以案用法”。2021年，共开展各类典型案例宣传150余场次，推动“新安法”宣贯入脑入心，提升全社会依法治安工作合力。</w:t>
      </w:r>
    </w:p>
    <w:p>
      <w:pPr>
        <w:keepNext w:val="0"/>
        <w:keepLines w:val="0"/>
        <w:pageBreakBefore w:val="0"/>
        <w:kinsoku/>
        <w:wordWrap/>
        <w:overflowPunct/>
        <w:topLinePunct w:val="0"/>
        <w:autoSpaceDE/>
        <w:autoSpaceDN/>
        <w:bidi w:val="0"/>
        <w:spacing w:line="580" w:lineRule="exact"/>
        <w:ind w:left="0" w:leftChars="0" w:right="0" w:rightChars="0" w:firstLine="560" w:firstLineChars="200"/>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2019年以来，湘乡市应急管理系统</w:t>
      </w:r>
      <w:r>
        <w:rPr>
          <w:rFonts w:hint="default" w:ascii="仿宋_GB2312" w:hAnsi="仿宋_GB2312" w:eastAsia="仿宋_GB2312" w:cs="仿宋_GB2312"/>
          <w:color w:val="000000"/>
          <w:sz w:val="28"/>
          <w:szCs w:val="28"/>
          <w:lang w:val="zh-CN" w:eastAsia="zh-CN"/>
        </w:rPr>
        <w:t>共</w:t>
      </w:r>
      <w:r>
        <w:rPr>
          <w:rFonts w:hint="eastAsia" w:ascii="仿宋_GB2312" w:hAnsi="仿宋_GB2312" w:eastAsia="仿宋_GB2312" w:cs="仿宋_GB2312"/>
          <w:color w:val="000000"/>
          <w:sz w:val="28"/>
          <w:szCs w:val="28"/>
          <w:lang w:val="en-US" w:eastAsia="zh-CN"/>
        </w:rPr>
        <w:t>办理安全生产执法案件376起，处罚776次，到位罚款271.3万元</w:t>
      </w:r>
      <w:r>
        <w:rPr>
          <w:rFonts w:hint="eastAsia" w:ascii="仿宋_GB2312" w:hAnsi="仿宋_GB2312" w:eastAsia="仿宋_GB2312" w:cs="仿宋_GB2312"/>
          <w:color w:val="000000"/>
          <w:sz w:val="28"/>
          <w:szCs w:val="28"/>
          <w:lang w:val="zh-CN" w:eastAsia="zh-CN"/>
        </w:rPr>
        <w:t>，实现了案件数量和质量“双提升”。</w:t>
      </w:r>
    </w:p>
    <w:p>
      <w:pPr>
        <w:jc w:val="both"/>
        <w:rPr>
          <w:rFonts w:hint="eastAsia" w:ascii="仿宋" w:hAnsi="仿宋" w:eastAsia="仿宋" w:cs="仿宋"/>
          <w:b/>
          <w:bCs/>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6D4CE3"/>
    <w:rsid w:val="4F8F1BBA"/>
    <w:rsid w:val="7D473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2022-02-24T07:55:00Z</dcterms:created>
  <dc:creator>Administrator</dc:creator>
  <cp:lastModifiedBy>Administrator</cp:lastModifiedBy>
  <dcterms:modified xsi:type="dcterms:W3CDTF">2022-02-25T00:42:32Z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9624814F38094E849263D7643B17DCAE</vt:lpwstr>
  </property>
</Properties>
</file>