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黑体" w:hAnsi="黑体" w:eastAsia="黑体" w:cs="黑体"/>
          <w:kern w:val="0"/>
          <w:sz w:val="44"/>
          <w:szCs w:val="44"/>
          <w:lang w:eastAsia="zh-CN"/>
        </w:rPr>
      </w:pPr>
      <w:r>
        <w:rPr>
          <w:rFonts w:hint="eastAsia" w:ascii="Arial" w:hAnsi="Arial" w:eastAsia="黑体" w:cs="Arial"/>
          <w:b w:val="0"/>
          <w:bCs w:val="0"/>
          <w:kern w:val="0"/>
          <w:sz w:val="44"/>
          <w:szCs w:val="44"/>
          <w:lang w:val="en-US" w:eastAsia="zh-CN"/>
        </w:rPr>
        <w:t>2021</w:t>
      </w:r>
      <w:r>
        <w:rPr>
          <w:rFonts w:hint="eastAsia" w:ascii="黑体" w:hAnsi="黑体" w:eastAsia="黑体" w:cs="黑体"/>
          <w:kern w:val="0"/>
          <w:sz w:val="44"/>
          <w:szCs w:val="44"/>
        </w:rPr>
        <w:t>年</w:t>
      </w:r>
      <w:r>
        <w:rPr>
          <w:rFonts w:hint="eastAsia" w:ascii="Arial" w:hAnsi="Arial" w:eastAsia="黑体" w:cs="Arial"/>
          <w:b w:val="0"/>
          <w:bCs w:val="0"/>
          <w:kern w:val="0"/>
          <w:sz w:val="44"/>
          <w:szCs w:val="44"/>
          <w:lang w:val="en-US" w:eastAsia="zh-CN"/>
        </w:rPr>
        <w:t>湘乡市审计局</w:t>
      </w:r>
      <w:r>
        <w:rPr>
          <w:rFonts w:hint="eastAsia" w:ascii="黑体" w:hAnsi="黑体" w:eastAsia="黑体" w:cs="黑体"/>
          <w:kern w:val="0"/>
          <w:sz w:val="44"/>
          <w:szCs w:val="44"/>
        </w:rPr>
        <w:t>部门预算公开</w:t>
      </w:r>
      <w:r>
        <w:rPr>
          <w:rFonts w:hint="eastAsia" w:ascii="黑体" w:hAnsi="黑体" w:eastAsia="黑体" w:cs="黑体"/>
          <w:kern w:val="0"/>
          <w:sz w:val="44"/>
          <w:szCs w:val="44"/>
          <w:lang w:eastAsia="zh-CN"/>
        </w:rPr>
        <w:t>说明</w:t>
      </w:r>
    </w:p>
    <w:p>
      <w:pPr>
        <w:jc w:val="both"/>
        <w:rPr>
          <w:rFonts w:ascii="宋体" w:hAnsi="宋体" w:eastAsia="宋体" w:cs="宋体"/>
          <w:b/>
          <w:bCs/>
          <w:sz w:val="44"/>
          <w:szCs w:val="44"/>
        </w:rPr>
      </w:pPr>
    </w:p>
    <w:p>
      <w:pPr>
        <w:jc w:val="center"/>
        <w:rPr>
          <w:rFonts w:ascii="宋体" w:hAnsi="宋体" w:eastAsia="宋体" w:cs="宋体"/>
          <w:sz w:val="44"/>
          <w:szCs w:val="44"/>
        </w:rPr>
      </w:pPr>
      <w:r>
        <w:rPr>
          <w:rFonts w:ascii="宋体" w:hAnsi="宋体" w:eastAsia="宋体" w:cs="宋体"/>
          <w:b/>
          <w:bCs/>
          <w:sz w:val="44"/>
          <w:szCs w:val="44"/>
        </w:rPr>
        <w:t>目</w:t>
      </w:r>
      <w:r>
        <w:rPr>
          <w:rFonts w:hint="eastAsia" w:ascii="宋体" w:hAnsi="宋体" w:eastAsia="宋体" w:cs="宋体"/>
          <w:b/>
          <w:bCs/>
          <w:sz w:val="44"/>
          <w:szCs w:val="44"/>
          <w:lang w:val="en-US" w:eastAsia="zh-CN"/>
        </w:rPr>
        <w:t xml:space="preserve">  </w:t>
      </w:r>
      <w:r>
        <w:rPr>
          <w:rFonts w:ascii="宋体" w:hAnsi="宋体" w:eastAsia="宋体" w:cs="宋体"/>
          <w:b/>
          <w:bCs/>
          <w:sz w:val="44"/>
          <w:szCs w:val="44"/>
        </w:rPr>
        <w:t>录</w:t>
      </w:r>
      <w:r>
        <w:rPr>
          <w:rFonts w:ascii="宋体" w:hAnsi="宋体" w:eastAsia="宋体" w:cs="宋体"/>
          <w:b/>
          <w:bCs/>
          <w:sz w:val="44"/>
          <w:szCs w:val="44"/>
        </w:rPr>
        <w:br w:type="textWrapping"/>
      </w:r>
    </w:p>
    <w:p>
      <w:pPr>
        <w:keepNext w:val="0"/>
        <w:keepLines w:val="0"/>
        <w:pageBreakBefore w:val="0"/>
        <w:widowControl w:val="0"/>
        <w:numPr>
          <w:ilvl w:val="0"/>
          <w:numId w:val="1"/>
        </w:numPr>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r>
        <w:rPr>
          <w:rFonts w:hint="eastAsia" w:ascii="宋体" w:hAnsi="宋体" w:cs="宋体"/>
          <w:b/>
          <w:bCs/>
          <w:sz w:val="32"/>
          <w:szCs w:val="32"/>
          <w:lang w:val="en-US" w:eastAsia="zh-CN"/>
        </w:rPr>
        <w:t xml:space="preserve"> </w:t>
      </w:r>
      <w:r>
        <w:rPr>
          <w:rFonts w:hint="eastAsia" w:ascii="宋体" w:hAnsi="宋体" w:eastAsia="宋体" w:cs="宋体"/>
          <w:b/>
          <w:bCs/>
          <w:sz w:val="32"/>
          <w:szCs w:val="32"/>
          <w:lang w:val="en-US" w:eastAsia="zh-CN"/>
        </w:rPr>
        <w:t>2021</w:t>
      </w:r>
      <w:r>
        <w:rPr>
          <w:rFonts w:ascii="宋体" w:hAnsi="宋体" w:eastAsia="宋体" w:cs="宋体"/>
          <w:b/>
          <w:bCs/>
          <w:sz w:val="32"/>
          <w:szCs w:val="32"/>
        </w:rPr>
        <w:t>年</w:t>
      </w:r>
      <w:r>
        <w:rPr>
          <w:rFonts w:hint="eastAsia" w:ascii="宋体" w:hAnsi="宋体" w:cs="宋体"/>
          <w:b/>
          <w:bCs/>
          <w:sz w:val="32"/>
          <w:szCs w:val="32"/>
          <w:lang w:eastAsia="zh-CN"/>
        </w:rPr>
        <w:t>度</w:t>
      </w:r>
      <w:r>
        <w:rPr>
          <w:rFonts w:ascii="宋体" w:hAnsi="宋体" w:eastAsia="宋体" w:cs="宋体"/>
          <w:b/>
          <w:bCs/>
          <w:sz w:val="32"/>
          <w:szCs w:val="32"/>
        </w:rPr>
        <w:t>部门预算说明</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部门基本概况</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部门预算单位构成</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部门收支总体情况</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一般公共预算拨款支出</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政府性基金预算支出</w:t>
      </w:r>
    </w:p>
    <w:p>
      <w:pPr>
        <w:widowControl/>
        <w:numPr>
          <w:ilvl w:val="0"/>
          <w:numId w:val="2"/>
        </w:numPr>
        <w:spacing w:line="600" w:lineRule="exact"/>
        <w:jc w:val="left"/>
        <w:rPr>
          <w:rFonts w:hint="eastAsia" w:asciiTheme="minorEastAsia" w:hAnsiTheme="minorEastAsia" w:eastAsiaTheme="minorEastAsia" w:cstheme="minorEastAsia"/>
          <w:b w:val="0"/>
          <w:bCs/>
          <w:kern w:val="0"/>
          <w:sz w:val="32"/>
          <w:szCs w:val="32"/>
        </w:rPr>
      </w:pPr>
      <w:r>
        <w:rPr>
          <w:rFonts w:hint="eastAsia" w:asciiTheme="minorEastAsia" w:hAnsiTheme="minorEastAsia" w:eastAsiaTheme="minorEastAsia" w:cstheme="minorEastAsia"/>
          <w:b w:val="0"/>
          <w:bCs/>
          <w:kern w:val="0"/>
          <w:sz w:val="32"/>
          <w:szCs w:val="32"/>
        </w:rPr>
        <w:t>其他重要事项的情况说明</w:t>
      </w:r>
    </w:p>
    <w:p>
      <w:pPr>
        <w:widowControl/>
        <w:numPr>
          <w:ilvl w:val="0"/>
          <w:numId w:val="2"/>
        </w:numPr>
        <w:spacing w:line="600" w:lineRule="exact"/>
        <w:jc w:val="left"/>
        <w:rPr>
          <w:rFonts w:ascii="宋体" w:hAnsi="宋体" w:eastAsia="宋体" w:cs="宋体"/>
          <w:b/>
          <w:bCs/>
          <w:sz w:val="32"/>
          <w:szCs w:val="32"/>
        </w:rPr>
      </w:pPr>
      <w:r>
        <w:rPr>
          <w:rFonts w:hint="eastAsia" w:asciiTheme="minorEastAsia" w:hAnsiTheme="minorEastAsia" w:eastAsiaTheme="minorEastAsia" w:cstheme="minorEastAsia"/>
          <w:b w:val="0"/>
          <w:bCs/>
          <w:kern w:val="0"/>
          <w:sz w:val="32"/>
          <w:szCs w:val="32"/>
        </w:rPr>
        <w:t>名词解释</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r>
        <w:rPr>
          <w:rFonts w:ascii="宋体" w:hAnsi="宋体" w:eastAsia="宋体" w:cs="宋体"/>
          <w:b/>
          <w:bCs/>
          <w:sz w:val="32"/>
          <w:szCs w:val="32"/>
        </w:rPr>
        <w:t xml:space="preserve">第二部分 </w:t>
      </w:r>
      <w:r>
        <w:rPr>
          <w:rFonts w:hint="eastAsia" w:ascii="宋体" w:hAnsi="宋体" w:cs="宋体"/>
          <w:b/>
          <w:bCs/>
          <w:sz w:val="32"/>
          <w:szCs w:val="32"/>
          <w:lang w:val="en-US" w:eastAsia="zh-CN"/>
        </w:rPr>
        <w:t xml:space="preserve"> </w:t>
      </w:r>
      <w:r>
        <w:rPr>
          <w:rFonts w:hint="eastAsia" w:ascii="宋体" w:hAnsi="宋体" w:eastAsia="宋体" w:cs="宋体"/>
          <w:b/>
          <w:bCs/>
          <w:sz w:val="32"/>
          <w:szCs w:val="32"/>
          <w:lang w:val="en-US" w:eastAsia="zh-CN"/>
        </w:rPr>
        <w:t>2021</w:t>
      </w:r>
      <w:r>
        <w:rPr>
          <w:rFonts w:ascii="宋体" w:hAnsi="宋体" w:eastAsia="宋体" w:cs="宋体"/>
          <w:b/>
          <w:bCs/>
          <w:sz w:val="32"/>
          <w:szCs w:val="32"/>
        </w:rPr>
        <w:t>年</w:t>
      </w:r>
      <w:r>
        <w:rPr>
          <w:rFonts w:hint="eastAsia" w:ascii="宋体" w:hAnsi="宋体" w:cs="宋体"/>
          <w:b/>
          <w:bCs/>
          <w:sz w:val="32"/>
          <w:szCs w:val="32"/>
          <w:lang w:eastAsia="zh-CN"/>
        </w:rPr>
        <w:t>度</w:t>
      </w:r>
      <w:r>
        <w:rPr>
          <w:rFonts w:ascii="宋体" w:hAnsi="宋体" w:eastAsia="宋体" w:cs="宋体"/>
          <w:b/>
          <w:bCs/>
          <w:sz w:val="32"/>
          <w:szCs w:val="32"/>
        </w:rPr>
        <w:t>部门预算表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ascii="宋体" w:hAnsi="宋体" w:eastAsia="宋体" w:cs="宋体"/>
          <w:sz w:val="32"/>
          <w:szCs w:val="32"/>
          <w:lang w:val="en-US" w:eastAsia="zh-CN"/>
        </w:rPr>
      </w:pPr>
      <w:r>
        <w:rPr>
          <w:rFonts w:hint="eastAsia" w:ascii="宋体" w:hAnsi="宋体" w:cs="宋体"/>
          <w:sz w:val="32"/>
          <w:szCs w:val="32"/>
          <w:lang w:val="en-US" w:eastAsia="zh-CN"/>
        </w:rPr>
        <w:t>1</w:t>
      </w:r>
      <w:r>
        <w:rPr>
          <w:rFonts w:ascii="宋体" w:hAnsi="宋体" w:eastAsia="宋体" w:cs="宋体"/>
          <w:sz w:val="32"/>
          <w:szCs w:val="32"/>
        </w:rPr>
        <w:t>、</w:t>
      </w:r>
      <w:r>
        <w:rPr>
          <w:rFonts w:hint="eastAsia" w:ascii="宋体" w:hAnsi="宋体" w:cs="宋体"/>
          <w:sz w:val="32"/>
          <w:szCs w:val="32"/>
          <w:lang w:eastAsia="zh-CN"/>
        </w:rPr>
        <w:t>部门预算基本情况表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eastAsia="zh-CN"/>
        </w:rPr>
      </w:pPr>
      <w:r>
        <w:rPr>
          <w:rFonts w:hint="eastAsia" w:ascii="宋体" w:hAnsi="宋体" w:cs="宋体"/>
          <w:sz w:val="32"/>
          <w:szCs w:val="32"/>
          <w:lang w:val="en-US" w:eastAsia="zh-CN"/>
        </w:rPr>
        <w:t>2</w:t>
      </w:r>
      <w:r>
        <w:rPr>
          <w:rFonts w:hint="eastAsia" w:ascii="宋体" w:hAnsi="宋体" w:cs="宋体"/>
          <w:sz w:val="32"/>
          <w:szCs w:val="32"/>
          <w:lang w:eastAsia="zh-CN"/>
        </w:rPr>
        <w:t>、部门预算基本数据表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3、部门收支预算总表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4、部门收入预算总表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5、部门支出预算总表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5-1、一般公共预算支出表（功能分类）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6、财政拨款收支预算总表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7、一般公共预算支出表（政府预算支出经济分类）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8、一般公共预算支出表（部门预算支出经济分类）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9、部门政府性基金预算支出表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10、公共财政拨款“三公”经费及会议费预算表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11、项目支出明细表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12、政府采购预算表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13、非税收入表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14、非税收入安排的支出表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eastAsia" w:ascii="宋体" w:hAnsi="宋体" w:cs="宋体"/>
          <w:sz w:val="32"/>
          <w:szCs w:val="32"/>
          <w:lang w:val="en-US" w:eastAsia="zh-CN"/>
        </w:rPr>
      </w:pPr>
      <w:r>
        <w:rPr>
          <w:rFonts w:hint="eastAsia" w:ascii="宋体" w:hAnsi="宋体" w:cs="宋体"/>
          <w:sz w:val="32"/>
          <w:szCs w:val="32"/>
          <w:lang w:val="en-US" w:eastAsia="zh-CN"/>
        </w:rPr>
        <w:t>15、政府采购服务预算表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textAlignment w:val="auto"/>
        <w:rPr>
          <w:rFonts w:hint="default" w:eastAsia="宋体"/>
          <w:sz w:val="32"/>
          <w:szCs w:val="32"/>
          <w:lang w:val="en-US" w:eastAsia="zh-CN"/>
        </w:rPr>
      </w:pPr>
      <w:r>
        <w:rPr>
          <w:rFonts w:hint="eastAsia" w:ascii="宋体" w:hAnsi="宋体" w:cs="宋体"/>
          <w:sz w:val="32"/>
          <w:szCs w:val="32"/>
          <w:lang w:val="en-US" w:eastAsia="zh-CN"/>
        </w:rPr>
        <w:t>16、部门整体支出绩效目标申报表</w:t>
      </w:r>
      <w:r>
        <w:rPr>
          <w:rFonts w:ascii="宋体" w:hAnsi="宋体" w:eastAsia="宋体" w:cs="宋体"/>
          <w:sz w:val="32"/>
          <w:szCs w:val="32"/>
        </w:rPr>
        <w:br w:type="textWrapping"/>
      </w:r>
      <w:r>
        <w:rPr>
          <w:rFonts w:hint="eastAsia" w:ascii="宋体" w:hAnsi="宋体" w:cs="宋体"/>
          <w:sz w:val="32"/>
          <w:szCs w:val="32"/>
          <w:lang w:val="en-US" w:eastAsia="zh-CN"/>
        </w:rPr>
        <w:t>17、项目支出绩效目标申报表</w:t>
      </w:r>
    </w:p>
    <w:p>
      <w:pPr>
        <w:widowControl/>
        <w:spacing w:line="600" w:lineRule="exact"/>
        <w:rPr>
          <w:rFonts w:eastAsia="仿宋_GB2312"/>
          <w:b/>
          <w:bCs w:val="0"/>
          <w:kern w:val="0"/>
          <w:sz w:val="32"/>
          <w:szCs w:val="32"/>
        </w:rPr>
      </w:pPr>
      <w:r>
        <w:rPr>
          <w:rFonts w:eastAsia="仿宋_GB2312"/>
          <w:b/>
          <w:bCs w:val="0"/>
          <w:kern w:val="0"/>
          <w:sz w:val="32"/>
          <w:szCs w:val="32"/>
        </w:rPr>
        <w:t>注：以上部门预算报表中，空表表示本部门无相关收支情况。</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eastAsia="宋体" w:cs="宋体"/>
          <w:b/>
          <w:bCs/>
          <w:sz w:val="32"/>
          <w:szCs w:val="32"/>
        </w:rPr>
      </w:pPr>
    </w:p>
    <w:p>
      <w:pPr>
        <w:widowControl/>
        <w:spacing w:line="600" w:lineRule="exact"/>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 xml:space="preserve">第一部分 </w:t>
      </w:r>
      <w:r>
        <w:rPr>
          <w:rFonts w:hint="eastAsia" w:ascii="宋体" w:hAnsi="宋体" w:eastAsia="宋体" w:cs="宋体"/>
          <w:b/>
          <w:bCs/>
          <w:kern w:val="0"/>
          <w:sz w:val="36"/>
          <w:szCs w:val="36"/>
          <w:lang w:eastAsia="zh-CN"/>
        </w:rPr>
        <w:t>湘乡市审计局</w:t>
      </w:r>
      <w:r>
        <w:rPr>
          <w:rFonts w:hint="eastAsia" w:ascii="宋体" w:hAnsi="宋体" w:eastAsia="宋体" w:cs="宋体"/>
          <w:b/>
          <w:bCs/>
          <w:kern w:val="0"/>
          <w:sz w:val="36"/>
          <w:szCs w:val="36"/>
        </w:rPr>
        <w:t>部门预算说明</w:t>
      </w:r>
    </w:p>
    <w:p>
      <w:pPr>
        <w:widowControl/>
        <w:numPr>
          <w:ilvl w:val="0"/>
          <w:numId w:val="0"/>
        </w:numPr>
        <w:spacing w:line="600" w:lineRule="exact"/>
        <w:jc w:val="left"/>
        <w:rPr>
          <w:rFonts w:eastAsia="黑体"/>
          <w:bCs/>
          <w:kern w:val="0"/>
          <w:sz w:val="32"/>
          <w:szCs w:val="32"/>
        </w:rPr>
      </w:pPr>
    </w:p>
    <w:p>
      <w:pPr>
        <w:widowControl/>
        <w:numPr>
          <w:ilvl w:val="0"/>
          <w:numId w:val="0"/>
        </w:numPr>
        <w:spacing w:line="600" w:lineRule="exact"/>
        <w:jc w:val="left"/>
        <w:rPr>
          <w:rFonts w:eastAsia="黑体"/>
          <w:bCs/>
          <w:kern w:val="0"/>
          <w:sz w:val="32"/>
          <w:szCs w:val="32"/>
        </w:rPr>
      </w:pPr>
      <w:r>
        <w:rPr>
          <w:rFonts w:hint="eastAsia" w:eastAsia="黑体"/>
          <w:bCs/>
          <w:kern w:val="0"/>
          <w:sz w:val="32"/>
          <w:szCs w:val="32"/>
          <w:lang w:eastAsia="zh-CN"/>
        </w:rPr>
        <w:t>一、</w:t>
      </w:r>
      <w:r>
        <w:rPr>
          <w:rFonts w:eastAsia="黑体"/>
          <w:bCs/>
          <w:kern w:val="0"/>
          <w:sz w:val="32"/>
          <w:szCs w:val="32"/>
        </w:rPr>
        <w:t>部门基本概况</w:t>
      </w:r>
    </w:p>
    <w:p>
      <w:pPr>
        <w:widowControl/>
        <w:numPr>
          <w:ilvl w:val="0"/>
          <w:numId w:val="0"/>
        </w:numPr>
        <w:spacing w:line="600" w:lineRule="exact"/>
        <w:ind w:firstLine="320" w:firstLineChars="100"/>
        <w:jc w:val="left"/>
        <w:rPr>
          <w:rFonts w:hint="eastAsia" w:ascii="仿宋_GB2312" w:hAnsi="仿宋_GB2312" w:eastAsia="仿宋_GB2312" w:cs="仿宋_GB2312"/>
          <w:color w:val="FF0000"/>
          <w:sz w:val="24"/>
          <w:szCs w:val="24"/>
        </w:rPr>
      </w:pPr>
      <w:r>
        <w:rPr>
          <w:rFonts w:hint="eastAsia" w:ascii="仿宋_GB2312" w:hAnsi="仿宋_GB2312" w:eastAsia="仿宋_GB2312" w:cs="仿宋_GB2312"/>
          <w:sz w:val="32"/>
          <w:szCs w:val="32"/>
        </w:rPr>
        <w:t>（一）职能职责。</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负责全市审计工作。对全市财政收支和法律法规规定属于审计监督范围的财务收支的真实、合法和效益进行审计监督，对公共资金、国有资产、国有资源和领导干部履行经济责任情况实行审计全覆盖，对领导干部实行自然资源资产离任（任中）审计；对审计、专项审计调查和核查社会审计机构相关审计报告的结果承担责任，并负有督促被审计单位整改的责任。</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贯彻执行中央、省委、湘潭、湘乡市委关于审计工作的方针、政策和法律法规，制定审计制度并监督执行。制定并组织实施全市审计工作规划；参与起草审计、财政经济相关规范性文件草案；对直接审计、调查和核查的事项依法进行审计评价，作出审计决定或提出审计建议。</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向市委审计委员会提出年度市本级预算执行和其他财政支出情况审计报告；向市人民政府提出年度市本级预算执行和其他财政收支情况的审计结果报告；受市人民政府委托向市人大常委会提出市本级预算执行和其他财政收支情况的审计工作报告；向市委、市人民政府报告对其他事项的审计和专项审计调查情况及结果；依法向社会公布审计结果。向相关部门、单位通报审计情况和审计结果。</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直接审计下列事项，出具审计报告，在法定职权范围内独立作出审计决定或向有关部门提出处理处罚建议：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．市本级财政预算执行情况和其他财政收支预算执行情况;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．园区、乡镇人民政府（街道办事处）预算执行情况和其他财政收支;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市直机关、市直事业单位及其下属单位、社会团体财政财务收支;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．市属国有企业、市属资本占控股或主导地位的企业的资产、负债情况；贯彻执行有关法律、法规和规章制度的情况；国有企业的资产运营、经营效益、利润分配、国有资产保值增值等情况;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自然资源资产管理、污染防治和生态环境保护与修复情况;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．市本级管理的和受上级政府委托管理的社会保障基金、社会捐赠资金以及其他有关基金、资金的管理使用情况和财务收支;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政府投资和以政府投资为主的建设项目的预算执行情况和决算；市重大工程项目的资金管理使用和建设运营情况。负责组织开展对政府投资的重大建设项目的稽查和监管；负责开展重大项目信息收集汇总、监测预警、统计分析工作，研究提出规范项目和资金管理的意见和建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.市政府接收的国际组织和外国政府援助、贷款项目以及赠款项目的财务收支;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．法律、法规规定应由市审计局审计的其他事项。</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按规定对市管党政主要领导干部及其他单位主要负责人实施经济责任审计和自然资源资产审计。</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组织实施对国家财经法律法规、规章、政策和宏观调控措施执行情况、财政预算管理及国有资产管理使用等与国家财政收支有关的特定事项进行专项审计调查。</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负责上级审计机关统一组织或授权的审计项目和专项审计调查项目的组织实施。</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检查审计决定执行情况，督促整改审计查出的问题，依法办理被审计单位对审计决定提请行政复议、行政诉讼或市人民政府裁决中的有关事项。协助配合有关部门查处相关重大案件。</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指导和监督内部审计工作，核查社会审计机构对依法属于审计监督对象的单位出具的相关审计报告。</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推广信息技术在审计工作中的应用。</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承办市委、市政府交办的其他事项。</w:t>
      </w:r>
    </w:p>
    <w:p>
      <w:pPr>
        <w:widowControl/>
        <w:spacing w:line="600" w:lineRule="exact"/>
        <w:ind w:firstLine="320" w:firstLineChars="1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w:t>
      </w:r>
    </w:p>
    <w:p>
      <w:pPr>
        <w:widowControl/>
        <w:spacing w:line="600" w:lineRule="exact"/>
        <w:ind w:firstLine="627" w:firstLineChars="196"/>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本单位在职人员35人，离退休人员14人。有公车1辆交由市机关服务中心使用。本单位拥有国有资产289万元，其中办公楼1栋1700平方米等。</w:t>
      </w:r>
    </w:p>
    <w:p>
      <w:pPr>
        <w:widowControl/>
        <w:spacing w:line="600" w:lineRule="exact"/>
        <w:jc w:val="left"/>
        <w:rPr>
          <w:rFonts w:eastAsia="黑体"/>
          <w:kern w:val="0"/>
          <w:sz w:val="32"/>
          <w:szCs w:val="32"/>
        </w:rPr>
      </w:pPr>
      <w:r>
        <w:rPr>
          <w:rFonts w:hint="eastAsia" w:eastAsia="黑体"/>
          <w:bCs/>
          <w:kern w:val="0"/>
          <w:sz w:val="32"/>
          <w:szCs w:val="32"/>
          <w:lang w:eastAsia="zh-CN"/>
        </w:rPr>
        <w:t>二、</w:t>
      </w:r>
      <w:r>
        <w:rPr>
          <w:rFonts w:eastAsia="黑体"/>
          <w:kern w:val="0"/>
          <w:sz w:val="32"/>
          <w:szCs w:val="32"/>
        </w:rPr>
        <w:t>部门预算单位构成</w:t>
      </w:r>
    </w:p>
    <w:p>
      <w:pPr>
        <w:widowControl/>
        <w:spacing w:line="6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纳入编制范围的预算单位包括：</w:t>
      </w:r>
    </w:p>
    <w:p>
      <w:pPr>
        <w:widowControl/>
        <w:spacing w:line="600" w:lineRule="exact"/>
        <w:ind w:firstLine="627" w:firstLineChars="196"/>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1、湘乡市审计局本级及内设机构</w:t>
      </w:r>
    </w:p>
    <w:p>
      <w:pPr>
        <w:widowControl/>
        <w:spacing w:line="600" w:lineRule="exact"/>
        <w:ind w:firstLine="627" w:firstLineChars="19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本单位只有本级，没有其他预算单位，因此，纳入2021年部门预算编制范围的只有湘乡市审计局部门本级，内设机构含办公室、法制审理股、社会保障审计股、行政事业审计股、经济责任审计股等股室。</w:t>
      </w:r>
    </w:p>
    <w:p>
      <w:pPr>
        <w:widowControl/>
        <w:spacing w:line="600" w:lineRule="exact"/>
        <w:ind w:firstLine="627" w:firstLineChars="196"/>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2、二级机构为湘乡市审计事务中心，股室。</w:t>
      </w:r>
    </w:p>
    <w:p>
      <w:pPr>
        <w:widowControl/>
        <w:numPr>
          <w:ilvl w:val="0"/>
          <w:numId w:val="3"/>
        </w:numPr>
        <w:spacing w:line="600" w:lineRule="exact"/>
        <w:jc w:val="left"/>
        <w:rPr>
          <w:rFonts w:hint="eastAsia" w:eastAsia="黑体"/>
          <w:bCs/>
          <w:kern w:val="0"/>
          <w:sz w:val="32"/>
          <w:szCs w:val="32"/>
          <w:lang w:eastAsia="zh-CN"/>
        </w:rPr>
      </w:pPr>
      <w:r>
        <w:rPr>
          <w:rFonts w:eastAsia="黑体"/>
          <w:bCs/>
          <w:kern w:val="0"/>
          <w:sz w:val="32"/>
          <w:szCs w:val="32"/>
        </w:rPr>
        <w:t>部门收支</w:t>
      </w:r>
      <w:r>
        <w:rPr>
          <w:rFonts w:hint="eastAsia" w:eastAsia="黑体"/>
          <w:bCs/>
          <w:kern w:val="0"/>
          <w:sz w:val="32"/>
          <w:szCs w:val="32"/>
          <w:lang w:eastAsia="zh-CN"/>
        </w:rPr>
        <w:t>预算</w:t>
      </w:r>
      <w:r>
        <w:rPr>
          <w:rFonts w:eastAsia="黑体"/>
          <w:bCs/>
          <w:kern w:val="0"/>
          <w:sz w:val="32"/>
          <w:szCs w:val="32"/>
        </w:rPr>
        <w:t>总体情况</w:t>
      </w:r>
      <w:r>
        <w:rPr>
          <w:rFonts w:hint="eastAsia" w:eastAsia="黑体"/>
          <w:bCs/>
          <w:kern w:val="0"/>
          <w:sz w:val="32"/>
          <w:szCs w:val="32"/>
          <w:lang w:eastAsia="zh-CN"/>
        </w:rPr>
        <w:t>说明</w:t>
      </w:r>
    </w:p>
    <w:p>
      <w:pPr>
        <w:widowControl/>
        <w:spacing w:line="60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val="0"/>
          <w:sz w:val="32"/>
          <w:szCs w:val="32"/>
        </w:rPr>
        <w:t>（一）收入预算</w:t>
      </w:r>
      <w:r>
        <w:rPr>
          <w:rFonts w:hint="eastAsia" w:ascii="仿宋_GB2312" w:hAnsi="仿宋_GB2312" w:eastAsia="仿宋_GB2312" w:cs="仿宋_GB2312"/>
          <w:sz w:val="32"/>
          <w:szCs w:val="32"/>
        </w:rPr>
        <w:t>：包括一般公共预算、政府性基金、国有资本经营预算等财政拨款收入，以及经营收入、事业收入等单位资金。</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年本部门收入预算</w:t>
      </w:r>
      <w:r>
        <w:rPr>
          <w:rFonts w:hint="eastAsia" w:ascii="仿宋_GB2312" w:hAnsi="仿宋_GB2312" w:eastAsia="仿宋_GB2312" w:cs="仿宋_GB2312"/>
          <w:sz w:val="32"/>
          <w:szCs w:val="32"/>
          <w:lang w:val="en-US" w:eastAsia="zh-CN"/>
        </w:rPr>
        <w:t>709.91</w:t>
      </w:r>
      <w:r>
        <w:rPr>
          <w:rFonts w:hint="eastAsia" w:ascii="仿宋_GB2312" w:hAnsi="仿宋_GB2312" w:eastAsia="仿宋_GB2312" w:cs="仿宋_GB2312"/>
          <w:sz w:val="32"/>
          <w:szCs w:val="32"/>
        </w:rPr>
        <w:t>万元，其中，一般公共预算拨款</w:t>
      </w:r>
      <w:r>
        <w:rPr>
          <w:rFonts w:hint="eastAsia" w:ascii="仿宋_GB2312" w:hAnsi="仿宋_GB2312" w:eastAsia="仿宋_GB2312" w:cs="仿宋_GB2312"/>
          <w:sz w:val="32"/>
          <w:szCs w:val="32"/>
          <w:lang w:val="en-US" w:eastAsia="zh-CN"/>
        </w:rPr>
        <w:t>639.91</w:t>
      </w:r>
      <w:r>
        <w:rPr>
          <w:rFonts w:hint="eastAsia" w:ascii="仿宋_GB2312" w:hAnsi="仿宋_GB2312" w:eastAsia="仿宋_GB2312" w:cs="仿宋_GB2312"/>
          <w:sz w:val="32"/>
          <w:szCs w:val="32"/>
        </w:rPr>
        <w:t>万元，政府性基金预算拨款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万元，国有资本经营预算拨款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万元，纳入专户管理的非税收入</w:t>
      </w:r>
      <w:r>
        <w:rPr>
          <w:rFonts w:hint="eastAsia" w:ascii="仿宋_GB2312" w:hAnsi="仿宋_GB2312" w:eastAsia="仿宋_GB2312" w:cs="仿宋_GB2312"/>
          <w:sz w:val="32"/>
          <w:szCs w:val="32"/>
          <w:lang w:val="en-US" w:eastAsia="zh-CN"/>
        </w:rPr>
        <w:t>70</w:t>
      </w:r>
      <w:r>
        <w:rPr>
          <w:rFonts w:hint="eastAsia" w:ascii="仿宋_GB2312" w:hAnsi="仿宋_GB2312" w:eastAsia="仿宋_GB2312" w:cs="仿宋_GB2312"/>
          <w:sz w:val="32"/>
          <w:szCs w:val="32"/>
        </w:rPr>
        <w:t>万元。收入较去年增加</w:t>
      </w:r>
      <w:r>
        <w:rPr>
          <w:rFonts w:hint="eastAsia" w:ascii="仿宋_GB2312" w:hAnsi="仿宋_GB2312" w:eastAsia="仿宋_GB2312" w:cs="仿宋_GB2312"/>
          <w:sz w:val="32"/>
          <w:szCs w:val="32"/>
          <w:lang w:val="en-US" w:eastAsia="zh-CN"/>
        </w:rPr>
        <w:t>85.02</w:t>
      </w:r>
      <w:r>
        <w:rPr>
          <w:rFonts w:hint="eastAsia" w:ascii="仿宋_GB2312" w:hAnsi="仿宋_GB2312" w:eastAsia="仿宋_GB2312" w:cs="仿宋_GB2312"/>
          <w:sz w:val="32"/>
          <w:szCs w:val="32"/>
        </w:rPr>
        <w:t>万元，主要是</w:t>
      </w:r>
      <w:r>
        <w:rPr>
          <w:rFonts w:hint="eastAsia" w:ascii="仿宋_GB2312" w:hAnsi="仿宋_GB2312" w:eastAsia="仿宋_GB2312" w:cs="仿宋_GB2312"/>
          <w:sz w:val="32"/>
          <w:szCs w:val="32"/>
          <w:lang w:eastAsia="zh-CN"/>
        </w:rPr>
        <w:t>人员经费增加</w:t>
      </w:r>
      <w:r>
        <w:rPr>
          <w:rFonts w:hint="eastAsia" w:ascii="仿宋_GB2312" w:hAnsi="仿宋_GB2312" w:eastAsia="仿宋_GB2312" w:cs="仿宋_GB2312"/>
          <w:sz w:val="32"/>
          <w:szCs w:val="32"/>
        </w:rPr>
        <w:t>。</w:t>
      </w:r>
    </w:p>
    <w:p>
      <w:pPr>
        <w:widowControl/>
        <w:spacing w:line="600" w:lineRule="exact"/>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（二）支出预算</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年本部门支出预算</w:t>
      </w:r>
      <w:r>
        <w:rPr>
          <w:rFonts w:hint="eastAsia" w:ascii="仿宋_GB2312" w:hAnsi="仿宋_GB2312" w:eastAsia="仿宋_GB2312" w:cs="仿宋_GB2312"/>
          <w:sz w:val="32"/>
          <w:szCs w:val="32"/>
          <w:lang w:val="en-US" w:eastAsia="zh-CN"/>
        </w:rPr>
        <w:t>709.91</w:t>
      </w:r>
      <w:r>
        <w:rPr>
          <w:rFonts w:hint="eastAsia" w:ascii="仿宋_GB2312" w:hAnsi="仿宋_GB2312" w:eastAsia="仿宋_GB2312" w:cs="仿宋_GB2312"/>
          <w:sz w:val="32"/>
          <w:szCs w:val="32"/>
        </w:rPr>
        <w:t>万元，其中，一般公共服务</w:t>
      </w:r>
      <w:r>
        <w:rPr>
          <w:rFonts w:hint="eastAsia" w:ascii="仿宋_GB2312" w:hAnsi="仿宋_GB2312" w:eastAsia="仿宋_GB2312" w:cs="仿宋_GB2312"/>
          <w:sz w:val="32"/>
          <w:szCs w:val="32"/>
          <w:lang w:val="en-US" w:eastAsia="zh-CN"/>
        </w:rPr>
        <w:t>622.97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社会保障和就业支出</w:t>
      </w:r>
      <w:r>
        <w:rPr>
          <w:rFonts w:hint="eastAsia" w:ascii="仿宋_GB2312" w:hAnsi="仿宋_GB2312" w:eastAsia="仿宋_GB2312" w:cs="仿宋_GB2312"/>
          <w:sz w:val="32"/>
          <w:szCs w:val="32"/>
          <w:lang w:val="en-US" w:eastAsia="zh-CN"/>
        </w:rPr>
        <w:t>36.00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卫生健康</w:t>
      </w:r>
      <w:r>
        <w:rPr>
          <w:rFonts w:hint="eastAsia" w:ascii="仿宋_GB2312" w:hAnsi="仿宋_GB2312" w:eastAsia="仿宋_GB2312" w:cs="仿宋_GB2312"/>
          <w:sz w:val="32"/>
          <w:szCs w:val="32"/>
          <w:lang w:val="en-US" w:eastAsia="zh-CN"/>
        </w:rPr>
        <w:t>18.53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住房保障支出</w:t>
      </w:r>
      <w:r>
        <w:rPr>
          <w:rFonts w:hint="eastAsia" w:ascii="仿宋_GB2312" w:hAnsi="仿宋_GB2312" w:eastAsia="仿宋_GB2312" w:cs="仿宋_GB2312"/>
          <w:sz w:val="32"/>
          <w:szCs w:val="32"/>
          <w:lang w:val="en-US" w:eastAsia="zh-CN"/>
        </w:rPr>
        <w:t>32.41</w:t>
      </w:r>
      <w:r>
        <w:rPr>
          <w:rFonts w:hint="eastAsia" w:ascii="仿宋_GB2312" w:hAnsi="仿宋_GB2312" w:eastAsia="仿宋_GB2312" w:cs="仿宋_GB2312"/>
          <w:sz w:val="32"/>
          <w:szCs w:val="32"/>
        </w:rPr>
        <w:t>万元，支出较去年增加</w:t>
      </w:r>
      <w:r>
        <w:rPr>
          <w:rFonts w:hint="eastAsia" w:ascii="仿宋_GB2312" w:hAnsi="仿宋_GB2312" w:eastAsia="仿宋_GB2312" w:cs="仿宋_GB2312"/>
          <w:sz w:val="32"/>
          <w:szCs w:val="32"/>
          <w:lang w:val="en-US" w:eastAsia="zh-CN"/>
        </w:rPr>
        <w:t>85.02</w:t>
      </w:r>
      <w:r>
        <w:rPr>
          <w:rFonts w:hint="eastAsia" w:ascii="仿宋_GB2312" w:hAnsi="仿宋_GB2312" w:eastAsia="仿宋_GB2312" w:cs="仿宋_GB2312"/>
          <w:sz w:val="32"/>
          <w:szCs w:val="32"/>
        </w:rPr>
        <w:t>万元，主要是</w:t>
      </w:r>
      <w:r>
        <w:rPr>
          <w:rFonts w:hint="eastAsia" w:ascii="仿宋_GB2312" w:hAnsi="仿宋_GB2312" w:eastAsia="仿宋_GB2312" w:cs="仿宋_GB2312"/>
          <w:sz w:val="32"/>
          <w:szCs w:val="32"/>
          <w:lang w:eastAsia="zh-CN"/>
        </w:rPr>
        <w:t>人员经费支出增加</w:t>
      </w:r>
      <w:r>
        <w:rPr>
          <w:rFonts w:hint="eastAsia" w:ascii="仿宋_GB2312" w:hAnsi="仿宋_GB2312" w:eastAsia="仿宋_GB2312" w:cs="仿宋_GB2312"/>
          <w:sz w:val="32"/>
          <w:szCs w:val="32"/>
        </w:rPr>
        <w:t>。</w:t>
      </w:r>
    </w:p>
    <w:p>
      <w:pPr>
        <w:widowControl/>
        <w:spacing w:line="600" w:lineRule="exact"/>
        <w:jc w:val="left"/>
        <w:rPr>
          <w:rFonts w:eastAsia="黑体"/>
          <w:sz w:val="32"/>
          <w:szCs w:val="32"/>
        </w:rPr>
      </w:pPr>
      <w:r>
        <w:rPr>
          <w:rFonts w:eastAsia="黑体"/>
          <w:sz w:val="32"/>
          <w:szCs w:val="32"/>
        </w:rPr>
        <w:t>四、一般公共预算拨款支出</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2021年一般公共预算拨款收入709.91万元，具体安排情况如下：</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基本支出。2021年年初预算数为430.31万元，是指为保障单位机构正常运转、完成日常工作任务而发生的各项支出，包括用于基本工资、津贴补贴等人员经费以及办公费、印刷费、水电费、办公设备购置等日常公用经费。</w:t>
      </w:r>
    </w:p>
    <w:p>
      <w:pPr>
        <w:widowControl/>
        <w:spacing w:line="600" w:lineRule="exact"/>
        <w:ind w:firstLine="66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支出。2021年年初预算数为279.60万元，是指单位为完成特定行政工作任务或事业发展目标而发生的支出，包括有关事业发展专项、专项业务费、基本建设支出等。其中：购买社会审计服务支出89.60万元，主要用于解决审计力量不足定点购买社会机构审计服务等方面；重点投资审计项目支出</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0万元，主要用于对政府性投资项目进行审计的支出等方面；信息化建设支出20万元，主要是用于推进大数据审计支出等方面；审计项目专项支出100万元，主要是用于预算执行情况审计、党政领导干部经济责任审计、财务收支审计和领导交办的中心任务等方面支出。</w:t>
      </w:r>
    </w:p>
    <w:p>
      <w:pPr>
        <w:widowControl/>
        <w:spacing w:line="600" w:lineRule="exact"/>
        <w:jc w:val="left"/>
        <w:rPr>
          <w:rFonts w:eastAsia="黑体"/>
          <w:sz w:val="32"/>
          <w:szCs w:val="32"/>
        </w:rPr>
      </w:pPr>
      <w:r>
        <w:rPr>
          <w:rFonts w:eastAsia="黑体"/>
          <w:sz w:val="32"/>
          <w:szCs w:val="32"/>
        </w:rPr>
        <w:t>五、政府性基金预算支出</w:t>
      </w:r>
    </w:p>
    <w:p>
      <w:pPr>
        <w:widowControl/>
        <w:spacing w:line="600" w:lineRule="exact"/>
        <w:ind w:firstLine="640" w:firstLineChars="200"/>
        <w:rPr>
          <w:rFonts w:hint="eastAsia" w:eastAsia="仿宋_GB2312"/>
          <w:b w:val="0"/>
          <w:bCs/>
          <w:sz w:val="32"/>
          <w:szCs w:val="32"/>
          <w:lang w:eastAsia="zh-CN"/>
        </w:rPr>
      </w:pPr>
      <w:r>
        <w:rPr>
          <w:rFonts w:hint="eastAsia" w:eastAsia="仿宋_GB2312"/>
          <w:sz w:val="32"/>
          <w:szCs w:val="32"/>
          <w:lang w:val="en-US" w:eastAsia="zh-CN"/>
        </w:rPr>
        <w:t>2021</w:t>
      </w:r>
      <w:r>
        <w:rPr>
          <w:rFonts w:eastAsia="仿宋_GB2312"/>
          <w:sz w:val="32"/>
          <w:szCs w:val="32"/>
        </w:rPr>
        <w:t>年</w:t>
      </w:r>
      <w:r>
        <w:rPr>
          <w:rFonts w:eastAsia="仿宋_GB2312"/>
          <w:b w:val="0"/>
          <w:bCs/>
          <w:sz w:val="32"/>
          <w:szCs w:val="32"/>
        </w:rPr>
        <w:t>本部门无政府性基金安排的支出</w:t>
      </w:r>
      <w:r>
        <w:rPr>
          <w:rFonts w:hint="eastAsia" w:eastAsia="仿宋_GB2312"/>
          <w:b w:val="0"/>
          <w:bCs/>
          <w:sz w:val="32"/>
          <w:szCs w:val="32"/>
          <w:lang w:eastAsia="zh-CN"/>
        </w:rPr>
        <w:t>。</w:t>
      </w:r>
    </w:p>
    <w:p>
      <w:pPr>
        <w:widowControl/>
        <w:spacing w:line="600" w:lineRule="exact"/>
        <w:jc w:val="left"/>
        <w:rPr>
          <w:rFonts w:eastAsia="黑体"/>
          <w:sz w:val="32"/>
          <w:szCs w:val="32"/>
        </w:rPr>
      </w:pPr>
      <w:r>
        <w:rPr>
          <w:rFonts w:eastAsia="黑体"/>
          <w:sz w:val="32"/>
          <w:szCs w:val="32"/>
        </w:rPr>
        <w:t>六、其他重要事项的情况说明</w:t>
      </w:r>
    </w:p>
    <w:p>
      <w:pPr>
        <w:widowControl/>
        <w:spacing w:line="600" w:lineRule="exact"/>
        <w:ind w:firstLine="660"/>
        <w:jc w:val="left"/>
        <w:rPr>
          <w:rFonts w:eastAsia="Times New Roman"/>
          <w:sz w:val="32"/>
          <w:szCs w:val="32"/>
        </w:rPr>
      </w:pPr>
      <w:r>
        <w:rPr>
          <w:rFonts w:hint="eastAsia" w:ascii="仿宋_GB2312" w:hAnsi="仿宋_GB2312" w:eastAsia="仿宋_GB2312" w:cs="仿宋_GB2312"/>
          <w:b/>
          <w:sz w:val="32"/>
          <w:szCs w:val="32"/>
        </w:rPr>
        <w:t>（一）机关运行经费：</w:t>
      </w:r>
    </w:p>
    <w:p>
      <w:pPr>
        <w:widowControl/>
        <w:spacing w:line="60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2021年本单位机关运行经费当年一般公共预算拨款</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73.35万元，比2020年预算增加21.96万元，上升42.73%。</w:t>
      </w:r>
    </w:p>
    <w:p>
      <w:pPr>
        <w:widowControl/>
        <w:spacing w:line="600" w:lineRule="exact"/>
        <w:ind w:firstLine="660"/>
        <w:rPr>
          <w:rFonts w:hint="eastAsia" w:ascii="仿宋_GB2312" w:hAnsi="仿宋_GB2312" w:eastAsia="仿宋_GB2312" w:cs="仿宋_GB2312"/>
          <w:b/>
          <w:bCs/>
          <w:sz w:val="32"/>
          <w:szCs w:val="32"/>
        </w:rPr>
      </w:pPr>
      <w:bookmarkStart w:id="0" w:name="_GoBack"/>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“三公”经费预算</w:t>
      </w:r>
    </w:p>
    <w:bookmarkEnd w:id="0"/>
    <w:p>
      <w:pPr>
        <w:widowControl/>
        <w:spacing w:line="600" w:lineRule="exact"/>
        <w:ind w:firstLine="6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三公”经费预算数为6万元，其中，公务接待费6万元，公务用车购置及运行费0万元（其中，公务用车购置费0万元，公务用车运行费0万元），因公出国（境）费0万元。2021年“三公”经费预算较2010年减少3.00万元，主要是按照相关规定严控三公经费支出。</w:t>
      </w:r>
    </w:p>
    <w:p>
      <w:pPr>
        <w:widowControl/>
        <w:spacing w:line="600" w:lineRule="exact"/>
        <w:ind w:firstLine="660"/>
        <w:rPr>
          <w:rFonts w:hint="eastAsia" w:ascii="仿宋_GB2312" w:hAnsi="仿宋_GB2312" w:eastAsia="仿宋_GB2312" w:cs="仿宋_GB2312"/>
          <w:kern w:val="0"/>
          <w:sz w:val="32"/>
          <w:szCs w:val="32"/>
        </w:rPr>
      </w:pPr>
      <w:r>
        <w:rPr>
          <w:rFonts w:hint="eastAsia" w:ascii="仿宋_GB2312" w:hAnsi="仿宋_GB2312" w:eastAsia="仿宋_GB2312" w:cs="仿宋_GB2312"/>
          <w:b/>
          <w:sz w:val="32"/>
          <w:szCs w:val="32"/>
        </w:rPr>
        <w:t>（三）一般性支出情况：</w:t>
      </w:r>
      <w:r>
        <w:rPr>
          <w:rFonts w:hint="eastAsia" w:ascii="仿宋_GB2312" w:hAnsi="仿宋_GB2312" w:eastAsia="仿宋_GB2312" w:cs="仿宋_GB2312"/>
          <w:kern w:val="0"/>
          <w:sz w:val="32"/>
          <w:szCs w:val="32"/>
          <w:lang w:val="en-US" w:eastAsia="zh-CN"/>
        </w:rPr>
        <w:t>2021</w:t>
      </w:r>
      <w:r>
        <w:rPr>
          <w:rFonts w:hint="eastAsia" w:ascii="仿宋_GB2312" w:hAnsi="仿宋_GB2312" w:eastAsia="仿宋_GB2312" w:cs="仿宋_GB2312"/>
          <w:kern w:val="0"/>
          <w:sz w:val="32"/>
          <w:szCs w:val="32"/>
        </w:rPr>
        <w:t>年本部门会议费预算</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万元，拟召开</w:t>
      </w:r>
      <w:r>
        <w:rPr>
          <w:rFonts w:hint="eastAsia" w:ascii="仿宋_GB2312" w:hAnsi="仿宋_GB2312" w:eastAsia="仿宋_GB2312" w:cs="仿宋_GB2312"/>
          <w:kern w:val="0"/>
          <w:sz w:val="32"/>
          <w:szCs w:val="32"/>
          <w:lang w:val="en-US" w:eastAsia="zh-CN"/>
        </w:rPr>
        <w:t>20场</w:t>
      </w:r>
      <w:r>
        <w:rPr>
          <w:rFonts w:hint="eastAsia" w:ascii="仿宋_GB2312" w:hAnsi="仿宋_GB2312" w:eastAsia="仿宋_GB2312" w:cs="仿宋_GB2312"/>
          <w:kern w:val="0"/>
          <w:sz w:val="32"/>
          <w:szCs w:val="32"/>
        </w:rPr>
        <w:t>会议，人数</w:t>
      </w:r>
      <w:r>
        <w:rPr>
          <w:rFonts w:hint="eastAsia" w:ascii="仿宋_GB2312" w:hAnsi="仿宋_GB2312" w:eastAsia="仿宋_GB2312" w:cs="仿宋_GB2312"/>
          <w:kern w:val="0"/>
          <w:sz w:val="32"/>
          <w:szCs w:val="32"/>
          <w:lang w:val="en-US" w:eastAsia="zh-CN"/>
        </w:rPr>
        <w:t>450</w:t>
      </w:r>
      <w:r>
        <w:rPr>
          <w:rFonts w:hint="eastAsia" w:ascii="仿宋_GB2312" w:hAnsi="仿宋_GB2312" w:eastAsia="仿宋_GB2312" w:cs="仿宋_GB2312"/>
          <w:kern w:val="0"/>
          <w:sz w:val="32"/>
          <w:szCs w:val="32"/>
        </w:rPr>
        <w:t>人，内容为</w:t>
      </w:r>
      <w:r>
        <w:rPr>
          <w:rFonts w:hint="eastAsia" w:ascii="仿宋_GB2312" w:hAnsi="仿宋_GB2312" w:eastAsia="仿宋_GB2312" w:cs="仿宋_GB2312"/>
          <w:kern w:val="0"/>
          <w:sz w:val="32"/>
          <w:szCs w:val="32"/>
          <w:lang w:eastAsia="zh-CN"/>
        </w:rPr>
        <w:t>审理委员会、业务学习交流等</w:t>
      </w:r>
      <w:r>
        <w:rPr>
          <w:rFonts w:hint="eastAsia" w:ascii="仿宋_GB2312" w:hAnsi="仿宋_GB2312" w:eastAsia="仿宋_GB2312" w:cs="仿宋_GB2312"/>
          <w:kern w:val="0"/>
          <w:sz w:val="32"/>
          <w:szCs w:val="32"/>
        </w:rPr>
        <w:t>；培训费预算</w:t>
      </w:r>
      <w:r>
        <w:rPr>
          <w:rFonts w:hint="eastAsia" w:ascii="仿宋_GB2312" w:hAnsi="仿宋_GB2312" w:eastAsia="仿宋_GB2312" w:cs="仿宋_GB2312"/>
          <w:kern w:val="0"/>
          <w:sz w:val="32"/>
          <w:szCs w:val="32"/>
          <w:lang w:val="en-US" w:eastAsia="zh-CN"/>
        </w:rPr>
        <w:t>1.5</w:t>
      </w:r>
      <w:r>
        <w:rPr>
          <w:rFonts w:hint="eastAsia" w:ascii="仿宋_GB2312" w:hAnsi="仿宋_GB2312" w:eastAsia="仿宋_GB2312" w:cs="仿宋_GB2312"/>
          <w:kern w:val="0"/>
          <w:sz w:val="32"/>
          <w:szCs w:val="32"/>
        </w:rPr>
        <w:t>万元，拟开展</w:t>
      </w:r>
      <w:r>
        <w:rPr>
          <w:rFonts w:hint="eastAsia" w:ascii="仿宋_GB2312" w:hAnsi="仿宋_GB2312" w:eastAsia="仿宋_GB2312" w:cs="仿宋_GB2312"/>
          <w:kern w:val="0"/>
          <w:sz w:val="32"/>
          <w:szCs w:val="32"/>
          <w:lang w:eastAsia="zh-CN"/>
        </w:rPr>
        <w:t>或参加</w:t>
      </w:r>
      <w:r>
        <w:rPr>
          <w:rFonts w:hint="eastAsia" w:ascii="仿宋_GB2312" w:hAnsi="仿宋_GB2312" w:eastAsia="仿宋_GB2312" w:cs="仿宋_GB2312"/>
          <w:kern w:val="0"/>
          <w:sz w:val="32"/>
          <w:szCs w:val="32"/>
          <w:lang w:val="en-US" w:eastAsia="zh-CN"/>
        </w:rPr>
        <w:t>10场</w:t>
      </w:r>
      <w:r>
        <w:rPr>
          <w:rFonts w:hint="eastAsia" w:ascii="仿宋_GB2312" w:hAnsi="仿宋_GB2312" w:eastAsia="仿宋_GB2312" w:cs="仿宋_GB2312"/>
          <w:kern w:val="0"/>
          <w:sz w:val="32"/>
          <w:szCs w:val="32"/>
        </w:rPr>
        <w:t>培训，人数</w:t>
      </w:r>
      <w:r>
        <w:rPr>
          <w:rFonts w:hint="eastAsia" w:ascii="仿宋_GB2312" w:hAnsi="仿宋_GB2312" w:eastAsia="仿宋_GB2312" w:cs="仿宋_GB2312"/>
          <w:kern w:val="0"/>
          <w:sz w:val="32"/>
          <w:szCs w:val="32"/>
          <w:lang w:val="en-US" w:eastAsia="zh-CN"/>
        </w:rPr>
        <w:t>90</w:t>
      </w:r>
      <w:r>
        <w:rPr>
          <w:rFonts w:hint="eastAsia" w:ascii="仿宋_GB2312" w:hAnsi="仿宋_GB2312" w:eastAsia="仿宋_GB2312" w:cs="仿宋_GB2312"/>
          <w:kern w:val="0"/>
          <w:sz w:val="32"/>
          <w:szCs w:val="32"/>
        </w:rPr>
        <w:t>人，内容</w:t>
      </w:r>
      <w:r>
        <w:rPr>
          <w:rFonts w:hint="eastAsia" w:ascii="仿宋_GB2312" w:hAnsi="仿宋_GB2312" w:eastAsia="仿宋_GB2312" w:cs="仿宋_GB2312"/>
          <w:kern w:val="0"/>
          <w:sz w:val="32"/>
          <w:szCs w:val="32"/>
          <w:lang w:eastAsia="zh-CN"/>
        </w:rPr>
        <w:t>为到上级各部门参加、本单位举行的业务培训等。</w:t>
      </w:r>
    </w:p>
    <w:p>
      <w:pPr>
        <w:widowControl/>
        <w:spacing w:line="60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（四）政府采购情况：</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年本部门政府采购预算总</w:t>
      </w:r>
      <w:r>
        <w:rPr>
          <w:rFonts w:hint="eastAsia" w:ascii="仿宋_GB2312" w:hAnsi="仿宋_GB2312" w:eastAsia="仿宋_GB2312" w:cs="仿宋_GB2312"/>
          <w:sz w:val="32"/>
          <w:szCs w:val="32"/>
          <w:lang w:eastAsia="zh-CN"/>
        </w:rPr>
        <w:t>额</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万元，其中，货物类采购预算</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万元；工程类采购预算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万元；服务类采购预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widowControl/>
        <w:numPr>
          <w:ilvl w:val="0"/>
          <w:numId w:val="4"/>
        </w:numPr>
        <w:spacing w:line="600" w:lineRule="exact"/>
        <w:ind w:firstLine="66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政府购买服务情况说明</w:t>
      </w:r>
      <w:r>
        <w:rPr>
          <w:rFonts w:hint="eastAsia" w:ascii="仿宋_GB2312" w:hAnsi="仿宋_GB2312" w:eastAsia="仿宋_GB2312" w:cs="仿宋_GB2312"/>
          <w:b/>
          <w:sz w:val="32"/>
          <w:szCs w:val="32"/>
        </w:rPr>
        <w:t>：</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年本部门政府</w:t>
      </w:r>
      <w:r>
        <w:rPr>
          <w:rFonts w:hint="eastAsia" w:ascii="仿宋_GB2312" w:hAnsi="仿宋_GB2312" w:eastAsia="仿宋_GB2312" w:cs="仿宋_GB2312"/>
          <w:sz w:val="32"/>
          <w:szCs w:val="32"/>
          <w:lang w:eastAsia="zh-CN"/>
        </w:rPr>
        <w:t>购买服务</w:t>
      </w:r>
      <w:r>
        <w:rPr>
          <w:rFonts w:hint="eastAsia" w:ascii="仿宋_GB2312" w:hAnsi="仿宋_GB2312" w:eastAsia="仿宋_GB2312" w:cs="仿宋_GB2312"/>
          <w:sz w:val="32"/>
          <w:szCs w:val="32"/>
        </w:rPr>
        <w:t>预算总额</w:t>
      </w:r>
      <w:r>
        <w:rPr>
          <w:rFonts w:hint="eastAsia" w:ascii="仿宋_GB2312" w:hAnsi="仿宋_GB2312" w:eastAsia="仿宋_GB2312" w:cs="仿宋_GB2312"/>
          <w:sz w:val="32"/>
          <w:szCs w:val="32"/>
          <w:lang w:val="en-US" w:eastAsia="zh-CN"/>
        </w:rPr>
        <w:t>69.5</w:t>
      </w:r>
      <w:r>
        <w:rPr>
          <w:rFonts w:hint="eastAsia" w:ascii="仿宋_GB2312" w:hAnsi="仿宋_GB2312" w:eastAsia="仿宋_GB2312" w:cs="仿宋_GB2312"/>
          <w:sz w:val="32"/>
          <w:szCs w:val="32"/>
        </w:rPr>
        <w:t>万元，其中，购买社会审计服务支出预算</w:t>
      </w:r>
      <w:r>
        <w:rPr>
          <w:rFonts w:hint="eastAsia" w:ascii="仿宋_GB2312" w:hAnsi="仿宋_GB2312" w:eastAsia="仿宋_GB2312" w:cs="仿宋_GB2312"/>
          <w:sz w:val="32"/>
          <w:szCs w:val="32"/>
          <w:lang w:val="en-US" w:eastAsia="zh-CN"/>
        </w:rPr>
        <w:t>69.5</w:t>
      </w:r>
      <w:r>
        <w:rPr>
          <w:rFonts w:hint="eastAsia" w:ascii="仿宋_GB2312" w:hAnsi="仿宋_GB2312" w:eastAsia="仿宋_GB2312" w:cs="仿宋_GB2312"/>
          <w:sz w:val="32"/>
          <w:szCs w:val="32"/>
          <w:u w:val="none"/>
          <w:lang w:val="en-US" w:eastAsia="zh-CN"/>
        </w:rPr>
        <w:t>万元。</w:t>
      </w:r>
    </w:p>
    <w:p>
      <w:pPr>
        <w:widowControl/>
        <w:numPr>
          <w:ilvl w:val="0"/>
          <w:numId w:val="4"/>
        </w:numPr>
        <w:spacing w:line="600" w:lineRule="exact"/>
        <w:ind w:left="0" w:leftChars="0" w:firstLine="660" w:firstLineChars="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
          <w:sz w:val="32"/>
          <w:szCs w:val="32"/>
        </w:rPr>
        <w:t>国有资产占用使用及新增资产配置情况：</w:t>
      </w:r>
      <w:r>
        <w:rPr>
          <w:rFonts w:hint="eastAsia" w:ascii="仿宋_GB2312" w:hAnsi="仿宋_GB2312" w:eastAsia="仿宋_GB2312" w:cs="仿宋_GB2312"/>
          <w:bCs/>
          <w:kern w:val="0"/>
          <w:sz w:val="32"/>
          <w:szCs w:val="32"/>
          <w:lang w:eastAsia="zh-CN"/>
        </w:rPr>
        <w:t>目前，本部门共有公务用车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lang w:eastAsia="zh-CN"/>
        </w:rPr>
        <w:t>辆，</w:t>
      </w:r>
      <w:r>
        <w:rPr>
          <w:rFonts w:hint="eastAsia" w:ascii="仿宋_GB2312" w:hAnsi="仿宋_GB2312" w:eastAsia="仿宋_GB2312" w:cs="仿宋_GB2312"/>
          <w:bCs/>
          <w:kern w:val="0"/>
          <w:sz w:val="32"/>
          <w:szCs w:val="32"/>
        </w:rPr>
        <w:t>单位价值50万元以上通用设备</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台，单位价值100万元以上专用设备</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台。</w:t>
      </w:r>
      <w:r>
        <w:rPr>
          <w:rFonts w:hint="eastAsia" w:ascii="仿宋_GB2312" w:hAnsi="仿宋_GB2312" w:eastAsia="仿宋_GB2312" w:cs="仿宋_GB2312"/>
          <w:bCs/>
          <w:kern w:val="0"/>
          <w:sz w:val="32"/>
          <w:szCs w:val="32"/>
          <w:lang w:val="en-US" w:eastAsia="zh-CN"/>
        </w:rPr>
        <w:t>2021</w:t>
      </w:r>
      <w:r>
        <w:rPr>
          <w:rFonts w:hint="eastAsia" w:ascii="仿宋_GB2312" w:hAnsi="仿宋_GB2312" w:eastAsia="仿宋_GB2312" w:cs="仿宋_GB2312"/>
          <w:bCs/>
          <w:kern w:val="0"/>
          <w:sz w:val="32"/>
          <w:szCs w:val="32"/>
        </w:rPr>
        <w:t>年拟新增配置公务用车</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辆，新增配备单位价值50万元以上通用设备</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u w:val="single"/>
        </w:rPr>
        <w:t xml:space="preserve"> </w:t>
      </w:r>
      <w:r>
        <w:rPr>
          <w:rFonts w:hint="eastAsia" w:ascii="仿宋_GB2312" w:hAnsi="仿宋_GB2312" w:eastAsia="仿宋_GB2312" w:cs="仿宋_GB2312"/>
          <w:bCs/>
          <w:kern w:val="0"/>
          <w:sz w:val="32"/>
          <w:szCs w:val="32"/>
        </w:rPr>
        <w:t>台，单位价值100万元以上专用设备</w:t>
      </w:r>
      <w:r>
        <w:rPr>
          <w:rFonts w:hint="eastAsia" w:ascii="仿宋_GB2312" w:hAnsi="仿宋_GB2312" w:eastAsia="仿宋_GB2312" w:cs="仿宋_GB2312"/>
          <w:bCs/>
          <w:kern w:val="0"/>
          <w:sz w:val="32"/>
          <w:szCs w:val="32"/>
          <w:lang w:val="en-US" w:eastAsia="zh-CN"/>
        </w:rPr>
        <w:t>0</w:t>
      </w:r>
      <w:r>
        <w:rPr>
          <w:rFonts w:hint="eastAsia" w:ascii="仿宋_GB2312" w:hAnsi="仿宋_GB2312" w:eastAsia="仿宋_GB2312" w:cs="仿宋_GB2312"/>
          <w:bCs/>
          <w:kern w:val="0"/>
          <w:sz w:val="32"/>
          <w:szCs w:val="32"/>
        </w:rPr>
        <w:t>台。</w:t>
      </w:r>
    </w:p>
    <w:p>
      <w:pPr>
        <w:widowControl/>
        <w:spacing w:line="600" w:lineRule="exact"/>
        <w:ind w:firstLine="660"/>
        <w:jc w:val="left"/>
        <w:rPr>
          <w:rFonts w:hint="eastAsia" w:ascii="仿宋_GB2312" w:hAnsi="仿宋_GB2312" w:eastAsia="仿宋_GB2312" w:cs="仿宋_GB2312"/>
          <w:bCs/>
          <w:kern w:val="0"/>
          <w:sz w:val="32"/>
          <w:szCs w:val="32"/>
        </w:rPr>
      </w:pP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b/>
          <w:bCs/>
          <w:kern w:val="0"/>
          <w:sz w:val="32"/>
          <w:szCs w:val="32"/>
          <w:lang w:eastAsia="zh-CN"/>
        </w:rPr>
        <w:t>七</w:t>
      </w:r>
      <w:r>
        <w:rPr>
          <w:rFonts w:hint="eastAsia" w:ascii="仿宋_GB2312" w:hAnsi="仿宋_GB2312" w:eastAsia="仿宋_GB2312" w:cs="仿宋_GB2312"/>
          <w:b/>
          <w:bCs/>
          <w:kern w:val="0"/>
          <w:sz w:val="32"/>
          <w:szCs w:val="32"/>
        </w:rPr>
        <w:t>）预算绩效目标说明：</w:t>
      </w:r>
      <w:r>
        <w:rPr>
          <w:rFonts w:hint="eastAsia" w:ascii="仿宋_GB2312" w:hAnsi="仿宋_GB2312" w:eastAsia="仿宋_GB2312" w:cs="仿宋_GB2312"/>
          <w:bCs/>
          <w:kern w:val="0"/>
          <w:sz w:val="32"/>
          <w:szCs w:val="32"/>
          <w:lang w:val="en-US" w:eastAsia="zh-CN"/>
        </w:rPr>
        <w:t>2020年</w:t>
      </w:r>
      <w:r>
        <w:rPr>
          <w:rFonts w:hint="eastAsia" w:ascii="仿宋_GB2312" w:hAnsi="仿宋_GB2312" w:eastAsia="仿宋_GB2312" w:cs="仿宋_GB2312"/>
          <w:sz w:val="32"/>
          <w:szCs w:val="32"/>
        </w:rPr>
        <w:t>购买社会审计服务、重点投资审计项目、审计项目专项支出</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bCs/>
          <w:kern w:val="0"/>
          <w:sz w:val="32"/>
          <w:szCs w:val="32"/>
        </w:rPr>
        <w:t>纳入了财政绩效评价，财政绩效评价结果</w:t>
      </w:r>
      <w:r>
        <w:rPr>
          <w:rFonts w:hint="eastAsia" w:ascii="仿宋_GB2312" w:hAnsi="仿宋_GB2312" w:eastAsia="仿宋_GB2312" w:cs="仿宋_GB2312"/>
          <w:bCs/>
          <w:kern w:val="0"/>
          <w:sz w:val="32"/>
          <w:szCs w:val="32"/>
          <w:lang w:eastAsia="zh-CN"/>
        </w:rPr>
        <w:t>为良。</w:t>
      </w:r>
      <w:r>
        <w:rPr>
          <w:rFonts w:hint="eastAsia" w:ascii="仿宋_GB2312" w:hAnsi="仿宋_GB2312" w:eastAsia="仿宋_GB2312" w:cs="仿宋_GB2312"/>
          <w:bCs/>
          <w:kern w:val="0"/>
          <w:sz w:val="32"/>
          <w:szCs w:val="32"/>
          <w:lang w:val="en-US" w:eastAsia="zh-CN"/>
        </w:rPr>
        <w:t>2021</w:t>
      </w:r>
      <w:r>
        <w:rPr>
          <w:rFonts w:hint="eastAsia" w:ascii="仿宋_GB2312" w:hAnsi="仿宋_GB2312" w:eastAsia="仿宋_GB2312" w:cs="仿宋_GB2312"/>
          <w:bCs/>
          <w:kern w:val="0"/>
          <w:sz w:val="32"/>
          <w:szCs w:val="32"/>
          <w:lang w:eastAsia="zh-CN"/>
        </w:rPr>
        <w:t>年本</w:t>
      </w:r>
      <w:r>
        <w:rPr>
          <w:rFonts w:hint="eastAsia" w:ascii="仿宋_GB2312" w:hAnsi="仿宋_GB2312" w:eastAsia="仿宋_GB2312" w:cs="仿宋_GB2312"/>
          <w:bCs/>
          <w:kern w:val="0"/>
          <w:sz w:val="32"/>
          <w:szCs w:val="32"/>
        </w:rPr>
        <w:t>部门所有支出实行绩效目标管理。纳入</w:t>
      </w:r>
      <w:r>
        <w:rPr>
          <w:rFonts w:hint="eastAsia" w:ascii="仿宋_GB2312" w:hAnsi="仿宋_GB2312" w:eastAsia="仿宋_GB2312" w:cs="仿宋_GB2312"/>
          <w:bCs/>
          <w:kern w:val="0"/>
          <w:sz w:val="32"/>
          <w:szCs w:val="32"/>
          <w:lang w:val="en-US" w:eastAsia="zh-CN"/>
        </w:rPr>
        <w:t>2021</w:t>
      </w:r>
      <w:r>
        <w:rPr>
          <w:rFonts w:hint="eastAsia" w:ascii="仿宋_GB2312" w:hAnsi="仿宋_GB2312" w:eastAsia="仿宋_GB2312" w:cs="仿宋_GB2312"/>
          <w:bCs/>
          <w:kern w:val="0"/>
          <w:sz w:val="32"/>
          <w:szCs w:val="32"/>
        </w:rPr>
        <w:t>年部门整体支出绩效目标的金额为</w:t>
      </w:r>
      <w:r>
        <w:rPr>
          <w:rFonts w:hint="eastAsia" w:ascii="仿宋_GB2312" w:hAnsi="仿宋_GB2312" w:eastAsia="仿宋_GB2312" w:cs="仿宋_GB2312"/>
          <w:bCs/>
          <w:kern w:val="0"/>
          <w:sz w:val="32"/>
          <w:szCs w:val="32"/>
          <w:lang w:val="en-US" w:eastAsia="zh-CN"/>
        </w:rPr>
        <w:t>709.91</w:t>
      </w:r>
      <w:r>
        <w:rPr>
          <w:rFonts w:hint="eastAsia" w:ascii="仿宋_GB2312" w:hAnsi="仿宋_GB2312" w:eastAsia="仿宋_GB2312" w:cs="仿宋_GB2312"/>
          <w:bCs/>
          <w:kern w:val="0"/>
          <w:sz w:val="32"/>
          <w:szCs w:val="32"/>
        </w:rPr>
        <w:t>万元，其中，基本支出</w:t>
      </w:r>
      <w:r>
        <w:rPr>
          <w:rFonts w:hint="eastAsia" w:ascii="仿宋_GB2312" w:hAnsi="仿宋_GB2312" w:eastAsia="仿宋_GB2312" w:cs="仿宋_GB2312"/>
          <w:bCs/>
          <w:kern w:val="0"/>
          <w:sz w:val="32"/>
          <w:szCs w:val="32"/>
          <w:lang w:val="en-US" w:eastAsia="zh-CN"/>
        </w:rPr>
        <w:t>430.31</w:t>
      </w:r>
      <w:r>
        <w:rPr>
          <w:rFonts w:hint="eastAsia" w:ascii="仿宋_GB2312" w:hAnsi="仿宋_GB2312" w:eastAsia="仿宋_GB2312" w:cs="仿宋_GB2312"/>
          <w:bCs/>
          <w:kern w:val="0"/>
          <w:sz w:val="32"/>
          <w:szCs w:val="32"/>
        </w:rPr>
        <w:t>万元，项目支出</w:t>
      </w:r>
      <w:r>
        <w:rPr>
          <w:rFonts w:hint="eastAsia" w:ascii="仿宋_GB2312" w:hAnsi="仿宋_GB2312" w:eastAsia="仿宋_GB2312" w:cs="仿宋_GB2312"/>
          <w:bCs/>
          <w:kern w:val="0"/>
          <w:sz w:val="32"/>
          <w:szCs w:val="32"/>
          <w:lang w:val="en-US" w:eastAsia="zh-CN"/>
        </w:rPr>
        <w:t>279.6</w:t>
      </w:r>
      <w:r>
        <w:rPr>
          <w:rFonts w:hint="eastAsia" w:ascii="仿宋_GB2312" w:hAnsi="仿宋_GB2312" w:eastAsia="仿宋_GB2312" w:cs="仿宋_GB2312"/>
          <w:bCs/>
          <w:kern w:val="0"/>
          <w:sz w:val="32"/>
          <w:szCs w:val="32"/>
        </w:rPr>
        <w:t>万元，具体绩效目标详见报表。</w:t>
      </w:r>
    </w:p>
    <w:p>
      <w:pPr>
        <w:widowControl/>
        <w:spacing w:line="600" w:lineRule="exact"/>
        <w:rPr>
          <w:rFonts w:eastAsia="黑体"/>
          <w:sz w:val="32"/>
          <w:szCs w:val="32"/>
        </w:rPr>
      </w:pPr>
      <w:r>
        <w:rPr>
          <w:rFonts w:eastAsia="黑体"/>
          <w:sz w:val="32"/>
          <w:szCs w:val="32"/>
        </w:rPr>
        <w:t>七、名词解释</w:t>
      </w:r>
    </w:p>
    <w:p>
      <w:pPr>
        <w:widowControl/>
        <w:spacing w:line="600" w:lineRule="exact"/>
        <w:ind w:firstLine="660"/>
        <w:rPr>
          <w:rFonts w:eastAsia="仿宋_GB2312"/>
          <w:sz w:val="32"/>
          <w:szCs w:val="32"/>
        </w:rPr>
      </w:pPr>
      <w:r>
        <w:rPr>
          <w:rFonts w:eastAsia="仿宋_GB2312"/>
          <w:sz w:val="32"/>
          <w:szCs w:val="32"/>
        </w:rPr>
        <w:t>1、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eastAsia="仿宋_GB2312"/>
          <w:sz w:val="32"/>
          <w:szCs w:val="32"/>
        </w:rPr>
      </w:pPr>
      <w:r>
        <w:rPr>
          <w:rFonts w:eastAsia="仿宋_GB2312"/>
          <w:sz w:val="32"/>
          <w:szCs w:val="32"/>
        </w:rPr>
        <w:t>2、“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widowControl/>
        <w:numPr>
          <w:ilvl w:val="0"/>
          <w:numId w:val="0"/>
        </w:numPr>
        <w:spacing w:line="600" w:lineRule="exact"/>
        <w:jc w:val="left"/>
        <w:rPr>
          <w:rFonts w:hint="eastAsia" w:eastAsia="黑体"/>
          <w:bCs/>
          <w:kern w:val="0"/>
          <w:sz w:val="32"/>
          <w:szCs w:val="32"/>
          <w:lang w:eastAsia="zh-CN"/>
        </w:rPr>
      </w:pPr>
    </w:p>
    <w:p>
      <w:pPr>
        <w:widowControl/>
        <w:spacing w:line="600" w:lineRule="exact"/>
        <w:jc w:val="center"/>
        <w:rPr>
          <w:rFonts w:eastAsia="黑体"/>
          <w:kern w:val="0"/>
          <w:sz w:val="32"/>
          <w:szCs w:val="32"/>
        </w:rPr>
      </w:pPr>
    </w:p>
    <w:p>
      <w:pPr>
        <w:widowControl/>
        <w:spacing w:line="600" w:lineRule="exact"/>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97328E"/>
    <w:multiLevelType w:val="singleLevel"/>
    <w:tmpl w:val="8C97328E"/>
    <w:lvl w:ilvl="0" w:tentative="0">
      <w:start w:val="5"/>
      <w:numFmt w:val="chineseCounting"/>
      <w:suff w:val="nothing"/>
      <w:lvlText w:val="（%1）"/>
      <w:lvlJc w:val="left"/>
      <w:rPr>
        <w:rFonts w:hint="eastAsia"/>
      </w:rPr>
    </w:lvl>
  </w:abstractNum>
  <w:abstractNum w:abstractNumId="1">
    <w:nsid w:val="EA6EB3D2"/>
    <w:multiLevelType w:val="singleLevel"/>
    <w:tmpl w:val="EA6EB3D2"/>
    <w:lvl w:ilvl="0" w:tentative="0">
      <w:start w:val="3"/>
      <w:numFmt w:val="chineseCounting"/>
      <w:suff w:val="nothing"/>
      <w:lvlText w:val="%1、"/>
      <w:lvlJc w:val="left"/>
      <w:rPr>
        <w:rFonts w:hint="eastAsia"/>
      </w:rPr>
    </w:lvl>
  </w:abstractNum>
  <w:abstractNum w:abstractNumId="2">
    <w:nsid w:val="4C4611DB"/>
    <w:multiLevelType w:val="singleLevel"/>
    <w:tmpl w:val="4C4611DB"/>
    <w:lvl w:ilvl="0" w:tentative="0">
      <w:start w:val="1"/>
      <w:numFmt w:val="chineseCounting"/>
      <w:suff w:val="nothing"/>
      <w:lvlText w:val="%1、"/>
      <w:lvlJc w:val="left"/>
      <w:rPr>
        <w:rFonts w:hint="eastAsia"/>
      </w:rPr>
    </w:lvl>
  </w:abstractNum>
  <w:abstractNum w:abstractNumId="3">
    <w:nsid w:val="663E6BDE"/>
    <w:multiLevelType w:val="singleLevel"/>
    <w:tmpl w:val="663E6BDE"/>
    <w:lvl w:ilvl="0" w:tentative="0">
      <w:start w:val="1"/>
      <w:numFmt w:val="chineseCounting"/>
      <w:suff w:val="space"/>
      <w:lvlText w:val="第%1部分"/>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871"/>
    <w:rsid w:val="000D7350"/>
    <w:rsid w:val="0020174A"/>
    <w:rsid w:val="002D16C4"/>
    <w:rsid w:val="002D7251"/>
    <w:rsid w:val="003E3871"/>
    <w:rsid w:val="003F3476"/>
    <w:rsid w:val="00414B59"/>
    <w:rsid w:val="00435C97"/>
    <w:rsid w:val="00847955"/>
    <w:rsid w:val="009340DD"/>
    <w:rsid w:val="009B6981"/>
    <w:rsid w:val="00A121F9"/>
    <w:rsid w:val="00CE47C7"/>
    <w:rsid w:val="00D9092A"/>
    <w:rsid w:val="00E827A7"/>
    <w:rsid w:val="00F662A7"/>
    <w:rsid w:val="017D2882"/>
    <w:rsid w:val="0227293C"/>
    <w:rsid w:val="045E24A9"/>
    <w:rsid w:val="04605D75"/>
    <w:rsid w:val="04781A0B"/>
    <w:rsid w:val="04CA4DE0"/>
    <w:rsid w:val="04D72BD5"/>
    <w:rsid w:val="05243941"/>
    <w:rsid w:val="06ED1CCE"/>
    <w:rsid w:val="07513073"/>
    <w:rsid w:val="07F12954"/>
    <w:rsid w:val="080C0DE8"/>
    <w:rsid w:val="087F1EBF"/>
    <w:rsid w:val="098F1CD1"/>
    <w:rsid w:val="09901D2C"/>
    <w:rsid w:val="0A1827EB"/>
    <w:rsid w:val="0A1E4972"/>
    <w:rsid w:val="0AEE53BA"/>
    <w:rsid w:val="0CEF5B93"/>
    <w:rsid w:val="0CF462EF"/>
    <w:rsid w:val="0D121618"/>
    <w:rsid w:val="0D5D6C5C"/>
    <w:rsid w:val="0E4716BA"/>
    <w:rsid w:val="0E544D74"/>
    <w:rsid w:val="0E6D45AA"/>
    <w:rsid w:val="0EE707F6"/>
    <w:rsid w:val="0F4E0349"/>
    <w:rsid w:val="0F571B14"/>
    <w:rsid w:val="0FBA381F"/>
    <w:rsid w:val="0FDE127A"/>
    <w:rsid w:val="10CF6E57"/>
    <w:rsid w:val="119836EC"/>
    <w:rsid w:val="11EC7608"/>
    <w:rsid w:val="12B46E52"/>
    <w:rsid w:val="130D0C27"/>
    <w:rsid w:val="134A2874"/>
    <w:rsid w:val="139A7BF0"/>
    <w:rsid w:val="139F4D6C"/>
    <w:rsid w:val="14F92240"/>
    <w:rsid w:val="157224A6"/>
    <w:rsid w:val="16351E52"/>
    <w:rsid w:val="181635BD"/>
    <w:rsid w:val="186C580B"/>
    <w:rsid w:val="187C546C"/>
    <w:rsid w:val="1A5F124B"/>
    <w:rsid w:val="1CA506E8"/>
    <w:rsid w:val="1CE3551D"/>
    <w:rsid w:val="1D5F7B08"/>
    <w:rsid w:val="1D93708A"/>
    <w:rsid w:val="1DA63635"/>
    <w:rsid w:val="1DD9425D"/>
    <w:rsid w:val="1EBB1BEE"/>
    <w:rsid w:val="1EE7180F"/>
    <w:rsid w:val="1F6B68E4"/>
    <w:rsid w:val="1FD247DF"/>
    <w:rsid w:val="1FDC5D5D"/>
    <w:rsid w:val="20E95D37"/>
    <w:rsid w:val="212013EF"/>
    <w:rsid w:val="21241BCD"/>
    <w:rsid w:val="21BC49E6"/>
    <w:rsid w:val="21DC5EFF"/>
    <w:rsid w:val="226E2973"/>
    <w:rsid w:val="22F036AC"/>
    <w:rsid w:val="235E3810"/>
    <w:rsid w:val="24E76A0D"/>
    <w:rsid w:val="25551BC9"/>
    <w:rsid w:val="28E94267"/>
    <w:rsid w:val="29B6075C"/>
    <w:rsid w:val="2A1A518F"/>
    <w:rsid w:val="2B50206F"/>
    <w:rsid w:val="2B59057C"/>
    <w:rsid w:val="2C397789"/>
    <w:rsid w:val="2C512791"/>
    <w:rsid w:val="2C940ED8"/>
    <w:rsid w:val="2D5277A5"/>
    <w:rsid w:val="2E216560"/>
    <w:rsid w:val="2F860B14"/>
    <w:rsid w:val="301F6F84"/>
    <w:rsid w:val="31776241"/>
    <w:rsid w:val="329F1AB1"/>
    <w:rsid w:val="32A04259"/>
    <w:rsid w:val="336D075B"/>
    <w:rsid w:val="34F50AD6"/>
    <w:rsid w:val="34FD1935"/>
    <w:rsid w:val="35ED6CDF"/>
    <w:rsid w:val="363C59DE"/>
    <w:rsid w:val="36C941C4"/>
    <w:rsid w:val="36E7464B"/>
    <w:rsid w:val="37B073B9"/>
    <w:rsid w:val="393E63DF"/>
    <w:rsid w:val="3A9D05A1"/>
    <w:rsid w:val="3B1B0D67"/>
    <w:rsid w:val="3B5C0464"/>
    <w:rsid w:val="3BC96A15"/>
    <w:rsid w:val="3C90308E"/>
    <w:rsid w:val="3CE148C4"/>
    <w:rsid w:val="3D0765B5"/>
    <w:rsid w:val="3F016907"/>
    <w:rsid w:val="409969B6"/>
    <w:rsid w:val="40CA2002"/>
    <w:rsid w:val="41EA3241"/>
    <w:rsid w:val="429B1905"/>
    <w:rsid w:val="42ED4D97"/>
    <w:rsid w:val="430D368B"/>
    <w:rsid w:val="438C6E72"/>
    <w:rsid w:val="44427364"/>
    <w:rsid w:val="46625A9C"/>
    <w:rsid w:val="46AC31BB"/>
    <w:rsid w:val="46DA670A"/>
    <w:rsid w:val="47A27ED1"/>
    <w:rsid w:val="47E90EFB"/>
    <w:rsid w:val="48084421"/>
    <w:rsid w:val="48305828"/>
    <w:rsid w:val="48A93870"/>
    <w:rsid w:val="48D82045"/>
    <w:rsid w:val="48FE1CFE"/>
    <w:rsid w:val="49C12AD9"/>
    <w:rsid w:val="49D97E23"/>
    <w:rsid w:val="4A58322D"/>
    <w:rsid w:val="4B5F3DE5"/>
    <w:rsid w:val="4BA206E8"/>
    <w:rsid w:val="4BF40CC7"/>
    <w:rsid w:val="4C312198"/>
    <w:rsid w:val="4D52686A"/>
    <w:rsid w:val="4D761E2D"/>
    <w:rsid w:val="4ED31142"/>
    <w:rsid w:val="504D4E4D"/>
    <w:rsid w:val="512618DB"/>
    <w:rsid w:val="522D666F"/>
    <w:rsid w:val="5268345B"/>
    <w:rsid w:val="52722142"/>
    <w:rsid w:val="55130421"/>
    <w:rsid w:val="554808C5"/>
    <w:rsid w:val="56017B40"/>
    <w:rsid w:val="56632179"/>
    <w:rsid w:val="58144523"/>
    <w:rsid w:val="58660C09"/>
    <w:rsid w:val="58711142"/>
    <w:rsid w:val="59A60467"/>
    <w:rsid w:val="5A5A6D5E"/>
    <w:rsid w:val="5A92668A"/>
    <w:rsid w:val="5AFA5E4B"/>
    <w:rsid w:val="5BD859FF"/>
    <w:rsid w:val="5C64411C"/>
    <w:rsid w:val="5D5D332D"/>
    <w:rsid w:val="5DD23E94"/>
    <w:rsid w:val="5F4128AA"/>
    <w:rsid w:val="5F5F1CBD"/>
    <w:rsid w:val="602B2290"/>
    <w:rsid w:val="60A057A1"/>
    <w:rsid w:val="60C2565D"/>
    <w:rsid w:val="60F0595B"/>
    <w:rsid w:val="610C5D4B"/>
    <w:rsid w:val="6286659E"/>
    <w:rsid w:val="62E56E6D"/>
    <w:rsid w:val="63181C3A"/>
    <w:rsid w:val="646F1D07"/>
    <w:rsid w:val="64A027FE"/>
    <w:rsid w:val="656A633F"/>
    <w:rsid w:val="660D2ED6"/>
    <w:rsid w:val="66723681"/>
    <w:rsid w:val="68F013AE"/>
    <w:rsid w:val="6AC975E8"/>
    <w:rsid w:val="6B1D240A"/>
    <w:rsid w:val="6C0D0B18"/>
    <w:rsid w:val="6C1E5983"/>
    <w:rsid w:val="6D25023E"/>
    <w:rsid w:val="6D341690"/>
    <w:rsid w:val="6D370224"/>
    <w:rsid w:val="6D4A1E18"/>
    <w:rsid w:val="6D885538"/>
    <w:rsid w:val="6D8B6FE8"/>
    <w:rsid w:val="6EEE573F"/>
    <w:rsid w:val="6FBD596D"/>
    <w:rsid w:val="701D28B0"/>
    <w:rsid w:val="70566167"/>
    <w:rsid w:val="712B304A"/>
    <w:rsid w:val="71397275"/>
    <w:rsid w:val="72050415"/>
    <w:rsid w:val="733177D2"/>
    <w:rsid w:val="73855907"/>
    <w:rsid w:val="7505670F"/>
    <w:rsid w:val="751B5D91"/>
    <w:rsid w:val="752C5111"/>
    <w:rsid w:val="769A1DB9"/>
    <w:rsid w:val="77DB72D8"/>
    <w:rsid w:val="79032A20"/>
    <w:rsid w:val="79534C4C"/>
    <w:rsid w:val="79737D0B"/>
    <w:rsid w:val="7A3D2F27"/>
    <w:rsid w:val="7B136D89"/>
    <w:rsid w:val="7B8D45CE"/>
    <w:rsid w:val="7D0E5A5A"/>
    <w:rsid w:val="7D6E1D76"/>
    <w:rsid w:val="7EB919F5"/>
    <w:rsid w:val="7F0B302B"/>
    <w:rsid w:val="7F7D0A26"/>
    <w:rsid w:val="7FAF4BA7"/>
    <w:rsid w:val="7FD91C2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99"/>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czj</Company>
  <Pages>4</Pages>
  <Words>275</Words>
  <Characters>1574</Characters>
  <Lines>0</Lines>
  <Paragraphs>0</Paragraphs>
  <TotalTime>6</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谭湘琼</cp:lastModifiedBy>
  <cp:lastPrinted>2021-03-23T06:22:00Z</cp:lastPrinted>
  <dcterms:modified xsi:type="dcterms:W3CDTF">2021-11-23T06:41:34Z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4FB2BE644B5D48A2AEEE9EEEA2316787</vt:lpwstr>
  </property>
</Properties>
</file>