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sz w:val="84"/>
          <w:szCs w:val="84"/>
        </w:rPr>
      </w:pPr>
      <w:r>
        <w:rPr>
          <w:rFonts w:hint="eastAsia"/>
          <w:sz w:val="84"/>
          <w:szCs w:val="84"/>
        </w:rPr>
        <w:t>2021年度</w:t>
      </w:r>
    </w:p>
    <w:p>
      <w:pPr>
        <w:pStyle w:val="13"/>
        <w:jc w:val="center"/>
        <w:rPr>
          <w:sz w:val="84"/>
          <w:szCs w:val="84"/>
        </w:rPr>
      </w:pPr>
      <w:r>
        <w:rPr>
          <w:rFonts w:hint="eastAsia"/>
          <w:sz w:val="84"/>
          <w:szCs w:val="84"/>
        </w:rPr>
        <w:t>农业农村局部门决算</w:t>
      </w: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center"/>
        <w:rPr>
          <w:b/>
          <w:sz w:val="36"/>
          <w:szCs w:val="28"/>
        </w:rPr>
      </w:pPr>
    </w:p>
    <w:p>
      <w:pPr>
        <w:pStyle w:val="13"/>
        <w:spacing w:line="500" w:lineRule="exact"/>
        <w:jc w:val="center"/>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ascii="仿宋_GB2312" w:hAnsi="仿宋_GB2312" w:cs="仿宋_GB2312"/>
          <w:b/>
          <w:sz w:val="28"/>
          <w:szCs w:val="28"/>
        </w:rPr>
      </w:pPr>
      <w:r>
        <w:rPr>
          <w:rFonts w:hint="eastAsia"/>
          <w:b/>
          <w:sz w:val="28"/>
          <w:szCs w:val="28"/>
        </w:rPr>
        <w:t>第一部分湘乡市农业农村局单位概况</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3"/>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3"/>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3"/>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3"/>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3"/>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3"/>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3"/>
        <w:jc w:val="center"/>
        <w:rPr>
          <w:sz w:val="84"/>
          <w:szCs w:val="84"/>
        </w:rPr>
      </w:pPr>
      <w:r>
        <w:rPr>
          <w:rFonts w:hint="eastAsia"/>
          <w:sz w:val="84"/>
          <w:szCs w:val="84"/>
        </w:rPr>
        <w:t>第一部分</w:t>
      </w:r>
    </w:p>
    <w:p>
      <w:pPr>
        <w:pStyle w:val="13"/>
        <w:jc w:val="center"/>
        <w:rPr>
          <w:sz w:val="84"/>
          <w:szCs w:val="84"/>
        </w:rPr>
      </w:pPr>
    </w:p>
    <w:p>
      <w:pPr>
        <w:pStyle w:val="13"/>
        <w:jc w:val="center"/>
        <w:rPr>
          <w:sz w:val="84"/>
          <w:szCs w:val="84"/>
        </w:rPr>
      </w:pPr>
      <w:r>
        <w:rPr>
          <w:rFonts w:hint="eastAsia"/>
          <w:sz w:val="84"/>
          <w:szCs w:val="84"/>
        </w:rPr>
        <w:t>农业农村局概况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ind w:left="720" w:firstLine="0" w:firstLineChars="0"/>
        <w:jc w:val="left"/>
        <w:rPr>
          <w:rFonts w:ascii="黑体" w:hAnsi="黑体" w:eastAsia="黑体"/>
          <w:sz w:val="32"/>
          <w:szCs w:val="32"/>
        </w:rPr>
      </w:pPr>
    </w:p>
    <w:p>
      <w:pPr>
        <w:pStyle w:val="14"/>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line="520" w:lineRule="exact"/>
        <w:ind w:firstLine="643"/>
        <w:rPr>
          <w:rFonts w:ascii="宋体" w:hAnsi="宋体" w:eastAsia="宋体"/>
          <w:b/>
          <w:sz w:val="28"/>
          <w:szCs w:val="24"/>
        </w:rPr>
      </w:pPr>
      <w:r>
        <w:rPr>
          <w:rFonts w:ascii="宋体" w:hAnsi="宋体" w:eastAsia="宋体"/>
          <w:b/>
          <w:sz w:val="28"/>
          <w:szCs w:val="24"/>
        </w:rPr>
        <w:t>（一）基本情况。</w:t>
      </w:r>
    </w:p>
    <w:p>
      <w:pPr>
        <w:spacing w:line="520" w:lineRule="exact"/>
        <w:ind w:firstLine="640"/>
        <w:rPr>
          <w:rFonts w:ascii="宋体" w:hAnsi="宋体" w:eastAsia="宋体" w:cs="宋体"/>
          <w:sz w:val="28"/>
          <w:szCs w:val="28"/>
        </w:rPr>
      </w:pPr>
      <w:r>
        <w:rPr>
          <w:rFonts w:ascii="宋体" w:hAnsi="宋体" w:eastAsia="宋体" w:cs="宋体"/>
          <w:sz w:val="28"/>
          <w:szCs w:val="28"/>
        </w:rPr>
        <w:t xml:space="preserve"> （一）负责全市农业农村局工作的协调和综合工作，组织研究全市农业、农村发展和改革中的问题，提出农业、农村发展和改革的政策建议，指导农村发展和改革工作。</w:t>
      </w:r>
    </w:p>
    <w:p>
      <w:pPr>
        <w:spacing w:line="520" w:lineRule="exact"/>
        <w:ind w:firstLine="640"/>
        <w:rPr>
          <w:rFonts w:ascii="宋体" w:hAnsi="宋体" w:eastAsia="宋体" w:cs="宋体"/>
          <w:sz w:val="28"/>
          <w:szCs w:val="28"/>
        </w:rPr>
      </w:pPr>
      <w:r>
        <w:rPr>
          <w:rFonts w:ascii="宋体" w:hAnsi="宋体" w:eastAsia="宋体" w:cs="宋体"/>
          <w:sz w:val="28"/>
          <w:szCs w:val="28"/>
        </w:rPr>
        <w:t>（二）会同有关部门研究提出城乡经济社会发展一体化体制机制改革的建议，指导协调县域经济发展和新农村建设，研究提出县域经济发展和新农村建设的政策与规划建议，参与农村小城镇规划和建设的有关工作，参与农村社会事业发展工作。</w:t>
      </w:r>
    </w:p>
    <w:p>
      <w:pPr>
        <w:spacing w:line="520" w:lineRule="exact"/>
        <w:ind w:firstLine="640"/>
        <w:rPr>
          <w:rFonts w:ascii="宋体" w:hAnsi="宋体" w:eastAsia="宋体" w:cs="宋体"/>
          <w:sz w:val="28"/>
          <w:szCs w:val="28"/>
        </w:rPr>
      </w:pPr>
      <w:r>
        <w:rPr>
          <w:rFonts w:ascii="宋体" w:hAnsi="宋体" w:eastAsia="宋体" w:cs="宋体"/>
          <w:sz w:val="28"/>
          <w:szCs w:val="28"/>
        </w:rPr>
        <w:t>（三）贯彻执行国家种植业、农产品加工业等农业各产业（以下简称农业）发展的方针政策、法律法规，拟订我市农业发展的政策和规划并指导实施，参与涉农的财税、价格、金融保险、进出口等政策制定，推进农业依法行政、依法治理。</w:t>
      </w:r>
    </w:p>
    <w:p>
      <w:pPr>
        <w:spacing w:line="520" w:lineRule="exact"/>
        <w:ind w:firstLine="640"/>
        <w:rPr>
          <w:rFonts w:ascii="宋体" w:hAnsi="宋体" w:eastAsia="宋体" w:cs="宋体"/>
          <w:sz w:val="28"/>
          <w:szCs w:val="28"/>
        </w:rPr>
      </w:pPr>
      <w:r>
        <w:rPr>
          <w:rFonts w:ascii="宋体" w:hAnsi="宋体" w:eastAsia="宋体" w:cs="宋体"/>
          <w:sz w:val="28"/>
          <w:szCs w:val="28"/>
        </w:rPr>
        <w:t>（四）研究提出稳定和完善农村经营管理体制的建议，组织、指导农村土地承包、耕地使用权流转和承包纠纷仲裁管理，指导、监督减轻农民负担和村民筹资筹劳管理工作，监督检查惠农政策的落实，指导村级集体经济发展、农村集体经济组织建设和资产财务管理，拟订全市农业产业化经营的发展规划与政策并组织实施，指导、扶持农业社会化服务体系、农村合作经济组织、农民专业合作社的建设与发展。</w:t>
      </w:r>
    </w:p>
    <w:p>
      <w:pPr>
        <w:spacing w:line="520" w:lineRule="exact"/>
        <w:ind w:firstLine="640"/>
        <w:rPr>
          <w:rFonts w:ascii="宋体" w:hAnsi="宋体" w:eastAsia="宋体" w:cs="宋体"/>
          <w:sz w:val="28"/>
          <w:szCs w:val="28"/>
        </w:rPr>
      </w:pPr>
      <w:r>
        <w:rPr>
          <w:rFonts w:ascii="宋体" w:hAnsi="宋体" w:eastAsia="宋体" w:cs="宋体"/>
          <w:sz w:val="28"/>
          <w:szCs w:val="28"/>
        </w:rPr>
        <w:t>（五）指导粮食、蔬菜等主要农产品生产，组织落实促进粮食、蔬菜等主要农产品生产发展的相关政策措施，引导农业产业结构调整和产品品质改善，会同有关部门指导农业标准化、规模化生产；提出农业固定资产投资规模和方向、市级财政性资金安排的建议，按规定权限审批、核准规划和计划内固定资产投资项目；编报部门预算并组织执行，提出扶持农业农村发展的财政政策和项目建议，经批准后与财政部门共同制订实施方案并指导实施；拟订农业开发规划并监督实施；配合财政部门组织实施农业综合开发项目。</w:t>
      </w:r>
    </w:p>
    <w:p>
      <w:pPr>
        <w:spacing w:line="520" w:lineRule="exact"/>
        <w:ind w:firstLine="640"/>
        <w:rPr>
          <w:rFonts w:ascii="宋体" w:hAnsi="宋体" w:eastAsia="宋体" w:cs="宋体"/>
          <w:sz w:val="28"/>
          <w:szCs w:val="28"/>
        </w:rPr>
      </w:pPr>
      <w:r>
        <w:rPr>
          <w:rFonts w:ascii="宋体" w:hAnsi="宋体" w:eastAsia="宋体" w:cs="宋体"/>
          <w:sz w:val="28"/>
          <w:szCs w:val="28"/>
        </w:rPr>
        <w:t xml:space="preserve">（六）促进农业产前、产中、产后一体化发展，组织拟订促进农产品加工业、休闲农业的发展政策、规划并组织实施，提出农业产业保护政策建议，指导农产品加工业结构调整、技术创新和服务体系建设；指导休闲农业的发展，延伸农业产业链，促进农业增效、农民增收；提出促进大宗农产品流通的政策建议，研究制定大宗农产品市场体系建设与发展规划；培育、保护和发展农产品品牌；组织协调“菜篮子”工程。  </w:t>
      </w:r>
    </w:p>
    <w:p>
      <w:pPr>
        <w:spacing w:line="520" w:lineRule="exact"/>
        <w:ind w:firstLine="640"/>
        <w:rPr>
          <w:rFonts w:ascii="宋体" w:hAnsi="宋体" w:eastAsia="宋体" w:cs="宋体"/>
          <w:sz w:val="28"/>
          <w:szCs w:val="28"/>
        </w:rPr>
      </w:pPr>
      <w:r>
        <w:rPr>
          <w:rFonts w:ascii="宋体" w:hAnsi="宋体" w:eastAsia="宋体" w:cs="宋体"/>
          <w:sz w:val="28"/>
          <w:szCs w:val="28"/>
        </w:rPr>
        <w:t>（七）承担提升农产品质量安全水平的责任，依法开展农产品质量安全风险评估，发布有关农产品质量安全状况信息，负责农产品质量安全监测；贯彻执行农业转基因生物安全评价标准和技术规范，负责农业转基因生物安全监督管理和农业植物新品种保护；会同有关部门贯彻执行农产品质量安全国家标准、地方标准；指导农业检验检测体系建设和工作考核；依法实施符合安全标准的农产品认证和监督管理；组织农产品质量安全的监督管理。</w:t>
      </w:r>
    </w:p>
    <w:p>
      <w:pPr>
        <w:spacing w:line="520" w:lineRule="exact"/>
        <w:ind w:firstLine="640"/>
        <w:rPr>
          <w:rFonts w:ascii="宋体" w:hAnsi="宋体" w:eastAsia="宋体" w:cs="宋体"/>
          <w:sz w:val="28"/>
          <w:szCs w:val="28"/>
        </w:rPr>
      </w:pPr>
      <w:r>
        <w:rPr>
          <w:rFonts w:ascii="宋体" w:hAnsi="宋体" w:eastAsia="宋体" w:cs="宋体"/>
          <w:sz w:val="28"/>
          <w:szCs w:val="28"/>
        </w:rPr>
        <w:t>（八）组织、协调农业生产资料市场体系建设，依法开展农作物种子（种苗）、草种、农药的许可及监督管理；会同有关部门贯彻执行农业生产资料标准；负责肥料的监督管理。</w:t>
      </w:r>
    </w:p>
    <w:p>
      <w:pPr>
        <w:spacing w:line="520" w:lineRule="exact"/>
        <w:ind w:firstLine="640"/>
        <w:rPr>
          <w:rFonts w:ascii="宋体" w:hAnsi="宋体" w:eastAsia="宋体" w:cs="宋体"/>
          <w:sz w:val="28"/>
          <w:szCs w:val="28"/>
        </w:rPr>
      </w:pPr>
      <w:r>
        <w:rPr>
          <w:rFonts w:ascii="宋体" w:hAnsi="宋体" w:eastAsia="宋体" w:cs="宋体"/>
          <w:sz w:val="28"/>
          <w:szCs w:val="28"/>
        </w:rPr>
        <w:t>（九）贯彻执行国家、省植物防疫检疫法律法规和政策，会同有关部门制定地方性植物防疫政策建议并指导实施，指导植物防疫和检疫体系建设；负责农作物重大病虫害防治；组织、监督对市内植物的防疫检疫工作并组织扑灭；组织植物检疫性有害生物普查。</w:t>
      </w:r>
    </w:p>
    <w:p>
      <w:pPr>
        <w:spacing w:line="520" w:lineRule="exact"/>
        <w:ind w:firstLine="640"/>
        <w:rPr>
          <w:rFonts w:ascii="宋体" w:hAnsi="宋体" w:eastAsia="宋体" w:cs="宋体"/>
          <w:sz w:val="28"/>
          <w:szCs w:val="28"/>
        </w:rPr>
      </w:pPr>
      <w:r>
        <w:rPr>
          <w:rFonts w:ascii="宋体" w:hAnsi="宋体" w:eastAsia="宋体" w:cs="宋体"/>
          <w:sz w:val="28"/>
          <w:szCs w:val="28"/>
        </w:rPr>
        <w:t>（十）承担农业防灾减灾的责任，监测、发布农业灾情，组织种子、化肥等救灾物资储备和调拨，提出生产救灾资金安排建议，组织、指导紧急救灾和灾后生产恢复。</w:t>
      </w:r>
    </w:p>
    <w:p>
      <w:pPr>
        <w:spacing w:line="520" w:lineRule="exact"/>
        <w:ind w:firstLine="640"/>
        <w:rPr>
          <w:rFonts w:ascii="宋体" w:hAnsi="宋体" w:eastAsia="宋体" w:cs="宋体"/>
          <w:sz w:val="28"/>
          <w:szCs w:val="28"/>
        </w:rPr>
      </w:pPr>
      <w:r>
        <w:rPr>
          <w:rFonts w:ascii="宋体" w:hAnsi="宋体" w:eastAsia="宋体" w:cs="宋体"/>
          <w:sz w:val="28"/>
          <w:szCs w:val="28"/>
        </w:rPr>
        <w:t>（十一）管理农业和农村经济信息，监测分析农业、农村经济运行，开展相关农业统计工作；采集、发布农业和农村经济信息，负责农业信息体系建设，指导农业信息服务。</w:t>
      </w:r>
    </w:p>
    <w:p>
      <w:pPr>
        <w:spacing w:line="520" w:lineRule="exact"/>
        <w:ind w:firstLine="640"/>
        <w:rPr>
          <w:rFonts w:ascii="宋体" w:hAnsi="宋体" w:eastAsia="宋体" w:cs="宋体"/>
          <w:sz w:val="28"/>
          <w:szCs w:val="28"/>
        </w:rPr>
      </w:pPr>
      <w:r>
        <w:rPr>
          <w:rFonts w:ascii="宋体" w:hAnsi="宋体" w:eastAsia="宋体" w:cs="宋体"/>
          <w:sz w:val="28"/>
          <w:szCs w:val="28"/>
        </w:rPr>
        <w:t>（十二）制定农业科研、农技推广的规划、计划和有关政策并指导实施；会同有关部门组织全市农业科技创新体系和农业产业技术体系建设，会同有关部门实施科教兴农战略，按分工组织实施农业科研重大专项；组织实施农业领域的高新技术和应用技术研究、农业科技成果转化和技术推广；负责农业科技成果管理，组织引进境外农业先进技术，指导农技推广体系改革与建设。</w:t>
      </w:r>
    </w:p>
    <w:p>
      <w:pPr>
        <w:spacing w:line="520" w:lineRule="exact"/>
        <w:ind w:firstLine="640"/>
        <w:rPr>
          <w:rFonts w:ascii="宋体" w:hAnsi="宋体" w:eastAsia="宋体" w:cs="宋体"/>
          <w:sz w:val="28"/>
          <w:szCs w:val="28"/>
        </w:rPr>
      </w:pPr>
      <w:r>
        <w:rPr>
          <w:rFonts w:ascii="宋体" w:hAnsi="宋体" w:eastAsia="宋体" w:cs="宋体"/>
          <w:sz w:val="28"/>
          <w:szCs w:val="28"/>
        </w:rPr>
        <w:t>（十三）会同有关部门加强农村基层党的建设、党风廉政建设，拟订农业农村人才队伍建设规划并组织实施，指导协调农民教育培训、农业教育和农业职业技能开发工作，参与实施农村实用人才培训工程，承担农村劳动力就地就近就业培训工作，会同有关主管部门依法实施农业农村人才专业技术资格和从业资格管理。</w:t>
      </w:r>
    </w:p>
    <w:p>
      <w:pPr>
        <w:spacing w:line="520" w:lineRule="exact"/>
        <w:ind w:firstLine="640"/>
        <w:rPr>
          <w:rFonts w:ascii="宋体" w:hAnsi="宋体" w:eastAsia="宋体" w:cs="宋体"/>
          <w:sz w:val="28"/>
          <w:szCs w:val="28"/>
        </w:rPr>
      </w:pPr>
      <w:r>
        <w:rPr>
          <w:rFonts w:ascii="宋体" w:hAnsi="宋体" w:eastAsia="宋体" w:cs="宋体"/>
          <w:sz w:val="28"/>
          <w:szCs w:val="28"/>
        </w:rPr>
        <w:t>（十四）组织农业资源区划工作，指导农用地、宜农滩涂、宜农湿地以及农业生物物种资源的保护和管理，负责水生野生植物保护工作；拟订耕地及基本农田质量保护与改良政策并指导实施，依法管理耕地质量.</w:t>
      </w:r>
    </w:p>
    <w:p>
      <w:pPr>
        <w:spacing w:line="520" w:lineRule="exact"/>
        <w:ind w:firstLine="640"/>
        <w:rPr>
          <w:rFonts w:ascii="宋体" w:hAnsi="宋体" w:eastAsia="宋体" w:cs="宋体"/>
          <w:sz w:val="28"/>
          <w:szCs w:val="28"/>
        </w:rPr>
      </w:pPr>
      <w:r>
        <w:rPr>
          <w:rFonts w:ascii="宋体" w:hAnsi="宋体" w:eastAsia="宋体" w:cs="宋体"/>
          <w:sz w:val="28"/>
          <w:szCs w:val="28"/>
        </w:rPr>
        <w:t>（十五）制定并实施农业生态建设规划，指导农村可再生能源综合开发与利用，指导农业生物质产业发展和农业农村节能减排，承担指导农业面源污染治理有关工作；划定农产品禁止生产区域，指导生态农业、循环农业等发展；</w:t>
      </w:r>
    </w:p>
    <w:p>
      <w:pPr>
        <w:spacing w:line="520" w:lineRule="exact"/>
        <w:ind w:firstLine="640"/>
        <w:rPr>
          <w:rFonts w:ascii="宋体" w:hAnsi="宋体" w:eastAsia="宋体" w:cs="宋体"/>
          <w:sz w:val="28"/>
          <w:szCs w:val="28"/>
        </w:rPr>
      </w:pPr>
      <w:r>
        <w:rPr>
          <w:rFonts w:ascii="宋体" w:hAnsi="宋体" w:eastAsia="宋体" w:cs="宋体"/>
          <w:sz w:val="28"/>
          <w:szCs w:val="28"/>
        </w:rPr>
        <w:t>（十六）参与组织开展农业贸易促进和有关经济、技术交流与合作，协助有关部门组织实施农业援外项目。</w:t>
      </w:r>
    </w:p>
    <w:p>
      <w:pPr>
        <w:spacing w:line="520" w:lineRule="exact"/>
        <w:ind w:firstLine="640"/>
        <w:rPr>
          <w:rFonts w:ascii="宋体" w:hAnsi="宋体" w:eastAsia="宋体" w:cs="宋体"/>
          <w:sz w:val="28"/>
          <w:szCs w:val="28"/>
        </w:rPr>
      </w:pPr>
      <w:r>
        <w:rPr>
          <w:rFonts w:ascii="宋体" w:hAnsi="宋体" w:eastAsia="宋体" w:cs="宋体"/>
          <w:sz w:val="28"/>
          <w:szCs w:val="28"/>
        </w:rPr>
        <w:t>（十七）承办市委、市政府交办的其他事项。</w:t>
      </w:r>
    </w:p>
    <w:p>
      <w:pPr>
        <w:widowControl/>
        <w:spacing w:line="600" w:lineRule="exact"/>
        <w:ind w:firstLine="320" w:firstLineChars="1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w:t>
      </w:r>
    </w:p>
    <w:p>
      <w:pPr>
        <w:widowControl/>
        <w:spacing w:line="600" w:lineRule="exact"/>
        <w:ind w:firstLine="960" w:firstLineChars="300"/>
        <w:rPr>
          <w:rFonts w:ascii="宋体" w:hAnsi="宋体" w:eastAsia="宋体" w:cs="宋体"/>
          <w:color w:val="000000" w:themeColor="text1"/>
          <w:sz w:val="32"/>
          <w:szCs w:val="32"/>
        </w:rPr>
      </w:pPr>
      <w:r>
        <w:rPr>
          <w:rFonts w:hint="eastAsia" w:asciiTheme="minorEastAsia" w:hAnsiTheme="minorEastAsia"/>
          <w:bCs/>
          <w:kern w:val="0"/>
          <w:sz w:val="32"/>
          <w:szCs w:val="32"/>
        </w:rPr>
        <w:t>内设机构包括：1</w:t>
      </w:r>
      <w:r>
        <w:rPr>
          <w:rFonts w:hint="eastAsia" w:ascii="宋体" w:hAnsi="宋体" w:eastAsia="宋体" w:cs="宋体"/>
          <w:bCs/>
          <w:kern w:val="0"/>
          <w:sz w:val="32"/>
          <w:szCs w:val="32"/>
        </w:rPr>
        <w:t>、</w:t>
      </w:r>
      <w:r>
        <w:rPr>
          <w:rFonts w:hint="eastAsia" w:ascii="宋体" w:hAnsi="宋体" w:eastAsia="宋体" w:cs="宋体"/>
          <w:color w:val="000000" w:themeColor="text1"/>
          <w:sz w:val="32"/>
          <w:szCs w:val="32"/>
        </w:rPr>
        <w:t>办公室、2、法规股（审批服务股）3、发展规划股（建设国家现代农业示范园区办公室）、4、乡村产业发展股(市场与信息化股)、5、农村社会事业促进股、6、政策改革股（农村合作经济指导股）、7、科技教育股、8、农业资源保护与利用股、9、农产品质量安全监管股、10、种植业管理股（农药管理股）11、畜牧兽医股、12、渔业渔政管理股、13、农业机械化管理股、14、农田建设股、15、财务股、16、人事股(离退休人员管理服务股)、17、机关党委。</w:t>
      </w:r>
    </w:p>
    <w:p>
      <w:pPr>
        <w:widowControl/>
        <w:numPr>
          <w:ilvl w:val="0"/>
          <w:numId w:val="2"/>
        </w:numPr>
        <w:spacing w:line="600" w:lineRule="exact"/>
        <w:rPr>
          <w:rFonts w:asciiTheme="minorEastAsia" w:hAnsiTheme="minorEastAsia"/>
          <w:bCs/>
          <w:kern w:val="0"/>
          <w:sz w:val="32"/>
          <w:szCs w:val="32"/>
        </w:rPr>
      </w:pPr>
      <w:r>
        <w:rPr>
          <w:rFonts w:hint="eastAsia" w:asciiTheme="minorEastAsia" w:hAnsiTheme="minorEastAsia"/>
          <w:bCs/>
          <w:kern w:val="0"/>
          <w:sz w:val="32"/>
          <w:szCs w:val="32"/>
        </w:rPr>
        <w:t>决算单位构成。</w:t>
      </w:r>
    </w:p>
    <w:p>
      <w:pPr>
        <w:widowControl/>
        <w:spacing w:line="600" w:lineRule="exact"/>
        <w:ind w:firstLine="960" w:firstLineChars="300"/>
        <w:rPr>
          <w:rFonts w:asciiTheme="minorEastAsia" w:hAnsiTheme="minorEastAsia"/>
          <w:bCs/>
          <w:kern w:val="0"/>
          <w:sz w:val="32"/>
          <w:szCs w:val="32"/>
        </w:rPr>
      </w:pPr>
      <w:r>
        <w:rPr>
          <w:rFonts w:asciiTheme="minorEastAsia" w:hAnsiTheme="minorEastAsia"/>
          <w:bCs/>
          <w:kern w:val="0"/>
          <w:sz w:val="32"/>
          <w:szCs w:val="32"/>
        </w:rPr>
        <w:t>20</w:t>
      </w:r>
      <w:r>
        <w:rPr>
          <w:rFonts w:hint="eastAsia" w:asciiTheme="minorEastAsia" w:hAnsiTheme="minorEastAsia"/>
          <w:bCs/>
          <w:kern w:val="0"/>
          <w:sz w:val="32"/>
          <w:szCs w:val="32"/>
        </w:rPr>
        <w:t>21年部门决算汇总公开单位构成为农业农村局本级。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4081" w:type="dxa"/>
        <w:tblInd w:w="93" w:type="dxa"/>
        <w:tblLayout w:type="fixed"/>
        <w:tblCellMar>
          <w:top w:w="0" w:type="dxa"/>
          <w:left w:w="108" w:type="dxa"/>
          <w:bottom w:w="0" w:type="dxa"/>
          <w:right w:w="108" w:type="dxa"/>
        </w:tblCellMar>
      </w:tblPr>
      <w:tblGrid>
        <w:gridCol w:w="5071"/>
        <w:gridCol w:w="1078"/>
        <w:gridCol w:w="1950"/>
        <w:gridCol w:w="3574"/>
        <w:gridCol w:w="727"/>
        <w:gridCol w:w="290"/>
        <w:gridCol w:w="1391"/>
      </w:tblGrid>
      <w:tr>
        <w:tblPrEx>
          <w:tblCellMar>
            <w:top w:w="0" w:type="dxa"/>
            <w:left w:w="108" w:type="dxa"/>
            <w:bottom w:w="0" w:type="dxa"/>
            <w:right w:w="108" w:type="dxa"/>
          </w:tblCellMar>
        </w:tblPrEx>
        <w:trPr>
          <w:trHeight w:val="405" w:hRule="atLeast"/>
        </w:trPr>
        <w:tc>
          <w:tcPr>
            <w:tcW w:w="14081" w:type="dxa"/>
            <w:gridSpan w:val="7"/>
            <w:tcBorders>
              <w:top w:val="nil"/>
              <w:left w:val="nil"/>
              <w:bottom w:val="nil"/>
              <w:right w:val="nil"/>
            </w:tcBorders>
            <w:shd w:val="clear" w:color="auto" w:fill="auto"/>
            <w:noWrap/>
            <w:vAlign w:val="center"/>
          </w:tcPr>
          <w:p>
            <w:pPr>
              <w:widowControl/>
              <w:jc w:val="center"/>
              <w:textAlignment w:val="center"/>
              <w:rPr>
                <w:rFonts w:ascii="华文中宋" w:hAnsi="华文中宋" w:eastAsia="华文中宋" w:cs="华文中宋"/>
                <w:color w:val="000000"/>
                <w:sz w:val="32"/>
                <w:szCs w:val="32"/>
              </w:rPr>
            </w:pPr>
            <w:r>
              <w:rPr>
                <w:rFonts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285" w:hRule="atLeast"/>
        </w:trPr>
        <w:tc>
          <w:tcPr>
            <w:tcW w:w="6149" w:type="dxa"/>
            <w:gridSpan w:val="2"/>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950"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3574"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727"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290"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391"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15" w:hRule="atLeast"/>
        </w:trPr>
        <w:tc>
          <w:tcPr>
            <w:tcW w:w="6149" w:type="dxa"/>
            <w:gridSpan w:val="2"/>
            <w:tcBorders>
              <w:top w:val="nil"/>
              <w:left w:val="nil"/>
              <w:bottom w:val="nil"/>
              <w:right w:val="nil"/>
            </w:tcBorders>
            <w:shd w:val="clear" w:color="auto" w:fill="FFFFFF"/>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部门：湘乡市农业农村局</w:t>
            </w:r>
          </w:p>
        </w:tc>
        <w:tc>
          <w:tcPr>
            <w:tcW w:w="1950"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3574"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727"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290"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391"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220" w:hRule="atLeast"/>
        </w:trPr>
        <w:tc>
          <w:tcPr>
            <w:tcW w:w="8099" w:type="dxa"/>
            <w:gridSpan w:val="3"/>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5982" w:type="dxa"/>
            <w:gridSpan w:val="4"/>
            <w:tcBorders>
              <w:top w:val="single" w:color="000000" w:sz="8" w:space="0"/>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7"/>
                <w:rFonts w:hint="default"/>
              </w:rPr>
              <w:t xml:space="preserve">   目</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950"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3574"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7"/>
                <w:rFonts w:hint="default"/>
              </w:rPr>
              <w:t xml:space="preserve">   目</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681" w:type="dxa"/>
            <w:gridSpan w:val="2"/>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栏 </w:t>
            </w:r>
            <w:r>
              <w:rPr>
                <w:rStyle w:val="17"/>
                <w:rFonts w:hint="default"/>
              </w:rPr>
              <w:t xml:space="preserve">   次</w:t>
            </w:r>
          </w:p>
        </w:tc>
        <w:tc>
          <w:tcPr>
            <w:tcW w:w="1078" w:type="dxa"/>
            <w:tcBorders>
              <w:top w:val="nil"/>
              <w:left w:val="nil"/>
              <w:bottom w:val="single" w:color="000000" w:sz="8" w:space="0"/>
              <w:right w:val="single" w:color="000000" w:sz="8" w:space="0"/>
            </w:tcBorders>
            <w:shd w:val="clear" w:color="auto" w:fill="FFFFFF"/>
            <w:noWrap/>
            <w:vAlign w:val="center"/>
          </w:tcPr>
          <w:p>
            <w:pPr>
              <w:jc w:val="center"/>
              <w:rPr>
                <w:rFonts w:ascii="宋体" w:hAnsi="宋体" w:eastAsia="宋体" w:cs="宋体"/>
                <w:color w:val="000000"/>
                <w:sz w:val="24"/>
                <w:szCs w:val="24"/>
              </w:rPr>
            </w:pPr>
          </w:p>
        </w:tc>
        <w:tc>
          <w:tcPr>
            <w:tcW w:w="1950"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574"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栏 </w:t>
            </w:r>
            <w:r>
              <w:rPr>
                <w:rStyle w:val="17"/>
                <w:rFonts w:hint="default"/>
              </w:rPr>
              <w:t xml:space="preserve">   次</w:t>
            </w:r>
          </w:p>
        </w:tc>
        <w:tc>
          <w:tcPr>
            <w:tcW w:w="727" w:type="dxa"/>
            <w:tcBorders>
              <w:top w:val="nil"/>
              <w:left w:val="nil"/>
              <w:bottom w:val="single" w:color="000000" w:sz="8" w:space="0"/>
              <w:right w:val="single" w:color="000000" w:sz="8" w:space="0"/>
            </w:tcBorders>
            <w:shd w:val="clear" w:color="auto" w:fill="FFFFFF"/>
            <w:noWrap/>
            <w:vAlign w:val="center"/>
          </w:tcPr>
          <w:p>
            <w:pPr>
              <w:jc w:val="center"/>
              <w:rPr>
                <w:rFonts w:ascii="宋体" w:hAnsi="宋体" w:eastAsia="宋体" w:cs="宋体"/>
                <w:color w:val="000000"/>
                <w:sz w:val="24"/>
                <w:szCs w:val="24"/>
              </w:rPr>
            </w:pPr>
          </w:p>
        </w:tc>
        <w:tc>
          <w:tcPr>
            <w:tcW w:w="1681" w:type="dxa"/>
            <w:gridSpan w:val="2"/>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950"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3574" w:type="dxa"/>
            <w:tcBorders>
              <w:top w:val="nil"/>
              <w:left w:val="nil"/>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32</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33</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34</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35</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36</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37</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七、文化旅游体育与传媒支出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38</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FFFFFF"/>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950"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956.77</w:t>
            </w:r>
          </w:p>
        </w:tc>
        <w:tc>
          <w:tcPr>
            <w:tcW w:w="3574"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八、社会保障和就业支出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39</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435.31</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九、卫生健康支出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40</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color w:val="000000"/>
                <w:kern w:val="0"/>
                <w:sz w:val="22"/>
              </w:rPr>
              <w:t>141.00</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十、节能环保支出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41</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十一、城乡社区支出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42</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color w:val="000000"/>
                <w:kern w:val="0"/>
                <w:sz w:val="22"/>
              </w:rPr>
              <w:t>1,080.95</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十二、农林水支出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43</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color w:val="000000"/>
                <w:kern w:val="0"/>
                <w:sz w:val="22"/>
              </w:rPr>
              <w:t>23,556.65</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十三、交通运输支出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44</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十四、资源勘探工业信息等支出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45</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十五、商业服务业等支出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46</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color w:val="000000"/>
                <w:kern w:val="0"/>
                <w:sz w:val="22"/>
              </w:rPr>
              <w:t>568.59</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十六、金融支出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47</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十七、援助其他地区支出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48</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十八、自然资源海洋气象等支出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49</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十九、住房保障支出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50</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color w:val="000000"/>
                <w:kern w:val="0"/>
                <w:sz w:val="22"/>
              </w:rPr>
              <w:t>243.97</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二十、粮油物资储备支出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51</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二十一、国有资本经营预算支出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52</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二十二、灾害防治及应急管理支出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53</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二十三、其他支出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54</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center"/>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二十四、债务还本支出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55</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二十五、债务付息支出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56</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0"/>
                <w:szCs w:val="20"/>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二十六、抗疫特别国债安排的支出</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57</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本年收入合计</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27</w:t>
            </w:r>
          </w:p>
        </w:tc>
        <w:tc>
          <w:tcPr>
            <w:tcW w:w="1950"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25,562.42</w:t>
            </w:r>
          </w:p>
        </w:tc>
        <w:tc>
          <w:tcPr>
            <w:tcW w:w="3574"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本年支出合计</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58</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26,026.47</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使用非财政拨款结余</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28</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574"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结余分配</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59</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年初结转和结余</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29</w:t>
            </w:r>
          </w:p>
        </w:tc>
        <w:tc>
          <w:tcPr>
            <w:tcW w:w="1950"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4,567.75</w:t>
            </w:r>
          </w:p>
        </w:tc>
        <w:tc>
          <w:tcPr>
            <w:tcW w:w="3574"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年末结转和结余</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60</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4,103.71</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kern w:val="0"/>
                <w:sz w:val="22"/>
              </w:rPr>
            </w:pP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30</w:t>
            </w:r>
          </w:p>
        </w:tc>
        <w:tc>
          <w:tcPr>
            <w:tcW w:w="195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kern w:val="0"/>
                <w:sz w:val="22"/>
              </w:rPr>
            </w:pPr>
          </w:p>
        </w:tc>
        <w:tc>
          <w:tcPr>
            <w:tcW w:w="3574" w:type="dxa"/>
            <w:tcBorders>
              <w:top w:val="nil"/>
              <w:left w:val="nil"/>
              <w:bottom w:val="single" w:color="000000" w:sz="8" w:space="0"/>
              <w:right w:val="single" w:color="000000" w:sz="8" w:space="0"/>
            </w:tcBorders>
            <w:shd w:val="clear" w:color="auto" w:fill="auto"/>
            <w:noWrap/>
            <w:vAlign w:val="center"/>
          </w:tcPr>
          <w:p>
            <w:pPr>
              <w:jc w:val="left"/>
              <w:rPr>
                <w:rFonts w:ascii="宋体" w:hAnsi="宋体" w:eastAsia="宋体" w:cs="宋体"/>
                <w:color w:val="000000"/>
                <w:kern w:val="0"/>
                <w:sz w:val="22"/>
              </w:rPr>
            </w:pP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61</w:t>
            </w:r>
          </w:p>
        </w:tc>
        <w:tc>
          <w:tcPr>
            <w:tcW w:w="1681" w:type="dxa"/>
            <w:gridSpan w:val="2"/>
            <w:tcBorders>
              <w:top w:val="nil"/>
              <w:left w:val="nil"/>
              <w:bottom w:val="single" w:color="000000" w:sz="8" w:space="0"/>
              <w:right w:val="single" w:color="000000" w:sz="8" w:space="0"/>
            </w:tcBorders>
            <w:shd w:val="clear" w:color="auto" w:fill="auto"/>
            <w:noWrap/>
            <w:vAlign w:val="center"/>
          </w:tcPr>
          <w:p>
            <w:pPr>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b/>
                <w:bCs/>
                <w:color w:val="000000"/>
                <w:kern w:val="0"/>
                <w:sz w:val="22"/>
              </w:rPr>
              <w:t>总计</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31</w:t>
            </w:r>
          </w:p>
        </w:tc>
        <w:tc>
          <w:tcPr>
            <w:tcW w:w="1950"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30,130.17</w:t>
            </w:r>
          </w:p>
        </w:tc>
        <w:tc>
          <w:tcPr>
            <w:tcW w:w="3574"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b/>
                <w:bCs/>
                <w:color w:val="000000"/>
                <w:kern w:val="0"/>
                <w:sz w:val="22"/>
              </w:rPr>
              <w:t>总计</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62</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30,130.17</w:t>
            </w:r>
          </w:p>
        </w:tc>
      </w:tr>
      <w:tr>
        <w:tblPrEx>
          <w:tblCellMar>
            <w:top w:w="0" w:type="dxa"/>
            <w:left w:w="108" w:type="dxa"/>
            <w:bottom w:w="0" w:type="dxa"/>
            <w:right w:w="108" w:type="dxa"/>
          </w:tblCellMar>
        </w:tblPrEx>
        <w:trPr>
          <w:trHeight w:val="220" w:hRule="atLeast"/>
        </w:trPr>
        <w:tc>
          <w:tcPr>
            <w:tcW w:w="5071" w:type="dxa"/>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b/>
                <w:bCs/>
                <w:color w:val="000000"/>
                <w:kern w:val="0"/>
                <w:sz w:val="22"/>
              </w:rPr>
              <w:t>本年收入合计</w:t>
            </w:r>
          </w:p>
        </w:tc>
        <w:tc>
          <w:tcPr>
            <w:tcW w:w="1078"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27</w:t>
            </w:r>
          </w:p>
        </w:tc>
        <w:tc>
          <w:tcPr>
            <w:tcW w:w="1950"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25,562.42</w:t>
            </w:r>
          </w:p>
        </w:tc>
        <w:tc>
          <w:tcPr>
            <w:tcW w:w="3574"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b/>
                <w:bCs/>
                <w:color w:val="000000"/>
                <w:kern w:val="0"/>
                <w:sz w:val="22"/>
              </w:rPr>
              <w:t>本年支出合计</w:t>
            </w:r>
          </w:p>
        </w:tc>
        <w:tc>
          <w:tcPr>
            <w:tcW w:w="727"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58</w:t>
            </w:r>
          </w:p>
        </w:tc>
        <w:tc>
          <w:tcPr>
            <w:tcW w:w="1681" w:type="dxa"/>
            <w:gridSpan w:val="2"/>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kern w:val="0"/>
                <w:sz w:val="22"/>
              </w:rPr>
            </w:pPr>
            <w:r>
              <w:rPr>
                <w:rFonts w:hint="eastAsia" w:ascii="宋体" w:hAnsi="宋体" w:eastAsia="宋体" w:cs="宋体"/>
                <w:color w:val="000000"/>
                <w:kern w:val="0"/>
                <w:sz w:val="22"/>
              </w:rPr>
              <w:t>26,026.47</w:t>
            </w:r>
          </w:p>
        </w:tc>
      </w:tr>
      <w:tr>
        <w:tblPrEx>
          <w:tblCellMar>
            <w:top w:w="0" w:type="dxa"/>
            <w:left w:w="108" w:type="dxa"/>
            <w:bottom w:w="0" w:type="dxa"/>
            <w:right w:w="108" w:type="dxa"/>
          </w:tblCellMar>
        </w:tblPrEx>
        <w:trPr>
          <w:trHeight w:val="285" w:hRule="atLeast"/>
        </w:trPr>
        <w:tc>
          <w:tcPr>
            <w:tcW w:w="14081" w:type="dxa"/>
            <w:gridSpan w:val="7"/>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注：1.本表反映部门本年度的总收支和年末结转结余情况。</w:t>
            </w:r>
          </w:p>
        </w:tc>
      </w:tr>
      <w:tr>
        <w:tblPrEx>
          <w:tblCellMar>
            <w:top w:w="0" w:type="dxa"/>
            <w:left w:w="108" w:type="dxa"/>
            <w:bottom w:w="0" w:type="dxa"/>
            <w:right w:w="108" w:type="dxa"/>
          </w:tblCellMar>
        </w:tblPrEx>
        <w:trPr>
          <w:trHeight w:val="285" w:hRule="atLeast"/>
        </w:trPr>
        <w:tc>
          <w:tcPr>
            <w:tcW w:w="14081" w:type="dxa"/>
            <w:gridSpan w:val="7"/>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24"/>
                <w:szCs w:val="24"/>
              </w:rPr>
            </w:pPr>
            <w:r>
              <w:rPr>
                <w:rStyle w:val="17"/>
                <w:rFonts w:hint="default"/>
              </w:rPr>
              <w:t>2.本套报表金额单位转换时可能存在尾数误差。</w:t>
            </w:r>
          </w:p>
        </w:tc>
      </w:tr>
    </w:tbl>
    <w:p>
      <w:pP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pPr w:leftFromText="180" w:rightFromText="180" w:vertAnchor="text" w:horzAnchor="page" w:tblpX="2160" w:tblpY="1317"/>
        <w:tblOverlap w:val="never"/>
        <w:tblW w:w="13096" w:type="dxa"/>
        <w:tblInd w:w="0" w:type="dxa"/>
        <w:tblLayout w:type="autofit"/>
        <w:tblCellMar>
          <w:top w:w="0" w:type="dxa"/>
          <w:left w:w="108" w:type="dxa"/>
          <w:bottom w:w="0" w:type="dxa"/>
          <w:right w:w="108" w:type="dxa"/>
        </w:tblCellMar>
      </w:tblPr>
      <w:tblGrid>
        <w:gridCol w:w="1080"/>
        <w:gridCol w:w="3810"/>
        <w:gridCol w:w="1371"/>
        <w:gridCol w:w="1371"/>
        <w:gridCol w:w="994"/>
        <w:gridCol w:w="994"/>
        <w:gridCol w:w="994"/>
        <w:gridCol w:w="1266"/>
        <w:gridCol w:w="1216"/>
      </w:tblGrid>
      <w:tr>
        <w:tblPrEx>
          <w:tblCellMar>
            <w:top w:w="0" w:type="dxa"/>
            <w:left w:w="108" w:type="dxa"/>
            <w:bottom w:w="0" w:type="dxa"/>
            <w:right w:w="108" w:type="dxa"/>
          </w:tblCellMar>
        </w:tblPrEx>
        <w:trPr>
          <w:trHeight w:val="405" w:hRule="atLeast"/>
        </w:trPr>
        <w:tc>
          <w:tcPr>
            <w:tcW w:w="13096" w:type="dxa"/>
            <w:gridSpan w:val="9"/>
            <w:tcBorders>
              <w:top w:val="nil"/>
              <w:left w:val="nil"/>
              <w:bottom w:val="nil"/>
              <w:right w:val="nil"/>
            </w:tcBorders>
            <w:shd w:val="clear" w:color="auto" w:fill="auto"/>
            <w:noWrap/>
            <w:vAlign w:val="center"/>
          </w:tcPr>
          <w:p>
            <w:pPr>
              <w:widowControl/>
              <w:jc w:val="center"/>
              <w:textAlignment w:val="center"/>
              <w:rPr>
                <w:rFonts w:ascii="华文中宋" w:hAnsi="华文中宋" w:eastAsia="华文中宋" w:cs="华文中宋"/>
                <w:color w:val="000000"/>
                <w:sz w:val="32"/>
                <w:szCs w:val="32"/>
              </w:rPr>
            </w:pPr>
            <w:r>
              <w:rPr>
                <w:rFonts w:ascii="华文中宋" w:hAnsi="华文中宋" w:eastAsia="华文中宋" w:cs="华文中宋"/>
                <w:color w:val="000000"/>
                <w:kern w:val="0"/>
                <w:sz w:val="32"/>
                <w:szCs w:val="32"/>
              </w:rPr>
              <w:t>收入决算表</w:t>
            </w:r>
          </w:p>
        </w:tc>
      </w:tr>
      <w:tr>
        <w:tblPrEx>
          <w:tblCellMar>
            <w:top w:w="0" w:type="dxa"/>
            <w:left w:w="108" w:type="dxa"/>
            <w:bottom w:w="0" w:type="dxa"/>
            <w:right w:w="108" w:type="dxa"/>
          </w:tblCellMar>
        </w:tblPrEx>
        <w:trPr>
          <w:trHeight w:val="270" w:hRule="atLeast"/>
        </w:trPr>
        <w:tc>
          <w:tcPr>
            <w:tcW w:w="1080"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3810"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1371"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1371"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994"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994"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994"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1266"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1216"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w:t>
            </w:r>
            <w:r>
              <w:rPr>
                <w:rStyle w:val="19"/>
                <w:rFonts w:eastAsia="宋体"/>
              </w:rPr>
              <w:t>02</w:t>
            </w:r>
            <w:r>
              <w:rPr>
                <w:rFonts w:hint="eastAsia" w:ascii="宋体" w:hAnsi="宋体" w:eastAsia="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4890" w:type="dxa"/>
            <w:gridSpan w:val="2"/>
            <w:tcBorders>
              <w:top w:val="nil"/>
              <w:left w:val="nil"/>
              <w:bottom w:val="nil"/>
              <w:right w:val="nil"/>
            </w:tcBorders>
            <w:shd w:val="clear" w:color="auto" w:fill="FFFFFF"/>
            <w:noWrap/>
            <w:vAlign w:val="center"/>
          </w:tcPr>
          <w:p>
            <w:pPr>
              <w:jc w:val="left"/>
              <w:rPr>
                <w:rFonts w:ascii="宋体" w:hAnsi="宋体" w:eastAsia="宋体" w:cs="宋体"/>
                <w:color w:val="000000"/>
                <w:szCs w:val="21"/>
              </w:rPr>
            </w:pPr>
            <w:r>
              <w:rPr>
                <w:rFonts w:hint="eastAsia" w:ascii="宋体" w:hAnsi="宋体" w:eastAsia="宋体" w:cs="宋体"/>
                <w:color w:val="000000"/>
                <w:kern w:val="0"/>
                <w:sz w:val="20"/>
                <w:szCs w:val="20"/>
              </w:rPr>
              <w:t>部门：湘乡市农业农村局</w:t>
            </w:r>
          </w:p>
        </w:tc>
        <w:tc>
          <w:tcPr>
            <w:tcW w:w="1371"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1371"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994" w:type="dxa"/>
            <w:tcBorders>
              <w:top w:val="nil"/>
              <w:left w:val="nil"/>
              <w:bottom w:val="nil"/>
              <w:right w:val="nil"/>
            </w:tcBorders>
            <w:shd w:val="clear" w:color="auto" w:fill="FFFFFF"/>
            <w:noWrap/>
            <w:vAlign w:val="center"/>
          </w:tcPr>
          <w:p>
            <w:pPr>
              <w:jc w:val="center"/>
              <w:rPr>
                <w:rFonts w:ascii="宋体" w:hAnsi="宋体" w:eastAsia="宋体" w:cs="宋体"/>
                <w:color w:val="000000"/>
                <w:sz w:val="20"/>
                <w:szCs w:val="20"/>
              </w:rPr>
            </w:pPr>
          </w:p>
        </w:tc>
        <w:tc>
          <w:tcPr>
            <w:tcW w:w="994"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994"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1266" w:type="dxa"/>
            <w:tcBorders>
              <w:top w:val="nil"/>
              <w:left w:val="nil"/>
              <w:bottom w:val="nil"/>
              <w:right w:val="nil"/>
            </w:tcBorders>
            <w:shd w:val="clear" w:color="auto" w:fill="FFFFFF"/>
            <w:noWrap/>
            <w:vAlign w:val="center"/>
          </w:tcPr>
          <w:p>
            <w:pPr>
              <w:jc w:val="right"/>
              <w:rPr>
                <w:rFonts w:ascii="宋体" w:hAnsi="宋体" w:eastAsia="宋体" w:cs="宋体"/>
                <w:color w:val="000000"/>
                <w:szCs w:val="21"/>
              </w:rPr>
            </w:pPr>
          </w:p>
        </w:tc>
        <w:tc>
          <w:tcPr>
            <w:tcW w:w="1216"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00" w:hRule="atLeast"/>
        </w:trPr>
        <w:tc>
          <w:tcPr>
            <w:tcW w:w="4890" w:type="dxa"/>
            <w:gridSpan w:val="2"/>
            <w:tcBorders>
              <w:top w:val="single" w:color="000000" w:sz="8" w:space="0"/>
              <w:left w:val="single" w:color="000000" w:sz="8"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 xml:space="preserve">项 </w:t>
            </w:r>
            <w:r>
              <w:rPr>
                <w:rStyle w:val="20"/>
                <w:rFonts w:hint="default"/>
              </w:rPr>
              <w:t>目</w:t>
            </w:r>
          </w:p>
        </w:tc>
        <w:tc>
          <w:tcPr>
            <w:tcW w:w="1371"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本年收入合计</w:t>
            </w:r>
          </w:p>
        </w:tc>
        <w:tc>
          <w:tcPr>
            <w:tcW w:w="1371"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财政拨款收入</w:t>
            </w:r>
          </w:p>
        </w:tc>
        <w:tc>
          <w:tcPr>
            <w:tcW w:w="994"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上级补助收入</w:t>
            </w:r>
          </w:p>
        </w:tc>
        <w:tc>
          <w:tcPr>
            <w:tcW w:w="994"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事业收入</w:t>
            </w:r>
          </w:p>
        </w:tc>
        <w:tc>
          <w:tcPr>
            <w:tcW w:w="994"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经营收入</w:t>
            </w:r>
          </w:p>
        </w:tc>
        <w:tc>
          <w:tcPr>
            <w:tcW w:w="1266"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附属单位上缴收入</w:t>
            </w:r>
          </w:p>
        </w:tc>
        <w:tc>
          <w:tcPr>
            <w:tcW w:w="1216" w:type="dxa"/>
            <w:vMerge w:val="restart"/>
            <w:tcBorders>
              <w:top w:val="single" w:color="000000" w:sz="8" w:space="0"/>
              <w:left w:val="single" w:color="000000" w:sz="4" w:space="0"/>
              <w:bottom w:val="single" w:color="000000" w:sz="4" w:space="0"/>
              <w:right w:val="single" w:color="000000" w:sz="8"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其他收入</w:t>
            </w:r>
          </w:p>
        </w:tc>
      </w:tr>
      <w:tr>
        <w:tblPrEx>
          <w:tblCellMar>
            <w:top w:w="0" w:type="dxa"/>
            <w:left w:w="108" w:type="dxa"/>
            <w:bottom w:w="0" w:type="dxa"/>
            <w:right w:w="108" w:type="dxa"/>
          </w:tblCellMar>
        </w:tblPrEx>
        <w:trPr>
          <w:trHeight w:val="312" w:hRule="atLeast"/>
        </w:trPr>
        <w:tc>
          <w:tcPr>
            <w:tcW w:w="1080" w:type="dxa"/>
            <w:vMerge w:val="restart"/>
            <w:tcBorders>
              <w:top w:val="single" w:color="000000" w:sz="4" w:space="0"/>
              <w:left w:val="single" w:color="000000" w:sz="8"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功能分类科目编码</w:t>
            </w:r>
          </w:p>
        </w:tc>
        <w:tc>
          <w:tcPr>
            <w:tcW w:w="381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科目名称</w:t>
            </w:r>
          </w:p>
        </w:tc>
        <w:tc>
          <w:tcPr>
            <w:tcW w:w="1371"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137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Cs w:val="21"/>
              </w:rPr>
            </w:pPr>
          </w:p>
        </w:tc>
        <w:tc>
          <w:tcPr>
            <w:tcW w:w="994"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994"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994"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126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1216" w:type="dxa"/>
            <w:vMerge w:val="continue"/>
            <w:tcBorders>
              <w:top w:val="single" w:color="000000" w:sz="8" w:space="0"/>
              <w:left w:val="single" w:color="000000" w:sz="4" w:space="0"/>
              <w:bottom w:val="single" w:color="000000" w:sz="4" w:space="0"/>
              <w:right w:val="single" w:color="000000" w:sz="8" w:space="0"/>
            </w:tcBorders>
            <w:shd w:val="clear" w:color="auto" w:fill="FFFFFF"/>
            <w:vAlign w:val="center"/>
          </w:tcPr>
          <w:p>
            <w:pPr>
              <w:jc w:val="center"/>
              <w:rPr>
                <w:rFonts w:ascii="宋体" w:hAnsi="宋体" w:eastAsia="宋体" w:cs="宋体"/>
                <w:color w:val="000000"/>
                <w:szCs w:val="21"/>
              </w:rPr>
            </w:pP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8"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381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1371"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137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Cs w:val="21"/>
              </w:rPr>
            </w:pPr>
          </w:p>
        </w:tc>
        <w:tc>
          <w:tcPr>
            <w:tcW w:w="994"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994"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994"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126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Cs w:val="21"/>
              </w:rPr>
            </w:pPr>
          </w:p>
        </w:tc>
        <w:tc>
          <w:tcPr>
            <w:tcW w:w="1216" w:type="dxa"/>
            <w:vMerge w:val="continue"/>
            <w:tcBorders>
              <w:top w:val="single" w:color="000000" w:sz="8" w:space="0"/>
              <w:left w:val="single" w:color="000000" w:sz="4" w:space="0"/>
              <w:bottom w:val="single" w:color="000000" w:sz="4" w:space="0"/>
              <w:right w:val="single" w:color="000000" w:sz="8" w:space="0"/>
            </w:tcBorders>
            <w:shd w:val="clear" w:color="auto" w:fill="FFFFFF"/>
            <w:vAlign w:val="center"/>
          </w:tcPr>
          <w:p>
            <w:pPr>
              <w:jc w:val="center"/>
              <w:rPr>
                <w:rFonts w:ascii="宋体" w:hAnsi="宋体" w:eastAsia="宋体" w:cs="宋体"/>
                <w:color w:val="000000"/>
                <w:szCs w:val="21"/>
              </w:rPr>
            </w:pPr>
          </w:p>
        </w:tc>
      </w:tr>
      <w:tr>
        <w:tblPrEx>
          <w:tblCellMar>
            <w:top w:w="0" w:type="dxa"/>
            <w:left w:w="108" w:type="dxa"/>
            <w:bottom w:w="0" w:type="dxa"/>
            <w:right w:w="108" w:type="dxa"/>
          </w:tblCellMar>
        </w:tblPrEx>
        <w:trPr>
          <w:trHeight w:val="315" w:hRule="atLeast"/>
        </w:trPr>
        <w:tc>
          <w:tcPr>
            <w:tcW w:w="4890" w:type="dxa"/>
            <w:gridSpan w:val="2"/>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栏次</w:t>
            </w:r>
          </w:p>
        </w:tc>
        <w:tc>
          <w:tcPr>
            <w:tcW w:w="13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1</w:t>
            </w:r>
          </w:p>
        </w:tc>
        <w:tc>
          <w:tcPr>
            <w:tcW w:w="137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2</w:t>
            </w:r>
          </w:p>
        </w:tc>
        <w:tc>
          <w:tcPr>
            <w:tcW w:w="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3</w:t>
            </w:r>
          </w:p>
        </w:tc>
        <w:tc>
          <w:tcPr>
            <w:tcW w:w="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4</w:t>
            </w:r>
          </w:p>
        </w:tc>
        <w:tc>
          <w:tcPr>
            <w:tcW w:w="9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5</w:t>
            </w:r>
          </w:p>
        </w:tc>
        <w:tc>
          <w:tcPr>
            <w:tcW w:w="12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6</w:t>
            </w:r>
          </w:p>
        </w:tc>
        <w:tc>
          <w:tcPr>
            <w:tcW w:w="1216"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widowControl/>
              <w:jc w:val="center"/>
              <w:textAlignment w:val="center"/>
              <w:rPr>
                <w:rFonts w:ascii="Calibri" w:hAnsi="Calibri" w:eastAsia="宋体" w:cs="Calibri"/>
                <w:color w:val="000000"/>
                <w:szCs w:val="21"/>
              </w:rPr>
            </w:pPr>
            <w:r>
              <w:rPr>
                <w:rFonts w:ascii="Calibri" w:hAnsi="Calibri" w:eastAsia="宋体" w:cs="Calibri"/>
                <w:color w:val="000000"/>
                <w:kern w:val="0"/>
                <w:szCs w:val="21"/>
              </w:rPr>
              <w:t>7</w:t>
            </w:r>
          </w:p>
        </w:tc>
      </w:tr>
      <w:tr>
        <w:tblPrEx>
          <w:tblCellMar>
            <w:top w:w="0" w:type="dxa"/>
            <w:left w:w="108" w:type="dxa"/>
            <w:bottom w:w="0" w:type="dxa"/>
            <w:right w:w="108" w:type="dxa"/>
          </w:tblCellMar>
        </w:tblPrEx>
        <w:trPr>
          <w:trHeight w:val="300" w:hRule="atLeast"/>
        </w:trPr>
        <w:tc>
          <w:tcPr>
            <w:tcW w:w="4890" w:type="dxa"/>
            <w:gridSpan w:val="2"/>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合计</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b/>
                <w:bCs/>
                <w:color w:val="000000"/>
                <w:kern w:val="0"/>
                <w:sz w:val="22"/>
              </w:rPr>
              <w:t>25,562.42</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b/>
                <w:bCs/>
                <w:color w:val="000000"/>
                <w:kern w:val="0"/>
                <w:sz w:val="22"/>
              </w:rPr>
              <w:t>24,605.65</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b/>
                <w:bCs/>
                <w:color w:val="000000"/>
                <w:kern w:val="0"/>
                <w:sz w:val="22"/>
              </w:rPr>
              <w:t>956.77</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208</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社会保障和就业支出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435.31</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435.31</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20805</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行政事业单位养老支出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265.02</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265.02</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2080501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行政单位离退休</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13.31</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13.31</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2080505</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机关事业单位基本养老保险缴费支出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251.70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251.70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20899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其他社会保障和就业支出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2089999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其他社会保障和就业支出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210</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卫生健康支出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141.00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141.00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21011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行政事业单位医疗</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2101101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行政单位医疗</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21012</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财政对基本医疗保险基金的补助</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2101299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财政对其他基本医疗保险基金的补助</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212</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城乡社区支出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21205</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城乡社区环境卫生</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2120501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城乡社区环境卫生</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农林水支出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23,092.60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22,135.83</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956.77</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农业农村</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19,400.85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18,444.08</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956.77</w:t>
            </w:r>
          </w:p>
        </w:tc>
      </w:tr>
      <w:tr>
        <w:tblPrEx>
          <w:tblCellMar>
            <w:top w:w="0" w:type="dxa"/>
            <w:left w:w="108" w:type="dxa"/>
            <w:bottom w:w="0" w:type="dxa"/>
            <w:right w:w="108" w:type="dxa"/>
          </w:tblCellMar>
        </w:tblPrEx>
        <w:trPr>
          <w:trHeight w:val="9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2130101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行政运行</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2,721.12</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2,721.12</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2130102</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一般行政管理事务</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577.09</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577.09</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2130106</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科技转化与推广服务</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2.24</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2.24</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2130108</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病虫害控制</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235.92</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235.92</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2130109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农产品质量安全</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37.73</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37.73</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2130110</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执法监管</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24.79</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24.79</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2130121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农业结构调整补贴</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55.75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55.75</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2130122</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农业生产发展</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500.00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500.00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2130126</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农村社会事业</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522.33</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522.33</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2130148</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成品油价格改革对渔业的补贴</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115.00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115.00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2130153</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农田建设</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6,273.31</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6,273.31</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2130199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其他农业农村支出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8,335.57</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7,378.80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956.77</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21303</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水利</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130.00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130.00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2130399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其他水利支出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130.00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130.00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21305</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扶贫</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3,561.75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3,561.75</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2130504</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农村基础设施建设</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384.00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384.00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2130505</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生产发展</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90.00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90.00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2130599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其他扶贫支出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3,087.75</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3,087.75</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216</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商业服务业等支出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568.59</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568.59</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21602</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商业流通事务</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568.59</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568.59</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2160299</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其他商业流通事务支出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568.59</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568.59</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221</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住房保障支出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243.97</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243.97</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22102</w:t>
            </w:r>
          </w:p>
        </w:tc>
        <w:tc>
          <w:tcPr>
            <w:tcW w:w="3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住房改革支出</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243.97</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243.97</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300" w:hRule="atLeast"/>
        </w:trPr>
        <w:tc>
          <w:tcPr>
            <w:tcW w:w="1080" w:type="dxa"/>
            <w:tcBorders>
              <w:top w:val="single" w:color="000000" w:sz="4" w:space="0"/>
              <w:left w:val="single" w:color="000000" w:sz="8" w:space="0"/>
              <w:bottom w:val="single" w:color="000000" w:sz="8"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2210201</w:t>
            </w:r>
          </w:p>
        </w:tc>
        <w:tc>
          <w:tcPr>
            <w:tcW w:w="3810" w:type="dxa"/>
            <w:tcBorders>
              <w:top w:val="single" w:color="000000" w:sz="4" w:space="0"/>
              <w:left w:val="single" w:color="000000" w:sz="4" w:space="0"/>
              <w:bottom w:val="single" w:color="000000" w:sz="8"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住房公积金</w:t>
            </w:r>
          </w:p>
        </w:tc>
        <w:tc>
          <w:tcPr>
            <w:tcW w:w="137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243.97</w:t>
            </w:r>
          </w:p>
        </w:tc>
        <w:tc>
          <w:tcPr>
            <w:tcW w:w="137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243.97</w:t>
            </w:r>
          </w:p>
        </w:tc>
        <w:tc>
          <w:tcPr>
            <w:tcW w:w="9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9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6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216"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tblPrEx>
          <w:tblCellMar>
            <w:top w:w="0" w:type="dxa"/>
            <w:left w:w="108" w:type="dxa"/>
            <w:bottom w:w="0" w:type="dxa"/>
            <w:right w:w="108" w:type="dxa"/>
          </w:tblCellMar>
        </w:tblPrEx>
        <w:trPr>
          <w:trHeight w:val="270" w:hRule="atLeast"/>
        </w:trPr>
        <w:tc>
          <w:tcPr>
            <w:tcW w:w="13096" w:type="dxa"/>
            <w:gridSpan w:val="9"/>
            <w:tcBorders>
              <w:top w:val="nil"/>
              <w:left w:val="nil"/>
              <w:bottom w:val="nil"/>
              <w:right w:val="nil"/>
            </w:tcBorders>
            <w:shd w:val="clear" w:color="auto" w:fill="auto"/>
            <w:vAlign w:val="center"/>
          </w:tcPr>
          <w:p>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9"/>
        <w:tblpPr w:leftFromText="180" w:rightFromText="180" w:vertAnchor="text" w:horzAnchor="page" w:tblpX="1887" w:tblpY="1100"/>
        <w:tblOverlap w:val="never"/>
        <w:tblW w:w="13111" w:type="dxa"/>
        <w:tblInd w:w="0" w:type="dxa"/>
        <w:tblLayout w:type="autofit"/>
        <w:tblCellMar>
          <w:top w:w="0" w:type="dxa"/>
          <w:left w:w="108" w:type="dxa"/>
          <w:bottom w:w="0" w:type="dxa"/>
          <w:right w:w="108" w:type="dxa"/>
        </w:tblCellMar>
      </w:tblPr>
      <w:tblGrid>
        <w:gridCol w:w="1080"/>
        <w:gridCol w:w="4296"/>
        <w:gridCol w:w="1536"/>
        <w:gridCol w:w="1536"/>
        <w:gridCol w:w="1536"/>
        <w:gridCol w:w="1005"/>
        <w:gridCol w:w="906"/>
        <w:gridCol w:w="1216"/>
      </w:tblGrid>
      <w:tr>
        <w:tblPrEx>
          <w:tblCellMar>
            <w:top w:w="0" w:type="dxa"/>
            <w:left w:w="108" w:type="dxa"/>
            <w:bottom w:w="0" w:type="dxa"/>
            <w:right w:w="108" w:type="dxa"/>
          </w:tblCellMar>
        </w:tblPrEx>
        <w:trPr>
          <w:trHeight w:val="405" w:hRule="atLeast"/>
        </w:trPr>
        <w:tc>
          <w:tcPr>
            <w:tcW w:w="13111" w:type="dxa"/>
            <w:gridSpan w:val="8"/>
            <w:tcBorders>
              <w:top w:val="nil"/>
              <w:left w:val="nil"/>
              <w:bottom w:val="nil"/>
              <w:right w:val="nil"/>
            </w:tcBorders>
            <w:shd w:val="clear" w:color="auto" w:fill="auto"/>
            <w:noWrap/>
            <w:vAlign w:val="center"/>
          </w:tcPr>
          <w:p>
            <w:pPr>
              <w:widowControl/>
              <w:jc w:val="center"/>
              <w:textAlignment w:val="center"/>
              <w:rPr>
                <w:rFonts w:ascii="华文中宋" w:hAnsi="华文中宋" w:eastAsia="华文中宋" w:cs="华文中宋"/>
                <w:color w:val="000000"/>
                <w:sz w:val="32"/>
                <w:szCs w:val="32"/>
              </w:rPr>
            </w:pPr>
            <w:r>
              <w:rPr>
                <w:rFonts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429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53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53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53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005"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90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216"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300" w:hRule="atLeast"/>
        </w:trPr>
        <w:tc>
          <w:tcPr>
            <w:tcW w:w="5376" w:type="dxa"/>
            <w:gridSpan w:val="2"/>
            <w:tcBorders>
              <w:top w:val="nil"/>
              <w:left w:val="nil"/>
              <w:bottom w:val="nil"/>
              <w:right w:val="nil"/>
            </w:tcBorders>
            <w:shd w:val="clear" w:color="auto" w:fill="FFFFFF"/>
            <w:noWrap/>
            <w:vAlign w:val="center"/>
          </w:tcPr>
          <w:p>
            <w:pPr>
              <w:jc w:val="left"/>
              <w:rPr>
                <w:rFonts w:ascii="宋体" w:hAnsi="宋体" w:eastAsia="宋体" w:cs="宋体"/>
                <w:color w:val="000000"/>
                <w:sz w:val="24"/>
                <w:szCs w:val="24"/>
              </w:rPr>
            </w:pPr>
            <w:r>
              <w:rPr>
                <w:rFonts w:hint="eastAsia" w:ascii="宋体" w:hAnsi="宋体" w:eastAsia="宋体" w:cs="宋体"/>
                <w:color w:val="000000"/>
                <w:kern w:val="0"/>
                <w:sz w:val="20"/>
                <w:szCs w:val="20"/>
              </w:rPr>
              <w:t>部门：湘乡市农业农村局</w:t>
            </w:r>
          </w:p>
        </w:tc>
        <w:tc>
          <w:tcPr>
            <w:tcW w:w="153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53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536" w:type="dxa"/>
            <w:tcBorders>
              <w:top w:val="nil"/>
              <w:left w:val="nil"/>
              <w:bottom w:val="nil"/>
              <w:right w:val="nil"/>
            </w:tcBorders>
            <w:shd w:val="clear" w:color="auto" w:fill="FFFFFF"/>
            <w:noWrap/>
            <w:vAlign w:val="center"/>
          </w:tcPr>
          <w:p>
            <w:pPr>
              <w:jc w:val="center"/>
              <w:rPr>
                <w:rFonts w:ascii="宋体" w:hAnsi="宋体" w:eastAsia="宋体" w:cs="宋体"/>
                <w:color w:val="000000"/>
                <w:sz w:val="20"/>
                <w:szCs w:val="20"/>
              </w:rPr>
            </w:pPr>
          </w:p>
        </w:tc>
        <w:tc>
          <w:tcPr>
            <w:tcW w:w="1005"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906"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216"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15" w:hRule="atLeast"/>
        </w:trPr>
        <w:tc>
          <w:tcPr>
            <w:tcW w:w="5376" w:type="dxa"/>
            <w:gridSpan w:val="2"/>
            <w:tcBorders>
              <w:top w:val="single" w:color="000000" w:sz="8" w:space="0"/>
              <w:left w:val="single" w:color="000000" w:sz="8"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21"/>
                <w:rFonts w:hint="default"/>
              </w:rPr>
              <w:t xml:space="preserve">   目</w:t>
            </w:r>
          </w:p>
        </w:tc>
        <w:tc>
          <w:tcPr>
            <w:tcW w:w="1536"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本年支出合计</w:t>
            </w:r>
          </w:p>
        </w:tc>
        <w:tc>
          <w:tcPr>
            <w:tcW w:w="1536"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基本支出</w:t>
            </w:r>
          </w:p>
        </w:tc>
        <w:tc>
          <w:tcPr>
            <w:tcW w:w="1536"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1005"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上缴上级支出</w:t>
            </w:r>
          </w:p>
        </w:tc>
        <w:tc>
          <w:tcPr>
            <w:tcW w:w="906"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经营支出</w:t>
            </w:r>
          </w:p>
        </w:tc>
        <w:tc>
          <w:tcPr>
            <w:tcW w:w="1216" w:type="dxa"/>
            <w:vMerge w:val="restart"/>
            <w:tcBorders>
              <w:top w:val="single" w:color="000000" w:sz="8" w:space="0"/>
              <w:left w:val="single" w:color="000000" w:sz="4" w:space="0"/>
              <w:bottom w:val="single" w:color="000000" w:sz="4" w:space="0"/>
              <w:right w:val="single" w:color="000000" w:sz="8"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对附属单位补助支出</w:t>
            </w:r>
          </w:p>
        </w:tc>
      </w:tr>
      <w:tr>
        <w:tblPrEx>
          <w:tblCellMar>
            <w:top w:w="0" w:type="dxa"/>
            <w:left w:w="108" w:type="dxa"/>
            <w:bottom w:w="0" w:type="dxa"/>
            <w:right w:w="108" w:type="dxa"/>
          </w:tblCellMar>
        </w:tblPrEx>
        <w:trPr>
          <w:trHeight w:val="312" w:hRule="atLeast"/>
        </w:trPr>
        <w:tc>
          <w:tcPr>
            <w:tcW w:w="1080" w:type="dxa"/>
            <w:vMerge w:val="restart"/>
            <w:tcBorders>
              <w:top w:val="single" w:color="000000" w:sz="4" w:space="0"/>
              <w:left w:val="single" w:color="000000" w:sz="8"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功能分类科目编码</w:t>
            </w:r>
          </w:p>
        </w:tc>
        <w:tc>
          <w:tcPr>
            <w:tcW w:w="42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153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53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53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005"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90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216" w:type="dxa"/>
            <w:vMerge w:val="continue"/>
            <w:tcBorders>
              <w:top w:val="single" w:color="000000" w:sz="8" w:space="0"/>
              <w:left w:val="single" w:color="000000" w:sz="4" w:space="0"/>
              <w:bottom w:val="single" w:color="000000" w:sz="4" w:space="0"/>
              <w:right w:val="single" w:color="000000" w:sz="8" w:space="0"/>
            </w:tcBorders>
            <w:shd w:val="clear" w:color="auto" w:fill="FFFFFF"/>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8"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42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53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53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53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005"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906"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000000"/>
                <w:sz w:val="24"/>
                <w:szCs w:val="24"/>
              </w:rPr>
            </w:pPr>
          </w:p>
        </w:tc>
        <w:tc>
          <w:tcPr>
            <w:tcW w:w="1216" w:type="dxa"/>
            <w:vMerge w:val="continue"/>
            <w:tcBorders>
              <w:top w:val="single" w:color="000000" w:sz="8" w:space="0"/>
              <w:left w:val="single" w:color="000000" w:sz="4" w:space="0"/>
              <w:bottom w:val="single" w:color="000000" w:sz="4" w:space="0"/>
              <w:right w:val="single" w:color="000000" w:sz="8" w:space="0"/>
            </w:tcBorders>
            <w:shd w:val="clear" w:color="auto" w:fill="FFFFFF"/>
            <w:vAlign w:val="center"/>
          </w:tcPr>
          <w:p>
            <w:pPr>
              <w:jc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315" w:hRule="atLeast"/>
        </w:trPr>
        <w:tc>
          <w:tcPr>
            <w:tcW w:w="5376" w:type="dxa"/>
            <w:gridSpan w:val="2"/>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15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15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15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9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1216"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tblPrEx>
          <w:tblCellMar>
            <w:top w:w="0" w:type="dxa"/>
            <w:left w:w="108" w:type="dxa"/>
            <w:bottom w:w="0" w:type="dxa"/>
            <w:right w:w="108" w:type="dxa"/>
          </w:tblCellMar>
        </w:tblPrEx>
        <w:trPr>
          <w:trHeight w:val="315" w:hRule="atLeast"/>
        </w:trPr>
        <w:tc>
          <w:tcPr>
            <w:tcW w:w="5376" w:type="dxa"/>
            <w:gridSpan w:val="2"/>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260,26.47</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34,08.02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226,18.45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 w:val="24"/>
                <w:szCs w:val="24"/>
              </w:rPr>
            </w:pP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208</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社会保障和就业支出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435.31</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435.31</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20805</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行政事业单位养老支出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265.02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265.02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2080501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行政单位离退休</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13.31</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13.31</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2080505</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机关事业单位基本养老保险缴费支出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251.70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251.70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20899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其他社会保障和就业支出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2089999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其他社会保障和就业支出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170.29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210</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卫生健康支出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141.00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141.00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21011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行政事业单位医疗</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2101101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行政单位医疗</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136.98</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21012</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财政对基本医疗保险基金的补助</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2101299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财政对其他基本医疗保险基金的补助</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4.02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212</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城乡社区支出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21205</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城乡社区环境卫生</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2120501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城乡社区环境卫生</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1,080.95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农林水支出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23,556.65</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2,587.74</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20,968.90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农业农村</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19,864.90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2,587.74</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17,277.15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2130101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行政运行</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2,721.12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2,587.74</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133.37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2130102</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一般行政管理事务</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577.09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577.09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2130106</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科技转化与推广服务</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2.24</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2.24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2130108</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病虫害控制</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235.92</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235.92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2130109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农产品质量安全</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37.73</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37.73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2130110</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执法监管</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24.79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24.79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2130121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农业结构调整补贴</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55.75</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55.75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2130122</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农业生产发展</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500.00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500.00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2130126</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农村社会事业</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522.33</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522.33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2130148</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成品油价格改革对渔业的补贴</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115.00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115.00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2130153</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农田建设</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6,273.31</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6,273.31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2130199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其他农业农村支出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8,799.61</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8,799.61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21303</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水利</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130.00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130.00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2130399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其他水利支出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130.00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130.00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21305</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扶贫</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3,561.75</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3,561.75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2130504</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农村基础设施建设</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384.00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384.00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2130505</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生产发展</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90.00</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90.00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2130599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其他扶贫支出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3,087.75</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3,087.75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216</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商业服务业等支出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568.59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568.59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21602</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商业流通事务</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568.59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568.59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2160299</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其他商业流通事务支出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568.59</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568.59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221</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住房保障支出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243.97</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243.97</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22102</w:t>
            </w:r>
          </w:p>
        </w:tc>
        <w:tc>
          <w:tcPr>
            <w:tcW w:w="4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住房改革支出</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243.97</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243.97</w:t>
            </w:r>
          </w:p>
        </w:tc>
        <w:tc>
          <w:tcPr>
            <w:tcW w:w="1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315" w:hRule="atLeast"/>
        </w:trPr>
        <w:tc>
          <w:tcPr>
            <w:tcW w:w="1080" w:type="dxa"/>
            <w:tcBorders>
              <w:top w:val="single" w:color="000000" w:sz="4" w:space="0"/>
              <w:left w:val="single" w:color="000000" w:sz="8" w:space="0"/>
              <w:bottom w:val="single" w:color="000000" w:sz="8"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2210201</w:t>
            </w:r>
          </w:p>
        </w:tc>
        <w:tc>
          <w:tcPr>
            <w:tcW w:w="4296" w:type="dxa"/>
            <w:tcBorders>
              <w:top w:val="single" w:color="000000" w:sz="4" w:space="0"/>
              <w:left w:val="single" w:color="000000" w:sz="4" w:space="0"/>
              <w:bottom w:val="single" w:color="000000" w:sz="8" w:space="0"/>
              <w:right w:val="single" w:color="000000" w:sz="4" w:space="0"/>
            </w:tcBorders>
            <w:shd w:val="clear" w:color="auto" w:fill="FFFFFF"/>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2"/>
              </w:rPr>
              <w:t xml:space="preserve">  住房公积金</w:t>
            </w:r>
          </w:p>
        </w:tc>
        <w:tc>
          <w:tcPr>
            <w:tcW w:w="153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243.97</w:t>
            </w:r>
          </w:p>
        </w:tc>
        <w:tc>
          <w:tcPr>
            <w:tcW w:w="153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rPr>
              <w:t>243.97</w:t>
            </w:r>
          </w:p>
        </w:tc>
        <w:tc>
          <w:tcPr>
            <w:tcW w:w="153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right"/>
              <w:rPr>
                <w:rFonts w:ascii="宋体" w:hAnsi="宋体" w:eastAsia="宋体" w:cs="宋体"/>
                <w:color w:val="000000"/>
                <w:sz w:val="24"/>
                <w:szCs w:val="24"/>
              </w:rPr>
            </w:pPr>
          </w:p>
        </w:tc>
        <w:tc>
          <w:tcPr>
            <w:tcW w:w="100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90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c>
          <w:tcPr>
            <w:tcW w:w="1216"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0</w:t>
            </w:r>
          </w:p>
        </w:tc>
      </w:tr>
      <w:tr>
        <w:tblPrEx>
          <w:tblCellMar>
            <w:top w:w="0" w:type="dxa"/>
            <w:left w:w="108" w:type="dxa"/>
            <w:bottom w:w="0" w:type="dxa"/>
            <w:right w:w="108" w:type="dxa"/>
          </w:tblCellMar>
        </w:tblPrEx>
        <w:trPr>
          <w:trHeight w:val="285" w:hRule="atLeast"/>
        </w:trPr>
        <w:tc>
          <w:tcPr>
            <w:tcW w:w="13111" w:type="dxa"/>
            <w:gridSpan w:val="8"/>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pStyle w:val="4"/>
        <w:rPr>
          <w:rFonts w:hint="default" w:ascii="Times New Roman" w:hAnsi="Times New Roman" w:eastAsia="方正小标宋_GBK" w:cs="Times New Roman"/>
          <w:color w:val="000000"/>
          <w:kern w:val="0"/>
          <w:sz w:val="36"/>
        </w:rPr>
      </w:pPr>
    </w:p>
    <w:p>
      <w:pPr>
        <w:pStyle w:val="5"/>
        <w:rPr>
          <w:rFonts w:hint="default" w:ascii="Times New Roman" w:hAnsi="Times New Roman" w:eastAsia="方正小标宋_GBK" w:cs="Times New Roman"/>
          <w:color w:val="000000"/>
          <w:kern w:val="0"/>
          <w:sz w:val="36"/>
          <w:szCs w:val="21"/>
        </w:rPr>
      </w:pPr>
    </w:p>
    <w:p>
      <w:pPr>
        <w:rPr>
          <w:rFonts w:ascii="Times New Roman" w:hAnsi="Times New Roman" w:eastAsia="方正小标宋_GBK" w:cs="Times New Roman"/>
          <w:color w:val="000000"/>
          <w:kern w:val="0"/>
          <w:sz w:val="36"/>
          <w:szCs w:val="21"/>
        </w:rPr>
      </w:pPr>
    </w:p>
    <w:p>
      <w:pPr>
        <w:pStyle w:val="4"/>
        <w:rPr>
          <w:rFonts w:hint="default" w:ascii="Times New Roman" w:hAnsi="Times New Roman" w:eastAsia="方正小标宋_GBK" w:cs="Times New Roman"/>
          <w:color w:val="000000"/>
          <w:kern w:val="0"/>
          <w:sz w:val="36"/>
        </w:rPr>
      </w:pPr>
    </w:p>
    <w:p>
      <w:pPr>
        <w:pStyle w:val="5"/>
        <w:rPr>
          <w:rFonts w:hint="default" w:ascii="Times New Roman" w:hAnsi="Times New Roman" w:eastAsia="方正小标宋_GBK" w:cs="Times New Roman"/>
          <w:color w:val="000000"/>
          <w:kern w:val="0"/>
          <w:sz w:val="36"/>
          <w:szCs w:val="21"/>
        </w:rPr>
      </w:pPr>
    </w:p>
    <w:p>
      <w:pPr>
        <w:rPr>
          <w:rFonts w:ascii="Times New Roman" w:hAnsi="Times New Roman" w:eastAsia="方正小标宋_GBK" w:cs="Times New Roman"/>
          <w:color w:val="000000"/>
          <w:kern w:val="0"/>
          <w:sz w:val="36"/>
          <w:szCs w:val="21"/>
        </w:rPr>
      </w:pPr>
    </w:p>
    <w:p>
      <w:pPr>
        <w:pStyle w:val="4"/>
        <w:rPr>
          <w:rFonts w:hint="default" w:ascii="Times New Roman" w:hAnsi="Times New Roman" w:eastAsia="方正小标宋_GBK" w:cs="Times New Roman"/>
          <w:color w:val="000000"/>
          <w:kern w:val="0"/>
          <w:sz w:val="36"/>
        </w:rPr>
      </w:pPr>
    </w:p>
    <w:p>
      <w:pPr>
        <w:pStyle w:val="5"/>
        <w:rPr>
          <w:rFonts w:hint="default"/>
        </w:rPr>
      </w:pPr>
    </w:p>
    <w:p/>
    <w:p>
      <w:pPr>
        <w:pStyle w:val="4"/>
        <w:rPr>
          <w:rFonts w:hint="default"/>
        </w:rPr>
      </w:pPr>
    </w:p>
    <w:p>
      <w:pPr>
        <w:pStyle w:val="5"/>
        <w:rPr>
          <w:rFonts w:hint="default"/>
        </w:rPr>
      </w:pPr>
    </w:p>
    <w:p/>
    <w:p>
      <w:pPr>
        <w:pStyle w:val="4"/>
        <w:rPr>
          <w:rFonts w:hint="default"/>
        </w:rPr>
      </w:pPr>
    </w:p>
    <w:p>
      <w:pPr>
        <w:pStyle w:val="5"/>
        <w:rPr>
          <w:rFonts w:hint="default"/>
        </w:rPr>
      </w:pPr>
    </w:p>
    <w:p>
      <w:pPr>
        <w:pStyle w:val="5"/>
        <w:ind w:left="0"/>
        <w:rPr>
          <w:rFonts w:hint="default"/>
        </w:rPr>
      </w:pPr>
    </w:p>
    <w:tbl>
      <w:tblPr>
        <w:tblStyle w:val="9"/>
        <w:tblW w:w="14947" w:type="dxa"/>
        <w:tblInd w:w="93" w:type="dxa"/>
        <w:tblLayout w:type="fixed"/>
        <w:tblCellMar>
          <w:top w:w="0" w:type="dxa"/>
          <w:left w:w="108" w:type="dxa"/>
          <w:bottom w:w="0" w:type="dxa"/>
          <w:right w:w="108" w:type="dxa"/>
        </w:tblCellMar>
      </w:tblPr>
      <w:tblGrid>
        <w:gridCol w:w="3788"/>
        <w:gridCol w:w="777"/>
        <w:gridCol w:w="1568"/>
        <w:gridCol w:w="3423"/>
        <w:gridCol w:w="845"/>
        <w:gridCol w:w="1267"/>
        <w:gridCol w:w="1275"/>
        <w:gridCol w:w="900"/>
        <w:gridCol w:w="1104"/>
      </w:tblGrid>
      <w:tr>
        <w:tblPrEx>
          <w:tblCellMar>
            <w:top w:w="0" w:type="dxa"/>
            <w:left w:w="108" w:type="dxa"/>
            <w:bottom w:w="0" w:type="dxa"/>
            <w:right w:w="108" w:type="dxa"/>
          </w:tblCellMar>
        </w:tblPrEx>
        <w:trPr>
          <w:trHeight w:val="405" w:hRule="atLeast"/>
        </w:trPr>
        <w:tc>
          <w:tcPr>
            <w:tcW w:w="14947" w:type="dxa"/>
            <w:gridSpan w:val="9"/>
            <w:tcBorders>
              <w:top w:val="nil"/>
              <w:left w:val="nil"/>
              <w:bottom w:val="nil"/>
              <w:right w:val="nil"/>
            </w:tcBorders>
            <w:shd w:val="clear" w:color="auto" w:fill="auto"/>
            <w:noWrap/>
            <w:vAlign w:val="center"/>
          </w:tcPr>
          <w:p>
            <w:pPr>
              <w:widowControl/>
              <w:jc w:val="center"/>
              <w:textAlignment w:val="center"/>
              <w:rPr>
                <w:rFonts w:ascii="华文中宋" w:hAnsi="华文中宋" w:eastAsia="华文中宋" w:cs="华文中宋"/>
                <w:color w:val="000000"/>
                <w:sz w:val="32"/>
                <w:szCs w:val="32"/>
              </w:rPr>
            </w:pPr>
            <w:bookmarkStart w:id="0" w:name="RANGE!A1:I22"/>
            <w:bookmarkEnd w:id="0"/>
            <w:bookmarkStart w:id="1" w:name="RANGE!A1:F16"/>
            <w:r>
              <w:rPr>
                <w:rFonts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285" w:hRule="atLeast"/>
        </w:trPr>
        <w:tc>
          <w:tcPr>
            <w:tcW w:w="3788"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777"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568"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4268" w:type="dxa"/>
            <w:gridSpan w:val="2"/>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267"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275"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900"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104"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15" w:hRule="atLeast"/>
        </w:trPr>
        <w:tc>
          <w:tcPr>
            <w:tcW w:w="3788" w:type="dxa"/>
            <w:tcBorders>
              <w:top w:val="nil"/>
              <w:left w:val="nil"/>
              <w:bottom w:val="nil"/>
              <w:right w:val="nil"/>
            </w:tcBorders>
            <w:shd w:val="clear" w:color="auto" w:fill="FFFFFF"/>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部门：湘乡市农业农村局</w:t>
            </w:r>
          </w:p>
        </w:tc>
        <w:tc>
          <w:tcPr>
            <w:tcW w:w="777"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568"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4268" w:type="dxa"/>
            <w:gridSpan w:val="2"/>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267"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275"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900" w:type="dxa"/>
            <w:tcBorders>
              <w:top w:val="nil"/>
              <w:left w:val="nil"/>
              <w:bottom w:val="nil"/>
              <w:right w:val="nil"/>
            </w:tcBorders>
            <w:shd w:val="clear" w:color="auto" w:fill="FFFFFF"/>
            <w:noWrap/>
            <w:vAlign w:val="center"/>
          </w:tcPr>
          <w:p>
            <w:pPr>
              <w:jc w:val="right"/>
              <w:rPr>
                <w:rFonts w:ascii="宋体" w:hAnsi="宋体" w:eastAsia="宋体" w:cs="宋体"/>
                <w:color w:val="000000"/>
                <w:sz w:val="24"/>
                <w:szCs w:val="24"/>
              </w:rPr>
            </w:pPr>
          </w:p>
        </w:tc>
        <w:tc>
          <w:tcPr>
            <w:tcW w:w="1104" w:type="dxa"/>
            <w:tcBorders>
              <w:top w:val="nil"/>
              <w:left w:val="nil"/>
              <w:bottom w:val="nil"/>
              <w:right w:val="nil"/>
            </w:tcBorders>
            <w:shd w:val="clear" w:color="auto" w:fill="FFFFFF"/>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15" w:hRule="atLeast"/>
        </w:trPr>
        <w:tc>
          <w:tcPr>
            <w:tcW w:w="6133" w:type="dxa"/>
            <w:gridSpan w:val="3"/>
            <w:tcBorders>
              <w:top w:val="single" w:color="000000" w:sz="8" w:space="0"/>
              <w:left w:val="single" w:color="000000" w:sz="8" w:space="0"/>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8814" w:type="dxa"/>
            <w:gridSpan w:val="6"/>
            <w:tcBorders>
              <w:top w:val="single" w:color="000000" w:sz="8" w:space="0"/>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tblPrEx>
          <w:tblCellMar>
            <w:top w:w="0" w:type="dxa"/>
            <w:left w:w="108" w:type="dxa"/>
            <w:bottom w:w="0" w:type="dxa"/>
            <w:right w:w="108" w:type="dxa"/>
          </w:tblCellMar>
        </w:tblPrEx>
        <w:trPr>
          <w:trHeight w:val="885"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22"/>
                <w:rFonts w:hint="default"/>
              </w:rPr>
              <w:t xml:space="preserve">   目</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568"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金额</w:t>
            </w:r>
          </w:p>
        </w:tc>
        <w:tc>
          <w:tcPr>
            <w:tcW w:w="3423"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22"/>
                <w:rFonts w:hint="default"/>
              </w:rPr>
              <w:t xml:space="preserve">   目</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1275"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一般公共预算财政拨款</w:t>
            </w:r>
          </w:p>
        </w:tc>
        <w:tc>
          <w:tcPr>
            <w:tcW w:w="90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政府性基金预算财政拨款</w:t>
            </w:r>
          </w:p>
        </w:tc>
        <w:tc>
          <w:tcPr>
            <w:tcW w:w="1104"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国有资本经营预算财政拨款</w:t>
            </w:r>
          </w:p>
        </w:tc>
      </w:tr>
      <w:tr>
        <w:tblPrEx>
          <w:tblCellMar>
            <w:top w:w="0" w:type="dxa"/>
            <w:left w:w="108" w:type="dxa"/>
            <w:bottom w:w="0" w:type="dxa"/>
            <w:right w:w="108" w:type="dxa"/>
          </w:tblCellMar>
        </w:tblPrEx>
        <w:trPr>
          <w:trHeight w:val="315"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栏 </w:t>
            </w:r>
            <w:r>
              <w:rPr>
                <w:rStyle w:val="22"/>
                <w:rFonts w:hint="default"/>
              </w:rPr>
              <w:t xml:space="preserve">   次</w:t>
            </w:r>
          </w:p>
        </w:tc>
        <w:tc>
          <w:tcPr>
            <w:tcW w:w="777"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eastAsia="宋体" w:cs="宋体"/>
                <w:color w:val="000000"/>
                <w:sz w:val="24"/>
                <w:szCs w:val="24"/>
              </w:rPr>
            </w:pPr>
          </w:p>
        </w:tc>
        <w:tc>
          <w:tcPr>
            <w:tcW w:w="1568"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423"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栏 </w:t>
            </w:r>
            <w:r>
              <w:rPr>
                <w:rStyle w:val="22"/>
                <w:rFonts w:hint="default"/>
              </w:rPr>
              <w:t xml:space="preserve">   次</w:t>
            </w:r>
          </w:p>
        </w:tc>
        <w:tc>
          <w:tcPr>
            <w:tcW w:w="845" w:type="dxa"/>
            <w:tcBorders>
              <w:top w:val="nil"/>
              <w:left w:val="nil"/>
              <w:bottom w:val="single" w:color="000000" w:sz="8" w:space="0"/>
              <w:right w:val="single" w:color="000000" w:sz="8" w:space="0"/>
            </w:tcBorders>
            <w:shd w:val="clear" w:color="auto" w:fill="auto"/>
            <w:noWrap/>
            <w:vAlign w:val="center"/>
          </w:tcPr>
          <w:p>
            <w:pPr>
              <w:jc w:val="center"/>
              <w:rPr>
                <w:rFonts w:ascii="宋体" w:hAnsi="宋体" w:eastAsia="宋体" w:cs="宋体"/>
                <w:color w:val="000000"/>
                <w:sz w:val="24"/>
                <w:szCs w:val="24"/>
              </w:rPr>
            </w:pPr>
          </w:p>
        </w:tc>
        <w:tc>
          <w:tcPr>
            <w:tcW w:w="126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900"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104"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568"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3423"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33</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34</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三、国有资本经营财政拨款</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35</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36</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37</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38</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七、文化旅游体育与传媒支出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39</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八、社会保障和就业支出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40</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435.31</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435.31</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九、卫生健康支出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41</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141.00</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141.00</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十、节能环保支出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42</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十一、城乡社区支出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43</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1,080.95</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1,080.95</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十二、农林水支出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44</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22,135.83</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22,135.83</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十三、交通运输支出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45</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十四、资源勘探工业信息等支出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46</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十五、商业服务业等支出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47</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568.59</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568.59</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十六、金融支出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48</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十七、援助其他地区支出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49</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十八、自然资源海洋气象等支出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50</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十九、住房保障支出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51</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243.97</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243.97</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二十、粮油物资储备支出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52</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二十一、国有资本经营预算支出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53</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二十二、灾害防治及应急管理支出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54</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二十三、其他支出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55</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center"/>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二十四、债务还本支出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56</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二十五、债务付息支出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57</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二十六、抗疫特别国债安排的支出</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58</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本年收入合计</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27</w:t>
            </w:r>
          </w:p>
        </w:tc>
        <w:tc>
          <w:tcPr>
            <w:tcW w:w="1568"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3423"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本年支出合计</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59</w:t>
            </w:r>
          </w:p>
        </w:tc>
        <w:tc>
          <w:tcPr>
            <w:tcW w:w="1267"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1275"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年初财政拨款结转和结余</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28</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年末财政拨款结转和结余</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60</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一般公共预算财政拨款</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29</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61</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政府性基金预算财政拨款</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62</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auto"/>
            <w:noWrap/>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国有资本经营预算财政拨款</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31</w:t>
            </w:r>
          </w:p>
        </w:tc>
        <w:tc>
          <w:tcPr>
            <w:tcW w:w="1568"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3423" w:type="dxa"/>
            <w:tcBorders>
              <w:top w:val="nil"/>
              <w:left w:val="nil"/>
              <w:bottom w:val="single" w:color="000000" w:sz="8" w:space="0"/>
              <w:right w:val="single" w:color="000000" w:sz="8" w:space="0"/>
            </w:tcBorders>
            <w:shd w:val="clear" w:color="auto" w:fill="auto"/>
            <w:noWrap/>
            <w:vAlign w:val="center"/>
          </w:tcPr>
          <w:p>
            <w:pPr>
              <w:jc w:val="left"/>
              <w:rPr>
                <w:rFonts w:ascii="宋体" w:hAnsi="宋体" w:eastAsia="宋体" w:cs="宋体"/>
                <w:color w:val="000000"/>
                <w:sz w:val="22"/>
              </w:rPr>
            </w:pP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63</w:t>
            </w:r>
          </w:p>
        </w:tc>
        <w:tc>
          <w:tcPr>
            <w:tcW w:w="126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275"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color w:val="000000"/>
                <w:sz w:val="22"/>
              </w:rPr>
            </w:pPr>
          </w:p>
        </w:tc>
      </w:tr>
      <w:tr>
        <w:tblPrEx>
          <w:tblCellMar>
            <w:top w:w="0" w:type="dxa"/>
            <w:left w:w="108" w:type="dxa"/>
            <w:bottom w:w="0" w:type="dxa"/>
            <w:right w:w="108" w:type="dxa"/>
          </w:tblCellMar>
        </w:tblPrEx>
        <w:trPr>
          <w:trHeight w:val="300" w:hRule="atLeast"/>
        </w:trPr>
        <w:tc>
          <w:tcPr>
            <w:tcW w:w="3788" w:type="dxa"/>
            <w:tcBorders>
              <w:top w:val="nil"/>
              <w:left w:val="single" w:color="000000" w:sz="8" w:space="0"/>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总计</w:t>
            </w:r>
          </w:p>
        </w:tc>
        <w:tc>
          <w:tcPr>
            <w:tcW w:w="777"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32</w:t>
            </w:r>
          </w:p>
        </w:tc>
        <w:tc>
          <w:tcPr>
            <w:tcW w:w="1568" w:type="dxa"/>
            <w:tcBorders>
              <w:top w:val="nil"/>
              <w:left w:val="nil"/>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3423" w:type="dxa"/>
            <w:tcBorders>
              <w:top w:val="nil"/>
              <w:left w:val="nil"/>
              <w:bottom w:val="single" w:color="000000" w:sz="8" w:space="0"/>
              <w:right w:val="single" w:color="000000" w:sz="8" w:space="0"/>
            </w:tcBorders>
            <w:shd w:val="clear" w:color="auto" w:fill="FFFFFF"/>
            <w:noWrap/>
            <w:vAlign w:val="center"/>
          </w:tcPr>
          <w:p>
            <w:pPr>
              <w:widowControl/>
              <w:jc w:val="center"/>
              <w:textAlignment w:val="center"/>
              <w:rPr>
                <w:rFonts w:ascii="宋体" w:hAnsi="宋体" w:eastAsia="宋体" w:cs="宋体"/>
                <w:b/>
                <w:bCs/>
                <w:color w:val="000000"/>
                <w:sz w:val="22"/>
              </w:rPr>
            </w:pPr>
            <w:r>
              <w:rPr>
                <w:rFonts w:hint="eastAsia" w:ascii="宋体" w:hAnsi="宋体" w:eastAsia="宋体" w:cs="宋体"/>
                <w:b/>
                <w:bCs/>
                <w:color w:val="000000"/>
                <w:kern w:val="0"/>
                <w:sz w:val="22"/>
              </w:rPr>
              <w:t>总计</w:t>
            </w:r>
          </w:p>
        </w:tc>
        <w:tc>
          <w:tcPr>
            <w:tcW w:w="845" w:type="dxa"/>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64</w:t>
            </w:r>
          </w:p>
        </w:tc>
        <w:tc>
          <w:tcPr>
            <w:tcW w:w="1267" w:type="dxa"/>
            <w:tcBorders>
              <w:top w:val="nil"/>
              <w:left w:val="nil"/>
              <w:bottom w:val="single" w:color="000000" w:sz="8" w:space="0"/>
              <w:right w:val="single" w:color="000000" w:sz="8" w:space="0"/>
            </w:tcBorders>
            <w:shd w:val="clear" w:color="auto" w:fill="FFFFFF"/>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1275" w:type="dxa"/>
            <w:tcBorders>
              <w:top w:val="nil"/>
              <w:left w:val="nil"/>
              <w:bottom w:val="single" w:color="000000" w:sz="8" w:space="0"/>
              <w:right w:val="single" w:color="000000" w:sz="8" w:space="0"/>
            </w:tcBorders>
            <w:shd w:val="clear" w:color="auto" w:fill="FFFFFF"/>
            <w:noWrap/>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24,605.65</w:t>
            </w:r>
          </w:p>
        </w:tc>
        <w:tc>
          <w:tcPr>
            <w:tcW w:w="900"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c>
          <w:tcPr>
            <w:tcW w:w="1104" w:type="dxa"/>
            <w:tcBorders>
              <w:top w:val="nil"/>
              <w:left w:val="nil"/>
              <w:bottom w:val="single" w:color="000000" w:sz="8" w:space="0"/>
              <w:right w:val="single" w:color="000000" w:sz="8" w:space="0"/>
            </w:tcBorders>
            <w:shd w:val="clear" w:color="auto" w:fill="auto"/>
            <w:noWrap/>
            <w:vAlign w:val="center"/>
          </w:tcPr>
          <w:p>
            <w:pPr>
              <w:jc w:val="right"/>
              <w:rPr>
                <w:rFonts w:ascii="宋体" w:hAnsi="宋体" w:eastAsia="宋体" w:cs="宋体"/>
                <w:b/>
                <w:bCs/>
                <w:color w:val="000000"/>
                <w:sz w:val="22"/>
              </w:rPr>
            </w:pPr>
          </w:p>
        </w:tc>
      </w:tr>
      <w:tr>
        <w:tblPrEx>
          <w:tblCellMar>
            <w:top w:w="0" w:type="dxa"/>
            <w:left w:w="108" w:type="dxa"/>
            <w:bottom w:w="0" w:type="dxa"/>
            <w:right w:w="108" w:type="dxa"/>
          </w:tblCellMar>
        </w:tblPrEx>
        <w:trPr>
          <w:trHeight w:val="570" w:hRule="atLeast"/>
        </w:trPr>
        <w:tc>
          <w:tcPr>
            <w:tcW w:w="14947" w:type="dxa"/>
            <w:gridSpan w:val="9"/>
            <w:tcBorders>
              <w:top w:val="nil"/>
              <w:left w:val="nil"/>
              <w:bottom w:val="nil"/>
              <w:right w:val="nil"/>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pStyle w:val="4"/>
        <w:rPr>
          <w:rFonts w:hint="default" w:ascii="Times New Roman" w:hAnsi="Times New Roman" w:eastAsia="方正小标宋_GBK" w:cs="Times New Roman"/>
          <w:kern w:val="0"/>
          <w:sz w:val="36"/>
          <w:szCs w:val="36"/>
        </w:rPr>
      </w:pPr>
    </w:p>
    <w:p>
      <w:pPr>
        <w:pStyle w:val="5"/>
        <w:rPr>
          <w:rFonts w:hint="default"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4"/>
        <w:rPr>
          <w:rFonts w:hint="default" w:ascii="Times New Roman" w:hAnsi="Times New Roman" w:eastAsia="方正小标宋_GBK" w:cs="Times New Roman"/>
          <w:kern w:val="0"/>
          <w:sz w:val="36"/>
          <w:szCs w:val="36"/>
        </w:rPr>
      </w:pPr>
    </w:p>
    <w:p>
      <w:pPr>
        <w:pStyle w:val="5"/>
        <w:rPr>
          <w:rFonts w:hint="default"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4"/>
        <w:rPr>
          <w:rFonts w:hint="default"/>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部门：湘乡市农业农村局</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9"/>
        <w:tblpPr w:leftFromText="180" w:rightFromText="180" w:vertAnchor="text" w:horzAnchor="page" w:tblpX="1632" w:tblpY="307"/>
        <w:tblOverlap w:val="never"/>
        <w:tblW w:w="12178" w:type="dxa"/>
        <w:tblInd w:w="0" w:type="dxa"/>
        <w:tblLayout w:type="autofit"/>
        <w:tblCellMar>
          <w:top w:w="0" w:type="dxa"/>
          <w:left w:w="108" w:type="dxa"/>
          <w:bottom w:w="0" w:type="dxa"/>
          <w:right w:w="108" w:type="dxa"/>
        </w:tblCellMar>
      </w:tblPr>
      <w:tblGrid>
        <w:gridCol w:w="1534"/>
        <w:gridCol w:w="3878"/>
        <w:gridCol w:w="2191"/>
        <w:gridCol w:w="2355"/>
        <w:gridCol w:w="2220"/>
      </w:tblGrid>
      <w:tr>
        <w:tblPrEx>
          <w:tblCellMar>
            <w:top w:w="0" w:type="dxa"/>
            <w:left w:w="108" w:type="dxa"/>
            <w:bottom w:w="0" w:type="dxa"/>
            <w:right w:w="108" w:type="dxa"/>
          </w:tblCellMar>
        </w:tblPrEx>
        <w:trPr>
          <w:trHeight w:val="300" w:hRule="atLeast"/>
        </w:trPr>
        <w:tc>
          <w:tcPr>
            <w:tcW w:w="541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b/>
                <w:bCs/>
                <w:color w:val="000000"/>
                <w:szCs w:val="21"/>
              </w:rPr>
            </w:pPr>
            <w:r>
              <w:rPr>
                <w:rFonts w:ascii="仿宋_GB2312" w:hAnsi="宋体" w:eastAsia="仿宋_GB2312" w:cs="仿宋_GB2312"/>
                <w:b/>
                <w:bCs/>
                <w:color w:val="000000"/>
                <w:kern w:val="0"/>
                <w:szCs w:val="21"/>
              </w:rPr>
              <w:t>项目</w:t>
            </w:r>
          </w:p>
        </w:tc>
        <w:tc>
          <w:tcPr>
            <w:tcW w:w="6766" w:type="dxa"/>
            <w:gridSpan w:val="3"/>
            <w:tcBorders>
              <w:top w:val="single" w:color="000000" w:sz="8" w:space="0"/>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b/>
                <w:bCs/>
                <w:color w:val="000000"/>
                <w:szCs w:val="21"/>
              </w:rPr>
            </w:pPr>
            <w:r>
              <w:rPr>
                <w:rFonts w:ascii="仿宋_GB2312" w:hAnsi="宋体" w:eastAsia="仿宋_GB2312" w:cs="仿宋_GB2312"/>
                <w:b/>
                <w:bCs/>
                <w:color w:val="000000"/>
                <w:kern w:val="0"/>
                <w:szCs w:val="21"/>
              </w:rPr>
              <w:t>本年支出</w:t>
            </w:r>
          </w:p>
        </w:tc>
      </w:tr>
      <w:tr>
        <w:tblPrEx>
          <w:tblCellMar>
            <w:top w:w="0" w:type="dxa"/>
            <w:left w:w="108" w:type="dxa"/>
            <w:bottom w:w="0" w:type="dxa"/>
            <w:right w:w="108" w:type="dxa"/>
          </w:tblCellMar>
        </w:tblPrEx>
        <w:trPr>
          <w:trHeight w:val="312" w:hRule="atLeast"/>
        </w:trPr>
        <w:tc>
          <w:tcPr>
            <w:tcW w:w="1534"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b/>
                <w:bCs/>
                <w:color w:val="000000"/>
                <w:szCs w:val="21"/>
              </w:rPr>
            </w:pPr>
            <w:r>
              <w:rPr>
                <w:rFonts w:ascii="仿宋_GB2312" w:hAnsi="宋体" w:eastAsia="仿宋_GB2312" w:cs="仿宋_GB2312"/>
                <w:b/>
                <w:bCs/>
                <w:color w:val="000000"/>
                <w:kern w:val="0"/>
                <w:szCs w:val="21"/>
              </w:rPr>
              <w:t>功能分类科目编码</w:t>
            </w:r>
          </w:p>
        </w:tc>
        <w:tc>
          <w:tcPr>
            <w:tcW w:w="3878"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b/>
                <w:bCs/>
                <w:color w:val="000000"/>
                <w:szCs w:val="21"/>
              </w:rPr>
            </w:pPr>
            <w:r>
              <w:rPr>
                <w:rFonts w:ascii="仿宋_GB2312" w:hAnsi="宋体" w:eastAsia="仿宋_GB2312" w:cs="仿宋_GB2312"/>
                <w:b/>
                <w:bCs/>
                <w:color w:val="000000"/>
                <w:kern w:val="0"/>
                <w:szCs w:val="21"/>
              </w:rPr>
              <w:t>科目名称</w:t>
            </w:r>
          </w:p>
        </w:tc>
        <w:tc>
          <w:tcPr>
            <w:tcW w:w="2191"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b/>
                <w:bCs/>
                <w:color w:val="000000"/>
                <w:szCs w:val="21"/>
              </w:rPr>
            </w:pPr>
            <w:r>
              <w:rPr>
                <w:rFonts w:ascii="仿宋_GB2312" w:hAnsi="宋体" w:eastAsia="仿宋_GB2312" w:cs="仿宋_GB2312"/>
                <w:b/>
                <w:bCs/>
                <w:color w:val="000000"/>
                <w:kern w:val="0"/>
                <w:szCs w:val="21"/>
              </w:rPr>
              <w:t>小计</w:t>
            </w:r>
          </w:p>
        </w:tc>
        <w:tc>
          <w:tcPr>
            <w:tcW w:w="2355"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b/>
                <w:bCs/>
                <w:color w:val="000000"/>
                <w:szCs w:val="21"/>
              </w:rPr>
            </w:pPr>
            <w:r>
              <w:rPr>
                <w:rFonts w:ascii="仿宋_GB2312" w:hAnsi="宋体" w:eastAsia="仿宋_GB2312" w:cs="仿宋_GB2312"/>
                <w:b/>
                <w:bCs/>
                <w:color w:val="000000"/>
                <w:kern w:val="0"/>
                <w:szCs w:val="21"/>
              </w:rPr>
              <w:t>基本支出</w:t>
            </w:r>
          </w:p>
        </w:tc>
        <w:tc>
          <w:tcPr>
            <w:tcW w:w="2220"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b/>
                <w:bCs/>
                <w:color w:val="000000"/>
                <w:szCs w:val="21"/>
              </w:rPr>
            </w:pPr>
            <w:r>
              <w:rPr>
                <w:rFonts w:ascii="仿宋_GB2312" w:hAnsi="宋体" w:eastAsia="仿宋_GB2312" w:cs="仿宋_GB2312"/>
                <w:b/>
                <w:bCs/>
                <w:color w:val="000000"/>
                <w:kern w:val="0"/>
                <w:szCs w:val="21"/>
              </w:rPr>
              <w:t>项目支出</w:t>
            </w:r>
          </w:p>
        </w:tc>
      </w:tr>
      <w:tr>
        <w:tblPrEx>
          <w:tblCellMar>
            <w:top w:w="0" w:type="dxa"/>
            <w:left w:w="108" w:type="dxa"/>
            <w:bottom w:w="0" w:type="dxa"/>
            <w:right w:w="108" w:type="dxa"/>
          </w:tblCellMar>
        </w:tblPrEx>
        <w:trPr>
          <w:trHeight w:val="312" w:hRule="atLeast"/>
        </w:trPr>
        <w:tc>
          <w:tcPr>
            <w:tcW w:w="1534"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3878"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2191"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2355"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2220"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312" w:hRule="atLeast"/>
        </w:trPr>
        <w:tc>
          <w:tcPr>
            <w:tcW w:w="1534"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3878"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2191"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2355"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c>
          <w:tcPr>
            <w:tcW w:w="2220" w:type="dxa"/>
            <w:vMerge w:val="continue"/>
            <w:tcBorders>
              <w:top w:val="nil"/>
              <w:left w:val="nil"/>
              <w:bottom w:val="single" w:color="000000" w:sz="8" w:space="0"/>
              <w:right w:val="single" w:color="000000" w:sz="8" w:space="0"/>
            </w:tcBorders>
            <w:shd w:val="clear" w:color="auto" w:fill="auto"/>
            <w:vAlign w:val="center"/>
          </w:tcPr>
          <w:p>
            <w:pPr>
              <w:jc w:val="center"/>
              <w:rPr>
                <w:rFonts w:ascii="仿宋_GB2312" w:hAnsi="宋体" w:eastAsia="仿宋_GB2312" w:cs="仿宋_GB2312"/>
                <w:b/>
                <w:bCs/>
                <w:color w:val="000000"/>
                <w:szCs w:val="21"/>
              </w:rPr>
            </w:pPr>
          </w:p>
        </w:tc>
      </w:tr>
      <w:tr>
        <w:tblPrEx>
          <w:tblCellMar>
            <w:top w:w="0" w:type="dxa"/>
            <w:left w:w="108" w:type="dxa"/>
            <w:bottom w:w="0" w:type="dxa"/>
            <w:right w:w="108" w:type="dxa"/>
          </w:tblCellMar>
        </w:tblPrEx>
        <w:trPr>
          <w:trHeight w:val="300" w:hRule="atLeast"/>
        </w:trPr>
        <w:tc>
          <w:tcPr>
            <w:tcW w:w="5412" w:type="dxa"/>
            <w:gridSpan w:val="2"/>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栏次</w:t>
            </w:r>
          </w:p>
        </w:tc>
        <w:tc>
          <w:tcPr>
            <w:tcW w:w="219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w:t>
            </w:r>
          </w:p>
        </w:tc>
        <w:tc>
          <w:tcPr>
            <w:tcW w:w="2355"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c>
          <w:tcPr>
            <w:tcW w:w="222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w:t>
            </w:r>
          </w:p>
        </w:tc>
      </w:tr>
      <w:tr>
        <w:tblPrEx>
          <w:tblCellMar>
            <w:top w:w="0" w:type="dxa"/>
            <w:left w:w="108" w:type="dxa"/>
            <w:bottom w:w="0" w:type="dxa"/>
            <w:right w:w="108" w:type="dxa"/>
          </w:tblCellMar>
        </w:tblPrEx>
        <w:trPr>
          <w:trHeight w:val="300" w:hRule="atLeast"/>
        </w:trPr>
        <w:tc>
          <w:tcPr>
            <w:tcW w:w="5412" w:type="dxa"/>
            <w:gridSpan w:val="2"/>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合计</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000000"/>
                <w:sz w:val="22"/>
              </w:rPr>
            </w:pPr>
            <w:r>
              <w:rPr>
                <w:rFonts w:hint="eastAsia" w:ascii="宋体" w:hAnsi="宋体" w:eastAsia="宋体" w:cs="宋体"/>
                <w:b/>
                <w:bCs/>
                <w:color w:val="000000"/>
                <w:kern w:val="0"/>
                <w:sz w:val="22"/>
              </w:rPr>
              <w:t>24,605.65</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b/>
                <w:bCs/>
                <w:color w:val="000000"/>
                <w:kern w:val="0"/>
                <w:sz w:val="22"/>
              </w:rPr>
              <w:t>3,408.02</w:t>
            </w: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b/>
                <w:bCs/>
                <w:color w:val="000000"/>
                <w:kern w:val="0"/>
                <w:sz w:val="22"/>
              </w:rPr>
              <w:t>21,197.63</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bookmarkStart w:id="2" w:name="OLE_LINK1" w:colFirst="3" w:colLast="4"/>
            <w:r>
              <w:rPr>
                <w:rFonts w:ascii="仿宋_GB2312" w:hAnsi="宋体" w:eastAsia="仿宋_GB2312" w:cs="仿宋_GB2312"/>
                <w:color w:val="000000"/>
                <w:kern w:val="0"/>
                <w:szCs w:val="21"/>
              </w:rPr>
              <w:t>208</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社会保障和就业支出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435.31</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435.31</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20805</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行政事业单位养老支出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265.02</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265.02</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2080501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行政单位离退休</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13.31</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13.31</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2080505</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机关事业单位基本养老保险缴费支出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251.70</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251.70</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20899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其他社会保障和就业支出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170.29</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170.29</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2089999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其他社会保障和就业支出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170.29</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170.29</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210</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卫生健康支出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141.00</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141.00</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21011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行政事业单位医疗</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136.98</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136.98</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2101101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行政单位医疗</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136.98</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136.98</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21012</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财政对基本医疗保险基金的补助</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4.02</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4.02</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2101299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财政对其他基本医疗保险基金的补助</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4.02</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4.02</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212</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城乡社区支出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1,080.95</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1,080.95</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21205</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城乡社区环境卫生</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1,080.95</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1,080.95</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2120501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城乡社区环境卫生</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1,080.95</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1,080.95</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农林水支出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22,135.83</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2,587.74</w:t>
            </w: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FF0000"/>
                <w:szCs w:val="21"/>
              </w:rPr>
            </w:pPr>
            <w:r>
              <w:rPr>
                <w:rFonts w:hint="eastAsia" w:ascii="宋体" w:hAnsi="宋体" w:eastAsia="宋体" w:cs="宋体"/>
                <w:color w:val="000000"/>
                <w:kern w:val="0"/>
                <w:sz w:val="22"/>
              </w:rPr>
              <w:t>19,548.09</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农业农村</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18,444.08</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2,587.74</w:t>
            </w: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FF0000"/>
                <w:szCs w:val="21"/>
              </w:rPr>
            </w:pPr>
            <w:r>
              <w:rPr>
                <w:rFonts w:hint="eastAsia" w:ascii="宋体" w:hAnsi="宋体" w:eastAsia="宋体" w:cs="宋体"/>
                <w:color w:val="000000"/>
                <w:kern w:val="0"/>
                <w:sz w:val="22"/>
              </w:rPr>
              <w:t>15,856.34</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2130101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行政运行</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2,721.12</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2,587.74</w:t>
            </w: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FF0000"/>
                <w:szCs w:val="21"/>
              </w:rPr>
            </w:pPr>
            <w:r>
              <w:rPr>
                <w:rFonts w:hint="eastAsia" w:ascii="宋体" w:hAnsi="宋体" w:eastAsia="宋体" w:cs="宋体"/>
                <w:color w:val="000000"/>
                <w:kern w:val="0"/>
                <w:sz w:val="22"/>
              </w:rPr>
              <w:t>133.37</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2130102</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一般行政管理事务</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577.09</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577.09</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2130106</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科技转化与推广服务</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2.24</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2.24</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2130108</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病虫害控制</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235.92</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235.92</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2130109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农产品质量安全</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37.73</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37.73</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2130110</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执法监管</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24.79</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24.79</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2130121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农业结构调整补贴</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55.75</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55.75</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2130122</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农业生产发展</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500.00</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500.00</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2130126</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农村社会事业</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522.33</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522.33</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2130148</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成品油价格改革对渔业的补贴</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115.00</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115.00</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2130153</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农田建设</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6,273.31</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6,273.31</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2130199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其他农业农村支出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7,378.80</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7,378.80</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21303</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水利</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130.00</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130.00</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2130399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其他水利支出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130.00</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130.00</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21305</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扶贫</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3,561.75</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3,561.75</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2130504</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农村基础设施建设</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384.00</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384.00</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2130505</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生产发展</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90.00</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90.00</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2130599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其他扶贫支出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3,087.75</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3,087.75</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216</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商业服务业等支出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568.59</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568.59</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21602</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商业流通事务</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568.59</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568.59</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2160299</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其他商业流通事务支出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568.59</w:t>
            </w:r>
          </w:p>
        </w:tc>
        <w:tc>
          <w:tcPr>
            <w:tcW w:w="2355" w:type="dxa"/>
            <w:tcBorders>
              <w:top w:val="nil"/>
              <w:left w:val="nil"/>
              <w:bottom w:val="single" w:color="000000" w:sz="8" w:space="0"/>
              <w:right w:val="single" w:color="000000" w:sz="8" w:space="0"/>
            </w:tcBorders>
            <w:shd w:val="clear" w:color="auto" w:fill="auto"/>
            <w:vAlign w:val="center"/>
          </w:tcPr>
          <w:p>
            <w:pPr>
              <w:jc w:val="right"/>
              <w:rPr>
                <w:rFonts w:ascii="宋体" w:hAnsi="宋体" w:eastAsia="宋体" w:cs="宋体"/>
                <w:color w:val="FF0000"/>
                <w:szCs w:val="21"/>
              </w:rPr>
            </w:pPr>
          </w:p>
        </w:tc>
        <w:tc>
          <w:tcPr>
            <w:tcW w:w="2220"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568.59</w:t>
            </w: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221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住房保障支出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243.97</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243.97</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22102</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住房改革支出</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243.97</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243.97</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tr>
        <w:tblPrEx>
          <w:tblCellMar>
            <w:top w:w="0" w:type="dxa"/>
            <w:left w:w="108" w:type="dxa"/>
            <w:bottom w:w="0" w:type="dxa"/>
            <w:right w:w="108" w:type="dxa"/>
          </w:tblCellMar>
        </w:tblPrEx>
        <w:trPr>
          <w:trHeight w:val="300" w:hRule="atLeast"/>
        </w:trPr>
        <w:tc>
          <w:tcPr>
            <w:tcW w:w="1534"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2210201</w:t>
            </w:r>
          </w:p>
        </w:tc>
        <w:tc>
          <w:tcPr>
            <w:tcW w:w="3878"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 xml:space="preserve">  住房公积金</w:t>
            </w:r>
          </w:p>
        </w:tc>
        <w:tc>
          <w:tcPr>
            <w:tcW w:w="2191"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仿宋_GB2312" w:hAnsi="宋体" w:eastAsia="仿宋_GB2312" w:cs="仿宋_GB2312"/>
                <w:color w:val="000000"/>
                <w:szCs w:val="21"/>
              </w:rPr>
            </w:pPr>
            <w:r>
              <w:rPr>
                <w:rFonts w:hint="eastAsia" w:ascii="宋体" w:hAnsi="宋体" w:eastAsia="宋体" w:cs="宋体"/>
                <w:color w:val="000000"/>
                <w:kern w:val="0"/>
                <w:sz w:val="22"/>
              </w:rPr>
              <w:t>243.97</w:t>
            </w:r>
          </w:p>
        </w:tc>
        <w:tc>
          <w:tcPr>
            <w:tcW w:w="2355" w:type="dxa"/>
            <w:tcBorders>
              <w:top w:val="nil"/>
              <w:left w:val="nil"/>
              <w:bottom w:val="single" w:color="000000" w:sz="8" w:space="0"/>
              <w:right w:val="single" w:color="000000" w:sz="8" w:space="0"/>
            </w:tcBorders>
            <w:shd w:val="clear" w:color="auto" w:fill="auto"/>
            <w:vAlign w:val="center"/>
          </w:tcPr>
          <w:p>
            <w:pPr>
              <w:widowControl/>
              <w:jc w:val="right"/>
              <w:textAlignment w:val="center"/>
              <w:rPr>
                <w:rFonts w:ascii="宋体" w:hAnsi="宋体" w:eastAsia="宋体" w:cs="宋体"/>
                <w:color w:val="FF0000"/>
                <w:szCs w:val="21"/>
              </w:rPr>
            </w:pPr>
            <w:r>
              <w:rPr>
                <w:rFonts w:hint="eastAsia" w:ascii="宋体" w:hAnsi="宋体" w:eastAsia="宋体" w:cs="宋体"/>
                <w:color w:val="000000"/>
                <w:kern w:val="0"/>
                <w:sz w:val="22"/>
              </w:rPr>
              <w:t>243.97</w:t>
            </w:r>
          </w:p>
        </w:tc>
        <w:tc>
          <w:tcPr>
            <w:tcW w:w="2220" w:type="dxa"/>
            <w:tcBorders>
              <w:top w:val="nil"/>
              <w:left w:val="nil"/>
              <w:bottom w:val="single" w:color="000000" w:sz="8" w:space="0"/>
              <w:right w:val="single" w:color="000000" w:sz="8" w:space="0"/>
            </w:tcBorders>
            <w:shd w:val="clear" w:color="auto" w:fill="auto"/>
            <w:vAlign w:val="center"/>
          </w:tcPr>
          <w:p>
            <w:pPr>
              <w:jc w:val="right"/>
              <w:rPr>
                <w:rFonts w:ascii="仿宋_GB2312" w:hAnsi="宋体" w:eastAsia="仿宋_GB2312" w:cs="仿宋_GB2312"/>
                <w:color w:val="FF0000"/>
                <w:szCs w:val="21"/>
              </w:rPr>
            </w:pPr>
          </w:p>
        </w:tc>
      </w:tr>
      <w:bookmarkEnd w:id="2"/>
      <w:tr>
        <w:tblPrEx>
          <w:tblCellMar>
            <w:top w:w="0" w:type="dxa"/>
            <w:left w:w="108" w:type="dxa"/>
            <w:bottom w:w="0" w:type="dxa"/>
            <w:right w:w="108" w:type="dxa"/>
          </w:tblCellMar>
        </w:tblPrEx>
        <w:trPr>
          <w:trHeight w:val="510" w:hRule="atLeast"/>
        </w:trPr>
        <w:tc>
          <w:tcPr>
            <w:tcW w:w="12178" w:type="dxa"/>
            <w:gridSpan w:val="5"/>
            <w:tcBorders>
              <w:top w:val="nil"/>
              <w:left w:val="nil"/>
              <w:bottom w:val="nil"/>
              <w:right w:val="nil"/>
            </w:tcBorders>
            <w:shd w:val="clear" w:color="auto" w:fill="auto"/>
            <w:vAlign w:val="center"/>
          </w:tcPr>
          <w:p>
            <w:pPr>
              <w:widowControl/>
              <w:jc w:val="left"/>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15133" w:type="dxa"/>
        <w:tblInd w:w="93" w:type="dxa"/>
        <w:tblLayout w:type="fixed"/>
        <w:tblCellMar>
          <w:top w:w="0" w:type="dxa"/>
          <w:left w:w="108" w:type="dxa"/>
          <w:bottom w:w="0" w:type="dxa"/>
          <w:right w:w="108" w:type="dxa"/>
        </w:tblCellMar>
      </w:tblPr>
      <w:tblGrid>
        <w:gridCol w:w="905"/>
        <w:gridCol w:w="3623"/>
        <w:gridCol w:w="1320"/>
        <w:gridCol w:w="870"/>
        <w:gridCol w:w="2310"/>
        <w:gridCol w:w="975"/>
        <w:gridCol w:w="1005"/>
        <w:gridCol w:w="3180"/>
        <w:gridCol w:w="945"/>
      </w:tblGrid>
      <w:tr>
        <w:tblPrEx>
          <w:tblCellMar>
            <w:top w:w="0" w:type="dxa"/>
            <w:left w:w="108" w:type="dxa"/>
            <w:bottom w:w="0" w:type="dxa"/>
            <w:right w:w="108" w:type="dxa"/>
          </w:tblCellMar>
        </w:tblPrEx>
        <w:trPr>
          <w:trHeight w:val="540" w:hRule="atLeast"/>
        </w:trPr>
        <w:tc>
          <w:tcPr>
            <w:tcW w:w="15133" w:type="dxa"/>
            <w:gridSpan w:val="9"/>
            <w:tcBorders>
              <w:top w:val="nil"/>
              <w:left w:val="nil"/>
              <w:bottom w:val="nil"/>
              <w:right w:val="nil"/>
            </w:tcBorders>
            <w:shd w:val="clear" w:color="auto" w:fill="auto"/>
            <w:noWrap/>
            <w:vAlign w:val="center"/>
          </w:tcPr>
          <w:p>
            <w:pPr>
              <w:widowControl/>
              <w:jc w:val="center"/>
              <w:textAlignment w:val="center"/>
              <w:rPr>
                <w:rFonts w:ascii="华文中宋" w:hAnsi="华文中宋" w:eastAsia="华文中宋" w:cs="华文中宋"/>
                <w:b/>
                <w:bCs/>
                <w:color w:val="000000"/>
                <w:sz w:val="44"/>
                <w:szCs w:val="44"/>
              </w:rPr>
            </w:pPr>
            <w:r>
              <w:rPr>
                <w:rFonts w:ascii="华文中宋" w:hAnsi="华文中宋" w:eastAsia="华文中宋" w:cs="华文中宋"/>
                <w:b/>
                <w:bCs/>
                <w:color w:val="000000"/>
                <w:kern w:val="0"/>
                <w:sz w:val="44"/>
                <w:szCs w:val="44"/>
              </w:rPr>
              <w:t>一般公共预算财政拨款基本支出决算明细表</w:t>
            </w:r>
          </w:p>
        </w:tc>
      </w:tr>
      <w:tr>
        <w:tblPrEx>
          <w:tblCellMar>
            <w:top w:w="0" w:type="dxa"/>
            <w:left w:w="108" w:type="dxa"/>
            <w:bottom w:w="0" w:type="dxa"/>
            <w:right w:w="108" w:type="dxa"/>
          </w:tblCellMar>
        </w:tblPrEx>
        <w:trPr>
          <w:trHeight w:val="270" w:hRule="atLeast"/>
        </w:trPr>
        <w:tc>
          <w:tcPr>
            <w:tcW w:w="15133" w:type="dxa"/>
            <w:gridSpan w:val="9"/>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hint="eastAsia" w:ascii="仿宋_GB2312" w:hAnsi="Times New Roman" w:eastAsia="仿宋_GB2312" w:cs="仿宋_GB2312"/>
                <w:color w:val="000000"/>
                <w:kern w:val="0"/>
                <w:szCs w:val="21"/>
              </w:rPr>
              <w:t>部门：湘乡市农业农村局</w:t>
            </w:r>
            <w:r>
              <w:rPr>
                <w:rFonts w:ascii="仿宋_GB2312" w:hAnsi="Times New Roman" w:eastAsia="仿宋_GB2312" w:cs="仿宋_GB2312"/>
                <w:color w:val="000000"/>
                <w:kern w:val="0"/>
                <w:szCs w:val="21"/>
              </w:rPr>
              <w:t>公开</w:t>
            </w:r>
            <w:r>
              <w:rPr>
                <w:rFonts w:ascii="Times New Roman" w:hAnsi="Times New Roman" w:eastAsia="宋体" w:cs="Times New Roman"/>
                <w:color w:val="000000"/>
                <w:kern w:val="0"/>
                <w:szCs w:val="21"/>
              </w:rPr>
              <w:t>06</w:t>
            </w:r>
            <w:r>
              <w:rPr>
                <w:rFonts w:ascii="仿宋_GB2312" w:hAnsi="Times New Roman" w:eastAsia="仿宋_GB2312" w:cs="仿宋_GB2312"/>
                <w:color w:val="000000"/>
                <w:kern w:val="0"/>
                <w:szCs w:val="21"/>
              </w:rPr>
              <w:t>表</w:t>
            </w:r>
          </w:p>
        </w:tc>
      </w:tr>
      <w:tr>
        <w:tblPrEx>
          <w:tblCellMar>
            <w:top w:w="0" w:type="dxa"/>
            <w:left w:w="108" w:type="dxa"/>
            <w:bottom w:w="0" w:type="dxa"/>
            <w:right w:w="108" w:type="dxa"/>
          </w:tblCellMar>
        </w:tblPrEx>
        <w:trPr>
          <w:trHeight w:val="300" w:hRule="atLeast"/>
        </w:trPr>
        <w:tc>
          <w:tcPr>
            <w:tcW w:w="15133" w:type="dxa"/>
            <w:gridSpan w:val="9"/>
            <w:tcBorders>
              <w:top w:val="nil"/>
              <w:left w:val="nil"/>
              <w:bottom w:val="nil"/>
              <w:right w:val="nil"/>
            </w:tcBorders>
            <w:shd w:val="clear" w:color="auto" w:fill="auto"/>
            <w:noWrap/>
            <w:vAlign w:val="center"/>
          </w:tcPr>
          <w:p>
            <w:pPr>
              <w:widowControl/>
              <w:jc w:val="right"/>
              <w:textAlignment w:val="center"/>
              <w:rPr>
                <w:rFonts w:ascii="仿宋_GB2312" w:hAnsi="宋体" w:eastAsia="仿宋_GB2312" w:cs="仿宋_GB2312"/>
                <w:color w:val="000000"/>
                <w:szCs w:val="21"/>
              </w:rPr>
            </w:pPr>
            <w:r>
              <w:rPr>
                <w:rFonts w:ascii="仿宋_GB2312" w:hAnsi="宋体" w:eastAsia="仿宋_GB2312" w:cs="仿宋_GB2312"/>
                <w:color w:val="000000"/>
                <w:kern w:val="0"/>
                <w:szCs w:val="21"/>
              </w:rPr>
              <w:t>单位：万元</w:t>
            </w:r>
          </w:p>
        </w:tc>
      </w:tr>
      <w:tr>
        <w:tblPrEx>
          <w:tblCellMar>
            <w:top w:w="0" w:type="dxa"/>
            <w:left w:w="108" w:type="dxa"/>
            <w:bottom w:w="0" w:type="dxa"/>
            <w:right w:w="108" w:type="dxa"/>
          </w:tblCellMar>
        </w:tblPrEx>
        <w:trPr>
          <w:trHeight w:val="510" w:hRule="atLeast"/>
        </w:trPr>
        <w:tc>
          <w:tcPr>
            <w:tcW w:w="905" w:type="dxa"/>
            <w:tcBorders>
              <w:top w:val="single" w:color="000000" w:sz="8" w:space="0"/>
              <w:left w:val="single" w:color="000000" w:sz="8"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经济分类科目编码</w:t>
            </w:r>
          </w:p>
        </w:tc>
        <w:tc>
          <w:tcPr>
            <w:tcW w:w="3623"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科目名称</w:t>
            </w:r>
          </w:p>
        </w:tc>
        <w:tc>
          <w:tcPr>
            <w:tcW w:w="1320"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决算数</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经济分类科目编码</w:t>
            </w:r>
          </w:p>
        </w:tc>
        <w:tc>
          <w:tcPr>
            <w:tcW w:w="2310"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科目名称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决算数</w:t>
            </w:r>
          </w:p>
        </w:tc>
        <w:tc>
          <w:tcPr>
            <w:tcW w:w="1005"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经济分类科目编码</w:t>
            </w:r>
          </w:p>
        </w:tc>
        <w:tc>
          <w:tcPr>
            <w:tcW w:w="3180"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科目名称</w:t>
            </w:r>
          </w:p>
        </w:tc>
        <w:tc>
          <w:tcPr>
            <w:tcW w:w="945" w:type="dxa"/>
            <w:tcBorders>
              <w:top w:val="single" w:color="000000" w:sz="8" w:space="0"/>
              <w:left w:val="single" w:color="000000" w:sz="4" w:space="0"/>
              <w:bottom w:val="single" w:color="000000" w:sz="4" w:space="0"/>
              <w:right w:val="single" w:color="000000" w:sz="8"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决算数</w:t>
            </w: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工资福利支出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2,819.87</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商品和服务支出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462.65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307</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债务利息及费用支出</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30101</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基本工资</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803.12</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30201</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办公费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31.67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30701</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国内债务付息</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30102</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津贴补贴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204.17</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30202</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印刷费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27.61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30702</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国外债务付息</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30103</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奖金</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251.87</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30203</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咨询费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资本性支出</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7.06</w:t>
            </w: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30106</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伙食补助费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0.36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30204</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手续费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31001</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房屋建筑物购建</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30107</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绩效工资</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382.65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30205</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水费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1.83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31002</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办公设备购置</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7.06</w:t>
            </w: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30108</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机关事业单位基本养老保险缴费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289.06</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30206</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电费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21.81</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31003</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专用设备购置</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30109</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职业年金缴费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83.49</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30207</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邮电费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2.80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31005</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基础设施建设</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30110</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职工基本医疗保险缴费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259.02</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30208</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取暖费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31006</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大型修缮</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30111</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公务员医疗补助缴费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46.72</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30209</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物业管理费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31007</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信息网络及软件购置更新</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30112</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其他社会保障缴费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24.81</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30211</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差旅费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9.50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31008</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物资储备</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30113</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住房公积金</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473.04</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30212</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因公出国（境）费用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31009</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土地补偿</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30114</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医疗费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1.07</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30213</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维修（护）费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12.96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31010</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安置补助</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30199</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其他工资福利支出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0.50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30214</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租赁费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31011</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地上附着物和青苗补偿</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对个人和家庭的补助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118.43</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30215</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会议费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1.18</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31012</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拆迁补偿</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30301</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离休费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45.60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30216</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培训费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1.24</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31013</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公务用车购置</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30302</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退休费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30217</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公务接待费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7.76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31019</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其他交通工具购置</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30303</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退职（役）费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30218</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专用材料费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31021</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文物和陈列品购置</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30304</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抚恤金</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42.28</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30224</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被装购置费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31022</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无形资产购置</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30305</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生活补助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1.11</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30225</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专用燃料费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31099</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其他资本性支出</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30306</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救济费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30226</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劳务费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8.50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399</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其他支出</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30307</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医疗费补助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0.40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30227</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委托业务费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39906</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赠与</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30308</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助学金</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30228</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工会经费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62.53</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39907</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国家赔偿费用支出</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30309</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奖励金</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30229</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福利费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20.27</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39908</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对民间非营利组织和群众性自治组织补贴</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30310</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个人农业生产补贴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30231</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公务用车运行维护费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8.90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39999</w:t>
            </w: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其他支出</w:t>
            </w: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30311</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代缴社会保险费</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30239</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其他交通费用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174.92</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30399</w:t>
            </w: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其他对个人和家庭的补助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29.05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30240</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税金及附加费用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270" w:hRule="atLeast"/>
        </w:trPr>
        <w:tc>
          <w:tcPr>
            <w:tcW w:w="9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3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Cs w:val="21"/>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30299</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 w:val="22"/>
              </w:rPr>
              <w:t xml:space="preserve">  其他商品和服务支出</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54.19</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Cs w:val="21"/>
              </w:rPr>
            </w:pPr>
          </w:p>
        </w:tc>
        <w:tc>
          <w:tcPr>
            <w:tcW w:w="945"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right"/>
              <w:rPr>
                <w:rFonts w:ascii="宋体" w:hAnsi="宋体" w:eastAsia="宋体" w:cs="宋体"/>
                <w:color w:val="000000"/>
                <w:szCs w:val="21"/>
              </w:rPr>
            </w:pPr>
          </w:p>
        </w:tc>
      </w:tr>
      <w:tr>
        <w:tblPrEx>
          <w:tblCellMar>
            <w:top w:w="0" w:type="dxa"/>
            <w:left w:w="108" w:type="dxa"/>
            <w:bottom w:w="0" w:type="dxa"/>
            <w:right w:w="108" w:type="dxa"/>
          </w:tblCellMar>
        </w:tblPrEx>
        <w:trPr>
          <w:trHeight w:val="300" w:hRule="atLeast"/>
        </w:trPr>
        <w:tc>
          <w:tcPr>
            <w:tcW w:w="4528" w:type="dxa"/>
            <w:gridSpan w:val="2"/>
            <w:tcBorders>
              <w:top w:val="single" w:color="000000" w:sz="4" w:space="0"/>
              <w:left w:val="single" w:color="000000" w:sz="8" w:space="0"/>
              <w:bottom w:val="single" w:color="000000" w:sz="8"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 w:val="22"/>
              </w:rPr>
              <w:t>人员经费合计</w:t>
            </w:r>
          </w:p>
        </w:tc>
        <w:tc>
          <w:tcPr>
            <w:tcW w:w="132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2,938.30</w:t>
            </w:r>
          </w:p>
        </w:tc>
        <w:tc>
          <w:tcPr>
            <w:tcW w:w="8340" w:type="dxa"/>
            <w:gridSpan w:val="5"/>
            <w:tcBorders>
              <w:top w:val="single" w:color="000000" w:sz="4" w:space="0"/>
              <w:left w:val="single" w:color="000000" w:sz="4" w:space="0"/>
              <w:bottom w:val="single" w:color="000000" w:sz="8"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 w:val="22"/>
              </w:rPr>
              <w:t>公用经费合计</w:t>
            </w:r>
          </w:p>
        </w:tc>
        <w:tc>
          <w:tcPr>
            <w:tcW w:w="94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widowControl/>
              <w:jc w:val="right"/>
              <w:textAlignment w:val="center"/>
              <w:rPr>
                <w:rFonts w:ascii="宋体" w:hAnsi="宋体" w:eastAsia="宋体" w:cs="宋体"/>
                <w:color w:val="000000"/>
                <w:szCs w:val="21"/>
              </w:rPr>
            </w:pPr>
            <w:r>
              <w:rPr>
                <w:rFonts w:hint="eastAsia" w:ascii="宋体" w:hAnsi="宋体" w:eastAsia="宋体" w:cs="宋体"/>
                <w:color w:val="000000"/>
                <w:kern w:val="0"/>
                <w:sz w:val="22"/>
              </w:rPr>
              <w:t>469.72</w:t>
            </w:r>
          </w:p>
        </w:tc>
      </w:tr>
      <w:tr>
        <w:tblPrEx>
          <w:tblCellMar>
            <w:top w:w="0" w:type="dxa"/>
            <w:left w:w="108" w:type="dxa"/>
            <w:bottom w:w="0" w:type="dxa"/>
            <w:right w:w="108" w:type="dxa"/>
          </w:tblCellMar>
        </w:tblPrEx>
        <w:trPr>
          <w:trHeight w:val="270" w:hRule="atLeast"/>
        </w:trPr>
        <w:tc>
          <w:tcPr>
            <w:tcW w:w="15133" w:type="dxa"/>
            <w:gridSpan w:val="9"/>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部门：湘乡市农业农村局</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54.5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24</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30.5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29.95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8.9</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21.05</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部门：湘乡市农业农村局</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tabs>
                <w:tab w:val="left" w:pos="513"/>
                <w:tab w:val="center" w:pos="1057"/>
              </w:tabs>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ab/>
            </w:r>
            <w:r>
              <w:rPr>
                <w:rFonts w:hint="eastAsia" w:ascii="Times New Roman" w:hAnsi="Times New Roman" w:eastAsia="仿宋_GB2312" w:cs="Times New Roman"/>
                <w:kern w:val="0"/>
                <w:szCs w:val="21"/>
              </w:rPr>
              <w:t>单位没有政府性基金收入，也没有使用政府性基金安排的支出，故本表无数据</w:t>
            </w:r>
            <w:r>
              <w:rPr>
                <w:rFonts w:hint="eastAsia" w:ascii="Times New Roman" w:hAnsi="Times New Roman" w:eastAsia="仿宋_GB2312" w:cs="Times New Roman"/>
                <w:kern w:val="0"/>
                <w:szCs w:val="21"/>
              </w:rPr>
              <w:tab/>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9"/>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部门：湘乡市农业农村局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此表无数据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3"/>
        <w:rPr>
          <w:sz w:val="72"/>
          <w:szCs w:val="72"/>
        </w:rPr>
        <w:sectPr>
          <w:pgSz w:w="16838" w:h="11906" w:orient="landscape"/>
          <w:pgMar w:top="720" w:right="720" w:bottom="720" w:left="720" w:header="851" w:footer="992" w:gutter="0"/>
          <w:cols w:space="425" w:num="1"/>
          <w:docGrid w:type="lines" w:linePitch="312" w:charSpace="0"/>
        </w:sectPr>
      </w:pP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第三部分</w:t>
      </w:r>
    </w:p>
    <w:p>
      <w:pPr>
        <w:pStyle w:val="13"/>
        <w:jc w:val="center"/>
        <w:rPr>
          <w:sz w:val="70"/>
          <w:szCs w:val="70"/>
        </w:rPr>
      </w:pPr>
    </w:p>
    <w:p>
      <w:pPr>
        <w:pStyle w:val="13"/>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3"/>
        <w:rPr>
          <w:rFonts w:asciiTheme="minorEastAsia" w:hAnsiTheme="minorEastAsia" w:eastAsiaTheme="minorEastAsia"/>
          <w:sz w:val="32"/>
          <w:szCs w:val="32"/>
        </w:rPr>
      </w:pPr>
    </w:p>
    <w:p>
      <w:pPr>
        <w:pStyle w:val="13"/>
        <w:rPr>
          <w:rFonts w:hAnsi="黑体"/>
          <w:b/>
          <w:sz w:val="32"/>
          <w:szCs w:val="32"/>
        </w:rPr>
      </w:pPr>
      <w:r>
        <w:rPr>
          <w:rFonts w:hint="eastAsia" w:hAnsi="黑体"/>
          <w:b/>
          <w:sz w:val="32"/>
          <w:szCs w:val="32"/>
        </w:rPr>
        <w:t>一、收入支出决算总体情况说明</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2021年度收入总计25562.42万元。与2020年相比，减少8712.44万元，减少25.42%，主要</w:t>
      </w:r>
      <w:r>
        <w:rPr>
          <w:rFonts w:hint="eastAsia" w:asciiTheme="minorEastAsia" w:hAnsiTheme="minorEastAsia" w:eastAsiaTheme="minorEastAsia"/>
          <w:color w:val="auto"/>
          <w:sz w:val="32"/>
          <w:szCs w:val="32"/>
          <w:lang w:eastAsia="zh-CN"/>
        </w:rPr>
        <w:t>原因</w:t>
      </w:r>
      <w:r>
        <w:rPr>
          <w:rFonts w:hint="eastAsia" w:asciiTheme="minorEastAsia" w:hAnsiTheme="minorEastAsia" w:eastAsiaTheme="minorEastAsia"/>
          <w:color w:val="auto"/>
          <w:sz w:val="32"/>
          <w:szCs w:val="32"/>
        </w:rPr>
        <w:t>是财政资金紧张，资金拨付进度较慢。</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2021年度支出总计26026.47万元。与2020年相比，减少377.94万元，减少1.43%，主要</w:t>
      </w:r>
      <w:r>
        <w:rPr>
          <w:rFonts w:hint="eastAsia" w:asciiTheme="minorEastAsia" w:hAnsiTheme="minorEastAsia" w:eastAsiaTheme="minorEastAsia"/>
          <w:color w:val="auto"/>
          <w:sz w:val="32"/>
          <w:szCs w:val="32"/>
          <w:lang w:eastAsia="zh-CN"/>
        </w:rPr>
        <w:t>原因</w:t>
      </w:r>
      <w:r>
        <w:rPr>
          <w:rFonts w:hint="eastAsia" w:asciiTheme="minorEastAsia" w:hAnsiTheme="minorEastAsia" w:eastAsiaTheme="minorEastAsia"/>
          <w:color w:val="auto"/>
          <w:sz w:val="32"/>
          <w:szCs w:val="32"/>
        </w:rPr>
        <w:t>是财政资金紧张，资金拨付进度较慢。</w:t>
      </w:r>
    </w:p>
    <w:p>
      <w:pPr>
        <w:pStyle w:val="13"/>
        <w:rPr>
          <w:rFonts w:hAnsi="黑体"/>
          <w:b/>
          <w:sz w:val="32"/>
          <w:szCs w:val="32"/>
        </w:rPr>
      </w:pPr>
      <w:r>
        <w:rPr>
          <w:rFonts w:hint="eastAsia" w:hAnsi="黑体"/>
          <w:b/>
          <w:sz w:val="32"/>
          <w:szCs w:val="32"/>
        </w:rPr>
        <w:t>二、收入决算情况说明</w:t>
      </w:r>
    </w:p>
    <w:p>
      <w:pPr>
        <w:pStyle w:val="13"/>
        <w:ind w:firstLine="800" w:firstLineChars="250"/>
      </w:pPr>
      <w:r>
        <w:rPr>
          <w:rFonts w:hint="eastAsia" w:asciiTheme="minorEastAsia" w:hAnsiTheme="minorEastAsia" w:eastAsiaTheme="minorEastAsia"/>
          <w:color w:val="auto"/>
          <w:sz w:val="32"/>
          <w:szCs w:val="32"/>
          <w:lang w:val="en-US" w:eastAsia="zh-CN"/>
        </w:rPr>
        <w:t>2021年度</w:t>
      </w:r>
      <w:r>
        <w:rPr>
          <w:rFonts w:hint="eastAsia" w:asciiTheme="minorEastAsia" w:hAnsiTheme="minorEastAsia" w:eastAsiaTheme="minorEastAsia"/>
          <w:color w:val="auto"/>
          <w:sz w:val="32"/>
          <w:szCs w:val="32"/>
        </w:rPr>
        <w:t xml:space="preserve">收入合计25562.42万元，其中：财政拨款收入24605.65万元，占96.26%；上级补助收入0万元，占0%；事业收入0万元，占0%；经营收入0万元，占0%；附属单位上缴收入0万元，占0%；其他收入956.77万元，占3.74%。 </w:t>
      </w:r>
    </w:p>
    <w:p>
      <w:pPr>
        <w:pStyle w:val="13"/>
        <w:rPr>
          <w:rFonts w:hAnsi="黑体"/>
          <w:b/>
          <w:sz w:val="32"/>
          <w:szCs w:val="32"/>
        </w:rPr>
      </w:pPr>
      <w:r>
        <w:rPr>
          <w:rFonts w:hint="eastAsia" w:hAnsi="黑体"/>
          <w:b/>
          <w:sz w:val="32"/>
          <w:szCs w:val="32"/>
        </w:rPr>
        <w:t>三、支出决算情况说明</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2021年度</w:t>
      </w:r>
      <w:r>
        <w:rPr>
          <w:rFonts w:hint="eastAsia" w:asciiTheme="minorEastAsia" w:hAnsiTheme="minorEastAsia" w:eastAsiaTheme="minorEastAsia"/>
          <w:color w:val="auto"/>
          <w:sz w:val="32"/>
          <w:szCs w:val="32"/>
        </w:rPr>
        <w:t xml:space="preserve">支出合计26026.47万元，其中：基本支出3408.02万元， 占13.1%；项目支出22618.45万元，占86.9%；上缴上级支出0万元，占0%；经营支出0万元，占0%；对附属单位补助支出0万元，占0%。 </w:t>
      </w:r>
    </w:p>
    <w:p>
      <w:pPr>
        <w:pStyle w:val="13"/>
        <w:rPr>
          <w:rFonts w:hAnsi="黑体"/>
          <w:b/>
          <w:sz w:val="32"/>
          <w:szCs w:val="32"/>
        </w:rPr>
      </w:pPr>
      <w:r>
        <w:rPr>
          <w:rFonts w:hint="eastAsia" w:hAnsi="黑体"/>
          <w:b/>
          <w:sz w:val="32"/>
          <w:szCs w:val="32"/>
        </w:rPr>
        <w:t>四、财政拨款收入支出决算总体情况说明</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 2021年度财政拨款收入24605.65万元，占本年收入合计的96.26%，与2020年相比，财政拨款支出减少9354.86万元，减少27.54%，主要</w:t>
      </w:r>
      <w:r>
        <w:rPr>
          <w:rFonts w:hint="eastAsia" w:asciiTheme="minorEastAsia" w:hAnsiTheme="minorEastAsia" w:eastAsiaTheme="minorEastAsia"/>
          <w:color w:val="auto"/>
          <w:sz w:val="32"/>
          <w:szCs w:val="32"/>
          <w:lang w:eastAsia="zh-CN"/>
        </w:rPr>
        <w:t>原因</w:t>
      </w:r>
      <w:r>
        <w:rPr>
          <w:rFonts w:hint="eastAsia" w:asciiTheme="minorEastAsia" w:hAnsiTheme="minorEastAsia" w:eastAsiaTheme="minorEastAsia"/>
          <w:color w:val="auto"/>
          <w:sz w:val="32"/>
          <w:szCs w:val="32"/>
        </w:rPr>
        <w:t>是财政资金紧张，资金拨付进度较慢。</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2021年度财政拨款支出24605.65万元，占本年支出合计的94.54%，与2020年相比，财政拨款支出增加263.11万元，增加1.07 %，主要是项目支出增加。 </w:t>
      </w:r>
    </w:p>
    <w:p>
      <w:pPr>
        <w:pStyle w:val="13"/>
        <w:rPr>
          <w:rFonts w:hAnsi="黑体"/>
          <w:b/>
          <w:sz w:val="32"/>
          <w:szCs w:val="32"/>
        </w:rPr>
      </w:pPr>
      <w:r>
        <w:rPr>
          <w:rFonts w:hint="eastAsia" w:hAnsi="黑体"/>
          <w:b/>
          <w:sz w:val="32"/>
          <w:szCs w:val="32"/>
        </w:rPr>
        <w:t>五、一般公共预算财政拨款支出决算情况说明</w:t>
      </w:r>
    </w:p>
    <w:p>
      <w:pPr>
        <w:pStyle w:val="13"/>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2021年度财政拨款支出24605.65万元，占本年支出合计的94.54%，与2020年相比，财政拨款支出增加263.11万元，增加1.07 %，主要是项目支出增加。 </w:t>
      </w:r>
    </w:p>
    <w:p>
      <w:pPr>
        <w:pStyle w:val="13"/>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2021年度财政拨款支出24605.65万元，主要用于以下方面：农林水支出22135.83万元，占89.96%，社会保障和就业支出435.31万元，占1.77%，卫生健康支出141万元，占0.57%，城乡社区支出1080.95万元，占4.39%，商业服务业等支出568.59万元，占2.31%；住房保障支出243.97万元，占1%。 </w:t>
      </w:r>
    </w:p>
    <w:p>
      <w:pPr>
        <w:pStyle w:val="13"/>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2021年度财政拨款支出年初预算数为5424.93万元，支出决算数为</w:t>
      </w:r>
      <w:r>
        <w:rPr>
          <w:rFonts w:hint="eastAsia" w:ascii="仿宋_GB2312" w:hAnsi="仿宋_GB2312" w:eastAsia="仿宋_GB2312" w:cs="仿宋_GB2312"/>
          <w:color w:val="auto"/>
          <w:sz w:val="32"/>
          <w:szCs w:val="32"/>
        </w:rPr>
        <w:t>24605.65</w:t>
      </w:r>
      <w:r>
        <w:rPr>
          <w:rFonts w:hint="eastAsia" w:asciiTheme="minorEastAsia" w:hAnsiTheme="minorEastAsia" w:eastAsiaTheme="minorEastAsia"/>
          <w:color w:val="auto"/>
          <w:sz w:val="32"/>
          <w:szCs w:val="32"/>
        </w:rPr>
        <w:t>万元，完成年初预算的453.57%，其中：</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1、社会保障和就业支出（类）行政事业单位养老支出（款）行政单位离退休（项）。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年初预算为13.31万元，支出决算为13.31万元，完成年初预算的100%。</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2、社会保障和就业支出（类）行政事业单位养老支出（款）机关事业单位基本养老保险缴费支出（项）。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年初预算为251.7万元，支出决算为251.7万元，完成年初预算的100%。</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3、社会保障和就业支出（类）其他社会保障和就业支出（款）其他社会保障和就业支出（项）。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年初预算为118.6万元，支出决算为170.29万元，完成年初预算的143.58%，决算数大于年初预算数的主要原因是：人员异动等。</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4、卫生健康支出（类）行政事业单位医疗（款）行政单位医疗（项）。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年初预算为143.6万元，支出决算为136.98万元，完成年初预算的98.14%，决算数小于年初预算数的主要原因是：人员异动等。</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5、卫生健康支出（类）财政对基本医疗保险基金的补助（款）财政对其他基本医疗保险基金的补助（项）。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年初预算为4.02万元，支出决算为4.02万元，完成年初预算的100%。</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6、城乡社区支出（类）城乡社区环境卫生（款）城乡社区环境卫生（项）。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年初预算为1080.95万元，支出决算为1080.95万元，完成年初预算的100%。</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7、农林水支出（类）农业农村（款）行政运行（项）。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年初预算为2721.12万元，支出决算为2721.12万元，完成年初预算的100%。</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8、农林水支出（类）农业农村（款）一般行政管理事务（项）。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年初预算为577.09万元，支出决算为577.09万元，完成年初预算的100%。9、农林水支出（类）农业农村（款）科技转化与推广服务（项）。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年初预算为2.24万元，支出决算为2.24万元，完成年初预算的100%。</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10、农林水支出（类）农业农村（款） 病虫害控制（项）。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年初预算为199.49万元，支出决算为235.92万元，完成年初预算的118.26%，决算数大于年初预算数的主要原因是：上级追加指标及本级预留指标未纳入年初预算。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11、农林水支出（类）农业农村（款）农产品质量安全（项）。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年初预算为0万元，支出决算为37.73万元，决算数大于年初预算数的主要原因是：上级追加指标及本级预留指标未纳入年初预算。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12、农林水支出（类）农业农村（款）执法监管（项）。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年初预算为0万元，支出决算为24.79万元，决算数大于年初预算数的主要原因是：上级追加指标及本级预留指标未纳入年初预算。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13、农林水支出（类）农业农村（款）农业结构调整补贴（项）。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年初预算为0万元，支出决算为55.75万元，决算数大于年初预算数的主要原因是：上级追加指标及本级预留指标未纳入年初预算。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14、农林水支出（类）农业农村（款）农业生产发展（项）。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年初预算为0万元，支出决算为500万元，决算数大于年初预算数的主要原因是：上级追加指标及本级预留指标未纳入年初预算。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15、农林水支出（类）农业农村（款）农村社会事业（项）。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年初预算为0万元，支出决算为522.33万元，决算数大于年初预算数的主要原因是：上级追加指标及本级预留指标未纳入年初预算。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16、农林水支出（类）农业农村（款）成品油价格改革对渔业的补贴（项）。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年初预算为0万元，支出决算为115万元，决算数大于年初预算数的主要原因是：上级追加指标及本级预留指标未纳入年初预算。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17、农林水支出（类）农业农村（款）农田建设（项）。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年初预算为0万元，支出决算为6273.31万元，决算数大于年初预算数的主要原因是：上级追加指标及本级预留指标未纳入年初预算。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18、农林水支出（类）农业农村（款）其他农业农村支出（项）。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年初预算为0万元，支出决算为7378.8万元，决算数大于年初预算数的主要原因是：上级追加指标及本级预留指标未纳入年初预算。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19、农林水支出（类）水利（款）其他水利支出（项）。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年初预算为0万元，支出决算为130万元，决算数大于年初预算数的主要原因是：上级追加指标及本级预留指标未纳入年初预算。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20、农林水支出（类）扶贫（款）农村基础设施建设（项）。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年初预算为0万元，支出决算为384万元，决算数大于年初预算数的主要原因是：上级追加指标及本级预留指标未纳入年初预算。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21、农林水支出（类）扶贫（款）生产发展（项）。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年初预算为0万元，支出决算为90万元，决算数大于年初预算数的主要原因是：上级追加指标及本级预留指标未纳入年初预算。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22、农林水支出（类）扶贫（款）其他扶贫支出（项）。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年初预算为0万元，支出决算为3087.75万元，决算数大于年初预算数的主要原因是：上级追加指标及本级预留指标未纳入年初预算。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23、商业服务业等支出（类）商业流通事务（款）其他商业流通事务支出（项）。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年初预算为0万元，支出决算为568.59万元，决算数大于年初预算数的主要原因是：上级追加指标及本级预留指标未纳入年初预算。</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24、住房保障支出（类）住房改革支出（款）住房公积金（项）。</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年初预算为243.97万元，支出决算为243.97万元，完成年初预算的100%。</w:t>
      </w:r>
    </w:p>
    <w:p>
      <w:pPr>
        <w:pStyle w:val="13"/>
        <w:rPr>
          <w:rFonts w:hAnsi="黑体"/>
          <w:b/>
          <w:sz w:val="32"/>
          <w:szCs w:val="32"/>
        </w:rPr>
      </w:pPr>
      <w:r>
        <w:rPr>
          <w:rFonts w:hint="eastAsia" w:hAnsi="黑体"/>
          <w:b/>
          <w:sz w:val="32"/>
          <w:szCs w:val="32"/>
        </w:rPr>
        <w:t>六、一般公共预算财政拨款基本支出决算情况说明</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2021年度财政拨款基本支出3408.02万元，其中：人员经费2938.3万元，占基本支出的86.22%,主要包括基本工资、津贴补贴、奖金、伙食补助费、绩效工资、机关事业单位基本养老保险缴费、职业年金缴费、职工基本医疗保险缴费、公务员医疗补助缴费、其他社会保障缴费、住房公积金、医疗费、其他工资福利支出、离休费、抚恤金、生活补助；公用经费469.72万元，占基本支出的13.78%，主要包括办公费、印刷费、咨询费、手续费、水费、电费、邮电费、物业管理费、差旅费、因公出国（境）费、维修（护）费、会议费、培训费、公务接待费、专用材料费、劳务费、委托业务费、工会经费、福利费、公务用车运行维护费、其他交通费用、其他商品和服务支出、办公设备购置。 </w:t>
      </w:r>
    </w:p>
    <w:p>
      <w:pPr>
        <w:pStyle w:val="13"/>
        <w:ind w:firstLine="320" w:firstLineChars="100"/>
        <w:rPr>
          <w:rFonts w:hAnsi="黑体"/>
          <w:b/>
          <w:color w:val="auto"/>
          <w:sz w:val="32"/>
          <w:szCs w:val="32"/>
        </w:rPr>
      </w:pPr>
      <w:r>
        <w:rPr>
          <w:rFonts w:hint="eastAsia" w:hAnsi="黑体"/>
          <w:b/>
          <w:color w:val="auto"/>
          <w:sz w:val="32"/>
          <w:szCs w:val="32"/>
        </w:rPr>
        <w:t>七、一般公共预算财政拨款“三公”经费支出决算情况说明</w:t>
      </w:r>
    </w:p>
    <w:p>
      <w:pPr>
        <w:pStyle w:val="13"/>
        <w:ind w:firstLine="320" w:firstLineChars="10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（一）“三公”经费财政拨款支出决算总体情况说明</w:t>
      </w:r>
    </w:p>
    <w:p>
      <w:pPr>
        <w:pStyle w:val="13"/>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“三公”经费财政拨款支出预算为54.5万元，支出决算为29.95万元，完成预算的54.95%，其中： </w:t>
      </w:r>
    </w:p>
    <w:p>
      <w:pPr>
        <w:pStyle w:val="13"/>
        <w:ind w:firstLine="1120" w:firstLineChars="3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因公出国（境）费支出预算为0万元，支出决算为0万元</w:t>
      </w:r>
      <w:r>
        <w:rPr>
          <w:rFonts w:hint="eastAsia" w:asciiTheme="minorEastAsia" w:hAnsiTheme="minorEastAsia" w:eastAsiaTheme="minorEastAsia"/>
          <w:color w:val="auto"/>
          <w:sz w:val="32"/>
          <w:szCs w:val="32"/>
          <w:lang w:eastAsia="zh-CN"/>
        </w:rPr>
        <w:t>。</w:t>
      </w:r>
    </w:p>
    <w:p>
      <w:pPr>
        <w:pStyle w:val="13"/>
        <w:ind w:firstLine="1120" w:firstLineChars="3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公务接待费支出预算为30.50万元，支出决算为21.05万元，完成预算的69.02%，决算数小于年初预算数的主要原因一是经费指标压缩，二是厉行节约，严格执行中央八项规定降低接待标准， 压缩活动费用支出，与上年相比减少1.53万元，减少7.27%,主要原因是厉行节约，严格执行中央八项规定降低接待标准，压缩活动费用支出。 </w:t>
      </w:r>
    </w:p>
    <w:p>
      <w:pPr>
        <w:pStyle w:val="13"/>
        <w:ind w:firstLine="960" w:firstLineChars="300"/>
        <w:rPr>
          <w:rFonts w:asciiTheme="minorEastAsia" w:hAnsiTheme="minorEastAsia" w:eastAsiaTheme="minorEastAsia"/>
          <w:color w:val="auto"/>
          <w:sz w:val="32"/>
          <w:szCs w:val="32"/>
        </w:rPr>
      </w:pPr>
      <w:bookmarkStart w:id="4" w:name="_GoBack"/>
      <w:bookmarkEnd w:id="4"/>
      <w:r>
        <w:rPr>
          <w:rFonts w:hint="eastAsia" w:asciiTheme="minorEastAsia" w:hAnsiTheme="minorEastAsia" w:eastAsiaTheme="minorEastAsia"/>
          <w:color w:val="auto"/>
          <w:sz w:val="32"/>
          <w:szCs w:val="32"/>
        </w:rPr>
        <w:t xml:space="preserve">公务用车购置费及运行维护费支出预算为24.00万元，支出决算为8.9万元，完成预算的37.08%，决算数小于年初预算数的 主要原因一是经费指标压缩，二是厉行节约，严格执行中央八项规定降低接待标准，压缩活动费用支出，与上年基本持平。 </w:t>
      </w:r>
    </w:p>
    <w:p>
      <w:pPr>
        <w:pStyle w:val="13"/>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（二）“三公”经费财政拨款支出决算具体情况说明</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2021年度“三公”经费财政拨款支出决算中，公务接待费支出决算21.05万元，占69.02%,因公出国（境）费支出决算0万元，占0%,公务用车购置费及运行维护费支出决算8.9万元，占37.08%。其中： </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1、因公出国（境）费支出决算为0万元，全年安排因公出国（境）团组0个，累计0人次, </w:t>
      </w:r>
    </w:p>
    <w:p>
      <w:pPr>
        <w:pStyle w:val="13"/>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 xml:space="preserve">2、公务接待费支出决算为21.05万元，全年共接待来访团组165个、来宾  2480人次，主要用于上级检查调研、乡镇业务往来、绩效与专项核查、项目验收等发生的接待支出。 </w:t>
      </w:r>
    </w:p>
    <w:p>
      <w:pPr>
        <w:widowControl/>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3、公务用车购置费及运行维护费支出决算为8.9万元，其中：公务用车购置费0万元，公务用车运行维护费8.9万元，主要是用于下乡工作指导，调研，各项检查等支出，截止2021年12月31日，我单位开支财政拨款的公务用车保有量为5辆。</w:t>
      </w:r>
    </w:p>
    <w:p>
      <w:pPr>
        <w:pStyle w:val="13"/>
        <w:rPr>
          <w:rFonts w:hAnsi="黑体"/>
          <w:b/>
          <w:color w:val="auto"/>
          <w:sz w:val="32"/>
          <w:szCs w:val="32"/>
        </w:rPr>
      </w:pPr>
      <w:r>
        <w:rPr>
          <w:rFonts w:hint="eastAsia" w:hAnsi="黑体"/>
          <w:b/>
          <w:color w:val="auto"/>
          <w:sz w:val="32"/>
          <w:szCs w:val="32"/>
        </w:rPr>
        <w:t>八、政府性基金预算收入支出决算情况</w:t>
      </w:r>
    </w:p>
    <w:p>
      <w:pPr>
        <w:pStyle w:val="13"/>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2021年无政府性资金预算收入支出。</w:t>
      </w:r>
    </w:p>
    <w:p>
      <w:pPr>
        <w:pStyle w:val="13"/>
        <w:rPr>
          <w:rFonts w:hAnsi="黑体"/>
          <w:b/>
          <w:color w:val="auto"/>
          <w:sz w:val="32"/>
          <w:szCs w:val="32"/>
        </w:rPr>
      </w:pPr>
      <w:r>
        <w:rPr>
          <w:rFonts w:hint="eastAsia" w:hAnsi="黑体"/>
          <w:b/>
          <w:color w:val="auto"/>
          <w:sz w:val="32"/>
          <w:szCs w:val="32"/>
        </w:rPr>
        <w:t>九、机关运行经费支出说明</w:t>
      </w:r>
    </w:p>
    <w:p>
      <w:pPr>
        <w:widowControl/>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 xml:space="preserve">本部门2021年度机关运行经费支出469.72万元，比上年决算数增加32.16万元，增加6.85%。主要原因是：项目宣传力度大印刷费用、差旅费、维修费用等有所增加。 </w:t>
      </w:r>
    </w:p>
    <w:p>
      <w:pPr>
        <w:pStyle w:val="13"/>
        <w:rPr>
          <w:rFonts w:hAnsi="黑体"/>
          <w:b/>
          <w:color w:val="auto"/>
          <w:sz w:val="32"/>
          <w:szCs w:val="32"/>
        </w:rPr>
      </w:pPr>
      <w:r>
        <w:rPr>
          <w:rFonts w:hint="eastAsia" w:hAnsi="黑体"/>
          <w:b/>
          <w:color w:val="auto"/>
          <w:sz w:val="32"/>
          <w:szCs w:val="32"/>
        </w:rPr>
        <w:t>十、一般性支出情况说明</w:t>
      </w:r>
    </w:p>
    <w:p>
      <w:pPr>
        <w:widowControl/>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2021年本部门开支会议费8.28万元，用于召开扶贫工作会议，全市农业生产会议，人居环境整治会议，乡村振兴会议，人数达1000多人，内容为扶贫工作，农业生产，人居环境工作等；开支培训费11.67万元，用于开展基层农技推广培训，人数150人，内容为科技推广培训，农业种植养殖培训。</w:t>
      </w:r>
    </w:p>
    <w:p>
      <w:pPr>
        <w:pStyle w:val="13"/>
        <w:rPr>
          <w:rFonts w:hAnsi="黑体"/>
          <w:b/>
          <w:color w:val="auto"/>
          <w:sz w:val="32"/>
          <w:szCs w:val="32"/>
        </w:rPr>
      </w:pPr>
      <w:r>
        <w:rPr>
          <w:rFonts w:hint="eastAsia" w:hAnsi="黑体"/>
          <w:b/>
          <w:color w:val="auto"/>
          <w:sz w:val="32"/>
          <w:szCs w:val="32"/>
        </w:rPr>
        <w:t>十一、政府采购支出说明</w:t>
      </w:r>
    </w:p>
    <w:p>
      <w:pPr>
        <w:widowControl/>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单位填报的2021年政府采购预算金额为42万元，在决算报表中的机构运行维护表中未填报的采购支出数，无法计算政府采购执行率。</w:t>
      </w:r>
    </w:p>
    <w:p>
      <w:pPr>
        <w:widowControl/>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单位从2021年1月18日开始从电子卖场上采购商品，全年总计采购商品总额488.48万元。</w:t>
      </w:r>
    </w:p>
    <w:p>
      <w:pPr>
        <w:pStyle w:val="13"/>
        <w:rPr>
          <w:rFonts w:hAnsi="黑体"/>
          <w:b/>
          <w:color w:val="auto"/>
          <w:sz w:val="32"/>
          <w:szCs w:val="32"/>
        </w:rPr>
      </w:pPr>
      <w:r>
        <w:rPr>
          <w:rFonts w:hint="eastAsia" w:hAnsi="黑体"/>
          <w:b/>
          <w:color w:val="auto"/>
          <w:sz w:val="32"/>
          <w:szCs w:val="32"/>
        </w:rPr>
        <w:t>十二、国有资产占用情况说明</w:t>
      </w:r>
    </w:p>
    <w:p>
      <w:pPr>
        <w:widowControl/>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 xml:space="preserve">截至2021年12月31日，本单位共有车辆5辆，其中，领导干部用车0辆、机要通信用车0辆、应急保障用车0辆、执法执勤用车3辆、业务用车2辆，其他用车主要是业务 性用车；单位价值50万元以上通用设备0台（套）；单位价值100万元以上专用设备0台（套）。 </w:t>
      </w:r>
    </w:p>
    <w:p>
      <w:pPr>
        <w:pStyle w:val="13"/>
        <w:rPr>
          <w:rFonts w:hAnsi="黑体"/>
          <w:b/>
          <w:color w:val="auto"/>
          <w:sz w:val="32"/>
          <w:szCs w:val="32"/>
        </w:rPr>
      </w:pPr>
      <w:r>
        <w:rPr>
          <w:rFonts w:hint="eastAsia" w:hAnsi="黑体"/>
          <w:b/>
          <w:color w:val="auto"/>
          <w:sz w:val="32"/>
          <w:szCs w:val="32"/>
        </w:rPr>
        <w:t>十三、2021年度预算绩效情况说明</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b/>
          <w:kern w:val="0"/>
          <w:sz w:val="32"/>
          <w:szCs w:val="32"/>
        </w:rPr>
        <w:t>（1）绩效管理评价工作开展情况</w:t>
      </w:r>
      <w:r>
        <w:rPr>
          <w:rFonts w:hint="eastAsia" w:cs="黑体" w:asciiTheme="minorEastAsia" w:hAnsiTheme="minorEastAsia"/>
          <w:kern w:val="0"/>
          <w:sz w:val="32"/>
          <w:szCs w:val="32"/>
        </w:rPr>
        <w:t>。</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根据预算绩效管理要求，我部门组织对</w:t>
      </w:r>
      <w:r>
        <w:rPr>
          <w:rFonts w:cs="黑体" w:asciiTheme="minorEastAsia" w:hAnsiTheme="minorEastAsia"/>
          <w:kern w:val="0"/>
          <w:sz w:val="32"/>
          <w:szCs w:val="32"/>
        </w:rPr>
        <w:t xml:space="preserve">2021 </w:t>
      </w:r>
      <w:r>
        <w:rPr>
          <w:rFonts w:hint="eastAsia" w:cs="黑体" w:asciiTheme="minorEastAsia" w:hAnsiTheme="minorEastAsia"/>
          <w:kern w:val="0"/>
          <w:sz w:val="32"/>
          <w:szCs w:val="32"/>
        </w:rPr>
        <w:t>年度一般公共预算项目支出全面开展绩效自评，其中，一级项目0个，二级项目7个，共涉及资金2580.83万元，占一般公共预算项目支出总额的11.41</w:t>
      </w:r>
      <w:r>
        <w:rPr>
          <w:rFonts w:cs="黑体" w:asciiTheme="minorEastAsia" w:hAnsiTheme="minorEastAsia"/>
          <w:kern w:val="0"/>
          <w:sz w:val="32"/>
          <w:szCs w:val="32"/>
        </w:rPr>
        <w:t>%</w:t>
      </w:r>
      <w:r>
        <w:rPr>
          <w:rFonts w:hint="eastAsia" w:cs="黑体" w:asciiTheme="minorEastAsia" w:hAnsiTheme="minorEastAsia"/>
          <w:kern w:val="0"/>
          <w:sz w:val="32"/>
          <w:szCs w:val="32"/>
        </w:rPr>
        <w:t>。</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组织对“本级衔接专项资金”“农产品质量安全监管、检测及双认证””村级协防经费”、“在职乡镇兽医医疗保险及退休乡镇兽医医疗保险补缴”、“农业支持保护补贴”、“扶贫工作经费”、“执法运行经费”等7个项目开展了部门评价，涉及一般公共预算支出2580.83万元。从评价情况来看，评价结果优良。</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组织对“湘乡市农业农村局”等1个单位开展整体支出绩效评价，涉及一般公共预算支出</w:t>
      </w:r>
      <w:r>
        <w:rPr>
          <w:rFonts w:hint="eastAsia" w:asciiTheme="minorEastAsia" w:hAnsiTheme="minorEastAsia"/>
          <w:sz w:val="32"/>
          <w:szCs w:val="32"/>
        </w:rPr>
        <w:t>24605.65</w:t>
      </w:r>
      <w:r>
        <w:rPr>
          <w:rFonts w:hint="eastAsia" w:cs="黑体" w:asciiTheme="minorEastAsia" w:hAnsiTheme="minorEastAsia"/>
          <w:kern w:val="0"/>
          <w:sz w:val="32"/>
          <w:szCs w:val="32"/>
        </w:rPr>
        <w:t>万元，政府性基金预算支出0万元。从评价情况来看，评价结果优良。</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（2）部门决算中项目绩效自评结果（如有）。</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“本级衔接专项资金”项目绩效自评综述：根据年初设定的绩效目标，项目绩效自评得分为97分。项目全年预算数为2080万元，执行数为1818.95万元，完成预算的87.44</w:t>
      </w:r>
      <w:r>
        <w:rPr>
          <w:rFonts w:cs="黑体" w:asciiTheme="minorEastAsia" w:hAnsiTheme="minorEastAsia"/>
          <w:kern w:val="0"/>
          <w:sz w:val="32"/>
          <w:szCs w:val="32"/>
        </w:rPr>
        <w:t>%</w:t>
      </w:r>
      <w:r>
        <w:rPr>
          <w:rFonts w:hint="eastAsia" w:cs="黑体" w:asciiTheme="minorEastAsia" w:hAnsiTheme="minorEastAsia"/>
          <w:kern w:val="0"/>
          <w:sz w:val="32"/>
          <w:szCs w:val="32"/>
        </w:rPr>
        <w:t>。项目绩效目标完成情况：一是驻村帮扶项目共硬化道路1424.米；二是驻村帮扶项目共加宽道路8150米；三是维修山塘27座、新建水渠水圳6093米；四是新建或改善饮水工程3处；五是支付产业扶贫个数41；六是利益联结经营主体个数38个。</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“本级衔接专项资金”项目绩效自评综述：评价结果优良，超额完成年初绩效目标。</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“农产品质量安全监管、检测及双认证”项目绩效自评综述：根据年初设定的绩效目标，项目绩效自评得分为97分。项目全年预算数为46万元，执行数为35.05万元，完成预算的76</w:t>
      </w:r>
      <w:r>
        <w:rPr>
          <w:rFonts w:cs="黑体" w:asciiTheme="minorEastAsia" w:hAnsiTheme="minorEastAsia"/>
          <w:kern w:val="0"/>
          <w:sz w:val="32"/>
          <w:szCs w:val="32"/>
        </w:rPr>
        <w:t>%</w:t>
      </w:r>
      <w:r>
        <w:rPr>
          <w:rFonts w:hint="eastAsia" w:cs="黑体" w:asciiTheme="minorEastAsia" w:hAnsiTheme="minorEastAsia"/>
          <w:kern w:val="0"/>
          <w:sz w:val="32"/>
          <w:szCs w:val="32"/>
        </w:rPr>
        <w:t>。项目绩效目标完成情况：一是农产品检测3000个；二是标准化生产基地建设2个；三是农产品质量安全定量检测200批次；四是完成“两标一品”认证2个以上。</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“农产品质量安全监管、检测及双认证”项目绩效自评综述：评价结果优良，超额完成年初绩效目标。</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“村级协防经费”项目绩效自评综述：根据年初设定的绩效目标，项目绩效自评得分为97分。项目全年预算数为199.59万元，执行数为211.5万元，完成预算的106</w:t>
      </w:r>
      <w:r>
        <w:rPr>
          <w:rFonts w:cs="黑体" w:asciiTheme="minorEastAsia" w:hAnsiTheme="minorEastAsia"/>
          <w:kern w:val="0"/>
          <w:sz w:val="32"/>
          <w:szCs w:val="32"/>
        </w:rPr>
        <w:t>%</w:t>
      </w:r>
      <w:r>
        <w:rPr>
          <w:rFonts w:hint="eastAsia" w:cs="黑体" w:asciiTheme="minorEastAsia" w:hAnsiTheme="minorEastAsia"/>
          <w:kern w:val="0"/>
          <w:sz w:val="32"/>
          <w:szCs w:val="32"/>
        </w:rPr>
        <w:t>。项目绩效目标完成情况：一是免疫率100%；二是全市禽、畜进行重大动物疫病免疫注射3万针。</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“村级协防经费”项目绩效自评综述：评价结果优良，超额完成年初绩效目标。</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“在职乡镇兽医医疗保险及退休乡镇兽医医疗保险补缴”项目绩效自评综述：根据年初设定的绩效目标，项目绩效自评得分为97分。项目全年预算数为30.09万元，执行数为37.2万元，完成预算的81</w:t>
      </w:r>
      <w:r>
        <w:rPr>
          <w:rFonts w:cs="黑体" w:asciiTheme="minorEastAsia" w:hAnsiTheme="minorEastAsia"/>
          <w:kern w:val="0"/>
          <w:sz w:val="32"/>
          <w:szCs w:val="32"/>
        </w:rPr>
        <w:t>%</w:t>
      </w:r>
      <w:r>
        <w:rPr>
          <w:rFonts w:hint="eastAsia" w:cs="黑体" w:asciiTheme="minorEastAsia" w:hAnsiTheme="minorEastAsia"/>
          <w:kern w:val="0"/>
          <w:sz w:val="32"/>
          <w:szCs w:val="32"/>
        </w:rPr>
        <w:t>。项目绩效目标完成情况：一是保障在职人数100人；二是保障退休人数137人；三是医保缴费率100%。</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“在职乡镇兽医医疗保险及退休乡镇兽医医疗保险补缴”项目绩效自评综述：评价结果优良，超额完成年初绩效目标。</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“农业支持保护补贴”项目绩效自评综述：根据年初设定的绩效目标，项目绩效自评得分为97分。项目全年预算数为40万元，执行数为0万元，完成预算的0</w:t>
      </w:r>
      <w:r>
        <w:rPr>
          <w:rFonts w:cs="黑体" w:asciiTheme="minorEastAsia" w:hAnsiTheme="minorEastAsia"/>
          <w:kern w:val="0"/>
          <w:sz w:val="32"/>
          <w:szCs w:val="32"/>
        </w:rPr>
        <w:t>%</w:t>
      </w:r>
      <w:r>
        <w:rPr>
          <w:rFonts w:hint="eastAsia" w:cs="黑体" w:asciiTheme="minorEastAsia" w:hAnsiTheme="minorEastAsia"/>
          <w:kern w:val="0"/>
          <w:sz w:val="32"/>
          <w:szCs w:val="32"/>
        </w:rPr>
        <w:t>。项目绩效目标完成情况：一是增加农民收入6000万元以上；二稳定水稻种植面积100万亩以上。</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“农业支持保护补贴”项目绩效自评综述：评价结果优良，超额完成年初绩效目标。</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“扶贫工作经费”项目绩效自评综述：根据年初设定的绩效目标，项目绩效自评得分为97分。项目全年预算数为80万元，执行数为237.89万元，完成预算的297</w:t>
      </w:r>
      <w:r>
        <w:rPr>
          <w:rFonts w:cs="黑体" w:asciiTheme="minorEastAsia" w:hAnsiTheme="minorEastAsia"/>
          <w:kern w:val="0"/>
          <w:sz w:val="32"/>
          <w:szCs w:val="32"/>
        </w:rPr>
        <w:t>%</w:t>
      </w:r>
      <w:r>
        <w:rPr>
          <w:rFonts w:hint="eastAsia" w:cs="黑体" w:asciiTheme="minorEastAsia" w:hAnsiTheme="minorEastAsia"/>
          <w:kern w:val="0"/>
          <w:sz w:val="32"/>
          <w:szCs w:val="32"/>
        </w:rPr>
        <w:t>。项目绩效目标完成情况：一是组织培训、会议≥8次；二是发放政策宣传资料≥5000份；三是服务贫困人口覆盖率100%。</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“扶贫工作经费”项目绩效自评综述：评价结果优良，超额完成年初绩效目标。</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“执法运行经费”项目绩效自评综述：根据年初设定的绩效目标，项目绩效自评得分为97分。项目全年预算数为40万元，执行数为11.41万元，完成预算的28</w:t>
      </w:r>
      <w:r>
        <w:rPr>
          <w:rFonts w:cs="黑体" w:asciiTheme="minorEastAsia" w:hAnsiTheme="minorEastAsia"/>
          <w:kern w:val="0"/>
          <w:sz w:val="32"/>
          <w:szCs w:val="32"/>
        </w:rPr>
        <w:t>%</w:t>
      </w:r>
      <w:r>
        <w:rPr>
          <w:rFonts w:hint="eastAsia" w:cs="黑体" w:asciiTheme="minorEastAsia" w:hAnsiTheme="minorEastAsia"/>
          <w:kern w:val="0"/>
          <w:sz w:val="32"/>
          <w:szCs w:val="32"/>
        </w:rPr>
        <w:t>。项目绩效目标完成情况：一是办理执法案件≥30次；二是开展执法行动≥3次；三是执法案件结案率100%，公示率100%。</w:t>
      </w:r>
    </w:p>
    <w:p>
      <w:pPr>
        <w:autoSpaceDE w:val="0"/>
        <w:autoSpaceDN w:val="0"/>
        <w:adjustRightInd w:val="0"/>
        <w:ind w:firstLine="640" w:firstLineChars="200"/>
        <w:jc w:val="left"/>
      </w:pPr>
      <w:r>
        <w:rPr>
          <w:rFonts w:hint="eastAsia" w:cs="黑体" w:asciiTheme="minorEastAsia" w:hAnsiTheme="minorEastAsia"/>
          <w:kern w:val="0"/>
          <w:sz w:val="32"/>
          <w:szCs w:val="32"/>
        </w:rPr>
        <w:t>“执法运行经费”项目绩效自评综述：评价结果优良，超额完成年初绩效目标。</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cs="黑体" w:asciiTheme="minorEastAsia" w:hAnsiTheme="minorEastAsia"/>
          <w:b/>
          <w:color w:val="000000"/>
          <w:kern w:val="0"/>
          <w:sz w:val="32"/>
          <w:szCs w:val="32"/>
        </w:rPr>
        <w:t>3</w:t>
      </w:r>
      <w:r>
        <w:rPr>
          <w:rFonts w:hint="eastAsia" w:cs="黑体" w:asciiTheme="minorEastAsia" w:hAnsiTheme="minorEastAsia"/>
          <w:b/>
          <w:color w:val="000000"/>
          <w:kern w:val="0"/>
          <w:sz w:val="32"/>
          <w:szCs w:val="32"/>
        </w:rPr>
        <w:t>）部门评价项目绩效评价结果。</w:t>
      </w:r>
    </w:p>
    <w:p>
      <w:pPr>
        <w:autoSpaceDE w:val="0"/>
        <w:autoSpaceDN w:val="0"/>
        <w:adjustRightInd w:val="0"/>
        <w:ind w:firstLine="640" w:firstLineChars="200"/>
        <w:jc w:val="left"/>
        <w:rPr>
          <w:rFonts w:cs="黑体" w:asciiTheme="minorEastAsia" w:hAnsiTheme="minorEastAsia"/>
          <w:kern w:val="0"/>
          <w:sz w:val="32"/>
          <w:szCs w:val="32"/>
        </w:rPr>
      </w:pPr>
      <w:r>
        <w:rPr>
          <w:rFonts w:hint="eastAsia" w:cs="黑体" w:asciiTheme="minorEastAsia" w:hAnsiTheme="minorEastAsia"/>
          <w:kern w:val="0"/>
          <w:sz w:val="32"/>
          <w:szCs w:val="32"/>
        </w:rPr>
        <w:t>“本级衔接专项资金”“农产品质量安全监管、检测及双认证”“村级协防经费”、“在职乡镇兽医医疗保险及退休乡镇兽医医疗保险补缴”、“农业支持保护补贴”、“扶贫工作经费”、“执法运行经费”等7个项目开展了部门评价。从评价情况来看，评价结果均优良。</w:t>
      </w:r>
    </w:p>
    <w:p>
      <w:pPr>
        <w:pStyle w:val="13"/>
        <w:jc w:val="center"/>
        <w:rPr>
          <w:sz w:val="72"/>
          <w:szCs w:val="72"/>
        </w:rPr>
      </w:pPr>
    </w:p>
    <w:p>
      <w:pPr>
        <w:pStyle w:val="13"/>
        <w:jc w:val="center"/>
        <w:rPr>
          <w:sz w:val="72"/>
          <w:szCs w:val="72"/>
        </w:rPr>
      </w:pPr>
    </w:p>
    <w:p>
      <w:pPr>
        <w:pStyle w:val="13"/>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财政拨款收入：指财政当年拨付的资金。包括一般公共预算财政拨款和政府性基金财政拨款。</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上级补助收入：指事业单位从主管部门和上级单位取得的非财政补助收入。</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事业收入：指事业单位开展专业业务活动及辅助活动所取得的收入。</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经营收入：指事业单位在专业业务活动及其辅助活动之外开展非独立核算经营活动取得的收入。</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附属单位上缴收入：指事业单位附属独立核算单位按照有关规定上缴的收入。</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其他收入：指除上述“财政拨款收入”、“事业收入”、“经营收入”等以外的收入。</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年初结转和结余：指以前年度尚未完成、结转到本年按有关规定继续使用的资金。</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结余分配：指事业事位按规定从非财政补助结余中分配的事业基金和职工福利基金等。</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年末结转和结余：指本年度或以前年度预算安排、因客观条件发生变化无法按原计划实施，需要延迟到以后年度按有关规定继续使用的资金。</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基本支出：指为保障机构正常运转、完成日常工作任务而发生的人员支出和公用支出。</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项目支出：指在基本支出之外为完成特定行政任务和事业发展目标所发生的支出。</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经营支出：指事业单位在专业业务活动及其辅助活动之外开展非独立核算经营活动所发生的支出。</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pStyle w:val="13"/>
        <w:numPr>
          <w:ilvl w:val="0"/>
          <w:numId w:val="3"/>
        </w:numPr>
        <w:ind w:firstLine="320" w:firstLineChars="100"/>
        <w:rPr>
          <w:rFonts w:ascii="宋体" w:hAnsi="宋体" w:eastAsia="宋体" w:cs="宋体"/>
          <w:sz w:val="32"/>
          <w:szCs w:val="32"/>
        </w:rPr>
      </w:pPr>
      <w:r>
        <w:rPr>
          <w:rFonts w:hint="eastAsia" w:ascii="宋体" w:hAnsi="宋体" w:eastAsia="宋体" w:cs="宋体"/>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sz w:val="72"/>
          <w:szCs w:val="72"/>
        </w:rPr>
      </w:pPr>
    </w:p>
    <w:p>
      <w:pPr>
        <w:pStyle w:val="13"/>
        <w:jc w:val="center"/>
        <w:rPr>
          <w:sz w:val="72"/>
          <w:szCs w:val="72"/>
        </w:rPr>
      </w:pPr>
    </w:p>
    <w:p>
      <w:pPr>
        <w:pStyle w:val="13"/>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pStyle w:val="23"/>
        <w:widowControl/>
        <w:spacing w:line="360" w:lineRule="auto"/>
        <w:ind w:firstLine="800" w:firstLineChars="250"/>
        <w:rPr>
          <w:rFonts w:ascii="仿宋" w:hAnsi="仿宋" w:eastAsia="仿宋" w:cs="仿宋"/>
          <w:b/>
          <w:bCs/>
          <w:sz w:val="32"/>
          <w:szCs w:val="32"/>
        </w:rPr>
      </w:pPr>
      <w:bookmarkStart w:id="3" w:name="_Toc3639"/>
      <w:r>
        <w:rPr>
          <w:rFonts w:hint="eastAsia" w:ascii="仿宋" w:hAnsi="仿宋" w:eastAsia="仿宋" w:cs="仿宋"/>
          <w:b/>
          <w:bCs/>
          <w:sz w:val="32"/>
          <w:szCs w:val="32"/>
        </w:rPr>
        <w:t>一、部门概况</w:t>
      </w:r>
    </w:p>
    <w:p>
      <w:pPr>
        <w:widowControl/>
        <w:numPr>
          <w:ilvl w:val="0"/>
          <w:numId w:val="4"/>
        </w:numPr>
        <w:snapToGrid w:val="0"/>
        <w:spacing w:line="360" w:lineRule="auto"/>
        <w:rPr>
          <w:rFonts w:ascii="仿宋" w:hAnsi="仿宋" w:eastAsia="仿宋" w:cs="仿宋"/>
          <w:sz w:val="32"/>
          <w:szCs w:val="32"/>
        </w:rPr>
      </w:pPr>
      <w:r>
        <w:rPr>
          <w:rFonts w:hint="eastAsia" w:ascii="仿宋" w:hAnsi="仿宋" w:eastAsia="仿宋" w:cs="仿宋"/>
          <w:sz w:val="32"/>
          <w:szCs w:val="32"/>
        </w:rPr>
        <w:t>主要职能</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1、统筹研究和组织实施我市“三农”工作的中长期发展规划、重大政策;组织、指导农业综合执法;参与涉农的价格、收储、金融保险、进出口等政策落实。</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2、统筹推动发展农村社会事业、农村公共服务、农村文化、农村基础设施和乡村治理;牵头组织改善农村人居环境:指导农村精神文明和优秀农耕文化建设;指导农业行业安全生产工作。</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研究提出深化农村经济体制改革和巩固完善农村基本经营制度的建议:负责农民承包地、农村宅基地改革和管理有关工作:负责农村集体产权制度改革，指导农村集体经济组织发展和集体资产管理工作:指导农民合作经济组织、农业社会化服务体系、新型农业经营主体建设与发展。</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4、指导乡村特色产业、农产品加工业、休闲农业和乡镇企业发展工作;提出促进大宗农产品流通的建议，培育、保护农业品牌;发布农业农村经济信息，监测分析农业农村经济运行;承担农业统计和农业农村信息化有关工作。</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5、负责种植业、畜牧业、渔业、农垦、农业机械化等农业产业的监督管理;指导粮食等农产品生产;组织构建现代农业产业体系、生产体系、经营体系，指导农业标准化生产;负责渔政监督管理。</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6、负责农产品质量安全监督管理;组织开展农产品质量安全监测、追溯、风险评估，发布农产品质量安全有关信息;贯彻执行农产品质量安全国家标准、地方标准并会同有关部门组织实施;指导农业检验检测体系建设。</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7、组织农业资源区划工作;指导农用地、渔业水域以及农业生物物种资源的保护与管理，负责水生野生动植物保护、耕地及永久基本农田质量保护工作;指导农产品产地环境管理和农业清洁生产;指导设施农业、生态循环农业、统筹推动发展代节水农业发展以及农村可再生能源综合开发利用、农业生物质产业发展;牵头管理外来物种。</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8、负责有关农业生产资料和农业投入品的监督管理;组织农业生产资料市场体系建设:贯彻执行农业生产资料、兽药质量、兽药残留限量和残留检测方法国家标准并监督实施;组织兽医医政、兽药药政药检工作，负责执业兽医和畜禽屠宰行业管理。</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9、负责农业防灾减灾、农作物重大病虫害防治工作;指导动植物防疫检疫体系建设，组织、监督市内动植物防疫检疫工作，发布疫情并组织扑灭。</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10、负责农业投资管理;编制农业投资项目建设规划，提出农业投资规模和方向、扶持农业农村发展财政项目的建议，按规定权限审批农业投资项目，负责农业投资项目资金安排和监督管理。</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11、推动农业科技体制改革和农业科技创新体系建设;指导农业产业技术体系和农技推广体系建设，组织开展农业领域高新技术的应用、科技成果转化和技术推广;负责农业转基因生物安全监督管理和农业植物新品种保护。</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12、指导农业农村人才工作;拟订农业农村人才队伍建设规划并组织实施，指导农业教育和农业职业技能开发，指导新型职业农民培育、农业科技人才培养和农村实用人才培训工作。</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13、承办相关农业涉外事务，具体执行有关农业援外项目。</w:t>
      </w:r>
    </w:p>
    <w:p>
      <w:pPr>
        <w:widowControl/>
        <w:numPr>
          <w:ilvl w:val="0"/>
          <w:numId w:val="5"/>
        </w:numPr>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负责协调全市精准扶贫及扶贫帮困等相关工作。</w:t>
      </w:r>
    </w:p>
    <w:p>
      <w:pPr>
        <w:widowControl/>
        <w:numPr>
          <w:ilvl w:val="0"/>
          <w:numId w:val="5"/>
        </w:numPr>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完成市委、市政府和市委农村工作领导小组交办的其他任务。</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16、职能转变</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（1）统筹实施乡村振兴战略，深化农业供给侧结构性改革，提升农业发展质量，扎实推进美丽乡村建设，推动农业全面升级、农村全面进步、农民全面发展，加快实现农业农村现代化。</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（2）加强农产品质量安全和相关农业生产资料、农业投入品的监督管理，坚持最严谨的标准、最严格的监管、最严厉的处罚、最严肃的问责，严防、严管、严控质量安全风险，让人民群众吃得放心、安心。</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深入推进简政放权，加强对行业内交叉重复以及性质相同、用途相近的农业投资项目的统筹整合，最大限度缩小项目审批范围，进一步下放审批权限，加强事中事后监管，切实提升支农政策效果和资金使用效益。</w:t>
      </w:r>
    </w:p>
    <w:p>
      <w:pPr>
        <w:widowControl/>
        <w:numPr>
          <w:ilvl w:val="0"/>
          <w:numId w:val="4"/>
        </w:numPr>
        <w:snapToGrid w:val="0"/>
        <w:spacing w:line="360" w:lineRule="auto"/>
        <w:rPr>
          <w:rFonts w:ascii="仿宋" w:hAnsi="仿宋" w:eastAsia="仿宋" w:cs="仿宋"/>
          <w:sz w:val="32"/>
          <w:szCs w:val="32"/>
        </w:rPr>
      </w:pPr>
      <w:r>
        <w:rPr>
          <w:rFonts w:hint="eastAsia" w:ascii="仿宋" w:hAnsi="仿宋" w:eastAsia="仿宋" w:cs="仿宋"/>
          <w:sz w:val="32"/>
          <w:szCs w:val="32"/>
        </w:rPr>
        <w:t>机构情况</w:t>
      </w:r>
    </w:p>
    <w:p>
      <w:pPr>
        <w:widowControl/>
        <w:snapToGrid w:val="0"/>
        <w:spacing w:line="360" w:lineRule="auto"/>
        <w:ind w:left="630"/>
        <w:rPr>
          <w:rFonts w:ascii="仿宋" w:hAnsi="仿宋" w:eastAsia="仿宋" w:cs="仿宋"/>
          <w:sz w:val="32"/>
          <w:szCs w:val="32"/>
        </w:rPr>
      </w:pPr>
      <w:r>
        <w:rPr>
          <w:rFonts w:hint="eastAsia" w:ascii="仿宋" w:hAnsi="仿宋" w:eastAsia="仿宋" w:cs="仿宋"/>
          <w:sz w:val="32"/>
          <w:szCs w:val="32"/>
        </w:rPr>
        <w:t>单位内设15个机构：办公室、法规股、发展规划股、乡</w:t>
      </w:r>
    </w:p>
    <w:p>
      <w:pPr>
        <w:widowControl/>
        <w:snapToGrid w:val="0"/>
        <w:spacing w:line="360" w:lineRule="auto"/>
        <w:rPr>
          <w:rFonts w:ascii="仿宋" w:hAnsi="仿宋" w:eastAsia="仿宋" w:cs="仿宋"/>
          <w:sz w:val="32"/>
          <w:szCs w:val="32"/>
        </w:rPr>
      </w:pPr>
      <w:r>
        <w:rPr>
          <w:rFonts w:hint="eastAsia" w:ascii="仿宋" w:hAnsi="仿宋" w:eastAsia="仿宋" w:cs="仿宋"/>
          <w:sz w:val="32"/>
          <w:szCs w:val="32"/>
        </w:rPr>
        <w:t>村产业发展股、农村社会事业促进股、政策改革股；科技教育股：农业资源保护与利用股、农产品质量安全管理股、种植业管理股、畜牧兽医股、渔业渔政管理股、农业机械化管理股、农田建设股、财务股、人事股、机关党委；下设10个事业单位：湘乡市农业技术推广中心、湘乡畜牧水产事务中心、湘乡市农机事务中心、湘乡市农村经营服务站、湘乡市农民素质教育服务中心、湘乡市农业综合行政执法大队、湘乡市农产品质量检验检测站、湘乡市动物疫病预防控制中心、湘乡市农村土地承包经营权流转服务中心、湘乡市农业科学研究所。</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（三）人员情况</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2021年单位在职人员年末数为259人，人员编制数为260人，其中行政编制人员24名，事业编制人员236人，在职人员控制率为99.62%。</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（四）2021年部门整体支出申报设立的绩效目标</w:t>
      </w:r>
    </w:p>
    <w:bookmarkEnd w:id="3"/>
    <w:p>
      <w:pPr>
        <w:widowControl/>
        <w:numPr>
          <w:ilvl w:val="0"/>
          <w:numId w:val="6"/>
        </w:numPr>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保障农业局在职人员、离退休人员及单位的正常办公、生活秩序;2、完成农业专项项目的实施，重点围绕粮食生产、精准扶贫、美丽乡村建设、乡村振兴项目、现代农业示范区建设，重金属污染防治、能源项目建设、现代农业、农业产业化建设、农村经营服务管理、农产品质量安全监管、植保病虫害防治、农作物种子安全监管、农药安全监管、农业经济作物及蔬菜生产、农业防灾救灾、高标准农田建设、农村清洁工程、农业和农村经济信息管理、县域经济发展、新农村建设、农民教育培训、三农工作等方面开展工作，保障农业各项工作顺利进行；3、平安农机示范乡镇省级验收达标。现代农机合作社湘潭市级验收达标。拖拉机、收割机年检。下乡举办安全知识培训班。农机安全专项整治及隐患排查。农机购置补贴，把补贴资金全部补贴到位，优化农机装备结构，提高全市农机化发展水平；4、督促各乡镇按要求完成任务。</w:t>
      </w:r>
    </w:p>
    <w:p>
      <w:pPr>
        <w:widowControl/>
        <w:snapToGrid w:val="0"/>
        <w:spacing w:line="360" w:lineRule="auto"/>
        <w:ind w:firstLine="640" w:firstLineChars="200"/>
        <w:rPr>
          <w:rFonts w:ascii="仿宋" w:hAnsi="仿宋" w:eastAsia="仿宋" w:cs="仿宋"/>
          <w:b/>
          <w:bCs/>
          <w:sz w:val="32"/>
          <w:szCs w:val="32"/>
        </w:rPr>
      </w:pPr>
      <w:r>
        <w:rPr>
          <w:rFonts w:hint="eastAsia" w:ascii="仿宋" w:hAnsi="仿宋" w:eastAsia="仿宋" w:cs="仿宋"/>
          <w:b/>
          <w:bCs/>
          <w:sz w:val="32"/>
          <w:szCs w:val="32"/>
        </w:rPr>
        <w:t>二、单位整体支出情况</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 单位整体支出预决算情况</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单位2021年初市财政批复的公共财政拨款预算支出为5,424.93万元，其中基本支出3,348.03万元、项目支出2076.90万元。“三公”经费预算数为54.5万元，其中公务接待费30.5万元、公务用车费24万元。</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年中调整财政拨款预算38,323.51万元，其中结转上年指标11,337.82万元，追加上级指标23,672.91万元，本级指标3,312.78万元，调整后的年度预算指标为43,748.44万元，实际使用指标24,605.65万元，结余19,142.79万元指标于年底全部收回财政。</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2021年单位代管资金期初结余结转1,291.73万元，本年收入956.77万元，支出1,420.64万元，期末结余结转827.86万元。</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单位2021年决算总收入为25,562.42万元，其中公共财政拨款收入24,605.65万元、其他收入956.77万元。决算总支出为26,026.46万元，其中财政拨款支出24,605.65万元、其他资金支出1,420.81万元。</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（二）基本支出使用情况</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基本支出是用于为保障机构正常运转、完成日常工作任务而发生的支出，包括人员经费和公用经费。2021年市财政局批复的年初基本支出预算为3,348.03万元，其中工资福利支出2,804.22万元，日常公用经费543.81万元。</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 2021年决算基本支出3,408.02元，全部为财政拨款支出，超年初预算59.99万元，其中人员经费2,938.30元，超支134.08万元；日常公用经费469.72万元，减少74.09万元。超预算的主要原因是发放绩效奖金和人员异动。</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（三）项目支出使用情况</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项目支出是指单位为完成特定行政工作任务或事业发展目标而发生的支出，包括有关事业发展专项、专项业务费、基本建设支出等。2021年年初市财政局批复的年初项目支出预算为2,076.90万元，共23个项目。</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（四）单位资金结余结转情况</w:t>
      </w:r>
    </w:p>
    <w:p>
      <w:pPr>
        <w:widowControl/>
        <w:snapToGrid w:val="0"/>
        <w:spacing w:line="360" w:lineRule="auto"/>
        <w:ind w:firstLine="640" w:firstLineChars="200"/>
        <w:jc w:val="left"/>
        <w:rPr>
          <w:rFonts w:ascii="仿宋" w:hAnsi="仿宋" w:eastAsia="仿宋" w:cs="仿宋"/>
          <w:sz w:val="32"/>
          <w:szCs w:val="32"/>
        </w:rPr>
      </w:pPr>
      <w:r>
        <w:rPr>
          <w:rFonts w:hint="eastAsia" w:ascii="仿宋" w:hAnsi="仿宋" w:eastAsia="仿宋" w:cs="仿宋"/>
          <w:sz w:val="32"/>
          <w:szCs w:val="32"/>
        </w:rPr>
        <w:t>2021年末单位财政拨款指标结余结转19,142.79万元，于年底全部收回市财政局。财政代管资金结余结转827.86万元。</w:t>
      </w:r>
    </w:p>
    <w:p>
      <w:pPr>
        <w:widowControl/>
        <w:snapToGrid w:val="0"/>
        <w:spacing w:line="360" w:lineRule="auto"/>
        <w:ind w:firstLine="640" w:firstLineChars="200"/>
        <w:jc w:val="left"/>
        <w:rPr>
          <w:rFonts w:ascii="仿宋" w:hAnsi="仿宋" w:eastAsia="仿宋" w:cs="仿宋"/>
          <w:sz w:val="32"/>
          <w:szCs w:val="32"/>
        </w:rPr>
      </w:pPr>
      <w:r>
        <w:rPr>
          <w:rFonts w:hint="eastAsia" w:ascii="仿宋" w:hAnsi="仿宋" w:eastAsia="仿宋" w:cs="仿宋"/>
          <w:sz w:val="32"/>
          <w:szCs w:val="32"/>
        </w:rPr>
        <w:t>（五）“三公”经费支出情况。</w:t>
      </w:r>
    </w:p>
    <w:p>
      <w:pPr>
        <w:widowControl/>
        <w:snapToGrid w:val="0"/>
        <w:spacing w:line="360" w:lineRule="auto"/>
        <w:ind w:firstLine="640" w:firstLineChars="200"/>
        <w:jc w:val="left"/>
        <w:rPr>
          <w:rFonts w:ascii="仿宋" w:hAnsi="仿宋" w:eastAsia="仿宋" w:cs="仿宋"/>
          <w:sz w:val="32"/>
          <w:szCs w:val="32"/>
        </w:rPr>
      </w:pPr>
      <w:r>
        <w:rPr>
          <w:rFonts w:hint="eastAsia" w:ascii="仿宋" w:hAnsi="仿宋" w:eastAsia="仿宋" w:cs="仿宋"/>
          <w:sz w:val="32"/>
          <w:szCs w:val="32"/>
        </w:rPr>
        <w:t>单位填报的2021年“三公”经费预算总额为54.5万元，其中公务接待费30.5万元、公务用车运行维护费24万元，比2020年“三公”经费增加10%，2021年“三公”经费实际支出29.94万元，其中公务接待费21.04万元、公务用车运行维护费8.90万元，“三公经费”控制率为55%。</w:t>
      </w:r>
    </w:p>
    <w:p>
      <w:pPr>
        <w:widowControl/>
        <w:snapToGrid w:val="0"/>
        <w:spacing w:line="360" w:lineRule="auto"/>
        <w:ind w:firstLine="640" w:firstLineChars="200"/>
        <w:jc w:val="left"/>
        <w:rPr>
          <w:rFonts w:ascii="仿宋" w:hAnsi="仿宋" w:eastAsia="仿宋" w:cs="仿宋"/>
          <w:sz w:val="32"/>
          <w:szCs w:val="32"/>
        </w:rPr>
      </w:pPr>
      <w:r>
        <w:rPr>
          <w:rFonts w:hint="eastAsia" w:ascii="仿宋" w:hAnsi="仿宋" w:eastAsia="仿宋" w:cs="仿宋"/>
          <w:sz w:val="32"/>
          <w:szCs w:val="32"/>
        </w:rPr>
        <w:t>（六）政府采购预算执行情况</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单位填报的2021年政府采购预算金额为42万元，在决算报表中的机构运行维护表中未填报的采购支出数，无法计算政府采购执行率。</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单位从2021年1月18日开始从电子卖场上采购商品，全年总计采购商品总额488.48万元。</w:t>
      </w:r>
    </w:p>
    <w:p>
      <w:pPr>
        <w:pStyle w:val="2"/>
        <w:ind w:firstLine="640"/>
      </w:pPr>
    </w:p>
    <w:p>
      <w:pPr>
        <w:widowControl/>
        <w:snapToGrid w:val="0"/>
        <w:spacing w:line="360" w:lineRule="auto"/>
        <w:ind w:firstLine="640" w:firstLineChars="200"/>
        <w:rPr>
          <w:rFonts w:ascii="仿宋" w:hAnsi="仿宋" w:eastAsia="仿宋" w:cs="仿宋"/>
          <w:b/>
          <w:bCs/>
          <w:sz w:val="32"/>
          <w:szCs w:val="32"/>
        </w:rPr>
      </w:pPr>
      <w:r>
        <w:rPr>
          <w:rFonts w:hint="eastAsia" w:ascii="仿宋" w:hAnsi="仿宋" w:eastAsia="仿宋" w:cs="仿宋"/>
          <w:b/>
          <w:bCs/>
          <w:sz w:val="32"/>
          <w:szCs w:val="32"/>
        </w:rPr>
        <w:t>三、部门履职产出和效果情况</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2021年单位围绕上级安排的工作任务、年度制定的工作要点和设定绩效的目标，积极履职，强化管理，主要取得以下事业成效。</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粮猪生产实现有效供给。完成粮食种植面积99.225万亩，总产47.68万吨，其中早稻40.5万亩，粮食生产面积、产量任务均超额完成。大力开展耕地抛荒治理，坚决遏制耕地“非农化”、防止“非粮化”，全市耕地抛荒复耕面积8723.16亩、复种面积8723.16亩，超额完成目标任务。改善农田基础设施，实施高标准农田建设5.48万亩。持续开展水稻、油菜生产全程机械化推广，全年实施农机购置补贴1047万元，发展农机化作业服务组织385家，农业机械化率达到84.2%，比去年增长1.96%，农业生产效率得到了大幅提升。在生猪生产方面，全年生猪恢复存栏77.07万头，完成存栏任务的105%，出栏120.4万头。</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防返贫监测与帮扶工作扎实推进。健全防止返贫动态监测帮扶长效机制，对全市1632户3539人“三类人员”进行重点监测，按“缺什么帮什么”，对监测户风险已稳定消除1058户，对剩余的574户1142人均采取了重点帮扶措施，确保零返贫。住房保障方面，完成309户“四类人员”危房改造。就业扶持方面，完成脱贫人口稳岗就业15074人，为2020年务工人数的104.1%。同时，突出抓好产业扶持，安排各级财政衔接推进乡村振兴补助资金累计7797.4万元，其中产业发展资金占比达61.7%，均与脱贫户、监测户建立了利益联结机制，有力改善了农村生产生活条件，促进了农民增收。</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乡村产业稳步发展。推进东郊、泉塘和白田三大现代农业示范园建设，全年完成投资3亿元以上，入驻三个园区经营主体达到79家，新增7家。田园育才入围全省优质农产品供应和设施农业示范基地，建设五代智能化玻璃大棚3万平方米。全市设施农业面积达到4.26万亩，综合种养面积1.11万亩。加大“两品一标”认证力度，共发展有效“两品一标”产品52个，今年新增5个，壶天石羊获批国家农产品地理标志产品，翻江镇获评全国“一村一品”示范村镇。积极培育壮大龙头企业，发展市级以上农业化龙头企业43家，农产品加工企业200家，新增百嘉香、明月山庄、永嘉农业、香露红4家省级产业化联合体。全年农业总产值119.16亿元，同比增长11%，农产品加工产值477亿元，同比增长21%；农村居民人均可支配收入23349元，同期增速10.6%。</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农村生态环境持续改善。推进农村人居环境整治提升和美丽乡村建设，完成农村户用厕所无害化改（新）建9000座，创建省级特色精品乡村1个、省级美丽乡村示范村4个、市级美丽乡村示范村6个、湘乡市级美丽乡村示范村11个。推进受污染耕地安全利用，3195.94亩严格管控类耕地全面退出水稻种植。巩固6.2万亩种植结构调整成果，因地制宜发展特色旱杂粮。推进秸秆综合利用，全市秸秆可收集资源量为43.52万吨，综合利用量39.46万吨，秸秆综合利用率达90%以上。实施化肥农药减量增效行动，推广测土配方施肥技术145万亩，主要农作物测土配方施肥覆盖率稳定在90%以上。持续开展畜禽粪污资源化利用，安排专项支持20个中小规模场按要求进行粪污设施装备改造，全市规模场设施装备配套率100%，畜禽粪污资源化利用率超过94.7%。</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五）农村改革全面推进。引导农户以土地经营权作价入股等模式，农村土地流转率达56.7%。培育新型农业经营主体，全市共发展农民专业合作社1231家、家庭农场778家，分别新增69家、58家。推进农村集体产权制度改革，农村集体产权清产核资和成员身份确认全面完成。</w:t>
      </w:r>
    </w:p>
    <w:p>
      <w:pPr>
        <w:widowControl/>
        <w:snapToGrid w:val="0"/>
        <w:spacing w:line="360" w:lineRule="auto"/>
        <w:ind w:firstLine="640" w:firstLineChars="200"/>
        <w:rPr>
          <w:rFonts w:ascii="仿宋" w:hAnsi="仿宋" w:eastAsia="仿宋" w:cs="仿宋"/>
          <w:b/>
          <w:bCs/>
          <w:sz w:val="32"/>
          <w:szCs w:val="32"/>
        </w:rPr>
      </w:pPr>
      <w:r>
        <w:rPr>
          <w:rFonts w:hint="eastAsia" w:ascii="仿宋" w:hAnsi="仿宋" w:eastAsia="仿宋" w:cs="仿宋"/>
          <w:b/>
          <w:bCs/>
          <w:sz w:val="32"/>
          <w:szCs w:val="32"/>
        </w:rPr>
        <w:t>四、评价结果</w:t>
      </w:r>
    </w:p>
    <w:p>
      <w:pPr>
        <w:widowControl/>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2021年度本单位在预算配置、执行、管理、履职产出和效果等方面，基本按部门年度计划、整体支出绩效目标完成部门任务，根据部门整体支出绩效评价指标及绩效评价小组综合分析，部门整体支出绩效评价综合得分98分，评价等级为“优”。</w:t>
      </w:r>
    </w:p>
    <w:p>
      <w:pPr>
        <w:pStyle w:val="4"/>
        <w:rPr>
          <w:rFonts w:hint="default"/>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CD8CF"/>
    <w:multiLevelType w:val="singleLevel"/>
    <w:tmpl w:val="DE4CD8CF"/>
    <w:lvl w:ilvl="0" w:tentative="0">
      <w:start w:val="1"/>
      <w:numFmt w:val="chineseCounting"/>
      <w:suff w:val="nothing"/>
      <w:lvlText w:val="（%1）"/>
      <w:lvlJc w:val="left"/>
      <w:rPr>
        <w:rFonts w:hint="eastAsia"/>
      </w:rPr>
    </w:lvl>
  </w:abstractNum>
  <w:abstractNum w:abstractNumId="1">
    <w:nsid w:val="E20D8502"/>
    <w:multiLevelType w:val="singleLevel"/>
    <w:tmpl w:val="E20D8502"/>
    <w:lvl w:ilvl="0" w:tentative="0">
      <w:start w:val="1"/>
      <w:numFmt w:val="chineseCounting"/>
      <w:suff w:val="nothing"/>
      <w:lvlText w:val="（%1）"/>
      <w:lvlJc w:val="left"/>
      <w:pPr>
        <w:ind w:left="630" w:firstLine="0"/>
      </w:pPr>
      <w:rPr>
        <w:rFonts w:hint="eastAsia"/>
      </w:rPr>
    </w:lvl>
  </w:abstractNum>
  <w:abstractNum w:abstractNumId="2">
    <w:nsid w:val="26427960"/>
    <w:multiLevelType w:val="singleLevel"/>
    <w:tmpl w:val="26427960"/>
    <w:lvl w:ilvl="0" w:tentative="0">
      <w:start w:val="1"/>
      <w:numFmt w:val="decimal"/>
      <w:suff w:val="nothing"/>
      <w:lvlText w:val="%1、"/>
      <w:lvlJc w:val="left"/>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1FF9F9"/>
    <w:multiLevelType w:val="singleLevel"/>
    <w:tmpl w:val="451FF9F9"/>
    <w:lvl w:ilvl="0" w:tentative="0">
      <w:start w:val="14"/>
      <w:numFmt w:val="decimal"/>
      <w:suff w:val="nothing"/>
      <w:lvlText w:val="%1、"/>
      <w:lvlJc w:val="left"/>
    </w:lvl>
  </w:abstractNum>
  <w:abstractNum w:abstractNumId="5">
    <w:nsid w:val="6982E024"/>
    <w:multiLevelType w:val="singleLevel"/>
    <w:tmpl w:val="6982E024"/>
    <w:lvl w:ilvl="0" w:tentative="0">
      <w:start w:val="2"/>
      <w:numFmt w:val="chineseCounting"/>
      <w:suff w:val="nothing"/>
      <w:lvlText w:val="（%1）"/>
      <w:lvlJc w:val="left"/>
      <w:rPr>
        <w:rFonts w:hint="eastAsia"/>
      </w:rPr>
    </w:lvl>
  </w:abstractNum>
  <w:num w:numId="1">
    <w:abstractNumId w:val="3"/>
  </w:num>
  <w:num w:numId="2">
    <w:abstractNumId w:val="5"/>
  </w:num>
  <w:num w:numId="3">
    <w:abstractNumId w:val="0"/>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JhMWFkYWY5ZTliYTE1YzU0M2U0YTc4MThmMGIzYTIifQ=="/>
  </w:docVars>
  <w:rsids>
    <w:rsidRoot w:val="004506F9"/>
    <w:rsid w:val="00004E2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5C07"/>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B506F"/>
    <w:rsid w:val="002E0A30"/>
    <w:rsid w:val="003130C4"/>
    <w:rsid w:val="00316C4B"/>
    <w:rsid w:val="0032192B"/>
    <w:rsid w:val="003479BD"/>
    <w:rsid w:val="0037197D"/>
    <w:rsid w:val="003768D5"/>
    <w:rsid w:val="00384CFF"/>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3433"/>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C2DC9"/>
    <w:rsid w:val="00BD6C3E"/>
    <w:rsid w:val="00BE3674"/>
    <w:rsid w:val="00C10681"/>
    <w:rsid w:val="00C3049A"/>
    <w:rsid w:val="00C31B1E"/>
    <w:rsid w:val="00C77645"/>
    <w:rsid w:val="00C8767C"/>
    <w:rsid w:val="00CE04C3"/>
    <w:rsid w:val="00CE76A0"/>
    <w:rsid w:val="00D148C6"/>
    <w:rsid w:val="00D17A8A"/>
    <w:rsid w:val="00D415BA"/>
    <w:rsid w:val="00D4238C"/>
    <w:rsid w:val="00D63780"/>
    <w:rsid w:val="00D644EE"/>
    <w:rsid w:val="00D75489"/>
    <w:rsid w:val="00DD06FF"/>
    <w:rsid w:val="00DD5FE9"/>
    <w:rsid w:val="00E00C7A"/>
    <w:rsid w:val="00E209CF"/>
    <w:rsid w:val="00E37D6C"/>
    <w:rsid w:val="00E55B68"/>
    <w:rsid w:val="00E67BE6"/>
    <w:rsid w:val="00E8683C"/>
    <w:rsid w:val="00EA2B72"/>
    <w:rsid w:val="00F74360"/>
    <w:rsid w:val="00FB29D6"/>
    <w:rsid w:val="00FB462F"/>
    <w:rsid w:val="00FE16FA"/>
    <w:rsid w:val="00FE328A"/>
    <w:rsid w:val="00FE6269"/>
    <w:rsid w:val="00FF5CD6"/>
    <w:rsid w:val="01487EF3"/>
    <w:rsid w:val="025D48AB"/>
    <w:rsid w:val="04E1057C"/>
    <w:rsid w:val="06B623A3"/>
    <w:rsid w:val="08961A94"/>
    <w:rsid w:val="0AC53E00"/>
    <w:rsid w:val="0B437C5E"/>
    <w:rsid w:val="0BF33E15"/>
    <w:rsid w:val="0C523C3B"/>
    <w:rsid w:val="0F245428"/>
    <w:rsid w:val="11195331"/>
    <w:rsid w:val="15547C57"/>
    <w:rsid w:val="17A7350A"/>
    <w:rsid w:val="184756CE"/>
    <w:rsid w:val="185559CF"/>
    <w:rsid w:val="18DF3D75"/>
    <w:rsid w:val="19B54168"/>
    <w:rsid w:val="1A6B635A"/>
    <w:rsid w:val="1A9035DE"/>
    <w:rsid w:val="1DD601B0"/>
    <w:rsid w:val="1E0154EC"/>
    <w:rsid w:val="1F18586C"/>
    <w:rsid w:val="1FE81839"/>
    <w:rsid w:val="1FEC2EE6"/>
    <w:rsid w:val="23D654CB"/>
    <w:rsid w:val="24C95C7D"/>
    <w:rsid w:val="25F710E8"/>
    <w:rsid w:val="269B7AAF"/>
    <w:rsid w:val="283E46F8"/>
    <w:rsid w:val="2DC471EC"/>
    <w:rsid w:val="2E444588"/>
    <w:rsid w:val="2EEB5ABC"/>
    <w:rsid w:val="3064077F"/>
    <w:rsid w:val="33E852A0"/>
    <w:rsid w:val="374D0974"/>
    <w:rsid w:val="37D42D13"/>
    <w:rsid w:val="3A587B80"/>
    <w:rsid w:val="3DF941FE"/>
    <w:rsid w:val="3E251BDE"/>
    <w:rsid w:val="3FD82768"/>
    <w:rsid w:val="422449A5"/>
    <w:rsid w:val="442E7E0A"/>
    <w:rsid w:val="44CF5BA9"/>
    <w:rsid w:val="48255547"/>
    <w:rsid w:val="488D2E78"/>
    <w:rsid w:val="499C4A98"/>
    <w:rsid w:val="4A1201BD"/>
    <w:rsid w:val="4A5B1011"/>
    <w:rsid w:val="4BEF05E7"/>
    <w:rsid w:val="4CE73F23"/>
    <w:rsid w:val="508A1E77"/>
    <w:rsid w:val="52CB1154"/>
    <w:rsid w:val="549450F5"/>
    <w:rsid w:val="55296F6D"/>
    <w:rsid w:val="581D3AED"/>
    <w:rsid w:val="584B3412"/>
    <w:rsid w:val="5BC13A95"/>
    <w:rsid w:val="5CCD5FE3"/>
    <w:rsid w:val="5ECF0AE7"/>
    <w:rsid w:val="61CA768C"/>
    <w:rsid w:val="62685265"/>
    <w:rsid w:val="62804962"/>
    <w:rsid w:val="636D7C65"/>
    <w:rsid w:val="648C220A"/>
    <w:rsid w:val="677D4646"/>
    <w:rsid w:val="695F2BD0"/>
    <w:rsid w:val="697A3F84"/>
    <w:rsid w:val="69CE5908"/>
    <w:rsid w:val="6E6D3C48"/>
    <w:rsid w:val="6F63625D"/>
    <w:rsid w:val="71E25852"/>
    <w:rsid w:val="71F941AC"/>
    <w:rsid w:val="73FA2368"/>
    <w:rsid w:val="75925734"/>
    <w:rsid w:val="76DF266D"/>
    <w:rsid w:val="775817B7"/>
    <w:rsid w:val="786C491B"/>
    <w:rsid w:val="7AE35F8D"/>
    <w:rsid w:val="7C004318"/>
    <w:rsid w:val="7C2332DD"/>
    <w:rsid w:val="7DF769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rPr>
      <w:szCs w:val="24"/>
    </w:rPr>
  </w:style>
  <w:style w:type="paragraph" w:styleId="3">
    <w:name w:val="Body Text Indent"/>
    <w:basedOn w:val="1"/>
    <w:qFormat/>
    <w:uiPriority w:val="0"/>
    <w:pPr>
      <w:ind w:firstLine="640" w:firstLineChars="200"/>
    </w:pPr>
    <w:rPr>
      <w:rFonts w:eastAsia="仿宋_GB2312"/>
      <w:sz w:val="32"/>
    </w:rPr>
  </w:style>
  <w:style w:type="paragraph" w:styleId="4">
    <w:name w:val="Plain Text"/>
    <w:basedOn w:val="1"/>
    <w:next w:val="5"/>
    <w:unhideWhenUsed/>
    <w:qFormat/>
    <w:uiPriority w:val="0"/>
    <w:rPr>
      <w:rFonts w:hint="eastAsia" w:ascii="宋体" w:hAnsi="Courier New" w:cs="Courier New"/>
      <w:szCs w:val="21"/>
    </w:rPr>
  </w:style>
  <w:style w:type="paragraph" w:styleId="5">
    <w:name w:val="toc 9"/>
    <w:basedOn w:val="1"/>
    <w:next w:val="1"/>
    <w:unhideWhenUsed/>
    <w:qFormat/>
    <w:uiPriority w:val="39"/>
    <w:pPr>
      <w:ind w:left="3360"/>
    </w:pPr>
    <w:rPr>
      <w:rFonts w:hint="eastAsia"/>
      <w:szCs w:val="24"/>
    </w:rPr>
  </w:style>
  <w:style w:type="paragraph" w:styleId="6">
    <w:name w:val="Balloon Text"/>
    <w:basedOn w:val="1"/>
    <w:link w:val="15"/>
    <w:semiHidden/>
    <w:unhideWhenUsed/>
    <w:qFormat/>
    <w:uiPriority w:val="99"/>
    <w:rPr>
      <w:sz w:val="18"/>
      <w:szCs w:val="18"/>
    </w:rPr>
  </w:style>
  <w:style w:type="paragraph" w:styleId="7">
    <w:name w:val="footer"/>
    <w:basedOn w:val="1"/>
    <w:link w:val="12"/>
    <w:unhideWhenUsed/>
    <w:qFormat/>
    <w:uiPriority w:val="99"/>
    <w:pPr>
      <w:tabs>
        <w:tab w:val="center" w:pos="4153"/>
        <w:tab w:val="right" w:pos="8306"/>
      </w:tabs>
      <w:snapToGrid w:val="0"/>
      <w:jc w:val="left"/>
    </w:pPr>
    <w:rPr>
      <w:sz w:val="18"/>
      <w:szCs w:val="18"/>
    </w:rPr>
  </w:style>
  <w:style w:type="paragraph" w:styleId="8">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页眉 Char"/>
    <w:basedOn w:val="10"/>
    <w:link w:val="8"/>
    <w:qFormat/>
    <w:uiPriority w:val="99"/>
    <w:rPr>
      <w:sz w:val="18"/>
      <w:szCs w:val="18"/>
    </w:rPr>
  </w:style>
  <w:style w:type="character" w:customStyle="1" w:styleId="12">
    <w:name w:val="页脚 Char"/>
    <w:basedOn w:val="10"/>
    <w:link w:val="7"/>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6"/>
    <w:semiHidden/>
    <w:qFormat/>
    <w:uiPriority w:val="99"/>
    <w:rPr>
      <w:sz w:val="18"/>
      <w:szCs w:val="18"/>
    </w:rPr>
  </w:style>
  <w:style w:type="character" w:customStyle="1" w:styleId="16">
    <w:name w:val="font41"/>
    <w:basedOn w:val="10"/>
    <w:qFormat/>
    <w:uiPriority w:val="0"/>
    <w:rPr>
      <w:rFonts w:hint="eastAsia" w:ascii="宋体" w:hAnsi="宋体" w:eastAsia="宋体" w:cs="宋体"/>
      <w:color w:val="000000"/>
      <w:sz w:val="20"/>
      <w:szCs w:val="20"/>
      <w:u w:val="none"/>
    </w:rPr>
  </w:style>
  <w:style w:type="character" w:customStyle="1" w:styleId="17">
    <w:name w:val="font51"/>
    <w:basedOn w:val="10"/>
    <w:qFormat/>
    <w:uiPriority w:val="0"/>
    <w:rPr>
      <w:rFonts w:hint="eastAsia" w:ascii="宋体" w:hAnsi="宋体" w:eastAsia="宋体" w:cs="宋体"/>
      <w:color w:val="000000"/>
      <w:sz w:val="24"/>
      <w:szCs w:val="24"/>
      <w:u w:val="none"/>
    </w:rPr>
  </w:style>
  <w:style w:type="character" w:customStyle="1" w:styleId="18">
    <w:name w:val="font01"/>
    <w:basedOn w:val="10"/>
    <w:qFormat/>
    <w:uiPriority w:val="0"/>
    <w:rPr>
      <w:rFonts w:hint="eastAsia" w:ascii="宋体" w:hAnsi="宋体" w:eastAsia="宋体" w:cs="宋体"/>
      <w:color w:val="000000"/>
      <w:sz w:val="22"/>
      <w:szCs w:val="22"/>
      <w:u w:val="none"/>
    </w:rPr>
  </w:style>
  <w:style w:type="character" w:customStyle="1" w:styleId="19">
    <w:name w:val="font11"/>
    <w:basedOn w:val="10"/>
    <w:qFormat/>
    <w:uiPriority w:val="0"/>
    <w:rPr>
      <w:rFonts w:ascii="Calibri" w:hAnsi="Calibri" w:cs="Calibri"/>
      <w:color w:val="000000"/>
      <w:sz w:val="20"/>
      <w:szCs w:val="20"/>
      <w:u w:val="none"/>
    </w:rPr>
  </w:style>
  <w:style w:type="character" w:customStyle="1" w:styleId="20">
    <w:name w:val="font21"/>
    <w:basedOn w:val="10"/>
    <w:qFormat/>
    <w:uiPriority w:val="0"/>
    <w:rPr>
      <w:rFonts w:hint="eastAsia" w:ascii="宋体" w:hAnsi="宋体" w:eastAsia="宋体" w:cs="宋体"/>
      <w:color w:val="000000"/>
      <w:sz w:val="21"/>
      <w:szCs w:val="21"/>
      <w:u w:val="none"/>
    </w:rPr>
  </w:style>
  <w:style w:type="character" w:customStyle="1" w:styleId="21">
    <w:name w:val="font31"/>
    <w:basedOn w:val="10"/>
    <w:uiPriority w:val="0"/>
    <w:rPr>
      <w:rFonts w:hint="eastAsia" w:ascii="宋体" w:hAnsi="宋体" w:eastAsia="宋体" w:cs="宋体"/>
      <w:color w:val="000000"/>
      <w:sz w:val="24"/>
      <w:szCs w:val="24"/>
      <w:u w:val="none"/>
    </w:rPr>
  </w:style>
  <w:style w:type="character" w:customStyle="1" w:styleId="22">
    <w:name w:val="font61"/>
    <w:basedOn w:val="10"/>
    <w:uiPriority w:val="0"/>
    <w:rPr>
      <w:rFonts w:hint="eastAsia" w:ascii="宋体" w:hAnsi="宋体" w:eastAsia="宋体" w:cs="宋体"/>
      <w:color w:val="000000"/>
      <w:sz w:val="24"/>
      <w:szCs w:val="24"/>
      <w:u w:val="none"/>
    </w:rPr>
  </w:style>
  <w:style w:type="paragraph" w:customStyle="1" w:styleId="23">
    <w:name w:val="样式1"/>
    <w:basedOn w:val="1"/>
    <w:qFormat/>
    <w:uiPriority w:val="0"/>
    <w:rPr>
      <w:rFonts w:ascii="宋体" w:hAnsi="宋体"/>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18198</Words>
  <Characters>22336</Characters>
  <Lines>218</Lines>
  <Paragraphs>61</Paragraphs>
  <TotalTime>21</TotalTime>
  <ScaleCrop>false</ScaleCrop>
  <LinksUpToDate>false</LinksUpToDate>
  <CharactersWithSpaces>22985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2022-08-23T03:35:00Z</cp:lastPrinted>
  <dcterms:modified xsi:type="dcterms:W3CDTF">2022-09-02T06:46:59Z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B23B27CB566D447B8CB5B56024A92948</vt:lpwstr>
  </property>
</Properties>
</file>