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jc w:val="center"/>
        <w:rPr>
          <w:sz w:val="56"/>
          <w:szCs w:val="56"/>
        </w:rPr>
      </w:pPr>
    </w:p>
    <w:p>
      <w:pPr>
        <w:pStyle w:val="24"/>
        <w:jc w:val="center"/>
        <w:rPr>
          <w:sz w:val="56"/>
          <w:szCs w:val="56"/>
        </w:rPr>
      </w:pPr>
    </w:p>
    <w:p>
      <w:pPr>
        <w:pStyle w:val="24"/>
        <w:jc w:val="center"/>
        <w:rPr>
          <w:sz w:val="84"/>
          <w:szCs w:val="84"/>
        </w:rPr>
      </w:pPr>
    </w:p>
    <w:p>
      <w:pPr>
        <w:pStyle w:val="24"/>
        <w:jc w:val="center"/>
        <w:rPr>
          <w:sz w:val="84"/>
          <w:szCs w:val="84"/>
        </w:rPr>
      </w:pPr>
    </w:p>
    <w:p>
      <w:pPr>
        <w:pStyle w:val="24"/>
        <w:jc w:val="center"/>
        <w:rPr>
          <w:b/>
          <w:sz w:val="84"/>
          <w:szCs w:val="84"/>
        </w:rPr>
      </w:pPr>
      <w:r>
        <w:rPr>
          <w:rFonts w:hint="eastAsia"/>
          <w:b/>
          <w:sz w:val="84"/>
          <w:szCs w:val="84"/>
        </w:rPr>
        <w:t>2021年度</w:t>
      </w:r>
    </w:p>
    <w:p>
      <w:pPr>
        <w:pStyle w:val="24"/>
        <w:jc w:val="center"/>
        <w:rPr>
          <w:b/>
          <w:sz w:val="84"/>
          <w:szCs w:val="84"/>
        </w:rPr>
      </w:pPr>
      <w:r>
        <w:rPr>
          <w:rFonts w:hint="eastAsia"/>
          <w:b/>
          <w:sz w:val="84"/>
          <w:szCs w:val="84"/>
        </w:rPr>
        <w:t>湘乡市林业局（本级）</w:t>
      </w:r>
    </w:p>
    <w:p>
      <w:pPr>
        <w:pStyle w:val="24"/>
        <w:jc w:val="center"/>
        <w:rPr>
          <w:b/>
          <w:sz w:val="84"/>
          <w:szCs w:val="84"/>
        </w:rPr>
      </w:pPr>
      <w:r>
        <w:rPr>
          <w:rFonts w:hint="eastAsia"/>
          <w:b/>
          <w:sz w:val="84"/>
          <w:szCs w:val="84"/>
        </w:rPr>
        <w:t>部门决算</w:t>
      </w:r>
    </w:p>
    <w:p>
      <w:pPr>
        <w:pStyle w:val="24"/>
        <w:jc w:val="center"/>
        <w:rPr>
          <w:sz w:val="56"/>
          <w:szCs w:val="56"/>
        </w:rPr>
      </w:pPr>
    </w:p>
    <w:p>
      <w:pPr>
        <w:pStyle w:val="24"/>
        <w:jc w:val="center"/>
        <w:rPr>
          <w:sz w:val="56"/>
          <w:szCs w:val="56"/>
        </w:rPr>
      </w:pPr>
    </w:p>
    <w:p>
      <w:pPr>
        <w:pStyle w:val="24"/>
        <w:jc w:val="center"/>
        <w:rPr>
          <w:sz w:val="56"/>
          <w:szCs w:val="56"/>
        </w:rPr>
      </w:pPr>
    </w:p>
    <w:p>
      <w:pPr>
        <w:pStyle w:val="24"/>
        <w:jc w:val="center"/>
        <w:rPr>
          <w:sz w:val="56"/>
          <w:szCs w:val="56"/>
        </w:rPr>
      </w:pPr>
    </w:p>
    <w:p>
      <w:pPr>
        <w:pStyle w:val="24"/>
        <w:jc w:val="center"/>
        <w:rPr>
          <w:sz w:val="32"/>
          <w:szCs w:val="32"/>
        </w:rPr>
      </w:pPr>
    </w:p>
    <w:p>
      <w:pPr>
        <w:pStyle w:val="24"/>
        <w:jc w:val="center"/>
        <w:rPr>
          <w:sz w:val="32"/>
          <w:szCs w:val="32"/>
        </w:rPr>
      </w:pPr>
    </w:p>
    <w:p>
      <w:pPr>
        <w:pStyle w:val="24"/>
        <w:spacing w:line="500" w:lineRule="exact"/>
        <w:rPr>
          <w:sz w:val="32"/>
          <w:szCs w:val="32"/>
        </w:rPr>
      </w:pPr>
    </w:p>
    <w:p>
      <w:pPr>
        <w:pStyle w:val="24"/>
        <w:spacing w:line="460" w:lineRule="exact"/>
        <w:ind w:firstLine="3975" w:firstLineChars="1100"/>
        <w:rPr>
          <w:b/>
          <w:sz w:val="36"/>
          <w:szCs w:val="28"/>
        </w:rPr>
      </w:pPr>
      <w:r>
        <w:rPr>
          <w:rFonts w:hint="eastAsia"/>
          <w:b/>
          <w:sz w:val="36"/>
          <w:szCs w:val="28"/>
        </w:rPr>
        <w:t>目   录</w:t>
      </w:r>
    </w:p>
    <w:p>
      <w:pPr>
        <w:pStyle w:val="24"/>
        <w:spacing w:line="460" w:lineRule="exact"/>
        <w:rPr>
          <w:rFonts w:ascii="仿宋_GB2312" w:hAnsi="仿宋_GB2312" w:cs="仿宋_GB2312"/>
          <w:b/>
          <w:sz w:val="28"/>
          <w:szCs w:val="28"/>
        </w:rPr>
      </w:pPr>
      <w:r>
        <w:rPr>
          <w:rFonts w:hint="eastAsia"/>
          <w:b/>
          <w:sz w:val="28"/>
          <w:szCs w:val="28"/>
        </w:rPr>
        <w:t>第一部分</w:t>
      </w:r>
      <w:r>
        <w:rPr>
          <w:rFonts w:hint="eastAsia" w:asciiTheme="minorEastAsia" w:hAnsiTheme="minorEastAsia" w:eastAsiaTheme="minorEastAsia" w:cstheme="minorEastAsia"/>
          <w:b/>
          <w:color w:val="auto"/>
          <w:sz w:val="28"/>
          <w:szCs w:val="28"/>
        </w:rPr>
        <w:t>湘乡市林业局</w:t>
      </w:r>
      <w:r>
        <w:rPr>
          <w:rFonts w:hint="eastAsia"/>
          <w:b/>
          <w:sz w:val="28"/>
          <w:szCs w:val="28"/>
        </w:rPr>
        <w:t>单位概况</w:t>
      </w:r>
    </w:p>
    <w:p>
      <w:pPr>
        <w:pStyle w:val="24"/>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24"/>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24"/>
        <w:spacing w:line="46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24"/>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24"/>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24"/>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24"/>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24"/>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24"/>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24"/>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24"/>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24"/>
        <w:spacing w:line="46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24"/>
        <w:spacing w:line="46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24"/>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46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46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46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46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46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46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24"/>
        <w:spacing w:line="46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24"/>
        <w:spacing w:line="46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46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46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rPr>
          <w:sz w:val="72"/>
          <w:szCs w:val="72"/>
        </w:rPr>
      </w:pPr>
    </w:p>
    <w:p>
      <w:pPr>
        <w:rPr>
          <w:sz w:val="72"/>
          <w:szCs w:val="72"/>
        </w:rPr>
      </w:pPr>
    </w:p>
    <w:p>
      <w:pPr>
        <w:pStyle w:val="24"/>
        <w:jc w:val="center"/>
        <w:rPr>
          <w:b/>
          <w:sz w:val="72"/>
          <w:szCs w:val="72"/>
        </w:rPr>
      </w:pPr>
      <w:r>
        <w:rPr>
          <w:rFonts w:hint="eastAsia"/>
          <w:b/>
          <w:sz w:val="72"/>
          <w:szCs w:val="72"/>
        </w:rPr>
        <w:t>第一部分</w:t>
      </w:r>
    </w:p>
    <w:p>
      <w:pPr>
        <w:pStyle w:val="24"/>
        <w:jc w:val="center"/>
        <w:rPr>
          <w:b/>
          <w:sz w:val="72"/>
          <w:szCs w:val="72"/>
        </w:rPr>
      </w:pPr>
    </w:p>
    <w:p>
      <w:pPr>
        <w:pStyle w:val="24"/>
        <w:jc w:val="center"/>
        <w:rPr>
          <w:b/>
          <w:sz w:val="72"/>
          <w:szCs w:val="72"/>
        </w:rPr>
      </w:pPr>
      <w:r>
        <w:rPr>
          <w:rFonts w:hint="eastAsia"/>
          <w:b/>
          <w:sz w:val="72"/>
          <w:szCs w:val="72"/>
        </w:rPr>
        <w:t>湘乡市林业局单位概况</w:t>
      </w:r>
    </w:p>
    <w:p>
      <w:pPr>
        <w:jc w:val="center"/>
        <w:rPr>
          <w:b/>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25"/>
        <w:ind w:left="720" w:firstLine="0" w:firstLineChars="0"/>
        <w:jc w:val="left"/>
        <w:rPr>
          <w:rFonts w:ascii="黑体" w:hAnsi="黑体" w:eastAsia="黑体"/>
          <w:sz w:val="32"/>
          <w:szCs w:val="32"/>
        </w:rPr>
      </w:pPr>
    </w:p>
    <w:p>
      <w:pPr>
        <w:pStyle w:val="25"/>
        <w:ind w:left="720" w:firstLine="0" w:firstLineChars="0"/>
        <w:jc w:val="left"/>
        <w:rPr>
          <w:rFonts w:ascii="黑体" w:hAnsi="黑体" w:eastAsia="黑体"/>
          <w:sz w:val="32"/>
          <w:szCs w:val="32"/>
        </w:rPr>
      </w:pPr>
    </w:p>
    <w:p>
      <w:pPr>
        <w:pStyle w:val="25"/>
        <w:ind w:left="720" w:firstLine="0" w:firstLineChars="0"/>
        <w:jc w:val="left"/>
        <w:rPr>
          <w:rFonts w:ascii="黑体" w:hAnsi="黑体" w:eastAsia="黑体"/>
          <w:sz w:val="32"/>
          <w:szCs w:val="32"/>
        </w:rPr>
      </w:pPr>
    </w:p>
    <w:p>
      <w:pPr>
        <w:pStyle w:val="25"/>
        <w:ind w:left="720" w:firstLine="0" w:firstLineChars="0"/>
        <w:jc w:val="left"/>
        <w:rPr>
          <w:rFonts w:ascii="黑体" w:hAnsi="黑体" w:eastAsia="黑体"/>
          <w:sz w:val="32"/>
          <w:szCs w:val="32"/>
        </w:rPr>
      </w:pPr>
    </w:p>
    <w:p>
      <w:pPr>
        <w:pStyle w:val="25"/>
        <w:numPr>
          <w:ilvl w:val="0"/>
          <w:numId w:val="3"/>
        </w:numPr>
        <w:spacing w:line="580" w:lineRule="exact"/>
        <w:ind w:firstLineChars="0"/>
        <w:jc w:val="left"/>
        <w:rPr>
          <w:rFonts w:ascii="黑体" w:hAnsi="黑体" w:eastAsia="黑体"/>
          <w:sz w:val="28"/>
          <w:szCs w:val="28"/>
        </w:rPr>
      </w:pPr>
      <w:r>
        <w:rPr>
          <w:rFonts w:ascii="黑体" w:hAnsi="黑体" w:eastAsia="黑体"/>
          <w:sz w:val="28"/>
          <w:szCs w:val="28"/>
        </w:rPr>
        <w:t>部门职责</w:t>
      </w:r>
    </w:p>
    <w:p>
      <w:pPr>
        <w:spacing w:line="580" w:lineRule="exact"/>
        <w:ind w:firstLine="560" w:firstLineChars="200"/>
        <w:jc w:val="left"/>
        <w:rPr>
          <w:rFonts w:asciiTheme="minorEastAsia" w:hAnsiTheme="minorEastAsia"/>
          <w:bCs/>
          <w:kern w:val="0"/>
          <w:sz w:val="28"/>
          <w:szCs w:val="28"/>
        </w:rPr>
      </w:pPr>
      <w:r>
        <w:rPr>
          <w:rFonts w:hint="eastAsia" w:asciiTheme="minorEastAsia" w:hAnsiTheme="minorEastAsia"/>
          <w:bCs/>
          <w:kern w:val="0"/>
          <w:sz w:val="28"/>
          <w:szCs w:val="28"/>
        </w:rPr>
        <w:t>林业局为财政全额预算拨款的行政单位。主要职责是：负责全市林业及生态保护修复的监督管理；组织全市林业生态保护修复和造林绿化工作，承担市绿化委员会的具体工作；负责全市森林、湿地资源的监督管理；负责监督管理全市石漠化防治工作；负责全市陆生野生动植物资源监督管理；负责监督管理全市各类自然保护地；负责森林防火和森林病虫害防治及林木检疫工作；负责依法对木材、竹材、竹副产品、野生动植物的运输实施监督管理；负责全市全民义务植树的组织管理；指导各类商品林、生态公益林和风景林、苗木花卉和干鲜水果的发展和培育，保护好国家级、省级、地（市）级、市（县）级生态公益林；指导全市集体林和成片自留山的伐区设计，盗伐、滥伐、火灾案件的技术鉴定；指导征占用林地及大型林业经营企业的规划可行性论证；负责指导本局所属场、所、站工作和森林公园、湿地公园监督管理工作；完成市委、市政府交办的其他工作。</w:t>
      </w:r>
    </w:p>
    <w:p>
      <w:pPr>
        <w:widowControl/>
        <w:spacing w:line="580" w:lineRule="exact"/>
        <w:ind w:firstLine="560" w:firstLineChars="200"/>
        <w:rPr>
          <w:rFonts w:ascii="黑体" w:hAnsi="黑体" w:eastAsia="黑体"/>
          <w:bCs/>
          <w:kern w:val="0"/>
          <w:sz w:val="28"/>
          <w:szCs w:val="28"/>
        </w:rPr>
      </w:pPr>
      <w:r>
        <w:rPr>
          <w:rFonts w:hint="eastAsia" w:ascii="黑体" w:hAnsi="黑体" w:eastAsia="黑体"/>
          <w:bCs/>
          <w:kern w:val="0"/>
          <w:sz w:val="28"/>
          <w:szCs w:val="28"/>
        </w:rPr>
        <w:t>二、机构设置及决算单位构成</w:t>
      </w:r>
    </w:p>
    <w:p>
      <w:pPr>
        <w:widowControl/>
        <w:spacing w:line="580" w:lineRule="exact"/>
        <w:ind w:firstLine="562" w:firstLineChars="200"/>
        <w:rPr>
          <w:rFonts w:asciiTheme="minorEastAsia" w:hAnsiTheme="minorEastAsia"/>
          <w:b/>
          <w:bCs/>
          <w:kern w:val="0"/>
          <w:sz w:val="28"/>
          <w:szCs w:val="28"/>
        </w:rPr>
      </w:pPr>
      <w:r>
        <w:rPr>
          <w:rFonts w:hint="eastAsia" w:asciiTheme="minorEastAsia" w:hAnsiTheme="minorEastAsia"/>
          <w:b/>
          <w:bCs/>
          <w:kern w:val="0"/>
          <w:sz w:val="28"/>
          <w:szCs w:val="28"/>
        </w:rPr>
        <w:t>（一）内设机构设置</w:t>
      </w:r>
    </w:p>
    <w:p>
      <w:pPr>
        <w:widowControl/>
        <w:spacing w:line="580" w:lineRule="exact"/>
        <w:ind w:firstLine="560" w:firstLineChars="200"/>
        <w:rPr>
          <w:rFonts w:asciiTheme="minorEastAsia" w:hAnsiTheme="minorEastAsia"/>
          <w:bCs/>
          <w:kern w:val="0"/>
          <w:sz w:val="28"/>
          <w:szCs w:val="28"/>
        </w:rPr>
      </w:pPr>
      <w:r>
        <w:rPr>
          <w:rFonts w:hint="eastAsia" w:asciiTheme="minorEastAsia" w:hAnsiTheme="minorEastAsia"/>
          <w:bCs/>
          <w:kern w:val="0"/>
          <w:sz w:val="28"/>
          <w:szCs w:val="28"/>
        </w:rPr>
        <w:t>湘乡市林业局内设机构包括：办公室、造林绿化股（市绿化委员会办公室）、资源管理法规股（审批股务股）、林业生态安全股、行政执法股、规划财务股、党建办公室（人事股）、森林防火股、林业技术服务中心、壶天木材检查站、城区林业中心站。机关现有在职人员55人，离休1人，退休29人；公务用车2辆，特种用途车1辆。</w:t>
      </w:r>
    </w:p>
    <w:p>
      <w:pPr>
        <w:widowControl/>
        <w:spacing w:line="580" w:lineRule="exact"/>
        <w:ind w:firstLine="562" w:firstLineChars="200"/>
        <w:rPr>
          <w:rFonts w:asciiTheme="minorEastAsia" w:hAnsiTheme="minorEastAsia"/>
          <w:b/>
          <w:bCs/>
          <w:kern w:val="0"/>
          <w:sz w:val="28"/>
          <w:szCs w:val="28"/>
        </w:rPr>
      </w:pPr>
      <w:r>
        <w:rPr>
          <w:rFonts w:hint="eastAsia" w:asciiTheme="minorEastAsia" w:hAnsiTheme="minorEastAsia"/>
          <w:b/>
          <w:bCs/>
          <w:kern w:val="0"/>
          <w:sz w:val="28"/>
          <w:szCs w:val="28"/>
        </w:rPr>
        <w:t>（二）决算单位构成</w:t>
      </w:r>
    </w:p>
    <w:p>
      <w:pPr>
        <w:widowControl/>
        <w:spacing w:line="580" w:lineRule="exact"/>
        <w:ind w:firstLine="560" w:firstLineChars="200"/>
        <w:rPr>
          <w:rFonts w:asciiTheme="minorEastAsia" w:hAnsiTheme="minorEastAsia"/>
          <w:bCs/>
          <w:kern w:val="0"/>
          <w:sz w:val="28"/>
          <w:szCs w:val="28"/>
        </w:rPr>
      </w:pPr>
      <w:r>
        <w:rPr>
          <w:rFonts w:hint="eastAsia" w:asciiTheme="minorEastAsia" w:hAnsiTheme="minorEastAsia"/>
          <w:bCs/>
          <w:kern w:val="0"/>
          <w:sz w:val="28"/>
          <w:szCs w:val="28"/>
        </w:rPr>
        <w:t>湘乡市林业局</w:t>
      </w:r>
      <w:r>
        <w:rPr>
          <w:rFonts w:asciiTheme="minorEastAsia" w:hAnsiTheme="minorEastAsia"/>
          <w:bCs/>
          <w:kern w:val="0"/>
          <w:sz w:val="28"/>
          <w:szCs w:val="28"/>
        </w:rPr>
        <w:t>20</w:t>
      </w:r>
      <w:r>
        <w:rPr>
          <w:rFonts w:hint="eastAsia" w:asciiTheme="minorEastAsia" w:hAnsiTheme="minorEastAsia"/>
          <w:bCs/>
          <w:kern w:val="0"/>
          <w:sz w:val="28"/>
          <w:szCs w:val="28"/>
        </w:rPr>
        <w:t>21年部门决算公开单位构成包括：湘乡市林业局本级。</w:t>
      </w:r>
    </w:p>
    <w:p>
      <w:pPr>
        <w:jc w:val="center"/>
        <w:rPr>
          <w:rFonts w:ascii="黑体" w:hAnsi="黑体" w:eastAsia="黑体"/>
          <w:sz w:val="28"/>
          <w:szCs w:val="28"/>
        </w:rPr>
      </w:pPr>
    </w:p>
    <w:p>
      <w:pPr>
        <w:jc w:val="center"/>
        <w:rPr>
          <w:rFonts w:hint="eastAsia" w:ascii="黑体" w:hAnsi="黑体" w:eastAsia="黑体"/>
          <w:sz w:val="28"/>
          <w:szCs w:val="28"/>
        </w:rPr>
      </w:pPr>
    </w:p>
    <w:p>
      <w:pPr>
        <w:jc w:val="center"/>
        <w:rPr>
          <w:rFonts w:hint="eastAsia"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b/>
          <w:sz w:val="72"/>
          <w:szCs w:val="72"/>
        </w:rPr>
      </w:pPr>
      <w:r>
        <w:rPr>
          <w:rFonts w:hint="eastAsia" w:ascii="黑体" w:hAnsi="黑体" w:eastAsia="黑体"/>
          <w:b/>
          <w:sz w:val="72"/>
          <w:szCs w:val="72"/>
        </w:rPr>
        <w:t>第二部分</w:t>
      </w:r>
    </w:p>
    <w:p>
      <w:pPr>
        <w:jc w:val="center"/>
        <w:rPr>
          <w:rFonts w:ascii="黑体" w:hAnsi="黑体" w:eastAsia="黑体"/>
          <w:b/>
          <w:sz w:val="72"/>
          <w:szCs w:val="72"/>
        </w:rPr>
      </w:pPr>
    </w:p>
    <w:p>
      <w:pPr>
        <w:jc w:val="center"/>
        <w:rPr>
          <w:rFonts w:ascii="黑体" w:hAnsi="黑体" w:eastAsia="黑体"/>
          <w:b/>
          <w:sz w:val="72"/>
          <w:szCs w:val="72"/>
        </w:rPr>
      </w:pPr>
      <w:r>
        <w:rPr>
          <w:rFonts w:hint="eastAsia" w:ascii="黑体" w:hAnsi="黑体" w:eastAsia="黑体"/>
          <w:b/>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1440" w:right="1800" w:bottom="1440" w:left="1800" w:header="851" w:footer="992" w:gutter="0"/>
          <w:cols w:space="425" w:num="1"/>
          <w:docGrid w:type="lines" w:linePitch="312" w:charSpace="0"/>
        </w:sectPr>
      </w:pPr>
    </w:p>
    <w:tbl>
      <w:tblPr>
        <w:tblStyle w:val="20"/>
        <w:tblW w:w="15041" w:type="dxa"/>
        <w:tblInd w:w="93" w:type="dxa"/>
        <w:tblLayout w:type="fixed"/>
        <w:tblCellMar>
          <w:top w:w="0" w:type="dxa"/>
          <w:left w:w="108" w:type="dxa"/>
          <w:bottom w:w="0" w:type="dxa"/>
          <w:right w:w="108" w:type="dxa"/>
        </w:tblCellMar>
      </w:tblPr>
      <w:tblGrid>
        <w:gridCol w:w="4410"/>
        <w:gridCol w:w="272"/>
        <w:gridCol w:w="620"/>
        <w:gridCol w:w="2793"/>
        <w:gridCol w:w="2799"/>
        <w:gridCol w:w="620"/>
        <w:gridCol w:w="408"/>
        <w:gridCol w:w="851"/>
        <w:gridCol w:w="2268"/>
      </w:tblGrid>
      <w:tr>
        <w:tblPrEx>
          <w:tblLayout w:type="fixed"/>
          <w:tblCellMar>
            <w:top w:w="0" w:type="dxa"/>
            <w:left w:w="108" w:type="dxa"/>
            <w:bottom w:w="0" w:type="dxa"/>
            <w:right w:w="108" w:type="dxa"/>
          </w:tblCellMar>
        </w:tblPrEx>
        <w:trPr>
          <w:trHeight w:val="390" w:hRule="atLeast"/>
        </w:trPr>
        <w:tc>
          <w:tcPr>
            <w:tcW w:w="15041" w:type="dxa"/>
            <w:gridSpan w:val="9"/>
            <w:tcBorders>
              <w:top w:val="nil"/>
              <w:left w:val="nil"/>
              <w:bottom w:val="nil"/>
              <w:right w:val="nil"/>
            </w:tcBorders>
            <w:shd w:val="clear" w:color="000000" w:fill="FFFFFF"/>
            <w:noWrap/>
            <w:vAlign w:val="bottom"/>
          </w:tcPr>
          <w:p>
            <w:pPr>
              <w:widowControl/>
              <w:jc w:val="center"/>
              <w:rPr>
                <w:rFonts w:ascii="宋体" w:hAnsi="宋体" w:eastAsia="宋体" w:cs="Arial"/>
                <w:b/>
                <w:color w:val="000000"/>
                <w:kern w:val="0"/>
                <w:sz w:val="30"/>
                <w:szCs w:val="30"/>
              </w:rPr>
            </w:pPr>
            <w:r>
              <w:rPr>
                <w:rFonts w:hint="eastAsia" w:ascii="宋体" w:hAnsi="宋体" w:eastAsia="宋体" w:cs="Arial"/>
                <w:b/>
                <w:color w:val="000000"/>
                <w:kern w:val="0"/>
                <w:sz w:val="30"/>
                <w:szCs w:val="30"/>
              </w:rPr>
              <w:t>收入支出决算总表</w:t>
            </w:r>
          </w:p>
        </w:tc>
      </w:tr>
      <w:tr>
        <w:tblPrEx>
          <w:tblLayout w:type="fixed"/>
          <w:tblCellMar>
            <w:top w:w="0" w:type="dxa"/>
            <w:left w:w="108" w:type="dxa"/>
            <w:bottom w:w="0" w:type="dxa"/>
            <w:right w:w="108" w:type="dxa"/>
          </w:tblCellMar>
        </w:tblPrEx>
        <w:trPr>
          <w:trHeight w:val="255" w:hRule="atLeast"/>
        </w:trPr>
        <w:tc>
          <w:tcPr>
            <w:tcW w:w="4682" w:type="dxa"/>
            <w:gridSpan w:val="2"/>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62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2793"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2799"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62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3527" w:type="dxa"/>
            <w:gridSpan w:val="3"/>
            <w:tcBorders>
              <w:top w:val="nil"/>
              <w:left w:val="nil"/>
              <w:bottom w:val="nil"/>
              <w:right w:val="nil"/>
            </w:tcBorders>
            <w:shd w:val="clear" w:color="000000" w:fill="FFFFFF"/>
            <w:noWrap/>
            <w:vAlign w:val="bottom"/>
          </w:tcPr>
          <w:p>
            <w:pPr>
              <w:widowControl/>
              <w:spacing w:line="400" w:lineRule="exact"/>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公开01表</w:t>
            </w:r>
          </w:p>
        </w:tc>
      </w:tr>
      <w:tr>
        <w:tblPrEx>
          <w:tblLayout w:type="fixed"/>
          <w:tblCellMar>
            <w:top w:w="0" w:type="dxa"/>
            <w:left w:w="108" w:type="dxa"/>
            <w:bottom w:w="0" w:type="dxa"/>
            <w:right w:w="108" w:type="dxa"/>
          </w:tblCellMar>
        </w:tblPrEx>
        <w:trPr>
          <w:trHeight w:val="255" w:hRule="atLeast"/>
        </w:trPr>
        <w:tc>
          <w:tcPr>
            <w:tcW w:w="4682" w:type="dxa"/>
            <w:gridSpan w:val="2"/>
            <w:tcBorders>
              <w:top w:val="nil"/>
              <w:left w:val="nil"/>
              <w:bottom w:val="nil"/>
              <w:right w:val="nil"/>
            </w:tcBorders>
            <w:shd w:val="clear" w:color="000000" w:fill="FFFFFF"/>
            <w:noWrap/>
            <w:vAlign w:val="bottom"/>
          </w:tcPr>
          <w:p>
            <w:pPr>
              <w:widowControl/>
              <w:spacing w:line="400" w:lineRule="exact"/>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部门：湘乡市林业局（本级）</w:t>
            </w:r>
          </w:p>
        </w:tc>
        <w:tc>
          <w:tcPr>
            <w:tcW w:w="62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2793"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2799"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62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3527" w:type="dxa"/>
            <w:gridSpan w:val="3"/>
            <w:tcBorders>
              <w:top w:val="nil"/>
              <w:left w:val="nil"/>
              <w:bottom w:val="nil"/>
              <w:right w:val="nil"/>
            </w:tcBorders>
            <w:shd w:val="clear" w:color="000000" w:fill="FFFFFF"/>
            <w:noWrap/>
            <w:vAlign w:val="bottom"/>
          </w:tcPr>
          <w:p>
            <w:pPr>
              <w:widowControl/>
              <w:spacing w:line="400" w:lineRule="exact"/>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Layout w:type="fixed"/>
          <w:tblCellMar>
            <w:top w:w="0" w:type="dxa"/>
            <w:left w:w="108" w:type="dxa"/>
            <w:bottom w:w="0" w:type="dxa"/>
            <w:right w:w="108" w:type="dxa"/>
          </w:tblCellMar>
        </w:tblPrEx>
        <w:trPr>
          <w:trHeight w:val="308" w:hRule="atLeast"/>
        </w:trPr>
        <w:tc>
          <w:tcPr>
            <w:tcW w:w="8095" w:type="dxa"/>
            <w:gridSpan w:val="4"/>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收入</w:t>
            </w:r>
          </w:p>
        </w:tc>
        <w:tc>
          <w:tcPr>
            <w:tcW w:w="6946" w:type="dxa"/>
            <w:gridSpan w:val="5"/>
            <w:tcBorders>
              <w:top w:val="single" w:color="000000" w:sz="4" w:space="0"/>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支出</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行次</w:t>
            </w:r>
          </w:p>
        </w:tc>
        <w:tc>
          <w:tcPr>
            <w:tcW w:w="2793"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金额</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行次</w:t>
            </w:r>
          </w:p>
        </w:tc>
        <w:tc>
          <w:tcPr>
            <w:tcW w:w="2268"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金额</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　</w:t>
            </w:r>
          </w:p>
        </w:tc>
        <w:tc>
          <w:tcPr>
            <w:tcW w:w="2793"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　</w:t>
            </w:r>
          </w:p>
        </w:tc>
        <w:tc>
          <w:tcPr>
            <w:tcW w:w="2268"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一、一般公共预算财政拨款收入</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2,977.45</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一、一般公共服务支出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32</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二、政府性基金预算财政拨款收入</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二、外交支出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33</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三、国有资本经营预算财政拨款收入</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三、国防支出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34</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四、上级补助收入</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四、公共安全支出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35</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五、事业收入</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五、教育支出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36</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六、经营收入</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6</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六、科学技术支出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37</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七、附属单位上缴收入</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7</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七、文化旅游体育与传媒支出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38</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八、其他收入</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8</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78.11</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八、社会保障和就业支出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39</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79.26</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9</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九、卫生健康支出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40</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10</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十、节能环保支出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41</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486.56</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11</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十一、城乡社区支出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42</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12</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十二、农林水支出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43</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2,569.34</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13</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十三、交通运输支出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44</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14</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十四、资源勘探工业信息等支出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45</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15</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十五、商业服务业等支出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46</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16</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十六、金融支出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47</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17</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十七、援助其他地区支出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48</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18</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十八、自然资源海洋气象等支出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49</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19</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十九、住房保障支出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50</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20</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二十、粮油物资储备支出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51</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21</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二十一、国有资本经营预算支出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52</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22</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二十二、灾害防治及应急管理支出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53</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23</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二十三、其他支出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54</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b/>
                <w:bCs/>
                <w:color w:val="000000"/>
                <w:kern w:val="0"/>
                <w:sz w:val="20"/>
                <w:szCs w:val="20"/>
              </w:rPr>
            </w:pPr>
            <w:r>
              <w:rPr>
                <w:rFonts w:hint="eastAsia" w:ascii="宋体" w:hAnsi="宋体" w:eastAsia="宋体" w:cs="Arial"/>
                <w:b/>
                <w:bCs/>
                <w:color w:val="000000"/>
                <w:kern w:val="0"/>
                <w:sz w:val="20"/>
                <w:szCs w:val="20"/>
              </w:rPr>
              <w:t>　</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0"/>
                <w:szCs w:val="20"/>
              </w:rPr>
            </w:pPr>
            <w:r>
              <w:rPr>
                <w:rFonts w:hint="eastAsia" w:ascii="宋体" w:hAnsi="宋体" w:eastAsia="宋体" w:cs="Arial"/>
                <w:color w:val="000000"/>
                <w:kern w:val="0"/>
                <w:sz w:val="20"/>
                <w:szCs w:val="20"/>
              </w:rPr>
              <w:t>24</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二十四、债务还本支出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55</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0"/>
                <w:szCs w:val="20"/>
              </w:rPr>
            </w:pPr>
            <w:r>
              <w:rPr>
                <w:rFonts w:hint="eastAsia" w:ascii="宋体" w:hAnsi="宋体" w:eastAsia="宋体" w:cs="Arial"/>
                <w:color w:val="000000"/>
                <w:kern w:val="0"/>
                <w:sz w:val="20"/>
                <w:szCs w:val="20"/>
              </w:rPr>
              <w:t>25</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二十五、债务付息支出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56</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0"/>
                <w:szCs w:val="20"/>
              </w:rPr>
            </w:pPr>
            <w:r>
              <w:rPr>
                <w:rFonts w:hint="eastAsia" w:ascii="宋体" w:hAnsi="宋体" w:eastAsia="宋体" w:cs="Arial"/>
                <w:color w:val="000000"/>
                <w:kern w:val="0"/>
                <w:sz w:val="20"/>
                <w:szCs w:val="20"/>
              </w:rPr>
              <w:t>26</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二十六、抗疫特别国债安排的支出</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57</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b/>
                <w:bCs/>
                <w:color w:val="000000"/>
                <w:kern w:val="0"/>
                <w:sz w:val="22"/>
              </w:rPr>
            </w:pPr>
            <w:r>
              <w:rPr>
                <w:rFonts w:hint="eastAsia" w:ascii="宋体" w:hAnsi="宋体" w:eastAsia="宋体" w:cs="Arial"/>
                <w:b/>
                <w:bCs/>
                <w:color w:val="000000"/>
                <w:kern w:val="0"/>
                <w:sz w:val="22"/>
              </w:rPr>
              <w:t>本年收入合计</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27</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3,055.56</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b/>
                <w:bCs/>
                <w:color w:val="000000"/>
                <w:kern w:val="0"/>
                <w:sz w:val="22"/>
              </w:rPr>
            </w:pPr>
            <w:r>
              <w:rPr>
                <w:rFonts w:hint="eastAsia" w:ascii="宋体" w:hAnsi="宋体" w:eastAsia="宋体" w:cs="Arial"/>
                <w:b/>
                <w:bCs/>
                <w:color w:val="000000"/>
                <w:kern w:val="0"/>
                <w:sz w:val="22"/>
              </w:rPr>
              <w:t>本年支出合计</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58</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3,222.23</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使用非财政拨款结余</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28</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结余分配</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59</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年初结转和结余</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29</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521.72</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年末结转和结余</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60</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355.05</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30</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61</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4410"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b/>
                <w:bCs/>
                <w:color w:val="000000"/>
                <w:kern w:val="0"/>
                <w:sz w:val="22"/>
              </w:rPr>
            </w:pPr>
            <w:r>
              <w:rPr>
                <w:rFonts w:hint="eastAsia" w:ascii="宋体" w:hAnsi="宋体" w:eastAsia="宋体" w:cs="Arial"/>
                <w:b/>
                <w:bCs/>
                <w:color w:val="000000"/>
                <w:kern w:val="0"/>
                <w:sz w:val="22"/>
              </w:rPr>
              <w:t>总计</w:t>
            </w:r>
          </w:p>
        </w:tc>
        <w:tc>
          <w:tcPr>
            <w:tcW w:w="8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31</w:t>
            </w:r>
          </w:p>
        </w:tc>
        <w:tc>
          <w:tcPr>
            <w:tcW w:w="27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3,577.28</w:t>
            </w:r>
          </w:p>
        </w:tc>
        <w:tc>
          <w:tcPr>
            <w:tcW w:w="3827"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b/>
                <w:bCs/>
                <w:color w:val="000000"/>
                <w:kern w:val="0"/>
                <w:sz w:val="22"/>
              </w:rPr>
            </w:pPr>
            <w:r>
              <w:rPr>
                <w:rFonts w:hint="eastAsia" w:ascii="宋体" w:hAnsi="宋体" w:eastAsia="宋体" w:cs="Arial"/>
                <w:b/>
                <w:bCs/>
                <w:color w:val="000000"/>
                <w:kern w:val="0"/>
                <w:sz w:val="22"/>
              </w:rPr>
              <w:t>总计</w:t>
            </w:r>
          </w:p>
        </w:tc>
        <w:tc>
          <w:tcPr>
            <w:tcW w:w="85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62</w:t>
            </w:r>
          </w:p>
        </w:tc>
        <w:tc>
          <w:tcPr>
            <w:tcW w:w="2268"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3,577.28</w:t>
            </w:r>
          </w:p>
        </w:tc>
      </w:tr>
      <w:tr>
        <w:tblPrEx>
          <w:tblLayout w:type="fixed"/>
          <w:tblCellMar>
            <w:top w:w="0" w:type="dxa"/>
            <w:left w:w="108" w:type="dxa"/>
            <w:bottom w:w="0" w:type="dxa"/>
            <w:right w:w="108" w:type="dxa"/>
          </w:tblCellMar>
        </w:tblPrEx>
        <w:trPr>
          <w:trHeight w:val="308" w:hRule="atLeast"/>
        </w:trPr>
        <w:tc>
          <w:tcPr>
            <w:tcW w:w="15041" w:type="dxa"/>
            <w:gridSpan w:val="9"/>
            <w:tcBorders>
              <w:top w:val="nil"/>
              <w:left w:val="nil"/>
              <w:bottom w:val="nil"/>
              <w:right w:val="nil"/>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注：1.本表反映部门本年度的总收支和年末结转结余情况。</w:t>
            </w:r>
          </w:p>
        </w:tc>
      </w:tr>
      <w:tr>
        <w:tblPrEx>
          <w:tblLayout w:type="fixed"/>
          <w:tblCellMar>
            <w:top w:w="0" w:type="dxa"/>
            <w:left w:w="108" w:type="dxa"/>
            <w:bottom w:w="0" w:type="dxa"/>
            <w:right w:w="108" w:type="dxa"/>
          </w:tblCellMar>
        </w:tblPrEx>
        <w:trPr>
          <w:trHeight w:val="308" w:hRule="atLeast"/>
        </w:trPr>
        <w:tc>
          <w:tcPr>
            <w:tcW w:w="15041" w:type="dxa"/>
            <w:gridSpan w:val="9"/>
            <w:tcBorders>
              <w:top w:val="nil"/>
              <w:left w:val="nil"/>
              <w:bottom w:val="nil"/>
              <w:right w:val="nil"/>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2.本套报表金额单位转换时可能存在尾数误差。</w:t>
            </w:r>
          </w:p>
        </w:tc>
      </w:tr>
    </w:tbl>
    <w:p>
      <w:pPr>
        <w:widowControl/>
        <w:spacing w:line="400" w:lineRule="exact"/>
        <w:ind w:left="93"/>
        <w:jc w:val="center"/>
        <w:rPr>
          <w:rFonts w:ascii="Times New Roman" w:hAnsi="Times New Roman" w:eastAsia="方正小标宋_GBK" w:cs="Times New Roman"/>
          <w:color w:val="000000"/>
          <w:kern w:val="0"/>
          <w:sz w:val="36"/>
          <w:szCs w:val="21"/>
        </w:rPr>
      </w:pPr>
    </w:p>
    <w:p>
      <w:pPr>
        <w:widowControl/>
        <w:spacing w:line="400" w:lineRule="exact"/>
        <w:ind w:left="93"/>
        <w:jc w:val="center"/>
        <w:rPr>
          <w:rFonts w:ascii="Times New Roman" w:hAnsi="Times New Roman" w:eastAsia="方正小标宋_GBK" w:cs="Times New Roman"/>
          <w:color w:val="000000"/>
          <w:kern w:val="0"/>
          <w:sz w:val="36"/>
          <w:szCs w:val="21"/>
        </w:rPr>
      </w:pPr>
    </w:p>
    <w:p>
      <w:pPr>
        <w:widowControl/>
        <w:spacing w:line="400" w:lineRule="exact"/>
        <w:ind w:left="93"/>
        <w:jc w:val="center"/>
        <w:rPr>
          <w:rFonts w:ascii="Times New Roman" w:hAnsi="Times New Roman" w:eastAsia="方正小标宋_GBK" w:cs="Times New Roman"/>
          <w:color w:val="000000"/>
          <w:kern w:val="0"/>
          <w:sz w:val="36"/>
          <w:szCs w:val="21"/>
        </w:rPr>
      </w:pPr>
    </w:p>
    <w:p>
      <w:pPr>
        <w:widowControl/>
        <w:spacing w:line="400" w:lineRule="exact"/>
        <w:ind w:left="93"/>
        <w:jc w:val="center"/>
        <w:rPr>
          <w:rFonts w:ascii="Times New Roman" w:hAnsi="Times New Roman" w:eastAsia="方正小标宋_GBK" w:cs="Times New Roman"/>
          <w:color w:val="000000"/>
          <w:kern w:val="0"/>
          <w:sz w:val="36"/>
          <w:szCs w:val="21"/>
        </w:rPr>
      </w:pPr>
    </w:p>
    <w:p>
      <w:pPr>
        <w:widowControl/>
        <w:spacing w:line="400" w:lineRule="exact"/>
        <w:ind w:left="93"/>
        <w:jc w:val="center"/>
        <w:rPr>
          <w:rFonts w:ascii="Times New Roman" w:hAnsi="Times New Roman" w:eastAsia="方正小标宋_GBK" w:cs="Times New Roman"/>
          <w:color w:val="000000"/>
          <w:kern w:val="0"/>
          <w:sz w:val="36"/>
          <w:szCs w:val="21"/>
        </w:rPr>
      </w:pPr>
    </w:p>
    <w:p>
      <w:pPr>
        <w:widowControl/>
        <w:spacing w:line="400" w:lineRule="exact"/>
        <w:ind w:left="93"/>
        <w:jc w:val="center"/>
        <w:rPr>
          <w:rFonts w:ascii="Times New Roman" w:hAnsi="Times New Roman" w:eastAsia="方正小标宋_GBK" w:cs="Times New Roman"/>
          <w:color w:val="000000"/>
          <w:kern w:val="0"/>
          <w:sz w:val="36"/>
          <w:szCs w:val="21"/>
        </w:rPr>
      </w:pPr>
    </w:p>
    <w:p>
      <w:pPr>
        <w:widowControl/>
        <w:spacing w:line="400" w:lineRule="exact"/>
        <w:ind w:left="93"/>
        <w:jc w:val="center"/>
        <w:rPr>
          <w:rFonts w:ascii="Times New Roman" w:hAnsi="Times New Roman" w:eastAsia="方正小标宋_GBK" w:cs="Times New Roman"/>
          <w:color w:val="000000"/>
          <w:kern w:val="0"/>
          <w:sz w:val="36"/>
          <w:szCs w:val="21"/>
        </w:rPr>
      </w:pPr>
    </w:p>
    <w:p>
      <w:pPr>
        <w:widowControl/>
        <w:spacing w:line="400" w:lineRule="exact"/>
        <w:ind w:left="93"/>
        <w:jc w:val="center"/>
        <w:rPr>
          <w:rFonts w:ascii="Times New Roman" w:hAnsi="Times New Roman" w:eastAsia="方正小标宋_GBK" w:cs="Times New Roman"/>
          <w:color w:val="000000"/>
          <w:kern w:val="0"/>
          <w:sz w:val="36"/>
          <w:szCs w:val="21"/>
        </w:rPr>
      </w:pPr>
    </w:p>
    <w:p>
      <w:pPr>
        <w:widowControl/>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20"/>
        <w:tblW w:w="14905" w:type="dxa"/>
        <w:tblInd w:w="93" w:type="dxa"/>
        <w:tblLayout w:type="fixed"/>
        <w:tblCellMar>
          <w:top w:w="0" w:type="dxa"/>
          <w:left w:w="108" w:type="dxa"/>
          <w:bottom w:w="0" w:type="dxa"/>
          <w:right w:w="108" w:type="dxa"/>
        </w:tblCellMar>
      </w:tblPr>
      <w:tblGrid>
        <w:gridCol w:w="401"/>
        <w:gridCol w:w="313"/>
        <w:gridCol w:w="272"/>
        <w:gridCol w:w="1014"/>
        <w:gridCol w:w="4678"/>
        <w:gridCol w:w="1275"/>
        <w:gridCol w:w="1276"/>
        <w:gridCol w:w="1134"/>
        <w:gridCol w:w="1134"/>
        <w:gridCol w:w="1134"/>
        <w:gridCol w:w="1134"/>
        <w:gridCol w:w="1140"/>
      </w:tblGrid>
      <w:tr>
        <w:tblPrEx>
          <w:tblLayout w:type="fixed"/>
          <w:tblCellMar>
            <w:top w:w="0" w:type="dxa"/>
            <w:left w:w="108" w:type="dxa"/>
            <w:bottom w:w="0" w:type="dxa"/>
            <w:right w:w="108" w:type="dxa"/>
          </w:tblCellMar>
        </w:tblPrEx>
        <w:trPr>
          <w:trHeight w:val="390" w:hRule="atLeast"/>
        </w:trPr>
        <w:tc>
          <w:tcPr>
            <w:tcW w:w="14905" w:type="dxa"/>
            <w:gridSpan w:val="12"/>
            <w:tcBorders>
              <w:top w:val="nil"/>
              <w:left w:val="nil"/>
              <w:bottom w:val="nil"/>
              <w:right w:val="nil"/>
            </w:tcBorders>
            <w:shd w:val="clear" w:color="000000" w:fill="FFFFFF"/>
            <w:noWrap/>
            <w:vAlign w:val="bottom"/>
          </w:tcPr>
          <w:p>
            <w:pPr>
              <w:widowControl/>
              <w:ind w:firstLine="6939" w:firstLineChars="2304"/>
              <w:rPr>
                <w:rFonts w:ascii="宋体" w:hAnsi="宋体" w:eastAsia="宋体" w:cs="Arial"/>
                <w:b/>
                <w:color w:val="000000"/>
                <w:kern w:val="0"/>
                <w:sz w:val="30"/>
                <w:szCs w:val="30"/>
              </w:rPr>
            </w:pPr>
            <w:bookmarkStart w:id="0" w:name="RANGE!A1:I22"/>
            <w:bookmarkEnd w:id="0"/>
            <w:bookmarkStart w:id="1" w:name="RANGE!A1:F16"/>
            <w:r>
              <w:rPr>
                <w:rFonts w:hint="eastAsia" w:ascii="宋体" w:hAnsi="宋体" w:eastAsia="宋体" w:cs="Arial"/>
                <w:b/>
                <w:color w:val="000000"/>
                <w:kern w:val="0"/>
                <w:sz w:val="30"/>
                <w:szCs w:val="30"/>
              </w:rPr>
              <w:t>收入决算表</w:t>
            </w:r>
          </w:p>
        </w:tc>
      </w:tr>
      <w:tr>
        <w:tblPrEx>
          <w:tblLayout w:type="fixed"/>
          <w:tblCellMar>
            <w:top w:w="0" w:type="dxa"/>
            <w:left w:w="108" w:type="dxa"/>
            <w:bottom w:w="0" w:type="dxa"/>
            <w:right w:w="108" w:type="dxa"/>
          </w:tblCellMar>
        </w:tblPrEx>
        <w:trPr>
          <w:trHeight w:val="255" w:hRule="atLeast"/>
        </w:trPr>
        <w:tc>
          <w:tcPr>
            <w:tcW w:w="401"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313"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272"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5692" w:type="dxa"/>
            <w:gridSpan w:val="2"/>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275"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276"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134"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134"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134"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134" w:type="dxa"/>
            <w:tcBorders>
              <w:top w:val="nil"/>
              <w:left w:val="nil"/>
              <w:bottom w:val="nil"/>
              <w:right w:val="nil"/>
            </w:tcBorders>
            <w:shd w:val="clear" w:color="000000" w:fill="FFFFFF"/>
            <w:noWrap/>
            <w:vAlign w:val="bottom"/>
          </w:tcPr>
          <w:p>
            <w:pPr>
              <w:widowControl/>
              <w:jc w:val="right"/>
              <w:rPr>
                <w:rFonts w:ascii="宋体" w:hAnsi="宋体" w:eastAsia="宋体" w:cs="Arial"/>
                <w:color w:val="000000"/>
                <w:kern w:val="0"/>
                <w:sz w:val="20"/>
                <w:szCs w:val="20"/>
              </w:rPr>
            </w:pPr>
          </w:p>
        </w:tc>
        <w:tc>
          <w:tcPr>
            <w:tcW w:w="1140" w:type="dxa"/>
            <w:tcBorders>
              <w:top w:val="nil"/>
              <w:left w:val="nil"/>
              <w:bottom w:val="nil"/>
              <w:right w:val="nil"/>
            </w:tcBorders>
            <w:shd w:val="clear" w:color="000000" w:fill="FFFFFF"/>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公开02表</w:t>
            </w:r>
          </w:p>
        </w:tc>
      </w:tr>
      <w:tr>
        <w:tblPrEx>
          <w:tblLayout w:type="fixed"/>
          <w:tblCellMar>
            <w:top w:w="0" w:type="dxa"/>
            <w:left w:w="108" w:type="dxa"/>
            <w:bottom w:w="0" w:type="dxa"/>
            <w:right w:w="108" w:type="dxa"/>
          </w:tblCellMar>
        </w:tblPrEx>
        <w:trPr>
          <w:trHeight w:val="255" w:hRule="atLeast"/>
        </w:trPr>
        <w:tc>
          <w:tcPr>
            <w:tcW w:w="9229" w:type="dxa"/>
            <w:gridSpan w:val="7"/>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部门单位</w:t>
            </w:r>
            <w:r>
              <w:rPr>
                <w:rFonts w:hint="eastAsia" w:ascii="Arial" w:hAnsi="Arial" w:eastAsia="宋体" w:cs="Arial"/>
                <w:color w:val="000000"/>
                <w:kern w:val="0"/>
                <w:sz w:val="20"/>
                <w:szCs w:val="20"/>
              </w:rPr>
              <w:t>：湘乡市林业局（本级）</w:t>
            </w:r>
          </w:p>
        </w:tc>
        <w:tc>
          <w:tcPr>
            <w:tcW w:w="1134"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p>
        </w:tc>
        <w:tc>
          <w:tcPr>
            <w:tcW w:w="4542" w:type="dxa"/>
            <w:gridSpan w:val="4"/>
            <w:tcBorders>
              <w:top w:val="nil"/>
              <w:left w:val="nil"/>
              <w:bottom w:val="nil"/>
            </w:tcBorders>
            <w:shd w:val="clear" w:color="000000" w:fill="FFFFFF"/>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Layout w:type="fixed"/>
          <w:tblCellMar>
            <w:top w:w="0" w:type="dxa"/>
            <w:left w:w="108" w:type="dxa"/>
            <w:bottom w:w="0" w:type="dxa"/>
            <w:right w:w="108" w:type="dxa"/>
          </w:tblCellMar>
        </w:tblPrEx>
        <w:trPr>
          <w:trHeight w:val="308" w:hRule="atLeast"/>
        </w:trPr>
        <w:tc>
          <w:tcPr>
            <w:tcW w:w="6678" w:type="dxa"/>
            <w:gridSpan w:val="5"/>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1275"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本年收入合计</w:t>
            </w:r>
          </w:p>
        </w:tc>
        <w:tc>
          <w:tcPr>
            <w:tcW w:w="1276"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财政拨款收入</w:t>
            </w:r>
          </w:p>
        </w:tc>
        <w:tc>
          <w:tcPr>
            <w:tcW w:w="1134"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上级补助收入</w:t>
            </w:r>
          </w:p>
        </w:tc>
        <w:tc>
          <w:tcPr>
            <w:tcW w:w="1134"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事业收入</w:t>
            </w:r>
          </w:p>
        </w:tc>
        <w:tc>
          <w:tcPr>
            <w:tcW w:w="1134"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经营收入</w:t>
            </w:r>
          </w:p>
        </w:tc>
        <w:tc>
          <w:tcPr>
            <w:tcW w:w="1134"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附属单位上缴收入</w:t>
            </w:r>
          </w:p>
        </w:tc>
        <w:tc>
          <w:tcPr>
            <w:tcW w:w="1140"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其他收入</w:t>
            </w:r>
          </w:p>
        </w:tc>
      </w:tr>
      <w:tr>
        <w:tblPrEx>
          <w:tblLayout w:type="fixed"/>
          <w:tblCellMar>
            <w:top w:w="0" w:type="dxa"/>
            <w:left w:w="108" w:type="dxa"/>
            <w:bottom w:w="0" w:type="dxa"/>
            <w:right w:w="108" w:type="dxa"/>
          </w:tblCellMar>
        </w:tblPrEx>
        <w:trPr>
          <w:trHeight w:val="400" w:hRule="atLeast"/>
        </w:trPr>
        <w:tc>
          <w:tcPr>
            <w:tcW w:w="2000" w:type="dxa"/>
            <w:gridSpan w:val="4"/>
            <w:vMerge w:val="restart"/>
            <w:tcBorders>
              <w:top w:val="nil"/>
              <w:left w:val="single" w:color="000000" w:sz="4" w:space="0"/>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功能分类科目编码</w:t>
            </w:r>
          </w:p>
        </w:tc>
        <w:tc>
          <w:tcPr>
            <w:tcW w:w="4678" w:type="dxa"/>
            <w:vMerge w:val="restart"/>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1275"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eastAsia="宋体" w:cs="Arial"/>
                <w:color w:val="000000"/>
                <w:kern w:val="0"/>
                <w:sz w:val="22"/>
              </w:rPr>
            </w:pPr>
          </w:p>
        </w:tc>
        <w:tc>
          <w:tcPr>
            <w:tcW w:w="1276"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eastAsia="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eastAsia="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eastAsia="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eastAsia="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eastAsia="宋体" w:cs="Arial"/>
                <w:color w:val="000000"/>
                <w:kern w:val="0"/>
                <w:sz w:val="22"/>
              </w:rPr>
            </w:pPr>
          </w:p>
        </w:tc>
        <w:tc>
          <w:tcPr>
            <w:tcW w:w="1140"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eastAsia="宋体" w:cs="Arial"/>
                <w:color w:val="000000"/>
                <w:kern w:val="0"/>
                <w:sz w:val="22"/>
              </w:rPr>
            </w:pPr>
          </w:p>
        </w:tc>
      </w:tr>
      <w:tr>
        <w:tblPrEx>
          <w:tblLayout w:type="fixed"/>
          <w:tblCellMar>
            <w:top w:w="0" w:type="dxa"/>
            <w:left w:w="108" w:type="dxa"/>
            <w:bottom w:w="0" w:type="dxa"/>
            <w:right w:w="108" w:type="dxa"/>
          </w:tblCellMar>
        </w:tblPrEx>
        <w:trPr>
          <w:trHeight w:val="400" w:hRule="atLeast"/>
        </w:trPr>
        <w:tc>
          <w:tcPr>
            <w:tcW w:w="2000" w:type="dxa"/>
            <w:gridSpan w:val="4"/>
            <w:vMerge w:val="continue"/>
            <w:tcBorders>
              <w:top w:val="nil"/>
              <w:left w:val="single" w:color="000000" w:sz="4" w:space="0"/>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4678"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275"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276"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140"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r>
      <w:tr>
        <w:tblPrEx>
          <w:tblLayout w:type="fixed"/>
          <w:tblCellMar>
            <w:top w:w="0" w:type="dxa"/>
            <w:left w:w="108" w:type="dxa"/>
            <w:bottom w:w="0" w:type="dxa"/>
            <w:right w:w="108" w:type="dxa"/>
          </w:tblCellMar>
        </w:tblPrEx>
        <w:trPr>
          <w:trHeight w:val="400" w:hRule="atLeast"/>
        </w:trPr>
        <w:tc>
          <w:tcPr>
            <w:tcW w:w="2000" w:type="dxa"/>
            <w:gridSpan w:val="4"/>
            <w:vMerge w:val="continue"/>
            <w:tcBorders>
              <w:top w:val="nil"/>
              <w:left w:val="single" w:color="000000" w:sz="4" w:space="0"/>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4678"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275"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276"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140"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r>
      <w:tr>
        <w:tblPrEx>
          <w:tblLayout w:type="fixed"/>
          <w:tblCellMar>
            <w:top w:w="0" w:type="dxa"/>
            <w:left w:w="108" w:type="dxa"/>
            <w:bottom w:w="0" w:type="dxa"/>
            <w:right w:w="108" w:type="dxa"/>
          </w:tblCellMar>
        </w:tblPrEx>
        <w:trPr>
          <w:trHeight w:val="308" w:hRule="atLeast"/>
        </w:trPr>
        <w:tc>
          <w:tcPr>
            <w:tcW w:w="6678" w:type="dxa"/>
            <w:gridSpan w:val="5"/>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1275"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1276"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1134"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1134"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1134"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1134"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6</w:t>
            </w:r>
          </w:p>
        </w:tc>
        <w:tc>
          <w:tcPr>
            <w:tcW w:w="1140"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7</w:t>
            </w:r>
          </w:p>
        </w:tc>
      </w:tr>
      <w:tr>
        <w:tblPrEx>
          <w:tblLayout w:type="fixed"/>
          <w:tblCellMar>
            <w:top w:w="0" w:type="dxa"/>
            <w:left w:w="108" w:type="dxa"/>
            <w:bottom w:w="0" w:type="dxa"/>
            <w:right w:w="108" w:type="dxa"/>
          </w:tblCellMar>
        </w:tblPrEx>
        <w:trPr>
          <w:trHeight w:val="308" w:hRule="atLeast"/>
        </w:trPr>
        <w:tc>
          <w:tcPr>
            <w:tcW w:w="6678" w:type="dxa"/>
            <w:gridSpan w:val="5"/>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b/>
                <w:bCs/>
                <w:color w:val="000000"/>
                <w:kern w:val="0"/>
                <w:sz w:val="22"/>
              </w:rPr>
            </w:pPr>
            <w:r>
              <w:rPr>
                <w:rFonts w:hint="eastAsia" w:ascii="宋体" w:hAnsi="宋体" w:eastAsia="宋体" w:cs="Arial"/>
                <w:b/>
                <w:bCs/>
                <w:color w:val="000000"/>
                <w:kern w:val="0"/>
                <w:sz w:val="22"/>
              </w:rPr>
              <w:t>3,055.56</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b/>
                <w:bCs/>
                <w:color w:val="000000"/>
                <w:kern w:val="0"/>
                <w:sz w:val="22"/>
              </w:rPr>
            </w:pPr>
            <w:r>
              <w:rPr>
                <w:rFonts w:hint="eastAsia" w:ascii="宋体" w:hAnsi="宋体" w:eastAsia="宋体" w:cs="Arial"/>
                <w:b/>
                <w:bCs/>
                <w:color w:val="000000"/>
                <w:kern w:val="0"/>
                <w:sz w:val="22"/>
              </w:rPr>
              <w:t>2,977.45</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b/>
                <w:bCs/>
                <w:color w:val="000000"/>
                <w:kern w:val="0"/>
                <w:sz w:val="22"/>
              </w:rPr>
            </w:pPr>
            <w:r>
              <w:rPr>
                <w:rFonts w:hint="eastAsia" w:ascii="宋体" w:hAnsi="宋体" w:eastAsia="宋体" w:cs="Arial"/>
                <w:b/>
                <w:bCs/>
                <w:color w:val="000000"/>
                <w:kern w:val="0"/>
                <w:sz w:val="22"/>
              </w:rPr>
              <w:t>78.11</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208</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社会保障和就业支出</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79.26</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79.26</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20805</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行政事业单位养老支出</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70.62</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70.62</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2080501</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行政单位离退休</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6.38</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6.38</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2080505</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机关事业单位基本养老保险缴费支出</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64.24</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64.24</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20899</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其他社会保障和就业支出</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8.64</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8.64</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2089999</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其他社会保障和就业支出</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8.64</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8.64</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210</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卫生健康支出</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21011</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行政事业单位医疗</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2101101</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行政单位医疗</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211</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节能环保支出</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486.56</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486.56</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21105</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天然林保护</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486.56</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486.56</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2110501</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森林管护</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486.56</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486.56</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农林水支出</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2,402.67</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2,324.56</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78.11</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林业和草原</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2,402.67</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2,324.56</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78.11</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2130201</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行政运行</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574.64</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574.64</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2130202</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一般行政管理事务</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131.18</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131.18</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2130205</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森林资源培育</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141.21</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141.21</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2130211</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动植物保护</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157.59</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157.59</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2130221</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产业化管理</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1,116.08</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1,116.08</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2130234</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林业草原防灾减灾</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53.97</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53.97</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2130299</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其他林业和草原支出</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227.99</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149.88</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78.11</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221</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住房保障支出</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22102</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住房改革支出</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2210201</w:t>
            </w:r>
          </w:p>
        </w:tc>
        <w:tc>
          <w:tcPr>
            <w:tcW w:w="569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住房公积金</w:t>
            </w:r>
          </w:p>
        </w:tc>
        <w:tc>
          <w:tcPr>
            <w:tcW w:w="127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127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14905" w:type="dxa"/>
            <w:gridSpan w:val="12"/>
            <w:tcBorders>
              <w:top w:val="nil"/>
              <w:left w:val="nil"/>
              <w:bottom w:val="nil"/>
              <w:right w:val="nil"/>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注：本表反映部门本年度取得的各项收入情况。</w:t>
            </w:r>
          </w:p>
        </w:tc>
      </w:tr>
    </w:tbl>
    <w:p>
      <w:pPr>
        <w:widowControl/>
        <w:spacing w:line="400" w:lineRule="exact"/>
        <w:jc w:val="center"/>
        <w:rPr>
          <w:rFonts w:ascii="Times New Roman" w:hAnsi="Times New Roman" w:eastAsia="方正小标宋_GBK" w:cs="Times New Roman"/>
          <w:kern w:val="0"/>
          <w:sz w:val="36"/>
          <w:szCs w:val="36"/>
        </w:rPr>
      </w:pPr>
    </w:p>
    <w:p>
      <w:pPr>
        <w:widowControl/>
        <w:spacing w:line="400" w:lineRule="exact"/>
        <w:jc w:val="center"/>
        <w:rPr>
          <w:rFonts w:ascii="Times New Roman" w:hAnsi="Times New Roman" w:eastAsia="方正小标宋_GBK" w:cs="Times New Roman"/>
          <w:kern w:val="0"/>
          <w:sz w:val="36"/>
          <w:szCs w:val="36"/>
        </w:rPr>
      </w:pPr>
    </w:p>
    <w:p>
      <w:pPr>
        <w:widowControl/>
        <w:spacing w:line="400" w:lineRule="exact"/>
        <w:jc w:val="center"/>
        <w:rPr>
          <w:rFonts w:ascii="Times New Roman" w:hAnsi="Times New Roman" w:eastAsia="方正小标宋_GBK" w:cs="Times New Roman"/>
          <w:kern w:val="0"/>
          <w:sz w:val="36"/>
          <w:szCs w:val="36"/>
        </w:rPr>
      </w:pPr>
    </w:p>
    <w:p>
      <w:pPr>
        <w:widowControl/>
        <w:spacing w:line="400" w:lineRule="exact"/>
        <w:jc w:val="center"/>
        <w:rPr>
          <w:rFonts w:ascii="Times New Roman" w:hAnsi="Times New Roman" w:eastAsia="方正小标宋_GBK" w:cs="Times New Roman"/>
          <w:kern w:val="0"/>
          <w:sz w:val="36"/>
          <w:szCs w:val="36"/>
        </w:rPr>
      </w:pPr>
    </w:p>
    <w:p>
      <w:pPr>
        <w:widowControl/>
        <w:spacing w:line="400" w:lineRule="exact"/>
        <w:jc w:val="center"/>
        <w:rPr>
          <w:rFonts w:ascii="Times New Roman" w:hAnsi="Times New Roman" w:eastAsia="方正小标宋_GBK" w:cs="Times New Roman"/>
          <w:kern w:val="0"/>
          <w:sz w:val="36"/>
          <w:szCs w:val="36"/>
        </w:rPr>
      </w:pPr>
    </w:p>
    <w:p>
      <w:pPr>
        <w:widowControl/>
        <w:spacing w:line="400" w:lineRule="exact"/>
        <w:jc w:val="center"/>
        <w:rPr>
          <w:rFonts w:ascii="Times New Roman" w:hAnsi="Times New Roman" w:eastAsia="方正小标宋_GBK" w:cs="Times New Roman"/>
          <w:kern w:val="0"/>
          <w:sz w:val="36"/>
          <w:szCs w:val="36"/>
        </w:rPr>
      </w:pPr>
    </w:p>
    <w:p>
      <w:pPr>
        <w:widowControl/>
        <w:spacing w:line="400" w:lineRule="exact"/>
        <w:jc w:val="center"/>
        <w:rPr>
          <w:rFonts w:ascii="Times New Roman" w:hAnsi="Times New Roman" w:eastAsia="方正小标宋_GBK" w:cs="Times New Roman"/>
          <w:kern w:val="0"/>
          <w:sz w:val="36"/>
          <w:szCs w:val="36"/>
        </w:rPr>
      </w:pPr>
    </w:p>
    <w:p>
      <w:pPr>
        <w:widowControl/>
        <w:spacing w:line="400" w:lineRule="exact"/>
        <w:jc w:val="center"/>
        <w:rPr>
          <w:rFonts w:ascii="Times New Roman" w:hAnsi="Times New Roman" w:eastAsia="方正小标宋_GBK" w:cs="Times New Roman"/>
          <w:kern w:val="0"/>
          <w:sz w:val="36"/>
          <w:szCs w:val="36"/>
        </w:rPr>
      </w:pPr>
    </w:p>
    <w:p>
      <w:pPr>
        <w:widowControl/>
        <w:spacing w:line="400" w:lineRule="exact"/>
        <w:jc w:val="center"/>
        <w:rPr>
          <w:rFonts w:ascii="Times New Roman" w:hAnsi="Times New Roman" w:eastAsia="方正小标宋_GBK" w:cs="Times New Roman"/>
          <w:kern w:val="0"/>
          <w:sz w:val="36"/>
          <w:szCs w:val="36"/>
        </w:rPr>
      </w:pPr>
    </w:p>
    <w:p>
      <w:pPr>
        <w:widowControl/>
        <w:spacing w:line="400" w:lineRule="exact"/>
        <w:jc w:val="center"/>
        <w:rPr>
          <w:rFonts w:ascii="Times New Roman" w:hAnsi="Times New Roman" w:eastAsia="方正小标宋_GBK" w:cs="Times New Roman"/>
          <w:kern w:val="0"/>
          <w:sz w:val="36"/>
          <w:szCs w:val="36"/>
        </w:rPr>
      </w:pPr>
    </w:p>
    <w:p>
      <w:pPr>
        <w:widowControl/>
        <w:spacing w:line="400" w:lineRule="exact"/>
        <w:jc w:val="center"/>
        <w:rPr>
          <w:rFonts w:ascii="Times New Roman" w:hAnsi="Times New Roman" w:eastAsia="方正小标宋_GBK" w:cs="Times New Roman"/>
          <w:kern w:val="0"/>
          <w:sz w:val="36"/>
          <w:szCs w:val="36"/>
        </w:rPr>
      </w:pPr>
    </w:p>
    <w:p>
      <w:pPr>
        <w:widowControl/>
        <w:spacing w:line="400" w:lineRule="exact"/>
        <w:jc w:val="center"/>
        <w:rPr>
          <w:rFonts w:ascii="Times New Roman" w:hAnsi="Times New Roman" w:eastAsia="方正小标宋_GBK" w:cs="Times New Roman"/>
          <w:kern w:val="0"/>
          <w:sz w:val="36"/>
          <w:szCs w:val="36"/>
        </w:rPr>
      </w:pPr>
    </w:p>
    <w:p>
      <w:pPr>
        <w:widowControl/>
        <w:spacing w:line="400" w:lineRule="exact"/>
        <w:jc w:val="center"/>
        <w:rPr>
          <w:rFonts w:ascii="Times New Roman" w:hAnsi="Times New Roman" w:eastAsia="方正小标宋_GBK" w:cs="Times New Roman"/>
          <w:kern w:val="0"/>
          <w:sz w:val="36"/>
          <w:szCs w:val="36"/>
        </w:rPr>
      </w:pPr>
    </w:p>
    <w:p>
      <w:pPr>
        <w:widowControl/>
        <w:spacing w:line="400" w:lineRule="exact"/>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tbl>
      <w:tblPr>
        <w:tblStyle w:val="20"/>
        <w:tblW w:w="15044" w:type="dxa"/>
        <w:tblInd w:w="93" w:type="dxa"/>
        <w:tblLayout w:type="fixed"/>
        <w:tblCellMar>
          <w:top w:w="0" w:type="dxa"/>
          <w:left w:w="108" w:type="dxa"/>
          <w:bottom w:w="0" w:type="dxa"/>
          <w:right w:w="108" w:type="dxa"/>
        </w:tblCellMar>
      </w:tblPr>
      <w:tblGrid>
        <w:gridCol w:w="401"/>
        <w:gridCol w:w="313"/>
        <w:gridCol w:w="272"/>
        <w:gridCol w:w="4990"/>
        <w:gridCol w:w="1626"/>
        <w:gridCol w:w="1480"/>
        <w:gridCol w:w="1626"/>
        <w:gridCol w:w="1185"/>
        <w:gridCol w:w="1185"/>
        <w:gridCol w:w="1966"/>
      </w:tblGrid>
      <w:tr>
        <w:tblPrEx>
          <w:tblLayout w:type="fixed"/>
          <w:tblCellMar>
            <w:top w:w="0" w:type="dxa"/>
            <w:left w:w="108" w:type="dxa"/>
            <w:bottom w:w="0" w:type="dxa"/>
            <w:right w:w="108" w:type="dxa"/>
          </w:tblCellMar>
        </w:tblPrEx>
        <w:trPr>
          <w:trHeight w:val="390" w:hRule="atLeast"/>
        </w:trPr>
        <w:tc>
          <w:tcPr>
            <w:tcW w:w="15044" w:type="dxa"/>
            <w:gridSpan w:val="10"/>
            <w:tcBorders>
              <w:top w:val="nil"/>
              <w:left w:val="nil"/>
              <w:bottom w:val="nil"/>
              <w:right w:val="nil"/>
            </w:tcBorders>
            <w:shd w:val="clear" w:color="000000" w:fill="FFFFFF"/>
            <w:noWrap/>
            <w:vAlign w:val="bottom"/>
          </w:tcPr>
          <w:p>
            <w:pPr>
              <w:widowControl/>
              <w:jc w:val="center"/>
              <w:rPr>
                <w:rFonts w:ascii="宋体" w:hAnsi="宋体" w:eastAsia="宋体" w:cs="Arial"/>
                <w:b/>
                <w:color w:val="000000"/>
                <w:kern w:val="0"/>
                <w:sz w:val="30"/>
                <w:szCs w:val="30"/>
              </w:rPr>
            </w:pPr>
            <w:r>
              <w:rPr>
                <w:rFonts w:hint="eastAsia" w:ascii="宋体" w:hAnsi="宋体" w:eastAsia="宋体" w:cs="Arial"/>
                <w:b/>
                <w:color w:val="000000"/>
                <w:kern w:val="0"/>
                <w:sz w:val="30"/>
                <w:szCs w:val="30"/>
              </w:rPr>
              <w:t>支出决算表</w:t>
            </w:r>
          </w:p>
        </w:tc>
      </w:tr>
      <w:tr>
        <w:tblPrEx>
          <w:tblLayout w:type="fixed"/>
          <w:tblCellMar>
            <w:top w:w="0" w:type="dxa"/>
            <w:left w:w="108" w:type="dxa"/>
            <w:bottom w:w="0" w:type="dxa"/>
            <w:right w:w="108" w:type="dxa"/>
          </w:tblCellMar>
        </w:tblPrEx>
        <w:trPr>
          <w:trHeight w:val="255" w:hRule="atLeast"/>
        </w:trPr>
        <w:tc>
          <w:tcPr>
            <w:tcW w:w="401"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313"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272"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499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626"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48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626"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185"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185"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966" w:type="dxa"/>
            <w:tcBorders>
              <w:top w:val="nil"/>
              <w:left w:val="nil"/>
              <w:bottom w:val="nil"/>
              <w:right w:val="nil"/>
            </w:tcBorders>
            <w:shd w:val="clear" w:color="000000" w:fill="FFFFFF"/>
            <w:noWrap/>
            <w:vAlign w:val="bottom"/>
          </w:tcPr>
          <w:p>
            <w:pPr>
              <w:widowControl/>
              <w:spacing w:line="400" w:lineRule="exact"/>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公开03表</w:t>
            </w:r>
          </w:p>
        </w:tc>
      </w:tr>
      <w:tr>
        <w:tblPrEx>
          <w:tblLayout w:type="fixed"/>
          <w:tblCellMar>
            <w:top w:w="0" w:type="dxa"/>
            <w:left w:w="108" w:type="dxa"/>
            <w:bottom w:w="0" w:type="dxa"/>
            <w:right w:w="108" w:type="dxa"/>
          </w:tblCellMar>
        </w:tblPrEx>
        <w:trPr>
          <w:trHeight w:val="255" w:hRule="atLeast"/>
        </w:trPr>
        <w:tc>
          <w:tcPr>
            <w:tcW w:w="5976" w:type="dxa"/>
            <w:gridSpan w:val="4"/>
            <w:tcBorders>
              <w:top w:val="nil"/>
              <w:left w:val="nil"/>
              <w:bottom w:val="nil"/>
              <w:right w:val="nil"/>
            </w:tcBorders>
            <w:shd w:val="clear" w:color="000000" w:fill="FFFFFF"/>
            <w:noWrap/>
            <w:vAlign w:val="bottom"/>
          </w:tcPr>
          <w:p>
            <w:pPr>
              <w:widowControl/>
              <w:spacing w:line="400" w:lineRule="exact"/>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部门：湘乡市林业局（本级）</w:t>
            </w:r>
          </w:p>
        </w:tc>
        <w:tc>
          <w:tcPr>
            <w:tcW w:w="1626"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48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626"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185"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185"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966" w:type="dxa"/>
            <w:tcBorders>
              <w:top w:val="nil"/>
              <w:left w:val="nil"/>
              <w:bottom w:val="nil"/>
              <w:right w:val="nil"/>
            </w:tcBorders>
            <w:shd w:val="clear" w:color="000000" w:fill="FFFFFF"/>
            <w:noWrap/>
            <w:vAlign w:val="bottom"/>
          </w:tcPr>
          <w:p>
            <w:pPr>
              <w:widowControl/>
              <w:spacing w:line="400" w:lineRule="exact"/>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Layout w:type="fixed"/>
          <w:tblCellMar>
            <w:top w:w="0" w:type="dxa"/>
            <w:left w:w="108" w:type="dxa"/>
            <w:bottom w:w="0" w:type="dxa"/>
            <w:right w:w="108" w:type="dxa"/>
          </w:tblCellMar>
        </w:tblPrEx>
        <w:trPr>
          <w:trHeight w:val="308" w:hRule="atLeast"/>
        </w:trPr>
        <w:tc>
          <w:tcPr>
            <w:tcW w:w="5976" w:type="dxa"/>
            <w:gridSpan w:val="4"/>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1626"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本年支出合计</w:t>
            </w:r>
          </w:p>
        </w:tc>
        <w:tc>
          <w:tcPr>
            <w:tcW w:w="1480"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基本支出</w:t>
            </w:r>
          </w:p>
        </w:tc>
        <w:tc>
          <w:tcPr>
            <w:tcW w:w="1626"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项目支出</w:t>
            </w:r>
          </w:p>
        </w:tc>
        <w:tc>
          <w:tcPr>
            <w:tcW w:w="1185"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上缴上级支出</w:t>
            </w:r>
          </w:p>
        </w:tc>
        <w:tc>
          <w:tcPr>
            <w:tcW w:w="1185"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经营支出</w:t>
            </w:r>
          </w:p>
        </w:tc>
        <w:tc>
          <w:tcPr>
            <w:tcW w:w="1966"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对附属单位补助支出</w:t>
            </w:r>
          </w:p>
        </w:tc>
      </w:tr>
      <w:tr>
        <w:tblPrEx>
          <w:tblLayout w:type="fixed"/>
          <w:tblCellMar>
            <w:top w:w="0" w:type="dxa"/>
            <w:left w:w="108" w:type="dxa"/>
            <w:bottom w:w="0" w:type="dxa"/>
            <w:right w:w="108" w:type="dxa"/>
          </w:tblCellMar>
        </w:tblPrEx>
        <w:trPr>
          <w:trHeight w:val="400" w:hRule="atLeast"/>
        </w:trPr>
        <w:tc>
          <w:tcPr>
            <w:tcW w:w="986" w:type="dxa"/>
            <w:gridSpan w:val="3"/>
            <w:vMerge w:val="restart"/>
            <w:tcBorders>
              <w:top w:val="nil"/>
              <w:left w:val="single" w:color="000000" w:sz="4" w:space="0"/>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功能分类科目编码</w:t>
            </w:r>
          </w:p>
        </w:tc>
        <w:tc>
          <w:tcPr>
            <w:tcW w:w="4990" w:type="dxa"/>
            <w:vMerge w:val="restart"/>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1626"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480"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626"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185"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185"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966"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r>
      <w:tr>
        <w:tblPrEx>
          <w:tblLayout w:type="fixed"/>
        </w:tblPrEx>
        <w:trPr>
          <w:trHeight w:val="400" w:hRule="atLeast"/>
        </w:trPr>
        <w:tc>
          <w:tcPr>
            <w:tcW w:w="986" w:type="dxa"/>
            <w:gridSpan w:val="3"/>
            <w:vMerge w:val="continue"/>
            <w:tcBorders>
              <w:top w:val="nil"/>
              <w:left w:val="single" w:color="000000" w:sz="4" w:space="0"/>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4990"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626"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480"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626"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185"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185"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966"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r>
      <w:tr>
        <w:tblPrEx>
          <w:tblLayout w:type="fixed"/>
          <w:tblCellMar>
            <w:top w:w="0" w:type="dxa"/>
            <w:left w:w="108" w:type="dxa"/>
            <w:bottom w:w="0" w:type="dxa"/>
            <w:right w:w="108" w:type="dxa"/>
          </w:tblCellMar>
        </w:tblPrEx>
        <w:trPr>
          <w:trHeight w:val="400" w:hRule="atLeast"/>
        </w:trPr>
        <w:tc>
          <w:tcPr>
            <w:tcW w:w="986" w:type="dxa"/>
            <w:gridSpan w:val="3"/>
            <w:vMerge w:val="continue"/>
            <w:tcBorders>
              <w:top w:val="nil"/>
              <w:left w:val="single" w:color="000000" w:sz="4" w:space="0"/>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4990"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626"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480"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626"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185"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185"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966"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r>
      <w:tr>
        <w:tblPrEx>
          <w:tblLayout w:type="fixed"/>
          <w:tblCellMar>
            <w:top w:w="0" w:type="dxa"/>
            <w:left w:w="108" w:type="dxa"/>
            <w:bottom w:w="0" w:type="dxa"/>
            <w:right w:w="108" w:type="dxa"/>
          </w:tblCellMar>
        </w:tblPrEx>
        <w:trPr>
          <w:trHeight w:val="308" w:hRule="atLeast"/>
        </w:trPr>
        <w:tc>
          <w:tcPr>
            <w:tcW w:w="5976" w:type="dxa"/>
            <w:gridSpan w:val="4"/>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1626"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1480"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1626"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1185"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1185"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1966"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6</w:t>
            </w:r>
          </w:p>
        </w:tc>
      </w:tr>
      <w:tr>
        <w:tblPrEx>
          <w:tblLayout w:type="fixed"/>
          <w:tblCellMar>
            <w:top w:w="0" w:type="dxa"/>
            <w:left w:w="108" w:type="dxa"/>
            <w:bottom w:w="0" w:type="dxa"/>
            <w:right w:w="108" w:type="dxa"/>
          </w:tblCellMar>
        </w:tblPrEx>
        <w:trPr>
          <w:trHeight w:val="308" w:hRule="atLeast"/>
        </w:trPr>
        <w:tc>
          <w:tcPr>
            <w:tcW w:w="5976" w:type="dxa"/>
            <w:gridSpan w:val="4"/>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b/>
                <w:bCs/>
                <w:color w:val="000000"/>
                <w:kern w:val="0"/>
                <w:sz w:val="22"/>
              </w:rPr>
            </w:pPr>
            <w:r>
              <w:rPr>
                <w:rFonts w:hint="eastAsia" w:ascii="宋体" w:hAnsi="宋体" w:eastAsia="宋体" w:cs="Arial"/>
                <w:b/>
                <w:bCs/>
                <w:color w:val="000000"/>
                <w:kern w:val="0"/>
                <w:sz w:val="22"/>
              </w:rPr>
              <w:t>3,222.23</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b/>
                <w:bCs/>
                <w:color w:val="000000"/>
                <w:kern w:val="0"/>
                <w:sz w:val="22"/>
              </w:rPr>
            </w:pPr>
            <w:r>
              <w:rPr>
                <w:rFonts w:hint="eastAsia" w:ascii="宋体" w:hAnsi="宋体" w:eastAsia="宋体" w:cs="Arial"/>
                <w:b/>
                <w:bCs/>
                <w:color w:val="000000"/>
                <w:kern w:val="0"/>
                <w:sz w:val="22"/>
              </w:rPr>
              <w:t>932.42</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b/>
                <w:bCs/>
                <w:color w:val="000000"/>
                <w:kern w:val="0"/>
                <w:sz w:val="22"/>
              </w:rPr>
            </w:pPr>
            <w:r>
              <w:rPr>
                <w:rFonts w:hint="eastAsia" w:ascii="宋体" w:hAnsi="宋体" w:eastAsia="宋体" w:cs="Arial"/>
                <w:b/>
                <w:bCs/>
                <w:color w:val="000000"/>
                <w:kern w:val="0"/>
                <w:sz w:val="22"/>
              </w:rPr>
              <w:t>2,289.82</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208</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社会保障和就业支出</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79.26</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79.26</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20805</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行政事业单位养老支出</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70.62</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70.62</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2080501</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行政单位离退休</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6.38</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6.38</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2080505</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机关事业单位基本养老保险缴费支出</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64.24</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64.24</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20899</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其他社会保障和就业支出</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8.64</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8.64</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2089999</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其他社会保障和就业支出</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8.64</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8.64</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210</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卫生健康支出</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21011</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行政事业单位医疗</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2101101</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行政单位医疗</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211</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节能环保支出</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486.56</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191.44</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295.12</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21105</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天然林保护</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486.56</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191.44</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295.12</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2110501</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森林管护</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486.56</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191.44</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295.12</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农林水支出</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2,569.34</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574.64</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1,994.70</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林业和草原</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2,569.34</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574.64</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1,994.70</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2130201</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行政运行</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574.64</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574.64</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2130202</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一般行政管理事务</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178.79</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178.79</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2130205</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森林资源培育</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141.21</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141.21</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2130211</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动植物保护</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157.59</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157.59</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2130221</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产业化管理</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1,116.08</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1,116.08</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2130234</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林业草原防灾减灾</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53.97</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53.97</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2130299</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其他林业和草原支出</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347.05</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347.05</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221</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住房保障支出</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22102</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住房改革支出</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2210201</w:t>
            </w:r>
          </w:p>
        </w:tc>
        <w:tc>
          <w:tcPr>
            <w:tcW w:w="4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住房公积金</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148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162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8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96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15044" w:type="dxa"/>
            <w:gridSpan w:val="10"/>
            <w:tcBorders>
              <w:top w:val="nil"/>
              <w:left w:val="nil"/>
              <w:bottom w:val="nil"/>
              <w:right w:val="nil"/>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注：本表反映部门本年度各项支出情况。</w:t>
            </w:r>
          </w:p>
        </w:tc>
      </w:tr>
    </w:tbl>
    <w:p>
      <w:pPr>
        <w:widowControl/>
        <w:spacing w:line="400" w:lineRule="exact"/>
        <w:jc w:val="center"/>
        <w:rPr>
          <w:rFonts w:ascii="Times New Roman" w:hAnsi="Times New Roman" w:eastAsia="方正小标宋_GBK" w:cs="Times New Roman"/>
          <w:kern w:val="0"/>
          <w:sz w:val="36"/>
          <w:szCs w:val="36"/>
        </w:rPr>
      </w:pPr>
    </w:p>
    <w:bookmarkEnd w:id="1"/>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20"/>
        <w:tblW w:w="15479" w:type="dxa"/>
        <w:tblInd w:w="93" w:type="dxa"/>
        <w:tblLayout w:type="fixed"/>
        <w:tblCellMar>
          <w:top w:w="0" w:type="dxa"/>
          <w:left w:w="108" w:type="dxa"/>
          <w:bottom w:w="0" w:type="dxa"/>
          <w:right w:w="108" w:type="dxa"/>
        </w:tblCellMar>
      </w:tblPr>
      <w:tblGrid>
        <w:gridCol w:w="3656"/>
        <w:gridCol w:w="492"/>
        <w:gridCol w:w="1535"/>
        <w:gridCol w:w="4142"/>
        <w:gridCol w:w="492"/>
        <w:gridCol w:w="1096"/>
        <w:gridCol w:w="1381"/>
        <w:gridCol w:w="990"/>
        <w:gridCol w:w="1695"/>
      </w:tblGrid>
      <w:tr>
        <w:tblPrEx>
          <w:tblLayout w:type="fixed"/>
          <w:tblCellMar>
            <w:top w:w="0" w:type="dxa"/>
            <w:left w:w="108" w:type="dxa"/>
            <w:bottom w:w="0" w:type="dxa"/>
            <w:right w:w="108" w:type="dxa"/>
          </w:tblCellMar>
        </w:tblPrEx>
        <w:trPr>
          <w:trHeight w:val="390" w:hRule="atLeast"/>
        </w:trPr>
        <w:tc>
          <w:tcPr>
            <w:tcW w:w="15479" w:type="dxa"/>
            <w:gridSpan w:val="9"/>
            <w:tcBorders>
              <w:top w:val="nil"/>
              <w:left w:val="nil"/>
              <w:bottom w:val="nil"/>
              <w:right w:val="nil"/>
            </w:tcBorders>
            <w:shd w:val="clear" w:color="000000" w:fill="FFFFFF"/>
            <w:noWrap/>
            <w:vAlign w:val="bottom"/>
          </w:tcPr>
          <w:p>
            <w:pPr>
              <w:widowControl/>
              <w:jc w:val="center"/>
              <w:rPr>
                <w:rFonts w:ascii="宋体" w:hAnsi="宋体" w:eastAsia="宋体" w:cs="Arial"/>
                <w:b/>
                <w:color w:val="000000"/>
                <w:kern w:val="0"/>
                <w:sz w:val="30"/>
                <w:szCs w:val="30"/>
              </w:rPr>
            </w:pPr>
            <w:r>
              <w:rPr>
                <w:rFonts w:hint="eastAsia" w:ascii="宋体" w:hAnsi="宋体" w:eastAsia="宋体" w:cs="Arial"/>
                <w:b/>
                <w:color w:val="000000"/>
                <w:kern w:val="0"/>
                <w:sz w:val="30"/>
                <w:szCs w:val="30"/>
              </w:rPr>
              <w:t>财政拨款收入支出决算总表</w:t>
            </w:r>
          </w:p>
        </w:tc>
      </w:tr>
      <w:tr>
        <w:tblPrEx>
          <w:tblLayout w:type="fixed"/>
          <w:tblCellMar>
            <w:top w:w="0" w:type="dxa"/>
            <w:left w:w="108" w:type="dxa"/>
            <w:bottom w:w="0" w:type="dxa"/>
            <w:right w:w="108" w:type="dxa"/>
          </w:tblCellMar>
        </w:tblPrEx>
        <w:trPr>
          <w:trHeight w:val="255" w:hRule="atLeast"/>
        </w:trPr>
        <w:tc>
          <w:tcPr>
            <w:tcW w:w="3656"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492"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535"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4142"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492"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096"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381"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99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695" w:type="dxa"/>
            <w:tcBorders>
              <w:top w:val="nil"/>
              <w:left w:val="nil"/>
              <w:bottom w:val="nil"/>
              <w:right w:val="nil"/>
            </w:tcBorders>
            <w:shd w:val="clear" w:color="000000" w:fill="FFFFFF"/>
            <w:noWrap/>
            <w:vAlign w:val="bottom"/>
          </w:tcPr>
          <w:p>
            <w:pPr>
              <w:widowControl/>
              <w:spacing w:line="400" w:lineRule="exact"/>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公开04表</w:t>
            </w:r>
          </w:p>
        </w:tc>
      </w:tr>
      <w:tr>
        <w:tblPrEx>
          <w:tblLayout w:type="fixed"/>
          <w:tblCellMar>
            <w:top w:w="0" w:type="dxa"/>
            <w:left w:w="108" w:type="dxa"/>
            <w:bottom w:w="0" w:type="dxa"/>
            <w:right w:w="108" w:type="dxa"/>
          </w:tblCellMar>
        </w:tblPrEx>
        <w:trPr>
          <w:trHeight w:val="255" w:hRule="atLeast"/>
        </w:trPr>
        <w:tc>
          <w:tcPr>
            <w:tcW w:w="3656" w:type="dxa"/>
            <w:tcBorders>
              <w:top w:val="nil"/>
              <w:left w:val="nil"/>
              <w:bottom w:val="nil"/>
              <w:right w:val="nil"/>
            </w:tcBorders>
            <w:shd w:val="clear" w:color="000000" w:fill="FFFFFF"/>
            <w:noWrap/>
            <w:vAlign w:val="bottom"/>
          </w:tcPr>
          <w:p>
            <w:pPr>
              <w:widowControl/>
              <w:spacing w:line="400" w:lineRule="exact"/>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部门：湘乡市林业局（本级）</w:t>
            </w:r>
          </w:p>
        </w:tc>
        <w:tc>
          <w:tcPr>
            <w:tcW w:w="492"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535"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4142"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492"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096"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381"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99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695" w:type="dxa"/>
            <w:tcBorders>
              <w:top w:val="nil"/>
              <w:left w:val="nil"/>
              <w:bottom w:val="nil"/>
              <w:right w:val="nil"/>
            </w:tcBorders>
            <w:shd w:val="clear" w:color="000000" w:fill="FFFFFF"/>
            <w:noWrap/>
            <w:vAlign w:val="bottom"/>
          </w:tcPr>
          <w:p>
            <w:pPr>
              <w:widowControl/>
              <w:spacing w:line="400" w:lineRule="exact"/>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Layout w:type="fixed"/>
          <w:tblCellMar>
            <w:top w:w="0" w:type="dxa"/>
            <w:left w:w="108" w:type="dxa"/>
            <w:bottom w:w="0" w:type="dxa"/>
            <w:right w:w="108" w:type="dxa"/>
          </w:tblCellMar>
        </w:tblPrEx>
        <w:trPr>
          <w:trHeight w:val="308" w:hRule="atLeast"/>
        </w:trPr>
        <w:tc>
          <w:tcPr>
            <w:tcW w:w="5683" w:type="dxa"/>
            <w:gridSpan w:val="3"/>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收     入</w:t>
            </w:r>
          </w:p>
        </w:tc>
        <w:tc>
          <w:tcPr>
            <w:tcW w:w="9796" w:type="dxa"/>
            <w:gridSpan w:val="6"/>
            <w:tcBorders>
              <w:top w:val="single" w:color="000000" w:sz="4" w:space="0"/>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支     出</w:t>
            </w:r>
          </w:p>
        </w:tc>
      </w:tr>
      <w:tr>
        <w:tblPrEx>
          <w:tblLayout w:type="fixed"/>
          <w:tblCellMar>
            <w:top w:w="0" w:type="dxa"/>
            <w:left w:w="108" w:type="dxa"/>
            <w:bottom w:w="0" w:type="dxa"/>
            <w:right w:w="108" w:type="dxa"/>
          </w:tblCellMar>
        </w:tblPrEx>
        <w:trPr>
          <w:trHeight w:val="400" w:hRule="atLeast"/>
        </w:trPr>
        <w:tc>
          <w:tcPr>
            <w:tcW w:w="3656" w:type="dxa"/>
            <w:vMerge w:val="restart"/>
            <w:tcBorders>
              <w:top w:val="nil"/>
              <w:left w:val="single" w:color="000000" w:sz="4" w:space="0"/>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492" w:type="dxa"/>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行次</w:t>
            </w:r>
          </w:p>
        </w:tc>
        <w:tc>
          <w:tcPr>
            <w:tcW w:w="1535" w:type="dxa"/>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金额</w:t>
            </w:r>
          </w:p>
        </w:tc>
        <w:tc>
          <w:tcPr>
            <w:tcW w:w="4142" w:type="dxa"/>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492" w:type="dxa"/>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行次</w:t>
            </w:r>
          </w:p>
        </w:tc>
        <w:tc>
          <w:tcPr>
            <w:tcW w:w="1096" w:type="dxa"/>
            <w:vMerge w:val="restart"/>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1381" w:type="dxa"/>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一般公共预算财政拨款</w:t>
            </w:r>
          </w:p>
        </w:tc>
        <w:tc>
          <w:tcPr>
            <w:tcW w:w="990" w:type="dxa"/>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政府性基金预算财政拨款</w:t>
            </w:r>
          </w:p>
        </w:tc>
        <w:tc>
          <w:tcPr>
            <w:tcW w:w="1695" w:type="dxa"/>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国有资本经营预算财政拨款</w:t>
            </w:r>
          </w:p>
        </w:tc>
      </w:tr>
      <w:tr>
        <w:tblPrEx>
          <w:tblLayout w:type="fixed"/>
        </w:tblPrEx>
        <w:trPr>
          <w:trHeight w:val="615" w:hRule="atLeast"/>
        </w:trPr>
        <w:tc>
          <w:tcPr>
            <w:tcW w:w="3656" w:type="dxa"/>
            <w:vMerge w:val="continue"/>
            <w:tcBorders>
              <w:top w:val="nil"/>
              <w:left w:val="single" w:color="000000" w:sz="4" w:space="0"/>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492"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535"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4142"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492"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096"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381"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990"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695"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　</w:t>
            </w:r>
          </w:p>
        </w:tc>
        <w:tc>
          <w:tcPr>
            <w:tcW w:w="1535"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　</w:t>
            </w:r>
          </w:p>
        </w:tc>
        <w:tc>
          <w:tcPr>
            <w:tcW w:w="1096"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1381"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990"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1695"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一、一般公共预算财政拨款</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2,977.45</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一、一般公共服务支出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33</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二、政府性基金预算财政拨款</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二、外交支出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34</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三、国有资本经营财政拨款</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三、国防支出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35</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四、公共安全支出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36</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五、教育支出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37</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6</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六、科学技术支出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38</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7</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七、文化旅游体育与传媒支出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39</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8</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八、社会保障和就业支出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40</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79.26</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79.26</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9</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九、卫生健康支出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41</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10</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十、节能环保支出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42</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486.56</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486.56</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11</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十一、城乡社区支出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43</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12</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十二、农林水支出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44</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2,324.56</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2,324.56</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13</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十三、交通运输支出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45</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14</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十四、资源勘探工业信息等支出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46</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15</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十五、商业服务业等支出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47</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16</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十六、金融支出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48</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17</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十七、援助其他地区支出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49</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18</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十八、自然资源海洋气象等支出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50</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19</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十九、住房保障支出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51</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20</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二十、粮油物资储备支出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52</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21</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二十一、国有资本经营预算支出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53</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22</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二十二、灾害防治及应急管理支出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54</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23</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二十三、其他支出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55</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b/>
                <w:bCs/>
                <w:color w:val="000000"/>
                <w:kern w:val="0"/>
                <w:sz w:val="20"/>
                <w:szCs w:val="20"/>
              </w:rPr>
            </w:pPr>
            <w:r>
              <w:rPr>
                <w:rFonts w:hint="eastAsia" w:ascii="宋体" w:hAnsi="宋体" w:eastAsia="宋体" w:cs="Arial"/>
                <w:b/>
                <w:bCs/>
                <w:color w:val="000000"/>
                <w:kern w:val="0"/>
                <w:sz w:val="20"/>
                <w:szCs w:val="20"/>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24</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二十四、债务还本支出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56</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25</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二十五、债务付息支出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57</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26</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二十六、抗疫特别国债安排的支出</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58</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b/>
                <w:bCs/>
                <w:color w:val="000000"/>
                <w:kern w:val="0"/>
                <w:sz w:val="22"/>
              </w:rPr>
            </w:pPr>
            <w:r>
              <w:rPr>
                <w:rFonts w:hint="eastAsia" w:ascii="宋体" w:hAnsi="宋体" w:eastAsia="宋体" w:cs="Arial"/>
                <w:b/>
                <w:bCs/>
                <w:color w:val="000000"/>
                <w:kern w:val="0"/>
                <w:sz w:val="22"/>
              </w:rPr>
              <w:t>本年收入合计</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27</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2,977.45</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b/>
                <w:bCs/>
                <w:color w:val="000000"/>
                <w:kern w:val="0"/>
                <w:sz w:val="22"/>
              </w:rPr>
            </w:pPr>
            <w:r>
              <w:rPr>
                <w:rFonts w:hint="eastAsia" w:ascii="宋体" w:hAnsi="宋体" w:eastAsia="宋体" w:cs="Arial"/>
                <w:b/>
                <w:bCs/>
                <w:color w:val="000000"/>
                <w:kern w:val="0"/>
                <w:sz w:val="22"/>
              </w:rPr>
              <w:t>本年支出合计</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59</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2,977.45</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2,977.45</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年初财政拨款结转和结余</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28</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222.56</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年末财政拨款结转和结余</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60</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222.56</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222.56</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一般公共预算财政拨款</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29</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222.56</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61</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政府性基金预算财政拨款</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30</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62</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国有资本经营预算财政拨款</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31</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63</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3656" w:type="dxa"/>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b/>
                <w:bCs/>
                <w:color w:val="000000"/>
                <w:kern w:val="0"/>
                <w:sz w:val="22"/>
              </w:rPr>
            </w:pPr>
            <w:r>
              <w:rPr>
                <w:rFonts w:hint="eastAsia" w:ascii="宋体" w:hAnsi="宋体" w:eastAsia="宋体" w:cs="Arial"/>
                <w:b/>
                <w:bCs/>
                <w:color w:val="000000"/>
                <w:kern w:val="0"/>
                <w:sz w:val="22"/>
              </w:rPr>
              <w:t>总计</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32</w:t>
            </w:r>
          </w:p>
        </w:tc>
        <w:tc>
          <w:tcPr>
            <w:tcW w:w="153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3,200.01</w:t>
            </w:r>
          </w:p>
        </w:tc>
        <w:tc>
          <w:tcPr>
            <w:tcW w:w="414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b/>
                <w:bCs/>
                <w:color w:val="000000"/>
                <w:kern w:val="0"/>
                <w:sz w:val="22"/>
              </w:rPr>
            </w:pPr>
            <w:r>
              <w:rPr>
                <w:rFonts w:hint="eastAsia" w:ascii="宋体" w:hAnsi="宋体" w:eastAsia="宋体" w:cs="Arial"/>
                <w:b/>
                <w:bCs/>
                <w:color w:val="000000"/>
                <w:kern w:val="0"/>
                <w:sz w:val="22"/>
              </w:rPr>
              <w:t>总计</w:t>
            </w:r>
          </w:p>
        </w:tc>
        <w:tc>
          <w:tcPr>
            <w:tcW w:w="49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64</w:t>
            </w:r>
          </w:p>
        </w:tc>
        <w:tc>
          <w:tcPr>
            <w:tcW w:w="109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3,200.01</w:t>
            </w:r>
          </w:p>
        </w:tc>
        <w:tc>
          <w:tcPr>
            <w:tcW w:w="1381"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3,200.01</w:t>
            </w:r>
          </w:p>
        </w:tc>
        <w:tc>
          <w:tcPr>
            <w:tcW w:w="99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69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13784" w:type="dxa"/>
            <w:gridSpan w:val="8"/>
            <w:tcBorders>
              <w:top w:val="nil"/>
              <w:left w:val="nil"/>
              <w:bottom w:val="nil"/>
              <w:right w:val="nil"/>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注：本表反映部门本年度一般公共预算财政拨款、政府性基金预算财政拨款和国有资本经营预算财政拨款的总收支和年末结转结余情况。</w:t>
            </w:r>
          </w:p>
        </w:tc>
        <w:tc>
          <w:tcPr>
            <w:tcW w:w="1695" w:type="dxa"/>
            <w:tcBorders>
              <w:top w:val="nil"/>
              <w:left w:val="nil"/>
              <w:bottom w:val="nil"/>
              <w:right w:val="nil"/>
            </w:tcBorders>
            <w:shd w:val="clear" w:color="000000" w:fill="FFFFFF"/>
            <w:noWrap/>
            <w:vAlign w:val="center"/>
          </w:tcPr>
          <w:p>
            <w:pPr>
              <w:widowControl/>
              <w:spacing w:line="400" w:lineRule="exact"/>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r>
    </w:tbl>
    <w:p>
      <w:pPr>
        <w:widowControl/>
        <w:spacing w:line="400" w:lineRule="exact"/>
        <w:jc w:val="left"/>
        <w:rPr>
          <w:rFonts w:ascii="Times New Roman" w:hAnsi="Times New Roman" w:eastAsia="仿宋_GB2312" w:cs="Times New Roman"/>
          <w:bCs/>
          <w:kern w:val="0"/>
          <w:szCs w:val="21"/>
        </w:rPr>
      </w:pPr>
    </w:p>
    <w:p>
      <w:pPr>
        <w:autoSpaceDE w:val="0"/>
        <w:autoSpaceDN w:val="0"/>
        <w:adjustRightInd w:val="0"/>
        <w:ind w:left="315" w:leftChars="150"/>
        <w:jc w:val="left"/>
        <w:rPr>
          <w:rFonts w:ascii="宋体" w:eastAsia="宋体" w:cs="宋体"/>
          <w:kern w:val="0"/>
          <w:sz w:val="24"/>
          <w:szCs w:val="24"/>
        </w:rPr>
      </w:pPr>
    </w:p>
    <w:tbl>
      <w:tblPr>
        <w:tblStyle w:val="20"/>
        <w:tblW w:w="15466" w:type="dxa"/>
        <w:tblInd w:w="93" w:type="dxa"/>
        <w:tblLayout w:type="fixed"/>
        <w:tblCellMar>
          <w:top w:w="0" w:type="dxa"/>
          <w:left w:w="108" w:type="dxa"/>
          <w:bottom w:w="0" w:type="dxa"/>
          <w:right w:w="108" w:type="dxa"/>
        </w:tblCellMar>
      </w:tblPr>
      <w:tblGrid>
        <w:gridCol w:w="401"/>
        <w:gridCol w:w="313"/>
        <w:gridCol w:w="272"/>
        <w:gridCol w:w="5036"/>
        <w:gridCol w:w="2122"/>
        <w:gridCol w:w="518"/>
        <w:gridCol w:w="1456"/>
        <w:gridCol w:w="1946"/>
        <w:gridCol w:w="3402"/>
      </w:tblGrid>
      <w:tr>
        <w:tblPrEx>
          <w:tblLayout w:type="fixed"/>
          <w:tblCellMar>
            <w:top w:w="0" w:type="dxa"/>
            <w:left w:w="108" w:type="dxa"/>
            <w:bottom w:w="0" w:type="dxa"/>
            <w:right w:w="108" w:type="dxa"/>
          </w:tblCellMar>
        </w:tblPrEx>
        <w:trPr>
          <w:trHeight w:val="390" w:hRule="atLeast"/>
        </w:trPr>
        <w:tc>
          <w:tcPr>
            <w:tcW w:w="15466" w:type="dxa"/>
            <w:gridSpan w:val="9"/>
            <w:tcBorders>
              <w:top w:val="nil"/>
              <w:left w:val="nil"/>
              <w:bottom w:val="nil"/>
              <w:right w:val="nil"/>
            </w:tcBorders>
            <w:shd w:val="clear" w:color="000000" w:fill="FFFFFF"/>
            <w:noWrap/>
            <w:vAlign w:val="bottom"/>
          </w:tcPr>
          <w:p>
            <w:pPr>
              <w:widowControl/>
              <w:jc w:val="center"/>
              <w:rPr>
                <w:rFonts w:ascii="宋体" w:hAnsi="宋体" w:eastAsia="宋体" w:cs="Arial"/>
                <w:color w:val="000000"/>
                <w:kern w:val="0"/>
                <w:sz w:val="30"/>
                <w:szCs w:val="30"/>
              </w:rPr>
            </w:pPr>
          </w:p>
          <w:p>
            <w:pPr>
              <w:widowControl/>
              <w:jc w:val="center"/>
              <w:rPr>
                <w:rFonts w:ascii="宋体" w:hAnsi="宋体" w:eastAsia="宋体" w:cs="Arial"/>
                <w:color w:val="000000"/>
                <w:kern w:val="0"/>
                <w:sz w:val="30"/>
                <w:szCs w:val="30"/>
              </w:rPr>
            </w:pPr>
          </w:p>
          <w:p>
            <w:pPr>
              <w:widowControl/>
              <w:jc w:val="center"/>
              <w:rPr>
                <w:rFonts w:ascii="宋体" w:hAnsi="宋体" w:eastAsia="宋体" w:cs="Arial"/>
                <w:color w:val="000000"/>
                <w:kern w:val="0"/>
                <w:sz w:val="30"/>
                <w:szCs w:val="30"/>
              </w:rPr>
            </w:pPr>
          </w:p>
          <w:p>
            <w:pPr>
              <w:widowControl/>
              <w:jc w:val="center"/>
              <w:rPr>
                <w:rFonts w:ascii="宋体" w:hAnsi="宋体" w:eastAsia="宋体" w:cs="Arial"/>
                <w:color w:val="000000"/>
                <w:kern w:val="0"/>
                <w:sz w:val="30"/>
                <w:szCs w:val="30"/>
              </w:rPr>
            </w:pPr>
          </w:p>
          <w:p>
            <w:pPr>
              <w:widowControl/>
              <w:jc w:val="center"/>
              <w:rPr>
                <w:rFonts w:ascii="宋体" w:hAnsi="宋体" w:eastAsia="宋体" w:cs="Arial"/>
                <w:b/>
                <w:color w:val="000000"/>
                <w:kern w:val="0"/>
                <w:sz w:val="30"/>
                <w:szCs w:val="30"/>
              </w:rPr>
            </w:pPr>
            <w:r>
              <w:rPr>
                <w:rFonts w:hint="eastAsia" w:ascii="宋体" w:hAnsi="宋体" w:eastAsia="宋体" w:cs="Arial"/>
                <w:b/>
                <w:color w:val="000000"/>
                <w:kern w:val="0"/>
                <w:sz w:val="30"/>
                <w:szCs w:val="30"/>
              </w:rPr>
              <w:t>一般公共预算财政拨款支出决算表</w:t>
            </w:r>
          </w:p>
        </w:tc>
      </w:tr>
      <w:tr>
        <w:tblPrEx>
          <w:tblLayout w:type="fixed"/>
          <w:tblCellMar>
            <w:top w:w="0" w:type="dxa"/>
            <w:left w:w="108" w:type="dxa"/>
            <w:bottom w:w="0" w:type="dxa"/>
            <w:right w:w="108" w:type="dxa"/>
          </w:tblCellMar>
        </w:tblPrEx>
        <w:trPr>
          <w:trHeight w:val="255" w:hRule="atLeast"/>
        </w:trPr>
        <w:tc>
          <w:tcPr>
            <w:tcW w:w="401"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313"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272"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5036"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2122"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974" w:type="dxa"/>
            <w:gridSpan w:val="2"/>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5348" w:type="dxa"/>
            <w:gridSpan w:val="2"/>
            <w:tcBorders>
              <w:top w:val="nil"/>
              <w:left w:val="nil"/>
              <w:bottom w:val="nil"/>
              <w:right w:val="nil"/>
            </w:tcBorders>
            <w:shd w:val="clear" w:color="000000" w:fill="FFFFFF"/>
            <w:noWrap/>
            <w:vAlign w:val="bottom"/>
          </w:tcPr>
          <w:p>
            <w:pPr>
              <w:widowControl/>
              <w:spacing w:line="400" w:lineRule="exact"/>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公开05表</w:t>
            </w:r>
          </w:p>
        </w:tc>
      </w:tr>
      <w:tr>
        <w:tblPrEx>
          <w:tblLayout w:type="fixed"/>
          <w:tblCellMar>
            <w:top w:w="0" w:type="dxa"/>
            <w:left w:w="108" w:type="dxa"/>
            <w:bottom w:w="0" w:type="dxa"/>
            <w:right w:w="108" w:type="dxa"/>
          </w:tblCellMar>
        </w:tblPrEx>
        <w:trPr>
          <w:trHeight w:val="255" w:hRule="atLeast"/>
        </w:trPr>
        <w:tc>
          <w:tcPr>
            <w:tcW w:w="6022" w:type="dxa"/>
            <w:gridSpan w:val="4"/>
            <w:tcBorders>
              <w:top w:val="nil"/>
              <w:left w:val="nil"/>
              <w:bottom w:val="nil"/>
              <w:right w:val="nil"/>
            </w:tcBorders>
            <w:shd w:val="clear" w:color="000000" w:fill="FFFFFF"/>
            <w:noWrap/>
            <w:vAlign w:val="bottom"/>
          </w:tcPr>
          <w:p>
            <w:pPr>
              <w:widowControl/>
              <w:spacing w:line="400" w:lineRule="exact"/>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部门：湘乡市林业局（本级）</w:t>
            </w:r>
          </w:p>
        </w:tc>
        <w:tc>
          <w:tcPr>
            <w:tcW w:w="2122"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974" w:type="dxa"/>
            <w:gridSpan w:val="2"/>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5348" w:type="dxa"/>
            <w:gridSpan w:val="2"/>
            <w:tcBorders>
              <w:top w:val="nil"/>
              <w:left w:val="nil"/>
              <w:bottom w:val="nil"/>
              <w:right w:val="nil"/>
            </w:tcBorders>
            <w:shd w:val="clear" w:color="000000" w:fill="FFFFFF"/>
            <w:noWrap/>
            <w:vAlign w:val="bottom"/>
          </w:tcPr>
          <w:p>
            <w:pPr>
              <w:widowControl/>
              <w:spacing w:line="400" w:lineRule="exact"/>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Layout w:type="fixed"/>
          <w:tblCellMar>
            <w:top w:w="0" w:type="dxa"/>
            <w:left w:w="108" w:type="dxa"/>
            <w:bottom w:w="0" w:type="dxa"/>
            <w:right w:w="108" w:type="dxa"/>
          </w:tblCellMar>
        </w:tblPrEx>
        <w:trPr>
          <w:trHeight w:val="308" w:hRule="atLeast"/>
        </w:trPr>
        <w:tc>
          <w:tcPr>
            <w:tcW w:w="6022" w:type="dxa"/>
            <w:gridSpan w:val="4"/>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9444" w:type="dxa"/>
            <w:gridSpan w:val="5"/>
            <w:tcBorders>
              <w:top w:val="single" w:color="000000" w:sz="4" w:space="0"/>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本年支出</w:t>
            </w:r>
          </w:p>
        </w:tc>
      </w:tr>
      <w:tr>
        <w:tblPrEx>
          <w:tblLayout w:type="fixed"/>
          <w:tblCellMar>
            <w:top w:w="0" w:type="dxa"/>
            <w:left w:w="108" w:type="dxa"/>
            <w:bottom w:w="0" w:type="dxa"/>
            <w:right w:w="108" w:type="dxa"/>
          </w:tblCellMar>
        </w:tblPrEx>
        <w:trPr>
          <w:trHeight w:val="400" w:hRule="atLeast"/>
        </w:trPr>
        <w:tc>
          <w:tcPr>
            <w:tcW w:w="986" w:type="dxa"/>
            <w:gridSpan w:val="3"/>
            <w:vMerge w:val="restart"/>
            <w:tcBorders>
              <w:top w:val="nil"/>
              <w:left w:val="single" w:color="000000" w:sz="4" w:space="0"/>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功能分类科目编码</w:t>
            </w:r>
          </w:p>
        </w:tc>
        <w:tc>
          <w:tcPr>
            <w:tcW w:w="5036" w:type="dxa"/>
            <w:vMerge w:val="restart"/>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2640" w:type="dxa"/>
            <w:gridSpan w:val="2"/>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小计</w:t>
            </w:r>
          </w:p>
        </w:tc>
        <w:tc>
          <w:tcPr>
            <w:tcW w:w="3402" w:type="dxa"/>
            <w:gridSpan w:val="2"/>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基本支出</w:t>
            </w:r>
          </w:p>
        </w:tc>
        <w:tc>
          <w:tcPr>
            <w:tcW w:w="3402" w:type="dxa"/>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项目支出</w:t>
            </w:r>
          </w:p>
        </w:tc>
      </w:tr>
      <w:tr>
        <w:tblPrEx>
          <w:tblLayout w:type="fixed"/>
        </w:tblPrEx>
        <w:trPr>
          <w:trHeight w:val="400" w:hRule="atLeast"/>
        </w:trPr>
        <w:tc>
          <w:tcPr>
            <w:tcW w:w="986" w:type="dxa"/>
            <w:gridSpan w:val="3"/>
            <w:vMerge w:val="continue"/>
            <w:tcBorders>
              <w:top w:val="nil"/>
              <w:left w:val="single" w:color="000000" w:sz="4" w:space="0"/>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5036"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2640" w:type="dxa"/>
            <w:gridSpan w:val="2"/>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3402" w:type="dxa"/>
            <w:gridSpan w:val="2"/>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3402"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r>
      <w:tr>
        <w:tblPrEx>
          <w:tblLayout w:type="fixed"/>
          <w:tblCellMar>
            <w:top w:w="0" w:type="dxa"/>
            <w:left w:w="108" w:type="dxa"/>
            <w:bottom w:w="0" w:type="dxa"/>
            <w:right w:w="108" w:type="dxa"/>
          </w:tblCellMar>
        </w:tblPrEx>
        <w:trPr>
          <w:trHeight w:val="400" w:hRule="atLeast"/>
        </w:trPr>
        <w:tc>
          <w:tcPr>
            <w:tcW w:w="986" w:type="dxa"/>
            <w:gridSpan w:val="3"/>
            <w:vMerge w:val="continue"/>
            <w:tcBorders>
              <w:top w:val="nil"/>
              <w:left w:val="single" w:color="000000" w:sz="4" w:space="0"/>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5036"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2640" w:type="dxa"/>
            <w:gridSpan w:val="2"/>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3402" w:type="dxa"/>
            <w:gridSpan w:val="2"/>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3402"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r>
      <w:tr>
        <w:tblPrEx>
          <w:tblLayout w:type="fixed"/>
          <w:tblCellMar>
            <w:top w:w="0" w:type="dxa"/>
            <w:left w:w="108" w:type="dxa"/>
            <w:bottom w:w="0" w:type="dxa"/>
            <w:right w:w="108" w:type="dxa"/>
          </w:tblCellMar>
        </w:tblPrEx>
        <w:trPr>
          <w:trHeight w:val="308" w:hRule="atLeast"/>
        </w:trPr>
        <w:tc>
          <w:tcPr>
            <w:tcW w:w="6022" w:type="dxa"/>
            <w:gridSpan w:val="4"/>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2640"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3402"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w:t>
            </w:r>
          </w:p>
        </w:tc>
      </w:tr>
      <w:tr>
        <w:tblPrEx>
          <w:tblLayout w:type="fixed"/>
          <w:tblCellMar>
            <w:top w:w="0" w:type="dxa"/>
            <w:left w:w="108" w:type="dxa"/>
            <w:bottom w:w="0" w:type="dxa"/>
            <w:right w:w="108" w:type="dxa"/>
          </w:tblCellMar>
        </w:tblPrEx>
        <w:trPr>
          <w:trHeight w:val="308" w:hRule="atLeast"/>
        </w:trPr>
        <w:tc>
          <w:tcPr>
            <w:tcW w:w="6022" w:type="dxa"/>
            <w:gridSpan w:val="4"/>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b/>
                <w:bCs/>
                <w:color w:val="000000"/>
                <w:kern w:val="0"/>
                <w:sz w:val="22"/>
              </w:rPr>
            </w:pPr>
            <w:r>
              <w:rPr>
                <w:rFonts w:hint="eastAsia" w:ascii="宋体" w:hAnsi="宋体" w:eastAsia="宋体" w:cs="Arial"/>
                <w:b/>
                <w:bCs/>
                <w:color w:val="000000"/>
                <w:kern w:val="0"/>
                <w:sz w:val="22"/>
              </w:rPr>
              <w:t>2,977.45</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b/>
                <w:bCs/>
                <w:color w:val="000000"/>
                <w:kern w:val="0"/>
                <w:sz w:val="22"/>
              </w:rPr>
            </w:pPr>
            <w:r>
              <w:rPr>
                <w:rFonts w:hint="eastAsia" w:ascii="宋体" w:hAnsi="宋体" w:eastAsia="宋体" w:cs="Arial"/>
                <w:b/>
                <w:bCs/>
                <w:color w:val="000000"/>
                <w:kern w:val="0"/>
                <w:sz w:val="22"/>
              </w:rPr>
              <w:t>932.42</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b/>
                <w:bCs/>
                <w:color w:val="000000"/>
                <w:kern w:val="0"/>
                <w:sz w:val="22"/>
              </w:rPr>
            </w:pPr>
            <w:r>
              <w:rPr>
                <w:rFonts w:hint="eastAsia" w:ascii="宋体" w:hAnsi="宋体" w:eastAsia="宋体" w:cs="Arial"/>
                <w:b/>
                <w:bCs/>
                <w:color w:val="000000"/>
                <w:kern w:val="0"/>
                <w:sz w:val="22"/>
              </w:rPr>
              <w:t>2,045.03</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208</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社会保障和就业支出</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79.26</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79.26</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20805</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行政事业单位养老支出</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70.62</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70.62</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2080501</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行政单位离退休</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6.38</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6.38</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2080505</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机关事业单位基本养老保险缴费支出</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64.24</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64.24</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20899</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其他社会保障和就业支出</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8.64</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8.64</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2089999</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其他社会保障和就业支出</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8.64</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8.64</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210</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卫生健康支出</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21011</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行政事业单位医疗</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2101101</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行政单位医疗</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35.32</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211</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节能环保支出</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486.56</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191.44</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295.12</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21105</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天然林保护</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486.56</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191.44</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295.12</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2110501</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森林管护</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486.56</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191.44</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295.12</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农林水支出</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2,324.56</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574.64</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1,749.92</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林业和草原</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2,324.56</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574.64</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1,749.92</w:t>
            </w:r>
          </w:p>
        </w:tc>
      </w:tr>
      <w:tr>
        <w:tblPrEx>
          <w:tblLayout w:type="fixed"/>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2130201</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行政运行</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574.64</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574.64</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2130202</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一般行政管理事务</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131.18</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131.18</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2130205</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森林资源培育</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141.21</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141.21</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2130211</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动植物保护</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157.59</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157.59</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2130221</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产业化管理</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1,116.08</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1,116.08</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2130234</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林业草原防灾减灾</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53.97</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53.97</w:t>
            </w:r>
          </w:p>
        </w:tc>
      </w:tr>
      <w:tr>
        <w:tblPrEx>
          <w:tblLayout w:type="fixed"/>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2130299</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其他林业和草原支出</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149.88</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149.88</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221</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住房保障支出</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22102</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住房改革支出</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2210201</w:t>
            </w:r>
          </w:p>
        </w:tc>
        <w:tc>
          <w:tcPr>
            <w:tcW w:w="5036"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住房公积金</w:t>
            </w:r>
          </w:p>
        </w:tc>
        <w:tc>
          <w:tcPr>
            <w:tcW w:w="2640"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3402"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51.76</w:t>
            </w:r>
          </w:p>
        </w:tc>
        <w:tc>
          <w:tcPr>
            <w:tcW w:w="3402"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15466" w:type="dxa"/>
            <w:gridSpan w:val="9"/>
            <w:tcBorders>
              <w:top w:val="nil"/>
              <w:left w:val="nil"/>
              <w:bottom w:val="nil"/>
              <w:right w:val="nil"/>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注：本表反映部门本年度一般公共预算财政拨款支出情况。</w:t>
            </w:r>
          </w:p>
        </w:tc>
      </w:tr>
    </w:tbl>
    <w:p>
      <w:pPr>
        <w:widowControl/>
        <w:spacing w:line="400" w:lineRule="exact"/>
        <w:jc w:val="center"/>
        <w:rPr>
          <w:rFonts w:ascii="Times New Roman" w:hAnsi="Times New Roman" w:eastAsia="方正小标宋_GBK" w:cs="Times New Roman"/>
          <w:kern w:val="0"/>
          <w:sz w:val="36"/>
          <w:szCs w:val="36"/>
        </w:rPr>
      </w:pPr>
    </w:p>
    <w:p>
      <w:pPr>
        <w:widowControl/>
        <w:spacing w:line="400" w:lineRule="exact"/>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tbl>
      <w:tblPr>
        <w:tblStyle w:val="20"/>
        <w:tblW w:w="15569" w:type="dxa"/>
        <w:tblInd w:w="93" w:type="dxa"/>
        <w:tblLayout w:type="fixed"/>
        <w:tblCellMar>
          <w:top w:w="0" w:type="dxa"/>
          <w:left w:w="108" w:type="dxa"/>
          <w:bottom w:w="0" w:type="dxa"/>
          <w:right w:w="108" w:type="dxa"/>
        </w:tblCellMar>
      </w:tblPr>
      <w:tblGrid>
        <w:gridCol w:w="765"/>
        <w:gridCol w:w="243"/>
        <w:gridCol w:w="3083"/>
        <w:gridCol w:w="460"/>
        <w:gridCol w:w="993"/>
        <w:gridCol w:w="236"/>
        <w:gridCol w:w="756"/>
        <w:gridCol w:w="1471"/>
        <w:gridCol w:w="876"/>
        <w:gridCol w:w="346"/>
        <w:gridCol w:w="420"/>
        <w:gridCol w:w="431"/>
        <w:gridCol w:w="1134"/>
        <w:gridCol w:w="2927"/>
        <w:gridCol w:w="475"/>
        <w:gridCol w:w="905"/>
        <w:gridCol w:w="48"/>
      </w:tblGrid>
      <w:tr>
        <w:tblPrEx>
          <w:tblLayout w:type="fixed"/>
          <w:tblCellMar>
            <w:top w:w="0" w:type="dxa"/>
            <w:left w:w="108" w:type="dxa"/>
            <w:bottom w:w="0" w:type="dxa"/>
            <w:right w:w="108" w:type="dxa"/>
          </w:tblCellMar>
        </w:tblPrEx>
        <w:trPr>
          <w:gridAfter w:val="1"/>
          <w:wAfter w:w="48" w:type="dxa"/>
          <w:trHeight w:val="390" w:hRule="atLeast"/>
        </w:trPr>
        <w:tc>
          <w:tcPr>
            <w:tcW w:w="15521" w:type="dxa"/>
            <w:gridSpan w:val="16"/>
            <w:tcBorders>
              <w:top w:val="nil"/>
              <w:left w:val="nil"/>
              <w:bottom w:val="nil"/>
              <w:right w:val="nil"/>
            </w:tcBorders>
            <w:shd w:val="clear" w:color="000000" w:fill="FFFFFF"/>
            <w:noWrap/>
            <w:vAlign w:val="bottom"/>
          </w:tcPr>
          <w:p>
            <w:pPr>
              <w:widowControl/>
              <w:jc w:val="center"/>
              <w:rPr>
                <w:rFonts w:ascii="宋体" w:hAnsi="宋体" w:eastAsia="宋体" w:cs="Arial"/>
                <w:b/>
                <w:color w:val="000000"/>
                <w:kern w:val="0"/>
                <w:sz w:val="30"/>
                <w:szCs w:val="30"/>
              </w:rPr>
            </w:pPr>
            <w:r>
              <w:rPr>
                <w:rFonts w:hint="eastAsia" w:ascii="宋体" w:hAnsi="宋体" w:eastAsia="宋体" w:cs="Arial"/>
                <w:b/>
                <w:color w:val="000000"/>
                <w:kern w:val="0"/>
                <w:sz w:val="30"/>
                <w:szCs w:val="30"/>
              </w:rPr>
              <w:t>一般公共预算财政拨款基本支出决算明细表</w:t>
            </w:r>
          </w:p>
        </w:tc>
      </w:tr>
      <w:tr>
        <w:tblPrEx>
          <w:tblLayout w:type="fixed"/>
          <w:tblCellMar>
            <w:top w:w="0" w:type="dxa"/>
            <w:left w:w="108" w:type="dxa"/>
            <w:bottom w:w="0" w:type="dxa"/>
            <w:right w:w="108" w:type="dxa"/>
          </w:tblCellMar>
        </w:tblPrEx>
        <w:trPr>
          <w:trHeight w:val="255" w:hRule="atLeast"/>
        </w:trPr>
        <w:tc>
          <w:tcPr>
            <w:tcW w:w="765"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3326" w:type="dxa"/>
            <w:gridSpan w:val="2"/>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453" w:type="dxa"/>
            <w:gridSpan w:val="2"/>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236"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2227" w:type="dxa"/>
            <w:gridSpan w:val="2"/>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876"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766" w:type="dxa"/>
            <w:gridSpan w:val="2"/>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4492" w:type="dxa"/>
            <w:gridSpan w:val="3"/>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428" w:type="dxa"/>
            <w:gridSpan w:val="3"/>
            <w:tcBorders>
              <w:top w:val="nil"/>
              <w:left w:val="nil"/>
              <w:bottom w:val="nil"/>
              <w:right w:val="nil"/>
            </w:tcBorders>
            <w:shd w:val="clear" w:color="000000" w:fill="FFFFFF"/>
            <w:noWrap/>
            <w:vAlign w:val="bottom"/>
          </w:tcPr>
          <w:p>
            <w:pPr>
              <w:widowControl/>
              <w:spacing w:line="400" w:lineRule="exact"/>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公开06表</w:t>
            </w:r>
          </w:p>
        </w:tc>
      </w:tr>
      <w:tr>
        <w:tblPrEx>
          <w:tblLayout w:type="fixed"/>
          <w:tblCellMar>
            <w:top w:w="0" w:type="dxa"/>
            <w:left w:w="108" w:type="dxa"/>
            <w:bottom w:w="0" w:type="dxa"/>
            <w:right w:w="108" w:type="dxa"/>
          </w:tblCellMar>
        </w:tblPrEx>
        <w:trPr>
          <w:trHeight w:val="255" w:hRule="atLeast"/>
        </w:trPr>
        <w:tc>
          <w:tcPr>
            <w:tcW w:w="4091" w:type="dxa"/>
            <w:gridSpan w:val="3"/>
            <w:tcBorders>
              <w:top w:val="nil"/>
              <w:left w:val="nil"/>
              <w:bottom w:val="nil"/>
              <w:right w:val="nil"/>
            </w:tcBorders>
            <w:shd w:val="clear" w:color="000000" w:fill="FFFFFF"/>
            <w:noWrap/>
            <w:vAlign w:val="bottom"/>
          </w:tcPr>
          <w:p>
            <w:pPr>
              <w:widowControl/>
              <w:spacing w:line="400" w:lineRule="exact"/>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部门：湘乡市林业局（本级）</w:t>
            </w:r>
          </w:p>
        </w:tc>
        <w:tc>
          <w:tcPr>
            <w:tcW w:w="1453" w:type="dxa"/>
            <w:gridSpan w:val="2"/>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236"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2227" w:type="dxa"/>
            <w:gridSpan w:val="2"/>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876"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766" w:type="dxa"/>
            <w:gridSpan w:val="2"/>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5920" w:type="dxa"/>
            <w:gridSpan w:val="6"/>
            <w:tcBorders>
              <w:top w:val="nil"/>
              <w:left w:val="nil"/>
              <w:bottom w:val="nil"/>
              <w:right w:val="nil"/>
            </w:tcBorders>
            <w:shd w:val="clear" w:color="000000" w:fill="FFFFFF"/>
            <w:noWrap/>
            <w:vAlign w:val="bottom"/>
          </w:tcPr>
          <w:p>
            <w:pPr>
              <w:widowControl/>
              <w:spacing w:line="400" w:lineRule="exact"/>
              <w:jc w:val="left"/>
              <w:rPr>
                <w:rFonts w:ascii="宋体" w:hAnsi="宋体" w:eastAsia="宋体" w:cs="Arial"/>
                <w:color w:val="000000"/>
                <w:kern w:val="0"/>
                <w:sz w:val="20"/>
                <w:szCs w:val="20"/>
              </w:rPr>
            </w:pPr>
            <w:r>
              <w:rPr>
                <w:rFonts w:ascii="Arial" w:hAnsi="Arial" w:eastAsia="宋体" w:cs="Arial"/>
                <w:color w:val="000000"/>
                <w:kern w:val="0"/>
                <w:sz w:val="20"/>
                <w:szCs w:val="20"/>
              </w:rPr>
              <w:t>　</w:t>
            </w:r>
            <w:r>
              <w:rPr>
                <w:rFonts w:hint="eastAsia" w:ascii="宋体" w:hAnsi="宋体" w:eastAsia="宋体" w:cs="Arial"/>
                <w:color w:val="000000"/>
                <w:kern w:val="0"/>
                <w:sz w:val="20"/>
                <w:szCs w:val="20"/>
              </w:rPr>
              <w:t>金额单位：万元</w:t>
            </w:r>
          </w:p>
        </w:tc>
      </w:tr>
      <w:tr>
        <w:tblPrEx>
          <w:tblLayout w:type="fixed"/>
          <w:tblCellMar>
            <w:top w:w="0" w:type="dxa"/>
            <w:left w:w="108" w:type="dxa"/>
            <w:bottom w:w="0" w:type="dxa"/>
            <w:right w:w="108" w:type="dxa"/>
          </w:tblCellMar>
        </w:tblPrEx>
        <w:trPr>
          <w:gridAfter w:val="1"/>
          <w:wAfter w:w="48" w:type="dxa"/>
          <w:trHeight w:val="308" w:hRule="atLeast"/>
        </w:trPr>
        <w:tc>
          <w:tcPr>
            <w:tcW w:w="5544" w:type="dxa"/>
            <w:gridSpan w:val="5"/>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人员经费</w:t>
            </w:r>
          </w:p>
        </w:tc>
        <w:tc>
          <w:tcPr>
            <w:tcW w:w="9977" w:type="dxa"/>
            <w:gridSpan w:val="11"/>
            <w:tcBorders>
              <w:top w:val="single" w:color="000000" w:sz="4" w:space="0"/>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公用经费</w:t>
            </w:r>
          </w:p>
        </w:tc>
      </w:tr>
      <w:tr>
        <w:tblPrEx>
          <w:tblLayout w:type="fixed"/>
          <w:tblCellMar>
            <w:top w:w="0" w:type="dxa"/>
            <w:left w:w="108" w:type="dxa"/>
            <w:bottom w:w="0" w:type="dxa"/>
            <w:right w:w="108" w:type="dxa"/>
          </w:tblCellMar>
        </w:tblPrEx>
        <w:trPr>
          <w:gridAfter w:val="1"/>
          <w:wAfter w:w="48" w:type="dxa"/>
          <w:trHeight w:val="400" w:hRule="atLeast"/>
        </w:trPr>
        <w:tc>
          <w:tcPr>
            <w:tcW w:w="1008" w:type="dxa"/>
            <w:gridSpan w:val="2"/>
            <w:vMerge w:val="restart"/>
            <w:tcBorders>
              <w:top w:val="nil"/>
              <w:left w:val="single" w:color="000000" w:sz="4" w:space="0"/>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科目编码</w:t>
            </w:r>
          </w:p>
        </w:tc>
        <w:tc>
          <w:tcPr>
            <w:tcW w:w="3543" w:type="dxa"/>
            <w:gridSpan w:val="2"/>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993" w:type="dxa"/>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决算数</w:t>
            </w:r>
          </w:p>
        </w:tc>
        <w:tc>
          <w:tcPr>
            <w:tcW w:w="992" w:type="dxa"/>
            <w:gridSpan w:val="2"/>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科目编码</w:t>
            </w:r>
          </w:p>
        </w:tc>
        <w:tc>
          <w:tcPr>
            <w:tcW w:w="2693" w:type="dxa"/>
            <w:gridSpan w:val="3"/>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851" w:type="dxa"/>
            <w:gridSpan w:val="2"/>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决算数</w:t>
            </w:r>
          </w:p>
        </w:tc>
        <w:tc>
          <w:tcPr>
            <w:tcW w:w="1134" w:type="dxa"/>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科目编码</w:t>
            </w:r>
          </w:p>
        </w:tc>
        <w:tc>
          <w:tcPr>
            <w:tcW w:w="3402" w:type="dxa"/>
            <w:gridSpan w:val="2"/>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905" w:type="dxa"/>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决算数</w:t>
            </w:r>
          </w:p>
        </w:tc>
      </w:tr>
      <w:tr>
        <w:tblPrEx>
          <w:tblLayout w:type="fixed"/>
        </w:tblPrEx>
        <w:trPr>
          <w:gridAfter w:val="1"/>
          <w:wAfter w:w="48" w:type="dxa"/>
          <w:trHeight w:val="400" w:hRule="atLeast"/>
        </w:trPr>
        <w:tc>
          <w:tcPr>
            <w:tcW w:w="1008" w:type="dxa"/>
            <w:gridSpan w:val="2"/>
            <w:vMerge w:val="continue"/>
            <w:tcBorders>
              <w:top w:val="nil"/>
              <w:left w:val="single" w:color="000000" w:sz="4" w:space="0"/>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3543" w:type="dxa"/>
            <w:gridSpan w:val="2"/>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993"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992" w:type="dxa"/>
            <w:gridSpan w:val="2"/>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2693" w:type="dxa"/>
            <w:gridSpan w:val="3"/>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851" w:type="dxa"/>
            <w:gridSpan w:val="2"/>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134"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3402" w:type="dxa"/>
            <w:gridSpan w:val="2"/>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905"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301</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工资福利支出</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740.13</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商品和服务支出</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157.05</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307</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债务利息及费用支出</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30101</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基本工资</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236.66</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30201</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办公费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14.02</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30701</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国内债务付息</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30102</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津贴补贴</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55.69</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30202</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印刷费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3.31</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30702</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国外债务付息</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30103</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奖金</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168.68</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30203</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咨询费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310</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资本性支出</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3.92</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30106</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伙食补助费</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0.46</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30204</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手续费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31001</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房屋建筑物购建</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30107</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绩效工资</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75.68</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30205</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水费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1.10</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31002</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办公设备购置</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3.92</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30108</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机关事业单位基本养老保险缴费</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58.83</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30206</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电费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6.48</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31003</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专用设备购置</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30109</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职业年金缴费</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25.98</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30207</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邮电费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0.64</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31005</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基础设施建设</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30110</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职工基本医疗保险缴费</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46.07</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30208</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取暖费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31006</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大型修缮</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30111</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公务员医疗补助缴费</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3.98</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30209</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物业管理费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31007</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信息网络及软件购置更新</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30112</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其他社会保障缴费</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2.75</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30211</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差旅费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5.00</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31008</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物资储备</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30113</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住房公积金</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65.36</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30212</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因公出国（境）费用</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31009</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土地补偿</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30114</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医疗费</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30213</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维修（护）费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17.85</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31010</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安置补助</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30199</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其他工资福利支出</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30214</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租赁费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0.32</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31011</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地上附着物和青苗补偿</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303</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对个人和家庭的补助</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31.32</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30215</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会议费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0.24</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31012</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拆迁补偿</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30301</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离休费</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30216</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培训费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1.33</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31013</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公务用车购置</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30302</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退休费</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30217</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公务接待费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1.42</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31019</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其他交通工具购置</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30303</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退职（役）费</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30218</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专用材料费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31021</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文物和陈列品购置</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30304</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抚恤金</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4.94</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30224</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被装购置费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31022</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无形资产购置</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30305</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生活补助</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20.46</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30225</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专用燃料费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31099</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其他资本性支出</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30306</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救济费</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30226</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劳务费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3.91</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399</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其他支出</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30307</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医疗费补助</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30227</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委托业务费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39906</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赠与</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30308</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助学金</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30228</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工会经费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14.15</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39907</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国家赔偿费用支出</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30309</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奖励金</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30229</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福利费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7.19</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39908</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对民间非营利组织和群众性自治组织补贴</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30310</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个人农业生产补贴</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30231</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公务用车运行维护费</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4.19</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39999</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其他支出</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30311</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代缴社会保险费</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30239</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其他交通费用</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39.90</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30399</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其他对个人和家庭的补助</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5.92</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30240</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税金及附加费用</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1008" w:type="dxa"/>
            <w:gridSpan w:val="2"/>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3543"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9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30299</w:t>
            </w:r>
          </w:p>
        </w:tc>
        <w:tc>
          <w:tcPr>
            <w:tcW w:w="2693" w:type="dxa"/>
            <w:gridSpan w:val="3"/>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其他商品和服务支出</w:t>
            </w:r>
          </w:p>
        </w:tc>
        <w:tc>
          <w:tcPr>
            <w:tcW w:w="851" w:type="dxa"/>
            <w:gridSpan w:val="2"/>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36.00</w:t>
            </w:r>
          </w:p>
        </w:tc>
        <w:tc>
          <w:tcPr>
            <w:tcW w:w="1134" w:type="dxa"/>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3402" w:type="dxa"/>
            <w:gridSpan w:val="2"/>
            <w:tcBorders>
              <w:top w:val="nil"/>
              <w:left w:val="nil"/>
              <w:bottom w:val="single" w:color="000000" w:sz="4" w:space="0"/>
              <w:right w:val="single" w:color="000000" w:sz="4" w:space="0"/>
            </w:tcBorders>
            <w:shd w:val="clear" w:color="FFFFFF"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gridAfter w:val="1"/>
          <w:wAfter w:w="48" w:type="dxa"/>
          <w:trHeight w:val="308" w:hRule="atLeast"/>
        </w:trPr>
        <w:tc>
          <w:tcPr>
            <w:tcW w:w="4551" w:type="dxa"/>
            <w:gridSpan w:val="4"/>
            <w:tcBorders>
              <w:top w:val="nil"/>
              <w:left w:val="single" w:color="000000" w:sz="4" w:space="0"/>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人员经费合计</w:t>
            </w:r>
          </w:p>
        </w:tc>
        <w:tc>
          <w:tcPr>
            <w:tcW w:w="993"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771.45</w:t>
            </w:r>
          </w:p>
        </w:tc>
        <w:tc>
          <w:tcPr>
            <w:tcW w:w="9072" w:type="dxa"/>
            <w:gridSpan w:val="10"/>
            <w:tcBorders>
              <w:top w:val="nil"/>
              <w:left w:val="nil"/>
              <w:bottom w:val="single" w:color="000000" w:sz="4" w:space="0"/>
              <w:right w:val="single" w:color="000000" w:sz="4" w:space="0"/>
            </w:tcBorders>
            <w:shd w:val="clear" w:color="FFFFFF" w:fill="FFFFFF"/>
            <w:noWrap/>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公用经费合计</w:t>
            </w:r>
          </w:p>
        </w:tc>
        <w:tc>
          <w:tcPr>
            <w:tcW w:w="905"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160.97</w:t>
            </w:r>
          </w:p>
        </w:tc>
      </w:tr>
      <w:tr>
        <w:tblPrEx>
          <w:tblLayout w:type="fixed"/>
        </w:tblPrEx>
        <w:trPr>
          <w:gridAfter w:val="1"/>
          <w:wAfter w:w="48" w:type="dxa"/>
          <w:trHeight w:val="308" w:hRule="atLeast"/>
        </w:trPr>
        <w:tc>
          <w:tcPr>
            <w:tcW w:w="15521" w:type="dxa"/>
            <w:gridSpan w:val="16"/>
            <w:tcBorders>
              <w:top w:val="nil"/>
              <w:left w:val="nil"/>
              <w:bottom w:val="nil"/>
              <w:right w:val="nil"/>
            </w:tcBorders>
            <w:shd w:val="clear" w:color="000000" w:fill="FFFFFF"/>
            <w:noWrap/>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注：本表反映部门本年度一般公共预算财政拨款基本支出明细情况。</w:t>
            </w:r>
          </w:p>
        </w:tc>
      </w:tr>
    </w:tbl>
    <w:p>
      <w:pPr>
        <w:widowControl/>
        <w:spacing w:line="400" w:lineRule="exact"/>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tbl>
      <w:tblPr>
        <w:tblStyle w:val="20"/>
        <w:tblW w:w="15600" w:type="dxa"/>
        <w:tblInd w:w="93" w:type="dxa"/>
        <w:tblLayout w:type="fixed"/>
        <w:tblCellMar>
          <w:top w:w="0" w:type="dxa"/>
          <w:left w:w="108" w:type="dxa"/>
          <w:bottom w:w="0" w:type="dxa"/>
          <w:right w:w="108" w:type="dxa"/>
        </w:tblCellMar>
      </w:tblPr>
      <w:tblGrid>
        <w:gridCol w:w="1300"/>
        <w:gridCol w:w="1300"/>
        <w:gridCol w:w="1300"/>
        <w:gridCol w:w="1300"/>
        <w:gridCol w:w="1300"/>
        <w:gridCol w:w="1300"/>
        <w:gridCol w:w="1300"/>
        <w:gridCol w:w="1300"/>
        <w:gridCol w:w="1300"/>
        <w:gridCol w:w="1170"/>
        <w:gridCol w:w="1300"/>
        <w:gridCol w:w="1430"/>
      </w:tblGrid>
      <w:tr>
        <w:tblPrEx>
          <w:tblLayout w:type="fixed"/>
          <w:tblCellMar>
            <w:top w:w="0" w:type="dxa"/>
            <w:left w:w="108" w:type="dxa"/>
            <w:bottom w:w="0" w:type="dxa"/>
            <w:right w:w="108" w:type="dxa"/>
          </w:tblCellMar>
        </w:tblPrEx>
        <w:trPr>
          <w:trHeight w:val="390" w:hRule="atLeast"/>
        </w:trPr>
        <w:tc>
          <w:tcPr>
            <w:tcW w:w="15600" w:type="dxa"/>
            <w:gridSpan w:val="12"/>
            <w:tcBorders>
              <w:top w:val="nil"/>
              <w:left w:val="nil"/>
              <w:bottom w:val="nil"/>
              <w:right w:val="nil"/>
            </w:tcBorders>
            <w:shd w:val="clear" w:color="000000" w:fill="FFFFFF"/>
            <w:noWrap/>
            <w:vAlign w:val="bottom"/>
          </w:tcPr>
          <w:p>
            <w:pPr>
              <w:widowControl/>
              <w:jc w:val="center"/>
              <w:rPr>
                <w:rFonts w:ascii="宋体" w:hAnsi="宋体" w:eastAsia="宋体" w:cs="Arial"/>
                <w:color w:val="000000"/>
                <w:kern w:val="0"/>
                <w:sz w:val="30"/>
                <w:szCs w:val="30"/>
              </w:rPr>
            </w:pPr>
          </w:p>
          <w:p>
            <w:pPr>
              <w:widowControl/>
              <w:jc w:val="center"/>
              <w:rPr>
                <w:rFonts w:ascii="宋体" w:hAnsi="宋体" w:eastAsia="宋体" w:cs="Arial"/>
                <w:color w:val="000000"/>
                <w:kern w:val="0"/>
                <w:sz w:val="30"/>
                <w:szCs w:val="30"/>
              </w:rPr>
            </w:pPr>
          </w:p>
          <w:p>
            <w:pPr>
              <w:widowControl/>
              <w:jc w:val="center"/>
              <w:rPr>
                <w:rFonts w:ascii="宋体" w:hAnsi="宋体" w:eastAsia="宋体" w:cs="Arial"/>
                <w:color w:val="000000"/>
                <w:kern w:val="0"/>
                <w:sz w:val="30"/>
                <w:szCs w:val="30"/>
              </w:rPr>
            </w:pPr>
          </w:p>
          <w:p>
            <w:pPr>
              <w:widowControl/>
              <w:jc w:val="center"/>
              <w:rPr>
                <w:rFonts w:ascii="宋体" w:hAnsi="宋体" w:eastAsia="宋体" w:cs="Arial"/>
                <w:color w:val="000000"/>
                <w:kern w:val="0"/>
                <w:sz w:val="30"/>
                <w:szCs w:val="30"/>
              </w:rPr>
            </w:pPr>
          </w:p>
          <w:p>
            <w:pPr>
              <w:widowControl/>
              <w:jc w:val="center"/>
              <w:rPr>
                <w:rFonts w:ascii="宋体" w:hAnsi="宋体" w:eastAsia="宋体" w:cs="Arial"/>
                <w:color w:val="000000"/>
                <w:kern w:val="0"/>
                <w:sz w:val="30"/>
                <w:szCs w:val="30"/>
              </w:rPr>
            </w:pPr>
          </w:p>
          <w:p>
            <w:pPr>
              <w:widowControl/>
              <w:jc w:val="center"/>
              <w:rPr>
                <w:rFonts w:ascii="宋体" w:hAnsi="宋体" w:eastAsia="宋体" w:cs="Arial"/>
                <w:b/>
                <w:color w:val="000000"/>
                <w:kern w:val="0"/>
                <w:sz w:val="30"/>
                <w:szCs w:val="30"/>
              </w:rPr>
            </w:pPr>
            <w:r>
              <w:rPr>
                <w:rFonts w:hint="eastAsia" w:ascii="宋体" w:hAnsi="宋体" w:eastAsia="宋体" w:cs="Arial"/>
                <w:b/>
                <w:color w:val="000000"/>
                <w:kern w:val="0"/>
                <w:sz w:val="30"/>
                <w:szCs w:val="30"/>
              </w:rPr>
              <w:t>一般公共预算财政拨款“三公”经费支出决算表</w:t>
            </w:r>
          </w:p>
        </w:tc>
      </w:tr>
      <w:tr>
        <w:tblPrEx>
          <w:tblLayout w:type="fixed"/>
          <w:tblCellMar>
            <w:top w:w="0" w:type="dxa"/>
            <w:left w:w="108" w:type="dxa"/>
            <w:bottom w:w="0" w:type="dxa"/>
            <w:right w:w="108" w:type="dxa"/>
          </w:tblCellMar>
        </w:tblPrEx>
        <w:trPr>
          <w:trHeight w:val="255" w:hRule="atLeast"/>
        </w:trPr>
        <w:tc>
          <w:tcPr>
            <w:tcW w:w="130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30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30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30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30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30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30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30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30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17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30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430" w:type="dxa"/>
            <w:tcBorders>
              <w:top w:val="nil"/>
              <w:left w:val="nil"/>
              <w:bottom w:val="nil"/>
              <w:right w:val="nil"/>
            </w:tcBorders>
            <w:shd w:val="clear" w:color="000000" w:fill="FFFFFF"/>
            <w:noWrap/>
            <w:vAlign w:val="bottom"/>
          </w:tcPr>
          <w:p>
            <w:pPr>
              <w:widowControl/>
              <w:spacing w:line="400" w:lineRule="exact"/>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公开07表</w:t>
            </w:r>
          </w:p>
        </w:tc>
      </w:tr>
      <w:tr>
        <w:tblPrEx>
          <w:tblLayout w:type="fixed"/>
          <w:tblCellMar>
            <w:top w:w="0" w:type="dxa"/>
            <w:left w:w="108" w:type="dxa"/>
            <w:bottom w:w="0" w:type="dxa"/>
            <w:right w:w="108" w:type="dxa"/>
          </w:tblCellMar>
        </w:tblPrEx>
        <w:trPr>
          <w:trHeight w:val="255" w:hRule="atLeast"/>
        </w:trPr>
        <w:tc>
          <w:tcPr>
            <w:tcW w:w="3900" w:type="dxa"/>
            <w:gridSpan w:val="3"/>
            <w:tcBorders>
              <w:top w:val="nil"/>
              <w:left w:val="nil"/>
              <w:bottom w:val="nil"/>
              <w:right w:val="nil"/>
            </w:tcBorders>
            <w:shd w:val="clear" w:color="000000" w:fill="FFFFFF"/>
            <w:noWrap/>
            <w:vAlign w:val="bottom"/>
          </w:tcPr>
          <w:p>
            <w:pPr>
              <w:widowControl/>
              <w:spacing w:line="400" w:lineRule="exact"/>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部门：湘乡市林业局（本级）</w:t>
            </w:r>
          </w:p>
        </w:tc>
        <w:tc>
          <w:tcPr>
            <w:tcW w:w="130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30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30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30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30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30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170" w:type="dxa"/>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2730" w:type="dxa"/>
            <w:gridSpan w:val="2"/>
            <w:tcBorders>
              <w:top w:val="nil"/>
              <w:left w:val="nil"/>
              <w:bottom w:val="nil"/>
              <w:right w:val="nil"/>
            </w:tcBorders>
            <w:shd w:val="clear" w:color="000000" w:fill="FFFFFF"/>
            <w:noWrap/>
            <w:vAlign w:val="bottom"/>
          </w:tcPr>
          <w:p>
            <w:pPr>
              <w:widowControl/>
              <w:spacing w:line="400" w:lineRule="exact"/>
              <w:jc w:val="left"/>
              <w:rPr>
                <w:rFonts w:ascii="宋体" w:hAnsi="宋体" w:eastAsia="宋体" w:cs="Arial"/>
                <w:color w:val="000000"/>
                <w:kern w:val="0"/>
                <w:sz w:val="20"/>
                <w:szCs w:val="20"/>
              </w:rPr>
            </w:pPr>
            <w:r>
              <w:rPr>
                <w:rFonts w:ascii="Arial" w:hAnsi="Arial" w:eastAsia="宋体" w:cs="Arial"/>
                <w:color w:val="000000"/>
                <w:kern w:val="0"/>
                <w:sz w:val="20"/>
                <w:szCs w:val="20"/>
              </w:rPr>
              <w:t>　</w:t>
            </w:r>
            <w:r>
              <w:rPr>
                <w:rFonts w:hint="eastAsia" w:ascii="Arial" w:hAnsi="Arial" w:eastAsia="宋体" w:cs="Arial"/>
                <w:color w:val="000000"/>
                <w:kern w:val="0"/>
                <w:sz w:val="20"/>
                <w:szCs w:val="20"/>
              </w:rPr>
              <w:t xml:space="preserve">         </w:t>
            </w:r>
            <w:r>
              <w:rPr>
                <w:rFonts w:hint="eastAsia" w:ascii="宋体" w:hAnsi="宋体" w:eastAsia="宋体" w:cs="Arial"/>
                <w:color w:val="000000"/>
                <w:kern w:val="0"/>
                <w:sz w:val="20"/>
                <w:szCs w:val="20"/>
              </w:rPr>
              <w:t>金额单位：万元</w:t>
            </w:r>
          </w:p>
        </w:tc>
      </w:tr>
      <w:tr>
        <w:tblPrEx>
          <w:tblLayout w:type="fixed"/>
          <w:tblCellMar>
            <w:top w:w="0" w:type="dxa"/>
            <w:left w:w="108" w:type="dxa"/>
            <w:bottom w:w="0" w:type="dxa"/>
            <w:right w:w="108" w:type="dxa"/>
          </w:tblCellMar>
        </w:tblPrEx>
        <w:trPr>
          <w:trHeight w:val="308" w:hRule="atLeast"/>
        </w:trPr>
        <w:tc>
          <w:tcPr>
            <w:tcW w:w="7800" w:type="dxa"/>
            <w:gridSpan w:val="6"/>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预算数</w:t>
            </w:r>
          </w:p>
        </w:tc>
        <w:tc>
          <w:tcPr>
            <w:tcW w:w="7800" w:type="dxa"/>
            <w:gridSpan w:val="6"/>
            <w:tcBorders>
              <w:top w:val="single" w:color="000000" w:sz="4" w:space="0"/>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决算数</w:t>
            </w:r>
          </w:p>
        </w:tc>
      </w:tr>
      <w:tr>
        <w:tblPrEx>
          <w:tblLayout w:type="fixed"/>
          <w:tblCellMar>
            <w:top w:w="0" w:type="dxa"/>
            <w:left w:w="108" w:type="dxa"/>
            <w:bottom w:w="0" w:type="dxa"/>
            <w:right w:w="108" w:type="dxa"/>
          </w:tblCellMar>
        </w:tblPrEx>
        <w:trPr>
          <w:trHeight w:val="308" w:hRule="atLeast"/>
        </w:trPr>
        <w:tc>
          <w:tcPr>
            <w:tcW w:w="1300" w:type="dxa"/>
            <w:vMerge w:val="restart"/>
            <w:tcBorders>
              <w:top w:val="nil"/>
              <w:left w:val="single" w:color="000000" w:sz="4" w:space="0"/>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1300" w:type="dxa"/>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因公出国（境）费</w:t>
            </w:r>
          </w:p>
        </w:tc>
        <w:tc>
          <w:tcPr>
            <w:tcW w:w="3900" w:type="dxa"/>
            <w:gridSpan w:val="3"/>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公务用车购置及运行费</w:t>
            </w:r>
          </w:p>
        </w:tc>
        <w:tc>
          <w:tcPr>
            <w:tcW w:w="1300" w:type="dxa"/>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公务接待费</w:t>
            </w:r>
          </w:p>
        </w:tc>
        <w:tc>
          <w:tcPr>
            <w:tcW w:w="1300" w:type="dxa"/>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1300" w:type="dxa"/>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因公出国（境）费</w:t>
            </w:r>
          </w:p>
        </w:tc>
        <w:tc>
          <w:tcPr>
            <w:tcW w:w="3770" w:type="dxa"/>
            <w:gridSpan w:val="3"/>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公务用车购置及运行费</w:t>
            </w:r>
          </w:p>
        </w:tc>
        <w:tc>
          <w:tcPr>
            <w:tcW w:w="1430" w:type="dxa"/>
            <w:vMerge w:val="restart"/>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公务接待费</w:t>
            </w:r>
          </w:p>
        </w:tc>
      </w:tr>
      <w:tr>
        <w:tblPrEx>
          <w:tblLayout w:type="fixed"/>
        </w:tblPrEx>
        <w:trPr>
          <w:trHeight w:val="615" w:hRule="atLeast"/>
        </w:trPr>
        <w:tc>
          <w:tcPr>
            <w:tcW w:w="1300" w:type="dxa"/>
            <w:vMerge w:val="continue"/>
            <w:tcBorders>
              <w:top w:val="nil"/>
              <w:left w:val="single" w:color="000000" w:sz="4" w:space="0"/>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300"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300"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小计</w:t>
            </w:r>
          </w:p>
        </w:tc>
        <w:tc>
          <w:tcPr>
            <w:tcW w:w="1300"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公务用车购置费</w:t>
            </w:r>
          </w:p>
        </w:tc>
        <w:tc>
          <w:tcPr>
            <w:tcW w:w="1300"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公务用车运行费</w:t>
            </w:r>
          </w:p>
        </w:tc>
        <w:tc>
          <w:tcPr>
            <w:tcW w:w="1300"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300"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300"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c>
          <w:tcPr>
            <w:tcW w:w="1300"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小计</w:t>
            </w:r>
          </w:p>
        </w:tc>
        <w:tc>
          <w:tcPr>
            <w:tcW w:w="1170"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公务用车购置费</w:t>
            </w:r>
          </w:p>
        </w:tc>
        <w:tc>
          <w:tcPr>
            <w:tcW w:w="1300"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公务用车运行费</w:t>
            </w:r>
          </w:p>
        </w:tc>
        <w:tc>
          <w:tcPr>
            <w:tcW w:w="1430" w:type="dxa"/>
            <w:vMerge w:val="continue"/>
            <w:tcBorders>
              <w:top w:val="nil"/>
              <w:left w:val="nil"/>
              <w:bottom w:val="single" w:color="000000" w:sz="4" w:space="0"/>
              <w:right w:val="single" w:color="000000" w:sz="4" w:space="0"/>
            </w:tcBorders>
            <w:vAlign w:val="center"/>
          </w:tcPr>
          <w:p>
            <w:pPr>
              <w:widowControl/>
              <w:spacing w:line="400" w:lineRule="exact"/>
              <w:jc w:val="left"/>
              <w:rPr>
                <w:rFonts w:ascii="宋体" w:hAnsi="宋体" w:eastAsia="宋体" w:cs="Arial"/>
                <w:color w:val="000000"/>
                <w:kern w:val="0"/>
                <w:sz w:val="22"/>
              </w:rPr>
            </w:pPr>
          </w:p>
        </w:tc>
      </w:tr>
      <w:tr>
        <w:tblPrEx>
          <w:tblLayout w:type="fixed"/>
          <w:tblCellMar>
            <w:top w:w="0" w:type="dxa"/>
            <w:left w:w="108" w:type="dxa"/>
            <w:bottom w:w="0" w:type="dxa"/>
            <w:right w:w="108" w:type="dxa"/>
          </w:tblCellMar>
        </w:tblPrEx>
        <w:trPr>
          <w:trHeight w:val="308" w:hRule="atLeast"/>
        </w:trPr>
        <w:tc>
          <w:tcPr>
            <w:tcW w:w="1300" w:type="dxa"/>
            <w:tcBorders>
              <w:top w:val="nil"/>
              <w:left w:val="single" w:color="000000" w:sz="4" w:space="0"/>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1300"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1300"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1300"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1300"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1300"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6</w:t>
            </w:r>
          </w:p>
        </w:tc>
        <w:tc>
          <w:tcPr>
            <w:tcW w:w="1300"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7</w:t>
            </w:r>
          </w:p>
        </w:tc>
        <w:tc>
          <w:tcPr>
            <w:tcW w:w="1300"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8</w:t>
            </w:r>
          </w:p>
        </w:tc>
        <w:tc>
          <w:tcPr>
            <w:tcW w:w="1300"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9</w:t>
            </w:r>
          </w:p>
        </w:tc>
        <w:tc>
          <w:tcPr>
            <w:tcW w:w="1170"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10</w:t>
            </w:r>
          </w:p>
        </w:tc>
        <w:tc>
          <w:tcPr>
            <w:tcW w:w="1300"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11</w:t>
            </w:r>
          </w:p>
        </w:tc>
        <w:tc>
          <w:tcPr>
            <w:tcW w:w="1430" w:type="dxa"/>
            <w:tcBorders>
              <w:top w:val="nil"/>
              <w:left w:val="nil"/>
              <w:bottom w:val="single" w:color="000000" w:sz="4" w:space="0"/>
              <w:right w:val="single" w:color="000000" w:sz="4" w:space="0"/>
            </w:tcBorders>
            <w:shd w:val="clear" w:color="FFFFFF" w:fill="FFFFFF"/>
            <w:vAlign w:val="center"/>
          </w:tcPr>
          <w:p>
            <w:pPr>
              <w:widowControl/>
              <w:spacing w:line="400" w:lineRule="exact"/>
              <w:jc w:val="center"/>
              <w:rPr>
                <w:rFonts w:ascii="宋体" w:hAnsi="宋体" w:eastAsia="宋体" w:cs="Arial"/>
                <w:color w:val="000000"/>
                <w:kern w:val="0"/>
                <w:sz w:val="22"/>
              </w:rPr>
            </w:pPr>
            <w:r>
              <w:rPr>
                <w:rFonts w:hint="eastAsia" w:ascii="宋体" w:hAnsi="宋体" w:eastAsia="宋体" w:cs="Arial"/>
                <w:color w:val="000000"/>
                <w:kern w:val="0"/>
                <w:sz w:val="22"/>
              </w:rPr>
              <w:t>12</w:t>
            </w:r>
          </w:p>
        </w:tc>
      </w:tr>
      <w:tr>
        <w:tblPrEx>
          <w:tblLayout w:type="fixed"/>
          <w:tblCellMar>
            <w:top w:w="0" w:type="dxa"/>
            <w:left w:w="108" w:type="dxa"/>
            <w:bottom w:w="0" w:type="dxa"/>
            <w:right w:w="108" w:type="dxa"/>
          </w:tblCellMar>
        </w:tblPrEx>
        <w:trPr>
          <w:trHeight w:val="308" w:hRule="atLeast"/>
        </w:trPr>
        <w:tc>
          <w:tcPr>
            <w:tcW w:w="1300" w:type="dxa"/>
            <w:tcBorders>
              <w:top w:val="nil"/>
              <w:left w:val="single" w:color="000000" w:sz="4" w:space="0"/>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15.60</w:t>
            </w:r>
          </w:p>
        </w:tc>
        <w:tc>
          <w:tcPr>
            <w:tcW w:w="130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0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9.60</w:t>
            </w:r>
          </w:p>
        </w:tc>
        <w:tc>
          <w:tcPr>
            <w:tcW w:w="130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0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9.60</w:t>
            </w:r>
          </w:p>
        </w:tc>
        <w:tc>
          <w:tcPr>
            <w:tcW w:w="130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6.00</w:t>
            </w:r>
          </w:p>
        </w:tc>
        <w:tc>
          <w:tcPr>
            <w:tcW w:w="130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11.02</w:t>
            </w:r>
          </w:p>
        </w:tc>
        <w:tc>
          <w:tcPr>
            <w:tcW w:w="130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0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6.45</w:t>
            </w:r>
          </w:p>
        </w:tc>
        <w:tc>
          <w:tcPr>
            <w:tcW w:w="117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0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6.45</w:t>
            </w:r>
          </w:p>
        </w:tc>
        <w:tc>
          <w:tcPr>
            <w:tcW w:w="1430" w:type="dxa"/>
            <w:tcBorders>
              <w:top w:val="nil"/>
              <w:left w:val="nil"/>
              <w:bottom w:val="single" w:color="000000" w:sz="4" w:space="0"/>
              <w:right w:val="single" w:color="000000" w:sz="4" w:space="0"/>
            </w:tcBorders>
            <w:shd w:val="clear" w:color="000000" w:fill="FFFFFF"/>
            <w:noWrap/>
            <w:vAlign w:val="center"/>
          </w:tcPr>
          <w:p>
            <w:pPr>
              <w:widowControl/>
              <w:spacing w:line="400" w:lineRule="exact"/>
              <w:jc w:val="right"/>
              <w:rPr>
                <w:rFonts w:ascii="宋体" w:hAnsi="宋体" w:eastAsia="宋体" w:cs="Arial"/>
                <w:color w:val="000000"/>
                <w:kern w:val="0"/>
                <w:sz w:val="22"/>
              </w:rPr>
            </w:pPr>
            <w:r>
              <w:rPr>
                <w:rFonts w:hint="eastAsia" w:ascii="宋体" w:hAnsi="宋体" w:eastAsia="宋体" w:cs="Arial"/>
                <w:color w:val="000000"/>
                <w:kern w:val="0"/>
                <w:sz w:val="22"/>
              </w:rPr>
              <w:t>4.56</w:t>
            </w:r>
          </w:p>
        </w:tc>
      </w:tr>
      <w:tr>
        <w:tblPrEx>
          <w:tblLayout w:type="fixed"/>
          <w:tblCellMar>
            <w:top w:w="0" w:type="dxa"/>
            <w:left w:w="108" w:type="dxa"/>
            <w:bottom w:w="0" w:type="dxa"/>
            <w:right w:w="108" w:type="dxa"/>
          </w:tblCellMar>
        </w:tblPrEx>
        <w:trPr>
          <w:trHeight w:val="615" w:hRule="atLeast"/>
        </w:trPr>
        <w:tc>
          <w:tcPr>
            <w:tcW w:w="15600" w:type="dxa"/>
            <w:gridSpan w:val="12"/>
            <w:tcBorders>
              <w:top w:val="nil"/>
              <w:left w:val="nil"/>
              <w:bottom w:val="nil"/>
              <w:right w:val="nil"/>
            </w:tcBorders>
            <w:shd w:val="clear" w:color="000000" w:fill="FFFFFF"/>
            <w:vAlign w:val="center"/>
          </w:tcPr>
          <w:p>
            <w:pPr>
              <w:widowControl/>
              <w:spacing w:line="400" w:lineRule="exact"/>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tbl>
      <w:tblPr>
        <w:tblStyle w:val="20"/>
        <w:tblW w:w="15600" w:type="dxa"/>
        <w:tblInd w:w="93" w:type="dxa"/>
        <w:tblLayout w:type="fixed"/>
        <w:tblCellMar>
          <w:top w:w="0" w:type="dxa"/>
          <w:left w:w="108" w:type="dxa"/>
          <w:bottom w:w="0" w:type="dxa"/>
          <w:right w:w="108" w:type="dxa"/>
        </w:tblCellMar>
      </w:tblPr>
      <w:tblGrid>
        <w:gridCol w:w="2511"/>
        <w:gridCol w:w="1701"/>
        <w:gridCol w:w="1985"/>
        <w:gridCol w:w="1559"/>
        <w:gridCol w:w="1313"/>
        <w:gridCol w:w="388"/>
        <w:gridCol w:w="1843"/>
        <w:gridCol w:w="1984"/>
        <w:gridCol w:w="1843"/>
        <w:gridCol w:w="473"/>
      </w:tblGrid>
      <w:tr>
        <w:tblPrEx>
          <w:tblLayout w:type="fixed"/>
          <w:tblCellMar>
            <w:top w:w="0" w:type="dxa"/>
            <w:left w:w="108" w:type="dxa"/>
            <w:bottom w:w="0" w:type="dxa"/>
            <w:right w:w="108" w:type="dxa"/>
          </w:tblCellMar>
        </w:tblPrEx>
        <w:trPr>
          <w:trHeight w:val="255" w:hRule="atLeast"/>
        </w:trPr>
        <w:tc>
          <w:tcPr>
            <w:tcW w:w="9069" w:type="dxa"/>
            <w:gridSpan w:val="5"/>
            <w:tcBorders>
              <w:top w:val="nil"/>
              <w:left w:val="nil"/>
              <w:bottom w:val="nil"/>
              <w:right w:val="nil"/>
            </w:tcBorders>
            <w:shd w:val="clear" w:color="000000" w:fill="FFFFFF"/>
            <w:noWrap/>
            <w:vAlign w:val="bottom"/>
          </w:tcPr>
          <w:p>
            <w:pPr>
              <w:widowControl/>
              <w:spacing w:line="400" w:lineRule="exact"/>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部门：湘乡市林业局（本级）</w:t>
            </w:r>
          </w:p>
        </w:tc>
        <w:tc>
          <w:tcPr>
            <w:tcW w:w="6531" w:type="dxa"/>
            <w:gridSpan w:val="5"/>
            <w:tcBorders>
              <w:top w:val="nil"/>
              <w:left w:val="nil"/>
              <w:bottom w:val="nil"/>
              <w:right w:val="nil"/>
            </w:tcBorders>
            <w:shd w:val="clear" w:color="000000" w:fill="FFFFFF"/>
            <w:noWrap/>
            <w:vAlign w:val="bottom"/>
          </w:tcPr>
          <w:p>
            <w:pPr>
              <w:widowControl/>
              <w:spacing w:line="400" w:lineRule="exact"/>
              <w:jc w:val="left"/>
              <w:rPr>
                <w:rFonts w:ascii="Arial" w:hAnsi="Arial" w:eastAsia="宋体" w:cs="Arial"/>
                <w:color w:val="000000"/>
                <w:kern w:val="0"/>
                <w:sz w:val="20"/>
                <w:szCs w:val="20"/>
              </w:rPr>
            </w:pPr>
            <w:r>
              <w:rPr>
                <w:rFonts w:hint="eastAsia" w:ascii="Arial" w:hAnsi="Arial" w:eastAsia="宋体" w:cs="Arial"/>
                <w:color w:val="000000"/>
                <w:kern w:val="0"/>
                <w:sz w:val="20"/>
                <w:szCs w:val="20"/>
              </w:rPr>
              <w:t xml:space="preserve">                                                公开08表</w:t>
            </w:r>
          </w:p>
          <w:p>
            <w:pPr>
              <w:widowControl/>
              <w:spacing w:line="400" w:lineRule="exact"/>
              <w:jc w:val="left"/>
              <w:rPr>
                <w:rFonts w:ascii="宋体" w:hAnsi="宋体" w:eastAsia="宋体" w:cs="Arial"/>
                <w:color w:val="000000"/>
                <w:kern w:val="0"/>
                <w:sz w:val="20"/>
                <w:szCs w:val="20"/>
              </w:rPr>
            </w:pPr>
            <w:r>
              <w:rPr>
                <w:rFonts w:ascii="Arial" w:hAnsi="Arial" w:eastAsia="宋体" w:cs="Arial"/>
                <w:color w:val="000000"/>
                <w:kern w:val="0"/>
                <w:sz w:val="20"/>
                <w:szCs w:val="20"/>
              </w:rPr>
              <w:t>　</w:t>
            </w:r>
            <w:r>
              <w:rPr>
                <w:rFonts w:hint="eastAsia" w:ascii="Arial" w:hAnsi="Arial" w:eastAsia="宋体" w:cs="Arial"/>
                <w:color w:val="000000"/>
                <w:kern w:val="0"/>
                <w:sz w:val="20"/>
                <w:szCs w:val="20"/>
              </w:rPr>
              <w:t xml:space="preserve">                                          </w:t>
            </w:r>
            <w:r>
              <w:rPr>
                <w:rFonts w:hint="eastAsia" w:ascii="宋体" w:hAnsi="宋体" w:eastAsia="宋体" w:cs="Arial"/>
                <w:color w:val="000000"/>
                <w:kern w:val="0"/>
                <w:sz w:val="20"/>
                <w:szCs w:val="20"/>
              </w:rPr>
              <w:t>金额单位：万元</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gridAfter w:val="1"/>
          <w:wAfter w:w="473" w:type="dxa"/>
          <w:trHeight w:val="454" w:hRule="atLeast"/>
          <w:jc w:val="center"/>
        </w:trPr>
        <w:tc>
          <w:tcPr>
            <w:tcW w:w="4212" w:type="dxa"/>
            <w:gridSpan w:val="2"/>
            <w:shd w:val="clear" w:color="auto" w:fill="auto"/>
            <w:vAlign w:val="center"/>
          </w:tcPr>
          <w:p>
            <w:pPr>
              <w:widowControl/>
              <w:spacing w:line="400" w:lineRule="exact"/>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w:t>
            </w:r>
          </w:p>
        </w:tc>
        <w:tc>
          <w:tcPr>
            <w:tcW w:w="1985" w:type="dxa"/>
            <w:vMerge w:val="restart"/>
            <w:shd w:val="clear" w:color="auto" w:fill="auto"/>
            <w:vAlign w:val="center"/>
          </w:tcPr>
          <w:p>
            <w:pPr>
              <w:widowControl/>
              <w:spacing w:line="400" w:lineRule="exact"/>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1559" w:type="dxa"/>
            <w:vMerge w:val="restart"/>
            <w:shd w:val="clear" w:color="auto" w:fill="auto"/>
            <w:vAlign w:val="center"/>
          </w:tcPr>
          <w:p>
            <w:pPr>
              <w:widowControl/>
              <w:spacing w:line="400" w:lineRule="exact"/>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5528" w:type="dxa"/>
            <w:gridSpan w:val="4"/>
            <w:shd w:val="clear" w:color="auto" w:fill="auto"/>
            <w:vAlign w:val="center"/>
          </w:tcPr>
          <w:p>
            <w:pPr>
              <w:widowControl/>
              <w:spacing w:line="400" w:lineRule="exact"/>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1843" w:type="dxa"/>
            <w:vMerge w:val="restart"/>
            <w:shd w:val="clear" w:color="auto" w:fill="auto"/>
            <w:vAlign w:val="center"/>
          </w:tcPr>
          <w:p>
            <w:pPr>
              <w:widowControl/>
              <w:spacing w:line="400" w:lineRule="exact"/>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gridAfter w:val="1"/>
          <w:wAfter w:w="473" w:type="dxa"/>
          <w:trHeight w:val="454" w:hRule="atLeast"/>
          <w:jc w:val="center"/>
        </w:trPr>
        <w:tc>
          <w:tcPr>
            <w:tcW w:w="2511" w:type="dxa"/>
            <w:vMerge w:val="restart"/>
            <w:shd w:val="clear" w:color="auto" w:fill="auto"/>
            <w:vAlign w:val="center"/>
          </w:tcPr>
          <w:p>
            <w:pPr>
              <w:widowControl/>
              <w:spacing w:line="400" w:lineRule="exact"/>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701" w:type="dxa"/>
            <w:vMerge w:val="restart"/>
            <w:shd w:val="clear" w:color="auto" w:fill="auto"/>
            <w:vAlign w:val="center"/>
          </w:tcPr>
          <w:p>
            <w:pPr>
              <w:widowControl/>
              <w:spacing w:line="400" w:lineRule="exact"/>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1985" w:type="dxa"/>
            <w:vMerge w:val="continue"/>
            <w:vAlign w:val="center"/>
          </w:tcPr>
          <w:p>
            <w:pPr>
              <w:widowControl/>
              <w:spacing w:line="400" w:lineRule="exact"/>
              <w:jc w:val="left"/>
              <w:rPr>
                <w:rFonts w:ascii="Times New Roman" w:hAnsi="Times New Roman" w:eastAsia="仿宋_GB2312" w:cs="Times New Roman"/>
                <w:b/>
                <w:kern w:val="0"/>
                <w:szCs w:val="21"/>
              </w:rPr>
            </w:pPr>
          </w:p>
        </w:tc>
        <w:tc>
          <w:tcPr>
            <w:tcW w:w="1559" w:type="dxa"/>
            <w:vMerge w:val="continue"/>
            <w:vAlign w:val="center"/>
          </w:tcPr>
          <w:p>
            <w:pPr>
              <w:widowControl/>
              <w:spacing w:line="400" w:lineRule="exact"/>
              <w:jc w:val="left"/>
              <w:rPr>
                <w:rFonts w:ascii="Times New Roman" w:hAnsi="Times New Roman" w:eastAsia="仿宋_GB2312" w:cs="Times New Roman"/>
                <w:b/>
                <w:kern w:val="0"/>
                <w:szCs w:val="21"/>
              </w:rPr>
            </w:pPr>
          </w:p>
        </w:tc>
        <w:tc>
          <w:tcPr>
            <w:tcW w:w="1701" w:type="dxa"/>
            <w:gridSpan w:val="2"/>
            <w:vMerge w:val="restart"/>
            <w:shd w:val="clear" w:color="auto" w:fill="auto"/>
            <w:vAlign w:val="center"/>
          </w:tcPr>
          <w:p>
            <w:pPr>
              <w:widowControl/>
              <w:spacing w:line="400" w:lineRule="exact"/>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1843" w:type="dxa"/>
            <w:vMerge w:val="restart"/>
            <w:shd w:val="clear" w:color="auto" w:fill="auto"/>
            <w:vAlign w:val="center"/>
          </w:tcPr>
          <w:p>
            <w:pPr>
              <w:widowControl/>
              <w:spacing w:line="400" w:lineRule="exact"/>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1984" w:type="dxa"/>
            <w:vMerge w:val="restart"/>
            <w:shd w:val="clear" w:color="auto" w:fill="auto"/>
            <w:vAlign w:val="center"/>
          </w:tcPr>
          <w:p>
            <w:pPr>
              <w:widowControl/>
              <w:spacing w:line="400" w:lineRule="exact"/>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1843" w:type="dxa"/>
            <w:vMerge w:val="continue"/>
            <w:vAlign w:val="center"/>
          </w:tcPr>
          <w:p>
            <w:pPr>
              <w:widowControl/>
              <w:spacing w:line="400" w:lineRule="exact"/>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gridAfter w:val="1"/>
          <w:wAfter w:w="473" w:type="dxa"/>
          <w:trHeight w:val="454" w:hRule="atLeast"/>
          <w:jc w:val="center"/>
        </w:trPr>
        <w:tc>
          <w:tcPr>
            <w:tcW w:w="2511" w:type="dxa"/>
            <w:vMerge w:val="continue"/>
            <w:vAlign w:val="center"/>
          </w:tcPr>
          <w:p>
            <w:pPr>
              <w:widowControl/>
              <w:spacing w:line="400" w:lineRule="exact"/>
              <w:jc w:val="left"/>
              <w:rPr>
                <w:rFonts w:ascii="Times New Roman" w:hAnsi="Times New Roman" w:eastAsia="仿宋_GB2312" w:cs="Times New Roman"/>
                <w:kern w:val="0"/>
                <w:szCs w:val="21"/>
              </w:rPr>
            </w:pPr>
          </w:p>
        </w:tc>
        <w:tc>
          <w:tcPr>
            <w:tcW w:w="1701" w:type="dxa"/>
            <w:vMerge w:val="continue"/>
            <w:vAlign w:val="center"/>
          </w:tcPr>
          <w:p>
            <w:pPr>
              <w:widowControl/>
              <w:spacing w:line="400" w:lineRule="exact"/>
              <w:jc w:val="left"/>
              <w:rPr>
                <w:rFonts w:ascii="Times New Roman" w:hAnsi="Times New Roman" w:eastAsia="仿宋_GB2312" w:cs="Times New Roman"/>
                <w:kern w:val="0"/>
                <w:szCs w:val="21"/>
              </w:rPr>
            </w:pPr>
          </w:p>
        </w:tc>
        <w:tc>
          <w:tcPr>
            <w:tcW w:w="1985" w:type="dxa"/>
            <w:vMerge w:val="continue"/>
            <w:vAlign w:val="center"/>
          </w:tcPr>
          <w:p>
            <w:pPr>
              <w:widowControl/>
              <w:spacing w:line="400" w:lineRule="exact"/>
              <w:jc w:val="left"/>
              <w:rPr>
                <w:rFonts w:ascii="Times New Roman" w:hAnsi="Times New Roman" w:eastAsia="仿宋_GB2312" w:cs="Times New Roman"/>
                <w:kern w:val="0"/>
                <w:szCs w:val="21"/>
              </w:rPr>
            </w:pPr>
          </w:p>
        </w:tc>
        <w:tc>
          <w:tcPr>
            <w:tcW w:w="1559" w:type="dxa"/>
            <w:vMerge w:val="continue"/>
            <w:vAlign w:val="center"/>
          </w:tcPr>
          <w:p>
            <w:pPr>
              <w:widowControl/>
              <w:spacing w:line="400" w:lineRule="exact"/>
              <w:jc w:val="left"/>
              <w:rPr>
                <w:rFonts w:ascii="Times New Roman" w:hAnsi="Times New Roman" w:eastAsia="仿宋_GB2312" w:cs="Times New Roman"/>
                <w:kern w:val="0"/>
                <w:szCs w:val="21"/>
              </w:rPr>
            </w:pPr>
          </w:p>
        </w:tc>
        <w:tc>
          <w:tcPr>
            <w:tcW w:w="1701" w:type="dxa"/>
            <w:gridSpan w:val="2"/>
            <w:vMerge w:val="continue"/>
            <w:vAlign w:val="center"/>
          </w:tcPr>
          <w:p>
            <w:pPr>
              <w:widowControl/>
              <w:spacing w:line="400" w:lineRule="exact"/>
              <w:jc w:val="left"/>
              <w:rPr>
                <w:rFonts w:ascii="Times New Roman" w:hAnsi="Times New Roman" w:eastAsia="仿宋_GB2312" w:cs="Times New Roman"/>
                <w:kern w:val="0"/>
                <w:szCs w:val="21"/>
              </w:rPr>
            </w:pPr>
          </w:p>
        </w:tc>
        <w:tc>
          <w:tcPr>
            <w:tcW w:w="1843" w:type="dxa"/>
            <w:vMerge w:val="continue"/>
            <w:vAlign w:val="center"/>
          </w:tcPr>
          <w:p>
            <w:pPr>
              <w:widowControl/>
              <w:spacing w:line="400" w:lineRule="exact"/>
              <w:jc w:val="left"/>
              <w:rPr>
                <w:rFonts w:ascii="Times New Roman" w:hAnsi="Times New Roman" w:eastAsia="仿宋_GB2312" w:cs="Times New Roman"/>
                <w:kern w:val="0"/>
                <w:szCs w:val="21"/>
              </w:rPr>
            </w:pPr>
          </w:p>
        </w:tc>
        <w:tc>
          <w:tcPr>
            <w:tcW w:w="1984" w:type="dxa"/>
            <w:vMerge w:val="continue"/>
            <w:vAlign w:val="center"/>
          </w:tcPr>
          <w:p>
            <w:pPr>
              <w:widowControl/>
              <w:spacing w:line="400" w:lineRule="exact"/>
              <w:jc w:val="left"/>
              <w:rPr>
                <w:rFonts w:ascii="Times New Roman" w:hAnsi="Times New Roman" w:eastAsia="仿宋_GB2312" w:cs="Times New Roman"/>
                <w:kern w:val="0"/>
                <w:szCs w:val="21"/>
              </w:rPr>
            </w:pPr>
          </w:p>
        </w:tc>
        <w:tc>
          <w:tcPr>
            <w:tcW w:w="1843" w:type="dxa"/>
            <w:vMerge w:val="continue"/>
            <w:vAlign w:val="center"/>
          </w:tcPr>
          <w:p>
            <w:pPr>
              <w:widowControl/>
              <w:spacing w:line="400" w:lineRule="exact"/>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gridAfter w:val="1"/>
          <w:wAfter w:w="473" w:type="dxa"/>
          <w:trHeight w:val="538" w:hRule="atLeast"/>
          <w:jc w:val="center"/>
        </w:trPr>
        <w:tc>
          <w:tcPr>
            <w:tcW w:w="2511" w:type="dxa"/>
            <w:vMerge w:val="continue"/>
            <w:vAlign w:val="center"/>
          </w:tcPr>
          <w:p>
            <w:pPr>
              <w:widowControl/>
              <w:spacing w:line="400" w:lineRule="exact"/>
              <w:jc w:val="left"/>
              <w:rPr>
                <w:rFonts w:ascii="Times New Roman" w:hAnsi="Times New Roman" w:eastAsia="仿宋_GB2312" w:cs="Times New Roman"/>
                <w:kern w:val="0"/>
                <w:szCs w:val="21"/>
              </w:rPr>
            </w:pPr>
          </w:p>
        </w:tc>
        <w:tc>
          <w:tcPr>
            <w:tcW w:w="1701" w:type="dxa"/>
            <w:vMerge w:val="continue"/>
            <w:vAlign w:val="center"/>
          </w:tcPr>
          <w:p>
            <w:pPr>
              <w:widowControl/>
              <w:spacing w:line="400" w:lineRule="exact"/>
              <w:jc w:val="left"/>
              <w:rPr>
                <w:rFonts w:ascii="Times New Roman" w:hAnsi="Times New Roman" w:eastAsia="仿宋_GB2312" w:cs="Times New Roman"/>
                <w:kern w:val="0"/>
                <w:szCs w:val="21"/>
              </w:rPr>
            </w:pPr>
          </w:p>
        </w:tc>
        <w:tc>
          <w:tcPr>
            <w:tcW w:w="1985" w:type="dxa"/>
            <w:vMerge w:val="continue"/>
            <w:vAlign w:val="center"/>
          </w:tcPr>
          <w:p>
            <w:pPr>
              <w:widowControl/>
              <w:spacing w:line="400" w:lineRule="exact"/>
              <w:jc w:val="left"/>
              <w:rPr>
                <w:rFonts w:ascii="Times New Roman" w:hAnsi="Times New Roman" w:eastAsia="仿宋_GB2312" w:cs="Times New Roman"/>
                <w:kern w:val="0"/>
                <w:szCs w:val="21"/>
              </w:rPr>
            </w:pPr>
          </w:p>
        </w:tc>
        <w:tc>
          <w:tcPr>
            <w:tcW w:w="1559" w:type="dxa"/>
            <w:vMerge w:val="continue"/>
            <w:vAlign w:val="center"/>
          </w:tcPr>
          <w:p>
            <w:pPr>
              <w:widowControl/>
              <w:spacing w:line="400" w:lineRule="exact"/>
              <w:jc w:val="left"/>
              <w:rPr>
                <w:rFonts w:ascii="Times New Roman" w:hAnsi="Times New Roman" w:eastAsia="仿宋_GB2312" w:cs="Times New Roman"/>
                <w:kern w:val="0"/>
                <w:szCs w:val="21"/>
              </w:rPr>
            </w:pPr>
          </w:p>
        </w:tc>
        <w:tc>
          <w:tcPr>
            <w:tcW w:w="1701" w:type="dxa"/>
            <w:gridSpan w:val="2"/>
            <w:vMerge w:val="continue"/>
            <w:vAlign w:val="center"/>
          </w:tcPr>
          <w:p>
            <w:pPr>
              <w:widowControl/>
              <w:spacing w:line="400" w:lineRule="exact"/>
              <w:jc w:val="left"/>
              <w:rPr>
                <w:rFonts w:ascii="Times New Roman" w:hAnsi="Times New Roman" w:eastAsia="仿宋_GB2312" w:cs="Times New Roman"/>
                <w:kern w:val="0"/>
                <w:szCs w:val="21"/>
              </w:rPr>
            </w:pPr>
          </w:p>
        </w:tc>
        <w:tc>
          <w:tcPr>
            <w:tcW w:w="1843" w:type="dxa"/>
            <w:vMerge w:val="continue"/>
            <w:vAlign w:val="center"/>
          </w:tcPr>
          <w:p>
            <w:pPr>
              <w:widowControl/>
              <w:spacing w:line="400" w:lineRule="exact"/>
              <w:jc w:val="left"/>
              <w:rPr>
                <w:rFonts w:ascii="Times New Roman" w:hAnsi="Times New Roman" w:eastAsia="仿宋_GB2312" w:cs="Times New Roman"/>
                <w:kern w:val="0"/>
                <w:szCs w:val="21"/>
              </w:rPr>
            </w:pPr>
          </w:p>
        </w:tc>
        <w:tc>
          <w:tcPr>
            <w:tcW w:w="1984" w:type="dxa"/>
            <w:vMerge w:val="continue"/>
            <w:vAlign w:val="center"/>
          </w:tcPr>
          <w:p>
            <w:pPr>
              <w:widowControl/>
              <w:spacing w:line="400" w:lineRule="exact"/>
              <w:jc w:val="left"/>
              <w:rPr>
                <w:rFonts w:ascii="Times New Roman" w:hAnsi="Times New Roman" w:eastAsia="仿宋_GB2312" w:cs="Times New Roman"/>
                <w:kern w:val="0"/>
                <w:szCs w:val="21"/>
              </w:rPr>
            </w:pPr>
          </w:p>
        </w:tc>
        <w:tc>
          <w:tcPr>
            <w:tcW w:w="1843" w:type="dxa"/>
            <w:vMerge w:val="continue"/>
            <w:vAlign w:val="center"/>
          </w:tcPr>
          <w:p>
            <w:pPr>
              <w:widowControl/>
              <w:spacing w:line="400" w:lineRule="exact"/>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PrEx>
        <w:trPr>
          <w:gridAfter w:val="1"/>
          <w:wAfter w:w="473" w:type="dxa"/>
          <w:trHeight w:val="454" w:hRule="atLeast"/>
          <w:jc w:val="center"/>
        </w:trPr>
        <w:tc>
          <w:tcPr>
            <w:tcW w:w="4212" w:type="dxa"/>
            <w:gridSpan w:val="2"/>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985" w:type="dxa"/>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559" w:type="dxa"/>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701" w:type="dxa"/>
            <w:gridSpan w:val="2"/>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843" w:type="dxa"/>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984" w:type="dxa"/>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843" w:type="dxa"/>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gridAfter w:val="1"/>
          <w:wAfter w:w="473" w:type="dxa"/>
          <w:trHeight w:val="454" w:hRule="atLeast"/>
          <w:jc w:val="center"/>
        </w:trPr>
        <w:tc>
          <w:tcPr>
            <w:tcW w:w="4212" w:type="dxa"/>
            <w:gridSpan w:val="2"/>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985" w:type="dxa"/>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59" w:type="dxa"/>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1" w:type="dxa"/>
            <w:gridSpan w:val="2"/>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4" w:type="dxa"/>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gridAfter w:val="1"/>
          <w:wAfter w:w="473" w:type="dxa"/>
          <w:trHeight w:val="454" w:hRule="atLeast"/>
          <w:jc w:val="center"/>
        </w:trPr>
        <w:tc>
          <w:tcPr>
            <w:tcW w:w="2511" w:type="dxa"/>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1"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本表无数据　　</w:t>
            </w:r>
          </w:p>
        </w:tc>
        <w:tc>
          <w:tcPr>
            <w:tcW w:w="1985"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59"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1" w:type="dxa"/>
            <w:gridSpan w:val="2"/>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4"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gridAfter w:val="1"/>
          <w:wAfter w:w="473" w:type="dxa"/>
          <w:trHeight w:val="454" w:hRule="atLeast"/>
          <w:jc w:val="center"/>
        </w:trPr>
        <w:tc>
          <w:tcPr>
            <w:tcW w:w="2511" w:type="dxa"/>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1"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5"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59"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1" w:type="dxa"/>
            <w:gridSpan w:val="2"/>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4"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gridAfter w:val="1"/>
          <w:wAfter w:w="473" w:type="dxa"/>
          <w:trHeight w:val="454" w:hRule="atLeast"/>
          <w:jc w:val="center"/>
        </w:trPr>
        <w:tc>
          <w:tcPr>
            <w:tcW w:w="2511" w:type="dxa"/>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1"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5"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59"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1" w:type="dxa"/>
            <w:gridSpan w:val="2"/>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4"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gridAfter w:val="1"/>
          <w:wAfter w:w="473" w:type="dxa"/>
          <w:trHeight w:val="454" w:hRule="atLeast"/>
          <w:jc w:val="center"/>
        </w:trPr>
        <w:tc>
          <w:tcPr>
            <w:tcW w:w="2511" w:type="dxa"/>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1"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5"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59"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1" w:type="dxa"/>
            <w:gridSpan w:val="2"/>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4"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PrEx>
        <w:trPr>
          <w:gridAfter w:val="1"/>
          <w:wAfter w:w="473" w:type="dxa"/>
          <w:trHeight w:val="454" w:hRule="atLeast"/>
          <w:jc w:val="center"/>
        </w:trPr>
        <w:tc>
          <w:tcPr>
            <w:tcW w:w="2511" w:type="dxa"/>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1"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5"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59"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1" w:type="dxa"/>
            <w:gridSpan w:val="2"/>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4"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gridAfter w:val="1"/>
          <w:wAfter w:w="473" w:type="dxa"/>
          <w:trHeight w:val="454" w:hRule="atLeast"/>
          <w:jc w:val="center"/>
        </w:trPr>
        <w:tc>
          <w:tcPr>
            <w:tcW w:w="2511" w:type="dxa"/>
            <w:shd w:val="clear" w:color="auto" w:fill="auto"/>
            <w:vAlign w:val="center"/>
          </w:tcPr>
          <w:p>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1"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5"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59"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1" w:type="dxa"/>
            <w:gridSpan w:val="2"/>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84"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3" w:type="dxa"/>
            <w:shd w:val="clear" w:color="auto" w:fill="auto"/>
            <w:vAlign w:val="center"/>
          </w:tcPr>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spacing w:line="40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spacing w:line="400" w:lineRule="exact"/>
        <w:jc w:val="left"/>
        <w:rPr>
          <w:rFonts w:ascii="黑体" w:hAnsi="黑体" w:eastAsia="黑体"/>
          <w:szCs w:val="21"/>
        </w:rPr>
      </w:pPr>
      <w:r>
        <w:rPr>
          <w:rFonts w:ascii="黑体" w:hAnsi="黑体" w:eastAsia="黑体"/>
          <w:szCs w:val="21"/>
        </w:rPr>
        <w:br w:type="page"/>
      </w:r>
    </w:p>
    <w:tbl>
      <w:tblPr>
        <w:tblStyle w:val="20"/>
        <w:tblW w:w="15183" w:type="dxa"/>
        <w:tblInd w:w="93" w:type="dxa"/>
        <w:tblLayout w:type="fixed"/>
        <w:tblCellMar>
          <w:top w:w="0" w:type="dxa"/>
          <w:left w:w="108" w:type="dxa"/>
          <w:bottom w:w="0" w:type="dxa"/>
          <w:right w:w="108" w:type="dxa"/>
        </w:tblCellMar>
      </w:tblPr>
      <w:tblGrid>
        <w:gridCol w:w="1060"/>
        <w:gridCol w:w="560"/>
        <w:gridCol w:w="1514"/>
        <w:gridCol w:w="2410"/>
        <w:gridCol w:w="516"/>
        <w:gridCol w:w="2460"/>
        <w:gridCol w:w="160"/>
        <w:gridCol w:w="3242"/>
        <w:gridCol w:w="3261"/>
      </w:tblGrid>
      <w:tr>
        <w:tblPrEx>
          <w:tblLayout w:type="fixed"/>
          <w:tblCellMar>
            <w:top w:w="0" w:type="dxa"/>
            <w:left w:w="108" w:type="dxa"/>
            <w:bottom w:w="0" w:type="dxa"/>
            <w:right w:w="108" w:type="dxa"/>
          </w:tblCellMar>
        </w:tblPrEx>
        <w:trPr>
          <w:trHeight w:val="720" w:hRule="atLeast"/>
        </w:trPr>
        <w:tc>
          <w:tcPr>
            <w:tcW w:w="15183"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Layout w:type="fixed"/>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spacing w:line="400" w:lineRule="exact"/>
              <w:rPr>
                <w:rFonts w:ascii="宋体" w:hAnsi="宋体" w:eastAsia="宋体" w:cs="宋体"/>
                <w:kern w:val="0"/>
                <w:sz w:val="20"/>
                <w:szCs w:val="20"/>
              </w:rPr>
            </w:pPr>
          </w:p>
        </w:tc>
        <w:tc>
          <w:tcPr>
            <w:tcW w:w="560" w:type="dxa"/>
            <w:tcBorders>
              <w:top w:val="nil"/>
              <w:left w:val="nil"/>
              <w:bottom w:val="nil"/>
              <w:right w:val="nil"/>
            </w:tcBorders>
            <w:shd w:val="clear" w:color="000000" w:fill="FFFFFF"/>
            <w:vAlign w:val="center"/>
          </w:tcPr>
          <w:p>
            <w:pPr>
              <w:widowControl/>
              <w:spacing w:line="40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924" w:type="dxa"/>
            <w:gridSpan w:val="2"/>
            <w:tcBorders>
              <w:top w:val="nil"/>
              <w:left w:val="nil"/>
              <w:bottom w:val="nil"/>
              <w:right w:val="nil"/>
            </w:tcBorders>
            <w:shd w:val="clear" w:color="000000" w:fill="FFFFFF"/>
            <w:vAlign w:val="center"/>
          </w:tcPr>
          <w:p>
            <w:pPr>
              <w:widowControl/>
              <w:spacing w:line="400" w:lineRule="exact"/>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16" w:type="dxa"/>
            <w:tcBorders>
              <w:top w:val="nil"/>
              <w:left w:val="nil"/>
              <w:bottom w:val="nil"/>
              <w:right w:val="nil"/>
            </w:tcBorders>
            <w:shd w:val="clear" w:color="000000" w:fill="FFFFFF"/>
            <w:vAlign w:val="center"/>
          </w:tcPr>
          <w:p>
            <w:pPr>
              <w:widowControl/>
              <w:spacing w:line="400" w:lineRule="exact"/>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spacing w:line="400" w:lineRule="exact"/>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6503" w:type="dxa"/>
            <w:gridSpan w:val="2"/>
            <w:tcBorders>
              <w:top w:val="nil"/>
              <w:left w:val="nil"/>
              <w:bottom w:val="nil"/>
              <w:right w:val="nil"/>
            </w:tcBorders>
            <w:shd w:val="clear" w:color="000000" w:fill="FFFFFF"/>
            <w:noWrap/>
            <w:vAlign w:val="center"/>
          </w:tcPr>
          <w:p>
            <w:pPr>
              <w:widowControl/>
              <w:spacing w:line="400" w:lineRule="exact"/>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Layout w:type="fixed"/>
          <w:tblCellMar>
            <w:top w:w="0" w:type="dxa"/>
            <w:left w:w="108" w:type="dxa"/>
            <w:bottom w:w="0" w:type="dxa"/>
            <w:right w:w="108" w:type="dxa"/>
          </w:tblCellMar>
        </w:tblPrEx>
        <w:trPr>
          <w:trHeight w:val="285" w:hRule="atLeast"/>
        </w:trPr>
        <w:tc>
          <w:tcPr>
            <w:tcW w:w="8680" w:type="dxa"/>
            <w:gridSpan w:val="7"/>
            <w:tcBorders>
              <w:top w:val="nil"/>
              <w:left w:val="nil"/>
              <w:bottom w:val="nil"/>
              <w:right w:val="nil"/>
            </w:tcBorders>
            <w:shd w:val="clear" w:color="000000" w:fill="FFFFFF"/>
            <w:noWrap/>
            <w:vAlign w:val="center"/>
          </w:tcPr>
          <w:p>
            <w:pPr>
              <w:widowControl/>
              <w:spacing w:line="400" w:lineRule="exact"/>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eastAsia="宋体" w:cs="Arial"/>
                <w:color w:val="000000"/>
                <w:kern w:val="0"/>
                <w:sz w:val="20"/>
                <w:szCs w:val="20"/>
              </w:rPr>
              <w:t>湘乡市林业局（本级）</w:t>
            </w:r>
          </w:p>
        </w:tc>
        <w:tc>
          <w:tcPr>
            <w:tcW w:w="6503" w:type="dxa"/>
            <w:gridSpan w:val="2"/>
            <w:tcBorders>
              <w:top w:val="nil"/>
              <w:left w:val="nil"/>
              <w:bottom w:val="nil"/>
              <w:right w:val="nil"/>
            </w:tcBorders>
            <w:shd w:val="clear" w:color="000000" w:fill="FFFFFF"/>
            <w:noWrap/>
            <w:vAlign w:val="center"/>
          </w:tcPr>
          <w:p>
            <w:pPr>
              <w:widowControl/>
              <w:spacing w:line="400" w:lineRule="exact"/>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Layout w:type="fixed"/>
          <w:tblCellMar>
            <w:top w:w="0" w:type="dxa"/>
            <w:left w:w="108" w:type="dxa"/>
            <w:bottom w:w="0" w:type="dxa"/>
            <w:right w:w="108" w:type="dxa"/>
          </w:tblCellMar>
        </w:tblPrEx>
        <w:trPr>
          <w:trHeight w:val="402" w:hRule="atLeast"/>
        </w:trPr>
        <w:tc>
          <w:tcPr>
            <w:tcW w:w="5544"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9639" w:type="dxa"/>
            <w:gridSpan w:val="5"/>
            <w:tcBorders>
              <w:top w:val="single" w:color="auto" w:sz="8" w:space="0"/>
              <w:left w:val="nil"/>
              <w:bottom w:val="single" w:color="auto" w:sz="4" w:space="0"/>
              <w:right w:val="single" w:color="000000"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Layout w:type="fixed"/>
          <w:tblCellMar>
            <w:top w:w="0" w:type="dxa"/>
            <w:left w:w="108" w:type="dxa"/>
            <w:bottom w:w="0" w:type="dxa"/>
            <w:right w:w="108" w:type="dxa"/>
          </w:tblCellMar>
        </w:tblPrEx>
        <w:trPr>
          <w:trHeight w:val="402" w:hRule="atLeast"/>
        </w:trPr>
        <w:tc>
          <w:tcPr>
            <w:tcW w:w="3134"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41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976"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3402"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261"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Layout w:type="fixed"/>
        </w:tblPrEx>
        <w:trPr>
          <w:trHeight w:val="402" w:hRule="atLeast"/>
        </w:trPr>
        <w:tc>
          <w:tcPr>
            <w:tcW w:w="3134"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spacing w:line="400" w:lineRule="exact"/>
              <w:jc w:val="left"/>
              <w:rPr>
                <w:rFonts w:ascii="宋体" w:hAnsi="宋体" w:eastAsia="宋体" w:cs="宋体"/>
                <w:kern w:val="0"/>
                <w:sz w:val="24"/>
                <w:szCs w:val="24"/>
              </w:rPr>
            </w:pPr>
          </w:p>
        </w:tc>
        <w:tc>
          <w:tcPr>
            <w:tcW w:w="2410" w:type="dxa"/>
            <w:vMerge w:val="continue"/>
            <w:tcBorders>
              <w:top w:val="nil"/>
              <w:left w:val="single" w:color="auto" w:sz="4" w:space="0"/>
              <w:bottom w:val="single" w:color="auto" w:sz="4" w:space="0"/>
              <w:right w:val="single" w:color="auto" w:sz="4" w:space="0"/>
            </w:tcBorders>
            <w:vAlign w:val="center"/>
          </w:tcPr>
          <w:p>
            <w:pPr>
              <w:widowControl/>
              <w:spacing w:line="400" w:lineRule="exact"/>
              <w:jc w:val="left"/>
              <w:rPr>
                <w:rFonts w:ascii="宋体" w:hAnsi="宋体" w:eastAsia="宋体" w:cs="宋体"/>
                <w:kern w:val="0"/>
                <w:sz w:val="24"/>
                <w:szCs w:val="24"/>
              </w:rPr>
            </w:pPr>
          </w:p>
        </w:tc>
        <w:tc>
          <w:tcPr>
            <w:tcW w:w="2976" w:type="dxa"/>
            <w:gridSpan w:val="2"/>
            <w:vMerge w:val="continue"/>
            <w:tcBorders>
              <w:top w:val="nil"/>
              <w:left w:val="single" w:color="auto" w:sz="4" w:space="0"/>
              <w:bottom w:val="single" w:color="000000" w:sz="4" w:space="0"/>
              <w:right w:val="single" w:color="auto" w:sz="4" w:space="0"/>
            </w:tcBorders>
            <w:vAlign w:val="center"/>
          </w:tcPr>
          <w:p>
            <w:pPr>
              <w:widowControl/>
              <w:spacing w:line="400" w:lineRule="exact"/>
              <w:jc w:val="left"/>
              <w:rPr>
                <w:rFonts w:ascii="宋体" w:hAnsi="宋体" w:eastAsia="宋体" w:cs="宋体"/>
                <w:kern w:val="0"/>
                <w:sz w:val="24"/>
                <w:szCs w:val="24"/>
              </w:rPr>
            </w:pPr>
          </w:p>
        </w:tc>
        <w:tc>
          <w:tcPr>
            <w:tcW w:w="3402" w:type="dxa"/>
            <w:gridSpan w:val="2"/>
            <w:vMerge w:val="continue"/>
            <w:tcBorders>
              <w:top w:val="nil"/>
              <w:left w:val="single" w:color="auto" w:sz="4" w:space="0"/>
              <w:bottom w:val="single" w:color="000000" w:sz="4" w:space="0"/>
              <w:right w:val="single" w:color="auto" w:sz="4" w:space="0"/>
            </w:tcBorders>
            <w:vAlign w:val="center"/>
          </w:tcPr>
          <w:p>
            <w:pPr>
              <w:widowControl/>
              <w:spacing w:line="400" w:lineRule="exact"/>
              <w:jc w:val="left"/>
              <w:rPr>
                <w:rFonts w:ascii="宋体" w:hAnsi="宋体" w:eastAsia="宋体" w:cs="宋体"/>
                <w:kern w:val="0"/>
                <w:sz w:val="24"/>
                <w:szCs w:val="24"/>
              </w:rPr>
            </w:pPr>
          </w:p>
        </w:tc>
        <w:tc>
          <w:tcPr>
            <w:tcW w:w="3261" w:type="dxa"/>
            <w:vMerge w:val="continue"/>
            <w:tcBorders>
              <w:top w:val="nil"/>
              <w:left w:val="single" w:color="auto" w:sz="4" w:space="0"/>
              <w:bottom w:val="single" w:color="000000" w:sz="4" w:space="0"/>
              <w:right w:val="single" w:color="auto" w:sz="4" w:space="0"/>
            </w:tcBorders>
            <w:vAlign w:val="center"/>
          </w:tcPr>
          <w:p>
            <w:pPr>
              <w:widowControl/>
              <w:spacing w:line="400" w:lineRule="exact"/>
              <w:jc w:val="left"/>
              <w:rPr>
                <w:rFonts w:ascii="宋体" w:hAnsi="宋体" w:eastAsia="宋体" w:cs="宋体"/>
                <w:kern w:val="0"/>
                <w:sz w:val="24"/>
                <w:szCs w:val="24"/>
              </w:rPr>
            </w:pPr>
          </w:p>
        </w:tc>
      </w:tr>
      <w:tr>
        <w:tblPrEx>
          <w:tblLayout w:type="fixed"/>
          <w:tblCellMar>
            <w:top w:w="0" w:type="dxa"/>
            <w:left w:w="108" w:type="dxa"/>
            <w:bottom w:w="0" w:type="dxa"/>
            <w:right w:w="108" w:type="dxa"/>
          </w:tblCellMar>
        </w:tblPrEx>
        <w:trPr>
          <w:trHeight w:val="402" w:hRule="atLeast"/>
        </w:trPr>
        <w:tc>
          <w:tcPr>
            <w:tcW w:w="3134"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spacing w:line="400" w:lineRule="exact"/>
              <w:jc w:val="left"/>
              <w:rPr>
                <w:rFonts w:ascii="宋体" w:hAnsi="宋体" w:eastAsia="宋体" w:cs="宋体"/>
                <w:kern w:val="0"/>
                <w:sz w:val="24"/>
                <w:szCs w:val="24"/>
              </w:rPr>
            </w:pPr>
          </w:p>
        </w:tc>
        <w:tc>
          <w:tcPr>
            <w:tcW w:w="2410" w:type="dxa"/>
            <w:vMerge w:val="continue"/>
            <w:tcBorders>
              <w:top w:val="nil"/>
              <w:left w:val="single" w:color="auto" w:sz="4" w:space="0"/>
              <w:bottom w:val="single" w:color="auto" w:sz="4" w:space="0"/>
              <w:right w:val="single" w:color="auto" w:sz="4" w:space="0"/>
            </w:tcBorders>
            <w:vAlign w:val="center"/>
          </w:tcPr>
          <w:p>
            <w:pPr>
              <w:widowControl/>
              <w:spacing w:line="400" w:lineRule="exact"/>
              <w:jc w:val="left"/>
              <w:rPr>
                <w:rFonts w:ascii="宋体" w:hAnsi="宋体" w:eastAsia="宋体" w:cs="宋体"/>
                <w:kern w:val="0"/>
                <w:sz w:val="24"/>
                <w:szCs w:val="24"/>
              </w:rPr>
            </w:pPr>
          </w:p>
        </w:tc>
        <w:tc>
          <w:tcPr>
            <w:tcW w:w="2976" w:type="dxa"/>
            <w:gridSpan w:val="2"/>
            <w:vMerge w:val="continue"/>
            <w:tcBorders>
              <w:top w:val="nil"/>
              <w:left w:val="single" w:color="auto" w:sz="4" w:space="0"/>
              <w:bottom w:val="single" w:color="000000" w:sz="4" w:space="0"/>
              <w:right w:val="single" w:color="auto" w:sz="4" w:space="0"/>
            </w:tcBorders>
            <w:vAlign w:val="center"/>
          </w:tcPr>
          <w:p>
            <w:pPr>
              <w:widowControl/>
              <w:spacing w:line="400" w:lineRule="exact"/>
              <w:jc w:val="left"/>
              <w:rPr>
                <w:rFonts w:ascii="宋体" w:hAnsi="宋体" w:eastAsia="宋体" w:cs="宋体"/>
                <w:kern w:val="0"/>
                <w:sz w:val="24"/>
                <w:szCs w:val="24"/>
              </w:rPr>
            </w:pPr>
          </w:p>
        </w:tc>
        <w:tc>
          <w:tcPr>
            <w:tcW w:w="3402" w:type="dxa"/>
            <w:gridSpan w:val="2"/>
            <w:vMerge w:val="continue"/>
            <w:tcBorders>
              <w:top w:val="nil"/>
              <w:left w:val="single" w:color="auto" w:sz="4" w:space="0"/>
              <w:bottom w:val="single" w:color="000000" w:sz="4" w:space="0"/>
              <w:right w:val="single" w:color="auto" w:sz="4" w:space="0"/>
            </w:tcBorders>
            <w:vAlign w:val="center"/>
          </w:tcPr>
          <w:p>
            <w:pPr>
              <w:widowControl/>
              <w:spacing w:line="400" w:lineRule="exact"/>
              <w:jc w:val="left"/>
              <w:rPr>
                <w:rFonts w:ascii="宋体" w:hAnsi="宋体" w:eastAsia="宋体" w:cs="宋体"/>
                <w:kern w:val="0"/>
                <w:sz w:val="24"/>
                <w:szCs w:val="24"/>
              </w:rPr>
            </w:pPr>
          </w:p>
        </w:tc>
        <w:tc>
          <w:tcPr>
            <w:tcW w:w="3261" w:type="dxa"/>
            <w:vMerge w:val="continue"/>
            <w:tcBorders>
              <w:top w:val="nil"/>
              <w:left w:val="single" w:color="auto" w:sz="4" w:space="0"/>
              <w:bottom w:val="single" w:color="000000" w:sz="4" w:space="0"/>
              <w:right w:val="single" w:color="auto" w:sz="4" w:space="0"/>
            </w:tcBorders>
            <w:vAlign w:val="center"/>
          </w:tcPr>
          <w:p>
            <w:pPr>
              <w:widowControl/>
              <w:spacing w:line="400" w:lineRule="exact"/>
              <w:jc w:val="left"/>
              <w:rPr>
                <w:rFonts w:ascii="宋体" w:hAnsi="宋体" w:eastAsia="宋体" w:cs="宋体"/>
                <w:kern w:val="0"/>
                <w:sz w:val="24"/>
                <w:szCs w:val="24"/>
              </w:rPr>
            </w:pPr>
          </w:p>
        </w:tc>
      </w:tr>
      <w:tr>
        <w:tblPrEx>
          <w:tblLayout w:type="fixed"/>
          <w:tblCellMar>
            <w:top w:w="0" w:type="dxa"/>
            <w:left w:w="108" w:type="dxa"/>
            <w:bottom w:w="0" w:type="dxa"/>
            <w:right w:w="108" w:type="dxa"/>
          </w:tblCellMar>
        </w:tblPrEx>
        <w:trPr>
          <w:trHeight w:val="402" w:hRule="atLeast"/>
        </w:trPr>
        <w:tc>
          <w:tcPr>
            <w:tcW w:w="5544"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976" w:type="dxa"/>
            <w:gridSpan w:val="2"/>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02" w:type="dxa"/>
            <w:gridSpan w:val="2"/>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261"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Layout w:type="fixed"/>
          <w:tblCellMar>
            <w:top w:w="0" w:type="dxa"/>
            <w:left w:w="108" w:type="dxa"/>
            <w:bottom w:w="0" w:type="dxa"/>
            <w:right w:w="108" w:type="dxa"/>
          </w:tblCellMar>
        </w:tblPrEx>
        <w:trPr>
          <w:trHeight w:val="402" w:hRule="atLeast"/>
        </w:trPr>
        <w:tc>
          <w:tcPr>
            <w:tcW w:w="5544" w:type="dxa"/>
            <w:gridSpan w:val="4"/>
            <w:tcBorders>
              <w:top w:val="nil"/>
              <w:left w:val="single" w:color="auto" w:sz="8" w:space="0"/>
              <w:bottom w:val="single" w:color="auto" w:sz="4" w:space="0"/>
              <w:right w:val="single" w:color="000000"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6" w:type="dxa"/>
            <w:gridSpan w:val="2"/>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402" w:type="dxa"/>
            <w:gridSpan w:val="2"/>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61"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Layout w:type="fixed"/>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924" w:type="dxa"/>
            <w:gridSpan w:val="2"/>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0"/>
                <w:szCs w:val="20"/>
              </w:rPr>
            </w:pPr>
            <w:r>
              <w:rPr>
                <w:rFonts w:hint="eastAsia" w:ascii="宋体" w:hAnsi="宋体" w:eastAsia="宋体" w:cs="宋体"/>
                <w:kern w:val="0"/>
                <w:sz w:val="20"/>
                <w:szCs w:val="20"/>
              </w:rPr>
              <w:t>　</w:t>
            </w:r>
            <w:r>
              <w:rPr>
                <w:rFonts w:ascii="Times New Roman" w:hAnsi="Times New Roman" w:eastAsia="仿宋_GB2312" w:cs="Times New Roman"/>
                <w:kern w:val="0"/>
                <w:szCs w:val="21"/>
              </w:rPr>
              <w:t>本表无数据　</w:t>
            </w:r>
          </w:p>
        </w:tc>
        <w:tc>
          <w:tcPr>
            <w:tcW w:w="2976" w:type="dxa"/>
            <w:gridSpan w:val="2"/>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402" w:type="dxa"/>
            <w:gridSpan w:val="2"/>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261" w:type="dxa"/>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Layout w:type="fixed"/>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924" w:type="dxa"/>
            <w:gridSpan w:val="2"/>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6" w:type="dxa"/>
            <w:gridSpan w:val="2"/>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402" w:type="dxa"/>
            <w:gridSpan w:val="2"/>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261" w:type="dxa"/>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Layout w:type="fixed"/>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924" w:type="dxa"/>
            <w:gridSpan w:val="2"/>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976" w:type="dxa"/>
            <w:gridSpan w:val="2"/>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402" w:type="dxa"/>
            <w:gridSpan w:val="2"/>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261" w:type="dxa"/>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Layout w:type="fixed"/>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924" w:type="dxa"/>
            <w:gridSpan w:val="2"/>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6" w:type="dxa"/>
            <w:gridSpan w:val="2"/>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402" w:type="dxa"/>
            <w:gridSpan w:val="2"/>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261" w:type="dxa"/>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Layout w:type="fixed"/>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924" w:type="dxa"/>
            <w:gridSpan w:val="2"/>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6" w:type="dxa"/>
            <w:gridSpan w:val="2"/>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402" w:type="dxa"/>
            <w:gridSpan w:val="2"/>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261" w:type="dxa"/>
            <w:tcBorders>
              <w:top w:val="nil"/>
              <w:left w:val="nil"/>
              <w:bottom w:val="single" w:color="auto" w:sz="4"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Layout w:type="fixed"/>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spacing w:line="400" w:lineRule="exact"/>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924" w:type="dxa"/>
            <w:gridSpan w:val="2"/>
            <w:tcBorders>
              <w:top w:val="nil"/>
              <w:left w:val="nil"/>
              <w:bottom w:val="single" w:color="auto" w:sz="8"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6" w:type="dxa"/>
            <w:gridSpan w:val="2"/>
            <w:tcBorders>
              <w:top w:val="nil"/>
              <w:left w:val="nil"/>
              <w:bottom w:val="single" w:color="auto" w:sz="8"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402" w:type="dxa"/>
            <w:gridSpan w:val="2"/>
            <w:tcBorders>
              <w:top w:val="nil"/>
              <w:left w:val="nil"/>
              <w:bottom w:val="single" w:color="auto" w:sz="8"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261" w:type="dxa"/>
            <w:tcBorders>
              <w:top w:val="nil"/>
              <w:left w:val="nil"/>
              <w:bottom w:val="single" w:color="auto" w:sz="8" w:space="0"/>
              <w:right w:val="single" w:color="auto" w:sz="4" w:space="0"/>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Layout w:type="fixed"/>
          <w:tblCellMar>
            <w:top w:w="0" w:type="dxa"/>
            <w:left w:w="108" w:type="dxa"/>
            <w:bottom w:w="0" w:type="dxa"/>
            <w:right w:w="108" w:type="dxa"/>
          </w:tblCellMar>
        </w:tblPrEx>
        <w:trPr>
          <w:trHeight w:val="720" w:hRule="atLeast"/>
        </w:trPr>
        <w:tc>
          <w:tcPr>
            <w:tcW w:w="15183" w:type="dxa"/>
            <w:gridSpan w:val="9"/>
            <w:tcBorders>
              <w:top w:val="single" w:color="auto" w:sz="8" w:space="0"/>
              <w:left w:val="nil"/>
              <w:bottom w:val="nil"/>
              <w:right w:val="nil"/>
            </w:tcBorders>
            <w:shd w:val="clear" w:color="auto" w:fill="auto"/>
            <w:vAlign w:val="center"/>
          </w:tcPr>
          <w:p>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24"/>
        <w:rPr>
          <w:sz w:val="72"/>
          <w:szCs w:val="72"/>
        </w:rPr>
        <w:sectPr>
          <w:pgSz w:w="16838" w:h="11906" w:orient="landscape"/>
          <w:pgMar w:top="720" w:right="720" w:bottom="720" w:left="720" w:header="851" w:footer="992" w:gutter="0"/>
          <w:cols w:space="425" w:num="1"/>
          <w:docGrid w:type="lines" w:linePitch="312" w:charSpace="0"/>
        </w:sectPr>
      </w:pPr>
    </w:p>
    <w:p>
      <w:pPr>
        <w:pStyle w:val="24"/>
        <w:rPr>
          <w:sz w:val="72"/>
          <w:szCs w:val="72"/>
        </w:rPr>
      </w:pPr>
    </w:p>
    <w:p>
      <w:pPr>
        <w:pStyle w:val="24"/>
        <w:rPr>
          <w:sz w:val="72"/>
          <w:szCs w:val="72"/>
        </w:rPr>
      </w:pPr>
    </w:p>
    <w:p>
      <w:pPr>
        <w:pStyle w:val="24"/>
        <w:rPr>
          <w:sz w:val="72"/>
          <w:szCs w:val="72"/>
        </w:rPr>
      </w:pPr>
    </w:p>
    <w:p>
      <w:pPr>
        <w:pStyle w:val="24"/>
        <w:rPr>
          <w:sz w:val="72"/>
          <w:szCs w:val="72"/>
        </w:rPr>
      </w:pPr>
    </w:p>
    <w:p>
      <w:pPr>
        <w:pStyle w:val="24"/>
        <w:jc w:val="center"/>
        <w:rPr>
          <w:sz w:val="72"/>
          <w:szCs w:val="72"/>
        </w:rPr>
      </w:pPr>
    </w:p>
    <w:p>
      <w:pPr>
        <w:pStyle w:val="24"/>
        <w:jc w:val="center"/>
        <w:rPr>
          <w:sz w:val="72"/>
          <w:szCs w:val="72"/>
        </w:rPr>
      </w:pPr>
    </w:p>
    <w:p>
      <w:pPr>
        <w:pStyle w:val="24"/>
        <w:jc w:val="center"/>
        <w:rPr>
          <w:b/>
          <w:sz w:val="72"/>
          <w:szCs w:val="72"/>
        </w:rPr>
      </w:pPr>
      <w:r>
        <w:rPr>
          <w:rFonts w:hint="eastAsia"/>
          <w:b/>
          <w:sz w:val="72"/>
          <w:szCs w:val="72"/>
        </w:rPr>
        <w:t>第三部分</w:t>
      </w:r>
    </w:p>
    <w:p>
      <w:pPr>
        <w:pStyle w:val="24"/>
        <w:jc w:val="center"/>
        <w:rPr>
          <w:b/>
          <w:sz w:val="72"/>
          <w:szCs w:val="72"/>
        </w:rPr>
      </w:pPr>
    </w:p>
    <w:p>
      <w:pPr>
        <w:pStyle w:val="24"/>
        <w:jc w:val="center"/>
        <w:rPr>
          <w:b/>
          <w:sz w:val="72"/>
          <w:szCs w:val="72"/>
        </w:rPr>
      </w:pPr>
      <w:r>
        <w:rPr>
          <w:b/>
          <w:sz w:val="72"/>
          <w:szCs w:val="72"/>
        </w:rPr>
        <w:t>20</w:t>
      </w:r>
      <w:r>
        <w:rPr>
          <w:rFonts w:hint="eastAsia"/>
          <w:b/>
          <w:sz w:val="72"/>
          <w:szCs w:val="72"/>
        </w:rPr>
        <w:t>21年度部门决算情况说明</w:t>
      </w:r>
    </w:p>
    <w:p>
      <w:pPr>
        <w:widowControl/>
        <w:jc w:val="left"/>
        <w:rPr>
          <w:rFonts w:ascii="黑体" w:eastAsia="黑体" w:cs="黑体"/>
          <w:color w:val="000000"/>
          <w:kern w:val="0"/>
          <w:sz w:val="72"/>
          <w:szCs w:val="72"/>
        </w:rPr>
      </w:pPr>
      <w:r>
        <w:rPr>
          <w:sz w:val="72"/>
          <w:szCs w:val="72"/>
        </w:rPr>
        <w:br w:type="page"/>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一、收入支出决算总体情况说明</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2021年度收</w:t>
      </w:r>
      <w:r>
        <w:rPr>
          <w:rFonts w:hint="eastAsia" w:asciiTheme="minorEastAsia" w:hAnsiTheme="minorEastAsia" w:eastAsiaTheme="minorEastAsia"/>
          <w:sz w:val="28"/>
          <w:szCs w:val="28"/>
          <w:lang w:eastAsia="zh-CN"/>
        </w:rPr>
        <w:t>、支总计</w:t>
      </w:r>
      <w:r>
        <w:rPr>
          <w:rFonts w:hint="eastAsia" w:asciiTheme="minorEastAsia" w:hAnsiTheme="minorEastAsia" w:eastAsiaTheme="minorEastAsia"/>
          <w:sz w:val="28"/>
          <w:szCs w:val="28"/>
          <w:lang w:val="en-US" w:eastAsia="zh-CN"/>
        </w:rPr>
        <w:t>3577.28</w:t>
      </w:r>
      <w:r>
        <w:rPr>
          <w:rFonts w:hint="eastAsia" w:asciiTheme="minorEastAsia" w:hAnsiTheme="minorEastAsia" w:eastAsiaTheme="minorEastAsia"/>
          <w:sz w:val="28"/>
          <w:szCs w:val="28"/>
        </w:rPr>
        <w:t>万元</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与上年相比，减少</w:t>
      </w:r>
      <w:r>
        <w:rPr>
          <w:rFonts w:hint="eastAsia" w:asciiTheme="minorEastAsia" w:hAnsiTheme="minorEastAsia" w:eastAsiaTheme="minorEastAsia"/>
          <w:sz w:val="28"/>
          <w:szCs w:val="28"/>
          <w:lang w:val="en-US" w:eastAsia="zh-CN"/>
        </w:rPr>
        <w:t>4152.30</w:t>
      </w:r>
      <w:r>
        <w:rPr>
          <w:rFonts w:hint="eastAsia" w:asciiTheme="minorEastAsia" w:hAnsiTheme="minorEastAsia" w:eastAsiaTheme="minorEastAsia"/>
          <w:sz w:val="28"/>
          <w:szCs w:val="28"/>
        </w:rPr>
        <w:t>万元，减少5</w:t>
      </w:r>
      <w:r>
        <w:rPr>
          <w:rFonts w:hint="eastAsia" w:asciiTheme="minorEastAsia" w:hAnsiTheme="minorEastAsia" w:eastAsiaTheme="minorEastAsia"/>
          <w:sz w:val="28"/>
          <w:szCs w:val="28"/>
          <w:lang w:val="en-US" w:eastAsia="zh-CN"/>
        </w:rPr>
        <w:t>3.72</w:t>
      </w:r>
      <w:r>
        <w:rPr>
          <w:rFonts w:hint="eastAsia" w:asciiTheme="minorEastAsia" w:hAnsiTheme="minorEastAsia" w:eastAsiaTheme="minorEastAsia"/>
          <w:sz w:val="28"/>
          <w:szCs w:val="28"/>
        </w:rPr>
        <w:t>%，主要是因为本年度森林公安人员转隶市公安局</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项目正在实施验收中，尚未付款</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无政府性基金预算拨款收</w:t>
      </w:r>
      <w:r>
        <w:rPr>
          <w:rFonts w:hint="eastAsia" w:asciiTheme="minorEastAsia" w:hAnsiTheme="minorEastAsia" w:eastAsiaTheme="minorEastAsia"/>
          <w:sz w:val="28"/>
          <w:szCs w:val="28"/>
          <w:lang w:eastAsia="zh-CN"/>
        </w:rPr>
        <w:t>支等</w:t>
      </w:r>
      <w:bookmarkStart w:id="7" w:name="_GoBack"/>
      <w:bookmarkEnd w:id="7"/>
      <w:r>
        <w:rPr>
          <w:rFonts w:hint="eastAsia" w:asciiTheme="minorEastAsia" w:hAnsiTheme="minorEastAsia" w:eastAsiaTheme="minorEastAsia"/>
          <w:sz w:val="28"/>
          <w:szCs w:val="28"/>
        </w:rPr>
        <w:t>。</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二、收入决算情况说明</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2021年度收入合计3055.56万元，其中：财政拨款收入2977.45万元，占97.44%；上级补助收入0万元，占0%；事业收入0万元，占0%；经营收入0万元，占0%；附属单位上缴收入0万元，占0%；其他收入78.11万元，占2.56%。</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三、支出决算情况说明</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2021年度支出合计3222.23万元，其中：基本支出932.42万元，占28.94%；项目支出2289.82万元，占71.06%；上缴上级支出0万元，占0%；经营支出0万元，占0%；对附属单位补助支出0万元，占0%。</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四、财政拨款收入支出决算总体情况说明</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2021年度财政拨款收入2977.45万元，与上年相比，减少1601.80万元,减少34.98%，主要是因为本年度森林公安人员转隶市公安局及项目当年实施，跨年度验收付款。</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2021年度财政拨款支出2977.45万元，与上年相比，减少946.48万元,减少24.12%，主要是因为本年度森林公安人员转隶市公安局及项目当年实施，跨年度验收付款。</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五、一般公共预算财政拨款支出决算情况说明</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（一）财政拨款支出决算总体情况</w:t>
      </w:r>
    </w:p>
    <w:p>
      <w:pPr>
        <w:pStyle w:val="24"/>
        <w:spacing w:line="580" w:lineRule="exact"/>
        <w:ind w:firstLine="700" w:firstLineChars="250"/>
        <w:jc w:val="both"/>
        <w:rPr>
          <w:rFonts w:asciiTheme="minorEastAsia" w:hAnsiTheme="minorEastAsia" w:eastAsiaTheme="minorEastAsia"/>
          <w:sz w:val="28"/>
          <w:szCs w:val="28"/>
        </w:rPr>
      </w:pPr>
      <w:r>
        <w:rPr>
          <w:rFonts w:hint="eastAsia" w:asciiTheme="minorEastAsia" w:hAnsiTheme="minorEastAsia" w:eastAsiaTheme="minorEastAsia"/>
          <w:sz w:val="28"/>
          <w:szCs w:val="28"/>
        </w:rPr>
        <w:t>2021年度财政拨款支出2977.45万元，占本年支出合计的92.40%，与上年相比，财政拨款支出增加703.46万元,增长30.94%，主要是因为2020年度安排了政府性基金预算财政拨款收入，部分专项经费在政府性基金中支出，而2021年度没有安排政府性基金预算拨款，全部系一般公共预算财政拨款支出。</w:t>
      </w:r>
    </w:p>
    <w:p>
      <w:pPr>
        <w:pStyle w:val="24"/>
        <w:spacing w:line="580" w:lineRule="exact"/>
        <w:ind w:firstLine="420" w:firstLineChars="15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（二）财政拨款支出决算结构情况</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2021年度财政拨款支出2977.45元，主要用于以下方面：一般公共服务（类）支出0万元，占0%；公共安全（类）支出0万元，占0%;教育（类）支出0万元，占0%；社会保障和就业（类）支出79.26万元，占2.66%;卫生健康（类）支出35.32万元，占1.19%;节能环保（类）支出486.56万元，占16.34%;农林水（类）支出2324.56万元，占78.07%;住房保障（类）支出51.76万元，占1.74%。</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（三）财政拨款支出决算具体情况</w:t>
      </w:r>
    </w:p>
    <w:p>
      <w:pPr>
        <w:pStyle w:val="24"/>
        <w:spacing w:line="580" w:lineRule="exact"/>
        <w:ind w:firstLine="700" w:firstLineChars="250"/>
        <w:jc w:val="both"/>
        <w:rPr>
          <w:rFonts w:asciiTheme="minorEastAsia" w:hAnsiTheme="minorEastAsia" w:eastAsiaTheme="minorEastAsia"/>
          <w:sz w:val="28"/>
          <w:szCs w:val="28"/>
        </w:rPr>
      </w:pPr>
      <w:r>
        <w:rPr>
          <w:rFonts w:hint="eastAsia" w:asciiTheme="minorEastAsia" w:hAnsiTheme="minorEastAsia" w:eastAsiaTheme="minorEastAsia"/>
          <w:sz w:val="28"/>
          <w:szCs w:val="28"/>
        </w:rPr>
        <w:t>2021年度财政拨款支出年初预算数为1198.49万元，支出决算数为2977.45万元，完成年初预算的248.43%，其中：</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1、社会保障和就业支出（类）</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年初预算为94.60万元，支出决算为79.26万元，完成年初预算的83.78%，其中行政事业单位养老支出（款）70.62万元，含行政单位离退休（项）6.38万元，机关事业单位基本养老保险缴费支出（项）64.24万元；其他社会保障和就业支出（款）其他社会保障和就业支出（项）8.64万元，决算数小于年初预算数的主要原因是：本年度森林公安人员转隶市公安局。</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2、卫生健康支出（类）行政事业单位医疗（款）行政单位医疗（项）</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年初预算为35.32万元，支出决算为35.32万元，完成年初预算的100%，决算数与年初预算数持平。</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3、节能环保支出（类）天然林保护（款）森林管护（项）</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年初预算为0万元，支出决算为486.56万元，决算数大于年初预算数的主要原因是：上级拨款及年中追加。</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4、农林水支出（类）林业和草原（款）</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年初预算为1008.74万元，支出决算为2324.56万元，完成年初预算的230.44%，其中行政运行（项）574.64万元，一般行政管理事务（项）131.18万元，森林资源培育（项）141.21万元，动植物保护（项）157.59万元，产业化管理（项）1116.08万元，林业草原防灾减灾（项）53.97万元，其他林业和草原支出（项）149.88万元，决算数大于年初预算数的主要原因是：上级拨入2021年中央财政油茶低产林改造资金、2021年第一批省级林业生态保护修复及发展资金、2021年省级财政油茶产业资金等拨款及年中追加。</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5、住房保障支出（类）住房改革支出（款）住房公积金（项）</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年初预算为59.83万元，支出决算为51.76万元，完成年初预算的86.51%，决算数小于年初预算数的主要原因是：本年度森林公安人员转隶，人员转入湘乡市公安局。</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六、一般公共预算财政拨款基本支出决算情况说明</w:t>
      </w:r>
    </w:p>
    <w:p>
      <w:pPr>
        <w:pStyle w:val="24"/>
        <w:spacing w:line="580" w:lineRule="exact"/>
        <w:ind w:firstLine="560" w:firstLineChars="200"/>
        <w:jc w:val="both"/>
        <w:rPr>
          <w:rFonts w:asciiTheme="minorEastAsia" w:hAnsiTheme="minorEastAsia" w:eastAsiaTheme="minorEastAsia"/>
          <w:i/>
          <w:color w:val="FF0000"/>
          <w:sz w:val="28"/>
          <w:szCs w:val="28"/>
        </w:rPr>
      </w:pPr>
      <w:r>
        <w:rPr>
          <w:rFonts w:hint="eastAsia" w:asciiTheme="minorEastAsia" w:hAnsiTheme="minorEastAsia" w:eastAsiaTheme="minorEastAsia"/>
          <w:sz w:val="28"/>
          <w:szCs w:val="28"/>
        </w:rPr>
        <w:t>2021年度财政拨款基本支出932.42万元，其中：人员经费771.45万元，占基本支出的82.74%,主要包括基本工资、津贴补贴、奖金、伙食补助费、绩效工资、机关事业单位基本养老保险缴费、职业年金缴费、职工基本医疗保险缴费、公务员医疗补助缴费、其他社会保障缴费、住房公积金、抚恤金、生活补助、其他对个人和家庭的生活补助；公用经费160.97万元，占基本支出的17.26%，主要包括办公费、印刷费、水费、电费、邮电费、差旅费、维修（护）、租赁费、会议费、培训费、</w:t>
      </w:r>
      <w:r>
        <w:rPr>
          <w:rFonts w:hint="eastAsia" w:cs="宋体" w:asciiTheme="minorEastAsia" w:hAnsiTheme="minorEastAsia" w:eastAsiaTheme="minorEastAsia"/>
          <w:color w:val="auto"/>
          <w:sz w:val="28"/>
          <w:szCs w:val="28"/>
        </w:rPr>
        <w:t>公务接待费、劳务</w:t>
      </w:r>
      <w:r>
        <w:rPr>
          <w:rFonts w:hint="eastAsia" w:asciiTheme="minorEastAsia" w:hAnsiTheme="minorEastAsia" w:eastAsiaTheme="minorEastAsia"/>
          <w:sz w:val="28"/>
          <w:szCs w:val="28"/>
        </w:rPr>
        <w:t>费、工会经费、福利费、公务用车运行维护费、其他交通费用、其他商品和服务支出、办公设备购置费。。</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七、一般公共预算财政拨款“三公”经费支出决算情况说明</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（一）“三公”经费财政拨款支出决算总体情况说明</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2021年度“三公”经费财政拨款支出预算为15.60万元，支出决算为11.02万元，完成预算的70.64%，其中：</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因公出国（境）费支出预算为0万元，支出决算为0万元，完成预算的0%，与上年相比减少（增加）0万元，减少（增长）0%。</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公务接待费支出预算为6.00万元，支出决算为4.56万元，完成预算的76%，决算数小于预算数的主要原因是严格执行中央八项规定，精减支出，厉行节约，与上年相比增加1.05万元，增长29.91%,增长的主要原因是接待省级调研支出及专项督查支出。</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公务用车购置费支出预算为0万元，支出决算为0万元，完成预算的0%，与上年相比减少（增加）0万元，减少（增长）0%。</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公务用车运行维护费支出预算为9.60万元，支出决算为6.45万元，完成预算的67.19%，决算数小于预算数的主要原因是严格执行中央八项规定，精减支出，厉行节约，与上年相比减少1.09万元，减少14.46%,减少的主要原因是严格执行中央八项规定，精减支出，厉行节约。</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（二）“三公”经费财政拨款支出决算具体情况说明</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2021年度“三公”经费财政拨款支出决算中，公务接待费支出决算4.56万元，占41.38%,因公出国（境）费支出决算0万元，占0%,公务用车购置费及运行维护费支出决算6.45万元，占58.62%。其中：</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1、因公出国（境）费支出决算为0万元，全年安排因公出国（境）团组0个，累计0人次。</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2、公务接待费支出决算为4.56万元，全年共接待来访团组120个、来宾1050人次，主要是</w:t>
      </w:r>
      <w:r>
        <w:rPr>
          <w:rFonts w:hint="eastAsia" w:asciiTheme="minorEastAsia" w:hAnsiTheme="minorEastAsia" w:eastAsiaTheme="minorEastAsia"/>
          <w:sz w:val="28"/>
          <w:szCs w:val="28"/>
          <w:lang w:eastAsia="zh-CN"/>
        </w:rPr>
        <w:t>上</w:t>
      </w:r>
      <w:r>
        <w:rPr>
          <w:rFonts w:hint="eastAsia" w:asciiTheme="minorEastAsia" w:hAnsiTheme="minorEastAsia" w:eastAsiaTheme="minorEastAsia"/>
          <w:sz w:val="28"/>
          <w:szCs w:val="28"/>
        </w:rPr>
        <w:t>级调研及专项检查、督查等业务发生的接待支出。</w:t>
      </w:r>
    </w:p>
    <w:p>
      <w:pPr>
        <w:spacing w:line="580" w:lineRule="exact"/>
        <w:ind w:firstLine="560" w:firstLineChars="200"/>
        <w:rPr>
          <w:rFonts w:cs="黑体" w:asciiTheme="minorEastAsia" w:hAnsiTheme="minorEastAsia"/>
          <w:color w:val="000000"/>
          <w:kern w:val="0"/>
          <w:sz w:val="28"/>
          <w:szCs w:val="28"/>
        </w:rPr>
      </w:pPr>
      <w:r>
        <w:rPr>
          <w:rFonts w:hint="eastAsia" w:asciiTheme="minorEastAsia" w:hAnsiTheme="minorEastAsia"/>
          <w:sz w:val="28"/>
          <w:szCs w:val="28"/>
        </w:rPr>
        <w:t>3、公务用车购置费及运行维护费支出决算为6.45万元，其中：公务用车购置费0万元，更新公务用车0辆</w:t>
      </w:r>
      <w:r>
        <w:rPr>
          <w:rFonts w:hint="eastAsia" w:asciiTheme="minorEastAsia" w:hAnsiTheme="minorEastAsia"/>
          <w:color w:val="000000" w:themeColor="text1"/>
          <w:sz w:val="28"/>
          <w:szCs w:val="28"/>
        </w:rPr>
        <w:t>。</w:t>
      </w:r>
      <w:r>
        <w:rPr>
          <w:rFonts w:hint="eastAsia" w:asciiTheme="minorEastAsia" w:hAnsiTheme="minorEastAsia"/>
          <w:sz w:val="28"/>
          <w:szCs w:val="28"/>
        </w:rPr>
        <w:t>公务用车运行维护费6.45万元，主要是公务用车的维护修理费、燃料费、过桥过路费、保险费等支出，截止2021年12月31日，我单位开支财政拨款的公务用车保有量为2辆。</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八、政府性基金预算收入支出决算情况</w:t>
      </w:r>
    </w:p>
    <w:p>
      <w:pPr>
        <w:pStyle w:val="24"/>
        <w:spacing w:line="580" w:lineRule="exact"/>
        <w:jc w:val="both"/>
        <w:rPr>
          <w:rFonts w:asciiTheme="minorEastAsia" w:hAnsiTheme="minorEastAsia" w:eastAsiaTheme="minorEastAsia"/>
          <w:i/>
          <w:color w:val="FF0000"/>
          <w:sz w:val="28"/>
          <w:szCs w:val="28"/>
        </w:rPr>
      </w:pPr>
      <w:r>
        <w:rPr>
          <w:rFonts w:hint="eastAsia" w:asciiTheme="minorEastAsia" w:hAnsiTheme="minorEastAsia" w:eastAsiaTheme="minorEastAsia"/>
          <w:sz w:val="28"/>
          <w:szCs w:val="28"/>
        </w:rPr>
        <w:t xml:space="preserve">    2021年度本单位无政府性基金</w:t>
      </w:r>
      <w:r>
        <w:rPr>
          <w:rFonts w:hint="eastAsia" w:asciiTheme="minorEastAsia" w:hAnsiTheme="minorEastAsia" w:eastAsiaTheme="minorEastAsia"/>
          <w:sz w:val="28"/>
          <w:szCs w:val="28"/>
          <w:lang w:eastAsia="zh-CN"/>
        </w:rPr>
        <w:t>预算</w:t>
      </w:r>
      <w:r>
        <w:rPr>
          <w:rFonts w:hint="eastAsia" w:asciiTheme="minorEastAsia" w:hAnsiTheme="minorEastAsia" w:eastAsiaTheme="minorEastAsia"/>
          <w:sz w:val="28"/>
          <w:szCs w:val="28"/>
        </w:rPr>
        <w:t>收支。</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九、机关运行经费支出说明</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本部门2021年度机关运行经费支出160.97万元，比上年决算数减少9.1万元，降低5.35%。主要原因是：严格执行中央八项规定，精减支出，厉行节约。</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十、一般性支出情况说明</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2021年本部门开支会议费0.24万元，用于召开林业工作总结会议、森林防火会议、林业行政执法会议等会议，人数90人，内容为林业工作总结、森林防火、林业行政执法等；开支培训费14.24万元，用于开展林业执法、林业有害生物防治、林长制业务等培训，人数260人，内容为林业执法、林业有害生物防治业务工作等；举办节庆、晚会、论坛、赛事活动，开支0万元。</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十一、政府采购支出说明</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本部门2021年度政府采购支出总额40.24万元，其中：政府采购货物支出40.24万元、政府采购工程支出0万元、政府采购服务支出0万元。授予中小企业合同金额40.24万元，占政府采购支出总额的100%，其中：授予小微企业合同金额40.24万元，占授予中小企业合同金额的100%；货物采购授予中小企业合同金额占货物支出金额的100%，工程采购授予中小企业合同金额占工程支出金额的0%，服务采购授予中小企业合同金额占服务支出金额的0%。</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十二、国有资产占用情况说明</w:t>
      </w:r>
    </w:p>
    <w:p>
      <w:pPr>
        <w:pStyle w:val="24"/>
        <w:spacing w:line="58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截至2021年12月31日，部门（单位）共有车辆3辆，其中，主要领导干部用车0辆，机要通信用车0辆、应急保障用车0辆、执法执勤用车2辆、特种专业技术用车1辆、其他用车0辆；单位价值50万元以上通用设备0台（套）；单位价值100万元以上专用设备0台（套）。</w:t>
      </w:r>
    </w:p>
    <w:p>
      <w:pPr>
        <w:pStyle w:val="24"/>
        <w:spacing w:line="580" w:lineRule="exact"/>
        <w:ind w:firstLine="560" w:firstLineChars="200"/>
        <w:jc w:val="both"/>
        <w:rPr>
          <w:rFonts w:asciiTheme="minorEastAsia" w:hAnsiTheme="minorEastAsia" w:eastAsiaTheme="minorEastAsia"/>
          <w:b/>
          <w:sz w:val="28"/>
          <w:szCs w:val="28"/>
        </w:rPr>
      </w:pPr>
      <w:r>
        <w:rPr>
          <w:rFonts w:hint="eastAsia" w:asciiTheme="minorEastAsia" w:hAnsiTheme="minorEastAsia" w:eastAsiaTheme="minorEastAsia"/>
          <w:b/>
          <w:sz w:val="28"/>
          <w:szCs w:val="28"/>
        </w:rPr>
        <w:t>十三、2021年度预算绩效情况说明</w:t>
      </w:r>
    </w:p>
    <w:p>
      <w:pPr>
        <w:autoSpaceDE w:val="0"/>
        <w:autoSpaceDN w:val="0"/>
        <w:adjustRightInd w:val="0"/>
        <w:spacing w:line="580" w:lineRule="exact"/>
        <w:ind w:firstLine="560" w:firstLineChars="200"/>
        <w:rPr>
          <w:rFonts w:cs="黑体" w:asciiTheme="minorEastAsia" w:hAnsiTheme="minorEastAsia"/>
          <w:color w:val="000000"/>
          <w:kern w:val="0"/>
          <w:sz w:val="28"/>
          <w:szCs w:val="28"/>
        </w:rPr>
      </w:pPr>
      <w:r>
        <w:rPr>
          <w:rFonts w:hint="eastAsia" w:cs="黑体" w:asciiTheme="minorEastAsia" w:hAnsiTheme="minorEastAsia"/>
          <w:b/>
          <w:color w:val="000000"/>
          <w:kern w:val="0"/>
          <w:sz w:val="28"/>
          <w:szCs w:val="28"/>
        </w:rPr>
        <w:t>（1）绩效管理评价工作开展情况</w:t>
      </w:r>
    </w:p>
    <w:p>
      <w:pPr>
        <w:autoSpaceDE w:val="0"/>
        <w:autoSpaceDN w:val="0"/>
        <w:adjustRightInd w:val="0"/>
        <w:spacing w:line="580" w:lineRule="exact"/>
        <w:ind w:firstLine="560" w:firstLineChars="200"/>
        <w:rPr>
          <w:rFonts w:cs="黑体" w:asciiTheme="minorEastAsia" w:hAnsiTheme="minorEastAsia"/>
          <w:color w:val="000000"/>
          <w:kern w:val="0"/>
          <w:sz w:val="28"/>
          <w:szCs w:val="28"/>
        </w:rPr>
      </w:pPr>
      <w:r>
        <w:rPr>
          <w:rFonts w:hint="eastAsia" w:cs="黑体" w:asciiTheme="minorEastAsia" w:hAnsiTheme="minorEastAsia"/>
          <w:color w:val="000000"/>
          <w:kern w:val="0"/>
          <w:sz w:val="28"/>
          <w:szCs w:val="28"/>
        </w:rPr>
        <w:t>根据预算绩效管理要求，我部门组织对</w:t>
      </w:r>
      <w:r>
        <w:rPr>
          <w:rFonts w:cs="黑体" w:asciiTheme="minorEastAsia" w:hAnsiTheme="minorEastAsia"/>
          <w:color w:val="000000"/>
          <w:kern w:val="0"/>
          <w:sz w:val="28"/>
          <w:szCs w:val="28"/>
        </w:rPr>
        <w:t>2021</w:t>
      </w:r>
      <w:r>
        <w:rPr>
          <w:rFonts w:hint="eastAsia" w:cs="黑体" w:asciiTheme="minorEastAsia" w:hAnsiTheme="minorEastAsia"/>
          <w:color w:val="000000"/>
          <w:kern w:val="0"/>
          <w:sz w:val="28"/>
          <w:szCs w:val="28"/>
        </w:rPr>
        <w:t>年度一般公共预算项目支出全面开展绩效自评，其中，一级项目2个，二级项目0个，共涉及资金246.92万元，占一般公共预算项目支出总额的12.07</w:t>
      </w:r>
      <w:r>
        <w:rPr>
          <w:rFonts w:cs="黑体" w:asciiTheme="minorEastAsia" w:hAnsiTheme="minorEastAsia"/>
          <w:color w:val="000000"/>
          <w:kern w:val="0"/>
          <w:sz w:val="28"/>
          <w:szCs w:val="28"/>
        </w:rPr>
        <w:t>%</w:t>
      </w:r>
      <w:r>
        <w:rPr>
          <w:rFonts w:hint="eastAsia" w:cs="黑体" w:asciiTheme="minorEastAsia" w:hAnsiTheme="minorEastAsia"/>
          <w:color w:val="000000"/>
          <w:kern w:val="0"/>
          <w:sz w:val="28"/>
          <w:szCs w:val="28"/>
        </w:rPr>
        <w:t>。组织对</w:t>
      </w:r>
      <w:r>
        <w:rPr>
          <w:rFonts w:cs="黑体" w:asciiTheme="minorEastAsia" w:hAnsiTheme="minorEastAsia"/>
          <w:color w:val="000000"/>
          <w:kern w:val="0"/>
          <w:sz w:val="28"/>
          <w:szCs w:val="28"/>
        </w:rPr>
        <w:t>2021</w:t>
      </w:r>
      <w:r>
        <w:rPr>
          <w:rFonts w:hint="eastAsia" w:cs="黑体" w:asciiTheme="minorEastAsia" w:hAnsiTheme="minorEastAsia"/>
          <w:color w:val="000000"/>
          <w:kern w:val="0"/>
          <w:sz w:val="28"/>
          <w:szCs w:val="28"/>
        </w:rPr>
        <w:t>年度0个政府性基金预算项目支出开展绩效自评</w:t>
      </w:r>
      <w:r>
        <w:rPr>
          <w:rFonts w:hint="eastAsia" w:cs="黑体" w:asciiTheme="minorEastAsia" w:hAnsiTheme="minorEastAsia"/>
          <w:color w:val="000000"/>
          <w:kern w:val="0"/>
          <w:sz w:val="28"/>
          <w:szCs w:val="28"/>
          <w:lang w:val="en-US" w:eastAsia="zh-CN"/>
        </w:rPr>
        <w:t>,</w:t>
      </w:r>
      <w:r>
        <w:rPr>
          <w:rFonts w:hint="eastAsia" w:cs="黑体" w:asciiTheme="minorEastAsia" w:hAnsiTheme="minorEastAsia"/>
          <w:color w:val="000000"/>
          <w:kern w:val="0"/>
          <w:sz w:val="28"/>
          <w:szCs w:val="28"/>
        </w:rPr>
        <w:t>共涉及资金0万元，占政府性基金预算项目支出总额的0</w:t>
      </w:r>
      <w:r>
        <w:rPr>
          <w:rFonts w:cs="黑体" w:asciiTheme="minorEastAsia" w:hAnsiTheme="minorEastAsia"/>
          <w:color w:val="000000"/>
          <w:kern w:val="0"/>
          <w:sz w:val="28"/>
          <w:szCs w:val="28"/>
        </w:rPr>
        <w:t>%</w:t>
      </w:r>
      <w:r>
        <w:rPr>
          <w:rFonts w:hint="eastAsia" w:cs="黑体" w:asciiTheme="minorEastAsia" w:hAnsiTheme="minorEastAsia"/>
          <w:color w:val="000000"/>
          <w:kern w:val="0"/>
          <w:sz w:val="28"/>
          <w:szCs w:val="28"/>
        </w:rPr>
        <w:t>。组织对</w:t>
      </w:r>
      <w:r>
        <w:rPr>
          <w:rFonts w:cs="黑体" w:asciiTheme="minorEastAsia" w:hAnsiTheme="minorEastAsia"/>
          <w:color w:val="000000"/>
          <w:kern w:val="0"/>
          <w:sz w:val="28"/>
          <w:szCs w:val="28"/>
        </w:rPr>
        <w:t>2021</w:t>
      </w:r>
      <w:r>
        <w:rPr>
          <w:rFonts w:hint="eastAsia" w:cs="黑体" w:asciiTheme="minorEastAsia" w:hAnsiTheme="minorEastAsia"/>
          <w:color w:val="000000"/>
          <w:kern w:val="0"/>
          <w:sz w:val="28"/>
          <w:szCs w:val="28"/>
        </w:rPr>
        <w:t>年度0个国有资本经营预算项目支出开展绩效自评，共涉及资金0万元，占国有资本经营预算项目支出总额的0</w:t>
      </w:r>
      <w:r>
        <w:rPr>
          <w:rFonts w:cs="黑体" w:asciiTheme="minorEastAsia" w:hAnsiTheme="minorEastAsia"/>
          <w:color w:val="000000"/>
          <w:kern w:val="0"/>
          <w:sz w:val="28"/>
          <w:szCs w:val="28"/>
        </w:rPr>
        <w:t>%</w:t>
      </w:r>
      <w:r>
        <w:rPr>
          <w:rFonts w:hint="eastAsia" w:cs="黑体" w:asciiTheme="minorEastAsia" w:hAnsiTheme="minorEastAsia"/>
          <w:color w:val="000000"/>
          <w:kern w:val="0"/>
          <w:sz w:val="28"/>
          <w:szCs w:val="28"/>
        </w:rPr>
        <w:t>。</w:t>
      </w:r>
    </w:p>
    <w:p>
      <w:pPr>
        <w:autoSpaceDE w:val="0"/>
        <w:autoSpaceDN w:val="0"/>
        <w:adjustRightInd w:val="0"/>
        <w:spacing w:line="580" w:lineRule="exact"/>
        <w:ind w:firstLine="560" w:firstLineChars="200"/>
        <w:rPr>
          <w:rFonts w:cs="黑体" w:asciiTheme="minorEastAsia" w:hAnsiTheme="minorEastAsia"/>
          <w:color w:val="000000"/>
          <w:kern w:val="0"/>
          <w:sz w:val="28"/>
          <w:szCs w:val="28"/>
        </w:rPr>
      </w:pPr>
      <w:r>
        <w:rPr>
          <w:rFonts w:hint="eastAsia" w:cs="黑体" w:asciiTheme="minorEastAsia" w:hAnsiTheme="minorEastAsia"/>
          <w:color w:val="000000"/>
          <w:kern w:val="0"/>
          <w:sz w:val="28"/>
          <w:szCs w:val="28"/>
        </w:rPr>
        <w:t>组织对0个项目开展了部门评价，涉及一般公共预算支出0万元，政府性基金预算支出0万元，国有资本经营预算支出0万元。</w:t>
      </w:r>
    </w:p>
    <w:p>
      <w:pPr>
        <w:spacing w:line="580" w:lineRule="exact"/>
        <w:ind w:firstLine="560" w:firstLineChars="200"/>
        <w:rPr>
          <w:rFonts w:cs="黑体" w:asciiTheme="minorEastAsia" w:hAnsiTheme="minorEastAsia"/>
          <w:color w:val="000000"/>
          <w:kern w:val="0"/>
          <w:sz w:val="28"/>
          <w:szCs w:val="28"/>
        </w:rPr>
      </w:pPr>
      <w:r>
        <w:rPr>
          <w:rFonts w:hint="eastAsia" w:cs="黑体" w:asciiTheme="minorEastAsia" w:hAnsiTheme="minorEastAsia"/>
          <w:color w:val="000000"/>
          <w:kern w:val="0"/>
          <w:sz w:val="28"/>
          <w:szCs w:val="28"/>
        </w:rPr>
        <w:t>组织对“</w:t>
      </w:r>
      <w:r>
        <w:rPr>
          <w:rFonts w:cs="黑体" w:asciiTheme="minorEastAsia" w:hAnsiTheme="minorEastAsia"/>
          <w:color w:val="000000"/>
          <w:kern w:val="0"/>
          <w:sz w:val="28"/>
          <w:szCs w:val="28"/>
        </w:rPr>
        <w:t>湘乡市林业局</w:t>
      </w:r>
      <w:r>
        <w:rPr>
          <w:rFonts w:hint="eastAsia" w:cs="黑体" w:asciiTheme="minorEastAsia" w:hAnsiTheme="minorEastAsia"/>
          <w:color w:val="000000"/>
          <w:kern w:val="0"/>
          <w:sz w:val="28"/>
          <w:szCs w:val="28"/>
        </w:rPr>
        <w:t>”1个单位开展整体支出绩效评价，涉及一般公共预算支出3222.23万元，政府性基金预算支出0万元。从评价情况来看，2021年，我单位积极履职，强化管理，较好地完成了年度工作目标。通过加强预算收支管理，不断建立健全内部管理制度，完善内部管理流程，部门整体支出管理水平得到提升。根据部门整体支出绩效评价体系，我单位自评得分92.34分，评价等级为优。。</w:t>
      </w:r>
    </w:p>
    <w:p>
      <w:pPr>
        <w:autoSpaceDE w:val="0"/>
        <w:autoSpaceDN w:val="0"/>
        <w:adjustRightInd w:val="0"/>
        <w:spacing w:line="580" w:lineRule="exact"/>
        <w:ind w:firstLine="560" w:firstLineChars="200"/>
        <w:rPr>
          <w:rFonts w:cs="黑体" w:asciiTheme="minorEastAsia" w:hAnsiTheme="minorEastAsia"/>
          <w:b/>
          <w:color w:val="000000"/>
          <w:kern w:val="0"/>
          <w:sz w:val="28"/>
          <w:szCs w:val="28"/>
        </w:rPr>
      </w:pPr>
      <w:r>
        <w:rPr>
          <w:rFonts w:hint="eastAsia" w:cs="黑体" w:asciiTheme="minorEastAsia" w:hAnsiTheme="minorEastAsia"/>
          <w:b/>
          <w:color w:val="000000"/>
          <w:kern w:val="0"/>
          <w:sz w:val="28"/>
          <w:szCs w:val="28"/>
        </w:rPr>
        <w:t>（2）部门决算中项目绩效自评结果</w:t>
      </w:r>
    </w:p>
    <w:p>
      <w:pPr>
        <w:spacing w:line="580" w:lineRule="exact"/>
        <w:ind w:firstLine="560" w:firstLineChars="200"/>
        <w:rPr>
          <w:rFonts w:cs="仿宋" w:asciiTheme="minorEastAsia" w:hAnsiTheme="minorEastAsia"/>
          <w:b/>
          <w:sz w:val="28"/>
          <w:szCs w:val="28"/>
        </w:rPr>
      </w:pPr>
      <w:r>
        <w:rPr>
          <w:rFonts w:hint="eastAsia" w:cs="黑体" w:asciiTheme="minorEastAsia" w:hAnsiTheme="minorEastAsia"/>
          <w:kern w:val="0"/>
          <w:sz w:val="28"/>
          <w:szCs w:val="28"/>
        </w:rPr>
        <w:t>森林防火项目绩效自评综述：根据年初设定的绩效目标，项目绩效自评得分为95分。项目全年预算数为180万元，执行数为151.53万元，完成预算的84.18</w:t>
      </w:r>
      <w:r>
        <w:rPr>
          <w:rFonts w:cs="黑体" w:asciiTheme="minorEastAsia" w:hAnsiTheme="minorEastAsia"/>
          <w:kern w:val="0"/>
          <w:sz w:val="28"/>
          <w:szCs w:val="28"/>
        </w:rPr>
        <w:t>%</w:t>
      </w:r>
      <w:r>
        <w:rPr>
          <w:rFonts w:hint="eastAsia" w:cs="黑体" w:asciiTheme="minorEastAsia" w:hAnsiTheme="minorEastAsia"/>
          <w:kern w:val="0"/>
          <w:sz w:val="28"/>
          <w:szCs w:val="28"/>
        </w:rPr>
        <w:t>。项目绩效目标完成情况：一是森林管护指标申报值139.35万亩，实际完成值因省国土三调未进行，导致全市资源数据无法统计；二是森林防火物资购置指标申报值是由机关统一购置风力灭火机、油锯、高压水泵水管、砍刀、防火服等，再分发到各个森林防火单位，实际情况是由各防火单位根据实际需求自行采购后，林业局再安排森林防火资金；三是防扑火队伍培训指标申报值是300人次，实际完成值为100%；四是宣传资料发放指标申报值为3万份，实际完成值为100%；五是宣传车出动指标申报值100台次，实际出动75台次；六是GPS通讯与维护指标申报值约400人次，因改用湖南林长制巡护系统，实际完成值为0；七是森林火灾受害率指标申报值是千分之0.9以下，实际完成值控制在千分之0.9以下；八是项目进度指标申报值为2021年1月—2021年12月，实际完成值100%，资金拨付进度指标申报值是2022年3月底前，实际情况是因资金调度紧张，执行率84.18%；九是成本指标指标申报值是180万元，实际完成值151.53万元；十是社会效益指标申报值是稳定139.35万亩林地林权，生态效益指标申报值是森林覆盖率提高0.01—0.03个百分点，但因省国土三调工作未开展，导致这项目指标无法统计；十一是社会效益指标申报值是社会持续影响明显，实际完成值“是”；十二是服务对象满意度指标申报值是大于等于95%，实际完成值是96%。发现的主要问题及原因：</w:t>
      </w:r>
      <w:r>
        <w:rPr>
          <w:rFonts w:hint="eastAsia" w:cs="仿宋" w:asciiTheme="minorEastAsia" w:hAnsiTheme="minorEastAsia"/>
          <w:sz w:val="28"/>
          <w:szCs w:val="28"/>
        </w:rPr>
        <w:t>一是部分绩效目标偏离，森林防火物资购置目标为购置风力灭火机、油锯、水泵等防火装备，但我单位并未采购，原因是各森林防火责任单位的防火物资实际需求不同，加之资金调度困难，故口头约定让其自行采购。二是部分绩效目标未完成，森林防火宣传车出动目标为100台次以上，根据统计数据实际出动75台次。究其原因系项目绩效申报时，目标设置不太科学。</w:t>
      </w:r>
      <w:r>
        <w:rPr>
          <w:rFonts w:hint="eastAsia" w:cs="仿宋" w:asciiTheme="minorEastAsia" w:hAnsiTheme="minorEastAsia"/>
          <w:kern w:val="0"/>
          <w:sz w:val="28"/>
          <w:szCs w:val="28"/>
        </w:rPr>
        <w:t>下一步改进措施：在预算绩效管理工作中，要</w:t>
      </w:r>
      <w:r>
        <w:rPr>
          <w:rFonts w:hint="eastAsia" w:cs="仿宋" w:asciiTheme="minorEastAsia" w:hAnsiTheme="minorEastAsia"/>
          <w:sz w:val="28"/>
          <w:szCs w:val="28"/>
        </w:rPr>
        <w:t>根据实际情况确定绩效目标，避免目标偏离或者设置不科学。</w:t>
      </w:r>
    </w:p>
    <w:p>
      <w:pPr>
        <w:autoSpaceDE w:val="0"/>
        <w:autoSpaceDN w:val="0"/>
        <w:adjustRightInd w:val="0"/>
        <w:spacing w:line="580" w:lineRule="exact"/>
        <w:ind w:firstLine="560" w:firstLineChars="200"/>
        <w:rPr>
          <w:rFonts w:cs="黑体" w:asciiTheme="minorEastAsia" w:hAnsiTheme="minorEastAsia"/>
          <w:color w:val="000000"/>
          <w:kern w:val="0"/>
          <w:sz w:val="28"/>
          <w:szCs w:val="28"/>
        </w:rPr>
      </w:pPr>
      <w:r>
        <w:rPr>
          <w:rFonts w:hint="eastAsia" w:cs="黑体" w:asciiTheme="minorEastAsia" w:hAnsiTheme="minorEastAsia"/>
          <w:kern w:val="0"/>
          <w:sz w:val="28"/>
          <w:szCs w:val="28"/>
        </w:rPr>
        <w:t>森林护林员管护项目绩效自评综述：根据年初设定的绩效目标，项目绩效自评得分为92分。项目全年预算数为140万元，执行数为95.39万元，完成预算的68.14</w:t>
      </w:r>
      <w:r>
        <w:rPr>
          <w:rFonts w:cs="黑体" w:asciiTheme="minorEastAsia" w:hAnsiTheme="minorEastAsia"/>
          <w:kern w:val="0"/>
          <w:sz w:val="28"/>
          <w:szCs w:val="28"/>
        </w:rPr>
        <w:t>%</w:t>
      </w:r>
      <w:r>
        <w:rPr>
          <w:rFonts w:hint="eastAsia" w:cs="黑体" w:asciiTheme="minorEastAsia" w:hAnsiTheme="minorEastAsia"/>
          <w:kern w:val="0"/>
          <w:sz w:val="28"/>
          <w:szCs w:val="28"/>
        </w:rPr>
        <w:t>。项目绩效目标完成情况：一是森林管护面积指标申报值是139.35万亩，实际完成值因省国土三调工作未进行，导致此项指标无法统计；二是管护到位率指标申报值是100%，实际完成值是100%；三是项目建设进度指标申报值是2021年1月—12月，实际完成值是100%；资金拨付进度指标申报值是2021年1月—2022年3月，实际完成值因资金调度困难，片区管护费未拨付，预算执行率仅68.14%；四是成本指标指标申报值是140万元，实际完成值是95.39万元；五是林农增收指标申报值的85万元，实际完成值因护林员工资提高而达到95.39万元；六是安排劳动力指标申报值是约170人，实际完成值的177人；七是森林覆盖率大于等于47.61%，实际完成值因省国土三调工作未开展而导致此项指标无法统计；八是可持续影响指标申报值生态环境明显改善，实际完成值“是”；九是服务对象满意度指标申报值是大于等于90%，实际完成值达95%。发现的主要问题及原因：</w:t>
      </w:r>
      <w:r>
        <w:rPr>
          <w:rFonts w:hint="eastAsia" w:cs="Times New Roman" w:asciiTheme="minorEastAsia" w:hAnsiTheme="minorEastAsia"/>
          <w:sz w:val="28"/>
          <w:szCs w:val="28"/>
        </w:rPr>
        <w:t>一</w:t>
      </w:r>
      <w:r>
        <w:rPr>
          <w:rFonts w:hint="eastAsia" w:cs="仿宋" w:asciiTheme="minorEastAsia" w:hAnsiTheme="minorEastAsia"/>
          <w:sz w:val="28"/>
          <w:szCs w:val="28"/>
        </w:rPr>
        <w:t>是林分质量不高，现有森林中以针叶林为主，阔叶林比重偏小，纯林单层林多、混交林复层林少,森林结构不合理,林分质量不高,防护效益差,防护功能弱；二是补偿制度不健全，目前公益林补偿标准偏低,同商品林收益相比差距较大，林农对公益林管护漠不关心,出现少数人得益在管、多数人无益在看的现象；三是科学利用机制不完善，湘乡虽然拥有丰富的林木、林地和景观资源,但为了更好保护森林，一般是禁止或限制森林采伐利用,森林的保护与利用矛盾日益突出；四是资金拨付进度有待提高，本年度的片区管护费因资金调度困难，一直未拨付。下一步改进措施，一是加大森林分改造财政投入，建议各级财政部门加大造林绿化投入力度，</w:t>
      </w:r>
      <w:r>
        <w:rPr>
          <w:rFonts w:cs="仿宋" w:asciiTheme="minorEastAsia" w:hAnsiTheme="minorEastAsia"/>
          <w:sz w:val="28"/>
          <w:szCs w:val="28"/>
        </w:rPr>
        <w:t>推进森林中的低产低效林</w:t>
      </w:r>
      <w:r>
        <w:rPr>
          <w:rFonts w:hint="eastAsia" w:cs="仿宋" w:asciiTheme="minorEastAsia" w:hAnsiTheme="minorEastAsia"/>
          <w:sz w:val="28"/>
          <w:szCs w:val="28"/>
        </w:rPr>
        <w:t>提质改造，提高森林质量；二是加大生态保护宣传，不断提高人民群众森林资源的保护意识，更好发挥森林生态作用。三是发展林下经济，从依托森林资源开展旅游、林下种植珍贵树木、中药材、食用菌等,开展林下养殖,增加森林经济效益；四是加强与财政部门的沟通衔接，确保经验收（考核）合格的项目资金及时拨付到位。</w:t>
      </w:r>
    </w:p>
    <w:p>
      <w:pPr>
        <w:autoSpaceDE w:val="0"/>
        <w:autoSpaceDN w:val="0"/>
        <w:adjustRightInd w:val="0"/>
        <w:spacing w:line="580" w:lineRule="exact"/>
        <w:ind w:firstLine="560" w:firstLineChars="200"/>
        <w:rPr>
          <w:rFonts w:cs="黑体" w:asciiTheme="minorEastAsia" w:hAnsiTheme="minorEastAsia"/>
          <w:color w:val="000000"/>
          <w:kern w:val="0"/>
          <w:sz w:val="28"/>
          <w:szCs w:val="28"/>
        </w:rPr>
      </w:pPr>
      <w:r>
        <w:rPr>
          <w:rFonts w:hint="eastAsia" w:cs="黑体" w:asciiTheme="minorEastAsia" w:hAnsiTheme="minorEastAsia"/>
          <w:b/>
          <w:color w:val="000000"/>
          <w:kern w:val="0"/>
          <w:sz w:val="28"/>
          <w:szCs w:val="28"/>
        </w:rPr>
        <w:t>（</w:t>
      </w:r>
      <w:r>
        <w:rPr>
          <w:rFonts w:cs="黑体" w:asciiTheme="minorEastAsia" w:hAnsiTheme="minorEastAsia"/>
          <w:b/>
          <w:color w:val="000000"/>
          <w:kern w:val="0"/>
          <w:sz w:val="28"/>
          <w:szCs w:val="28"/>
        </w:rPr>
        <w:t>3</w:t>
      </w:r>
      <w:r>
        <w:rPr>
          <w:rFonts w:hint="eastAsia" w:cs="黑体" w:asciiTheme="minorEastAsia" w:hAnsiTheme="minorEastAsia"/>
          <w:b/>
          <w:color w:val="000000"/>
          <w:kern w:val="0"/>
          <w:sz w:val="28"/>
          <w:szCs w:val="28"/>
        </w:rPr>
        <w:t>）部门评价项目绩效评价结果</w:t>
      </w:r>
    </w:p>
    <w:p>
      <w:pPr>
        <w:autoSpaceDE w:val="0"/>
        <w:autoSpaceDN w:val="0"/>
        <w:adjustRightInd w:val="0"/>
        <w:spacing w:line="580" w:lineRule="exact"/>
        <w:ind w:firstLine="560" w:firstLineChars="200"/>
        <w:rPr>
          <w:rFonts w:cs="黑体" w:asciiTheme="minorEastAsia" w:hAnsiTheme="minorEastAsia"/>
          <w:color w:val="000000"/>
          <w:kern w:val="0"/>
          <w:sz w:val="28"/>
          <w:szCs w:val="28"/>
        </w:rPr>
      </w:pPr>
      <w:r>
        <w:rPr>
          <w:rFonts w:hint="eastAsia" w:cs="黑体" w:asciiTheme="minorEastAsia" w:hAnsiTheme="minorEastAsia"/>
          <w:color w:val="000000"/>
          <w:kern w:val="0"/>
          <w:sz w:val="28"/>
          <w:szCs w:val="28"/>
        </w:rPr>
        <w:t>部门评价项目数量</w:t>
      </w:r>
      <w:r>
        <w:rPr>
          <w:rFonts w:cs="黑体" w:asciiTheme="minorEastAsia" w:hAnsiTheme="minorEastAsia"/>
          <w:color w:val="000000"/>
          <w:kern w:val="0"/>
          <w:sz w:val="28"/>
          <w:szCs w:val="28"/>
        </w:rPr>
        <w:t>3</w:t>
      </w:r>
      <w:r>
        <w:rPr>
          <w:rFonts w:hint="eastAsia" w:cs="黑体" w:asciiTheme="minorEastAsia" w:hAnsiTheme="minorEastAsia"/>
          <w:color w:val="000000"/>
          <w:kern w:val="0"/>
          <w:sz w:val="28"/>
          <w:szCs w:val="28"/>
        </w:rPr>
        <w:t>个以内的，至少将</w:t>
      </w:r>
      <w:r>
        <w:rPr>
          <w:rFonts w:cs="黑体" w:asciiTheme="minorEastAsia" w:hAnsiTheme="minorEastAsia"/>
          <w:color w:val="000000"/>
          <w:kern w:val="0"/>
          <w:sz w:val="28"/>
          <w:szCs w:val="28"/>
        </w:rPr>
        <w:t>1</w:t>
      </w:r>
      <w:r>
        <w:rPr>
          <w:rFonts w:hint="eastAsia" w:cs="黑体" w:asciiTheme="minorEastAsia" w:hAnsiTheme="minorEastAsia"/>
          <w:color w:val="000000"/>
          <w:kern w:val="0"/>
          <w:sz w:val="28"/>
          <w:szCs w:val="28"/>
        </w:rPr>
        <w:t>个部门评价报告向社会公开；部门评价项目数量大于</w:t>
      </w:r>
      <w:r>
        <w:rPr>
          <w:rFonts w:cs="黑体" w:asciiTheme="minorEastAsia" w:hAnsiTheme="minorEastAsia"/>
          <w:color w:val="000000"/>
          <w:kern w:val="0"/>
          <w:sz w:val="28"/>
          <w:szCs w:val="28"/>
        </w:rPr>
        <w:t>3</w:t>
      </w:r>
      <w:r>
        <w:rPr>
          <w:rFonts w:hint="eastAsia" w:cs="黑体" w:asciiTheme="minorEastAsia" w:hAnsiTheme="minorEastAsia"/>
          <w:color w:val="000000"/>
          <w:kern w:val="0"/>
          <w:sz w:val="28"/>
          <w:szCs w:val="28"/>
        </w:rPr>
        <w:t>个的，至少将</w:t>
      </w:r>
      <w:r>
        <w:rPr>
          <w:rFonts w:cs="黑体" w:asciiTheme="minorEastAsia" w:hAnsiTheme="minorEastAsia"/>
          <w:color w:val="000000"/>
          <w:kern w:val="0"/>
          <w:sz w:val="28"/>
          <w:szCs w:val="28"/>
        </w:rPr>
        <w:t>2</w:t>
      </w:r>
      <w:r>
        <w:rPr>
          <w:rFonts w:hint="eastAsia" w:cs="黑体" w:asciiTheme="minorEastAsia" w:hAnsiTheme="minorEastAsia"/>
          <w:color w:val="000000"/>
          <w:kern w:val="0"/>
          <w:sz w:val="28"/>
          <w:szCs w:val="28"/>
        </w:rPr>
        <w:t>个部门评价报告向社会公开。报告框架可参考《项目支出绩效评价办法》（财预〔</w:t>
      </w:r>
      <w:r>
        <w:rPr>
          <w:rFonts w:cs="黑体" w:asciiTheme="minorEastAsia" w:hAnsiTheme="minorEastAsia"/>
          <w:color w:val="000000"/>
          <w:kern w:val="0"/>
          <w:sz w:val="28"/>
          <w:szCs w:val="28"/>
        </w:rPr>
        <w:t>2020</w:t>
      </w:r>
      <w:r>
        <w:rPr>
          <w:rFonts w:hint="eastAsia" w:cs="黑体" w:asciiTheme="minorEastAsia" w:hAnsiTheme="minorEastAsia"/>
          <w:color w:val="000000"/>
          <w:kern w:val="0"/>
          <w:sz w:val="28"/>
          <w:szCs w:val="28"/>
        </w:rPr>
        <w:t>〕</w:t>
      </w:r>
      <w:r>
        <w:rPr>
          <w:rFonts w:cs="黑体" w:asciiTheme="minorEastAsia" w:hAnsiTheme="minorEastAsia"/>
          <w:color w:val="000000"/>
          <w:kern w:val="0"/>
          <w:sz w:val="28"/>
          <w:szCs w:val="28"/>
        </w:rPr>
        <w:t xml:space="preserve">10 </w:t>
      </w:r>
      <w:r>
        <w:rPr>
          <w:rFonts w:hint="eastAsia" w:cs="黑体" w:asciiTheme="minorEastAsia" w:hAnsiTheme="minorEastAsia"/>
          <w:color w:val="000000"/>
          <w:kern w:val="0"/>
          <w:sz w:val="28"/>
          <w:szCs w:val="28"/>
        </w:rPr>
        <w:t>号）中《项目支出绩效评价报告（参考提纲）》、《湖南省预算支出绩效评价管理办法》（湘财绩〔</w:t>
      </w:r>
      <w:r>
        <w:rPr>
          <w:rFonts w:cs="黑体" w:asciiTheme="minorEastAsia" w:hAnsiTheme="minorEastAsia"/>
          <w:color w:val="000000"/>
          <w:kern w:val="0"/>
          <w:sz w:val="28"/>
          <w:szCs w:val="28"/>
        </w:rPr>
        <w:t>2020</w:t>
      </w:r>
      <w:r>
        <w:rPr>
          <w:rFonts w:hint="eastAsia" w:cs="黑体" w:asciiTheme="minorEastAsia" w:hAnsiTheme="minorEastAsia"/>
          <w:color w:val="000000"/>
          <w:kern w:val="0"/>
          <w:sz w:val="28"/>
          <w:szCs w:val="28"/>
        </w:rPr>
        <w:t>〕7号）。</w:t>
      </w:r>
    </w:p>
    <w:p>
      <w:pPr>
        <w:pStyle w:val="24"/>
        <w:spacing w:line="580" w:lineRule="exact"/>
        <w:jc w:val="both"/>
        <w:rPr>
          <w:rFonts w:asciiTheme="minorEastAsia" w:hAnsiTheme="minorEastAsia" w:eastAsiaTheme="minorEastAsia"/>
          <w:sz w:val="28"/>
          <w:szCs w:val="28"/>
        </w:rPr>
      </w:pPr>
    </w:p>
    <w:p>
      <w:pPr>
        <w:pStyle w:val="24"/>
        <w:spacing w:line="580" w:lineRule="exact"/>
        <w:jc w:val="both"/>
        <w:rPr>
          <w:rFonts w:asciiTheme="minorEastAsia" w:hAnsiTheme="minorEastAsia" w:eastAsiaTheme="minorEastAsia"/>
          <w:sz w:val="28"/>
          <w:szCs w:val="28"/>
        </w:rPr>
      </w:pPr>
    </w:p>
    <w:p>
      <w:pPr>
        <w:pStyle w:val="24"/>
        <w:spacing w:line="580" w:lineRule="exact"/>
        <w:jc w:val="center"/>
        <w:rPr>
          <w:rFonts w:asciiTheme="minorEastAsia" w:hAnsiTheme="minorEastAsia" w:eastAsiaTheme="minorEastAsia"/>
          <w:sz w:val="28"/>
          <w:szCs w:val="28"/>
        </w:rPr>
      </w:pPr>
    </w:p>
    <w:p>
      <w:pPr>
        <w:pStyle w:val="24"/>
        <w:spacing w:line="580" w:lineRule="exact"/>
        <w:jc w:val="center"/>
        <w:rPr>
          <w:rFonts w:asciiTheme="minorEastAsia" w:hAnsiTheme="minorEastAsia" w:eastAsiaTheme="minorEastAsia"/>
          <w:sz w:val="28"/>
          <w:szCs w:val="28"/>
        </w:rPr>
      </w:pPr>
    </w:p>
    <w:p>
      <w:pPr>
        <w:pStyle w:val="24"/>
        <w:spacing w:line="580" w:lineRule="exact"/>
        <w:jc w:val="center"/>
        <w:rPr>
          <w:rFonts w:asciiTheme="minorEastAsia" w:hAnsiTheme="minorEastAsia" w:eastAsiaTheme="minorEastAsia"/>
          <w:sz w:val="28"/>
          <w:szCs w:val="28"/>
        </w:rPr>
      </w:pPr>
    </w:p>
    <w:p>
      <w:pPr>
        <w:pStyle w:val="24"/>
        <w:spacing w:line="560" w:lineRule="exact"/>
        <w:rPr>
          <w:sz w:val="72"/>
          <w:szCs w:val="72"/>
        </w:rPr>
      </w:pPr>
    </w:p>
    <w:p>
      <w:pPr>
        <w:pStyle w:val="24"/>
        <w:spacing w:line="580" w:lineRule="exact"/>
        <w:rPr>
          <w:sz w:val="72"/>
          <w:szCs w:val="72"/>
        </w:rPr>
      </w:pPr>
    </w:p>
    <w:p>
      <w:pPr>
        <w:pStyle w:val="24"/>
        <w:jc w:val="center"/>
        <w:rPr>
          <w:sz w:val="72"/>
          <w:szCs w:val="72"/>
        </w:rPr>
      </w:pPr>
    </w:p>
    <w:p>
      <w:pPr>
        <w:pStyle w:val="24"/>
        <w:jc w:val="center"/>
        <w:rPr>
          <w:rFonts w:hint="eastAsia"/>
          <w:sz w:val="72"/>
          <w:szCs w:val="72"/>
        </w:rPr>
      </w:pPr>
    </w:p>
    <w:p>
      <w:pPr>
        <w:pStyle w:val="24"/>
        <w:jc w:val="center"/>
        <w:rPr>
          <w:rFonts w:hint="eastAsia"/>
          <w:sz w:val="72"/>
          <w:szCs w:val="72"/>
        </w:rPr>
      </w:pPr>
    </w:p>
    <w:p>
      <w:pPr>
        <w:pStyle w:val="24"/>
        <w:jc w:val="center"/>
        <w:rPr>
          <w:rFonts w:hint="eastAsia"/>
          <w:sz w:val="72"/>
          <w:szCs w:val="72"/>
        </w:rPr>
      </w:pPr>
    </w:p>
    <w:p>
      <w:pPr>
        <w:pStyle w:val="24"/>
        <w:jc w:val="center"/>
        <w:rPr>
          <w:rFonts w:hint="eastAsia"/>
          <w:sz w:val="72"/>
          <w:szCs w:val="72"/>
        </w:rPr>
      </w:pPr>
    </w:p>
    <w:p>
      <w:pPr>
        <w:pStyle w:val="24"/>
        <w:jc w:val="center"/>
        <w:rPr>
          <w:rFonts w:hint="eastAsia"/>
          <w:sz w:val="72"/>
          <w:szCs w:val="72"/>
        </w:rPr>
      </w:pPr>
    </w:p>
    <w:p>
      <w:pPr>
        <w:pStyle w:val="24"/>
        <w:jc w:val="center"/>
        <w:rPr>
          <w:rFonts w:hint="eastAsia"/>
          <w:sz w:val="72"/>
          <w:szCs w:val="72"/>
        </w:rPr>
      </w:pPr>
    </w:p>
    <w:p>
      <w:pPr>
        <w:pStyle w:val="24"/>
        <w:jc w:val="center"/>
        <w:rPr>
          <w:rFonts w:hint="eastAsia"/>
          <w:sz w:val="72"/>
          <w:szCs w:val="72"/>
        </w:rPr>
      </w:pPr>
    </w:p>
    <w:p>
      <w:pPr>
        <w:pStyle w:val="24"/>
        <w:jc w:val="center"/>
        <w:rPr>
          <w:rFonts w:hint="eastAsia"/>
          <w:sz w:val="72"/>
          <w:szCs w:val="72"/>
        </w:rPr>
      </w:pPr>
    </w:p>
    <w:p>
      <w:pPr>
        <w:pStyle w:val="24"/>
        <w:jc w:val="center"/>
        <w:rPr>
          <w:rFonts w:hint="eastAsia"/>
          <w:sz w:val="72"/>
          <w:szCs w:val="72"/>
        </w:rPr>
      </w:pPr>
    </w:p>
    <w:p>
      <w:pPr>
        <w:pStyle w:val="24"/>
        <w:jc w:val="center"/>
        <w:rPr>
          <w:rFonts w:hint="eastAsia"/>
          <w:sz w:val="72"/>
          <w:szCs w:val="72"/>
        </w:rPr>
      </w:pPr>
    </w:p>
    <w:p>
      <w:pPr>
        <w:pStyle w:val="24"/>
        <w:jc w:val="center"/>
        <w:rPr>
          <w:rFonts w:hint="eastAsia"/>
          <w:sz w:val="72"/>
          <w:szCs w:val="72"/>
        </w:rPr>
      </w:pPr>
    </w:p>
    <w:p>
      <w:pPr>
        <w:pStyle w:val="24"/>
        <w:jc w:val="center"/>
        <w:rPr>
          <w:sz w:val="72"/>
          <w:szCs w:val="72"/>
        </w:rPr>
      </w:pPr>
    </w:p>
    <w:p>
      <w:pPr>
        <w:pStyle w:val="24"/>
        <w:jc w:val="center"/>
        <w:rPr>
          <w:sz w:val="72"/>
          <w:szCs w:val="72"/>
        </w:rPr>
      </w:pPr>
    </w:p>
    <w:p>
      <w:pPr>
        <w:pStyle w:val="24"/>
        <w:jc w:val="center"/>
        <w:rPr>
          <w:b/>
          <w:sz w:val="72"/>
          <w:szCs w:val="72"/>
        </w:rPr>
      </w:pPr>
      <w:r>
        <w:rPr>
          <w:rFonts w:hint="eastAsia"/>
          <w:b/>
          <w:sz w:val="72"/>
          <w:szCs w:val="72"/>
        </w:rPr>
        <w:t>第四部分</w:t>
      </w:r>
    </w:p>
    <w:p>
      <w:pPr>
        <w:jc w:val="center"/>
        <w:rPr>
          <w:rFonts w:ascii="黑体" w:eastAsia="黑体" w:cs="黑体"/>
          <w:b/>
          <w:color w:val="000000"/>
          <w:kern w:val="0"/>
          <w:sz w:val="72"/>
          <w:szCs w:val="72"/>
        </w:rPr>
      </w:pPr>
    </w:p>
    <w:p>
      <w:pPr>
        <w:jc w:val="center"/>
        <w:rPr>
          <w:rFonts w:ascii="黑体" w:eastAsia="黑体" w:cs="黑体"/>
          <w:b/>
          <w:color w:val="000000"/>
          <w:kern w:val="0"/>
          <w:sz w:val="72"/>
          <w:szCs w:val="72"/>
        </w:rPr>
      </w:pPr>
      <w:r>
        <w:rPr>
          <w:rFonts w:hint="eastAsia" w:ascii="黑体" w:eastAsia="黑体" w:cs="黑体"/>
          <w:b/>
          <w:color w:val="000000"/>
          <w:kern w:val="0"/>
          <w:sz w:val="72"/>
          <w:szCs w:val="72"/>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财政拨款收入：</w:t>
      </w:r>
      <w:r>
        <w:rPr>
          <w:rFonts w:cs="黑体" w:asciiTheme="minorEastAsia" w:hAnsiTheme="minorEastAsia"/>
          <w:color w:val="000000"/>
          <w:kern w:val="0"/>
          <w:sz w:val="28"/>
          <w:szCs w:val="28"/>
        </w:rPr>
        <w:t>指财政当年拨付的资金。包括一般公共预算财政拨款和政府性基金财政拨款。</w:t>
      </w:r>
      <w:r>
        <w:rPr>
          <w:rFonts w:cs="黑体" w:asciiTheme="minorEastAsia" w:hAnsiTheme="minorEastAsia"/>
          <w:color w:val="000000"/>
          <w:kern w:val="0"/>
          <w:sz w:val="28"/>
          <w:szCs w:val="28"/>
        </w:rPr>
        <w:br w:type="textWrapping"/>
      </w:r>
      <w:r>
        <w:rPr>
          <w:rFonts w:cs="黑体" w:asciiTheme="minorEastAsia" w:hAnsiTheme="minorEastAsia"/>
          <w:b/>
          <w:color w:val="000000"/>
          <w:kern w:val="0"/>
          <w:sz w:val="28"/>
          <w:szCs w:val="28"/>
        </w:rPr>
        <w:t>上级补助收入：</w:t>
      </w:r>
      <w:r>
        <w:rPr>
          <w:rFonts w:cs="黑体" w:asciiTheme="minorEastAsia" w:hAnsiTheme="minorEastAsia"/>
          <w:color w:val="000000"/>
          <w:kern w:val="0"/>
          <w:sz w:val="28"/>
          <w:szCs w:val="28"/>
        </w:rPr>
        <w:t>指事业单位从主管部门和上级单位取得的非财政补助收入。</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事业收入：</w:t>
      </w:r>
      <w:r>
        <w:rPr>
          <w:rFonts w:cs="黑体" w:asciiTheme="minorEastAsia" w:hAnsiTheme="minorEastAsia"/>
          <w:color w:val="000000"/>
          <w:kern w:val="0"/>
          <w:sz w:val="28"/>
          <w:szCs w:val="28"/>
        </w:rPr>
        <w:t>指事业单位开展专业业务活动及辅助活动所取得的收入。</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经营收入</w:t>
      </w:r>
      <w:r>
        <w:rPr>
          <w:rFonts w:cs="黑体" w:asciiTheme="minorEastAsia" w:hAnsiTheme="minorEastAsia"/>
          <w:color w:val="000000"/>
          <w:kern w:val="0"/>
          <w:sz w:val="28"/>
          <w:szCs w:val="28"/>
        </w:rPr>
        <w:t>：指事业单位在专业业务活动及其辅助活动之外开展非独立核算经营活动取得的收入。</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附属单位上缴收入：</w:t>
      </w:r>
      <w:r>
        <w:rPr>
          <w:rFonts w:cs="黑体" w:asciiTheme="minorEastAsia" w:hAnsiTheme="minorEastAsia"/>
          <w:color w:val="000000"/>
          <w:kern w:val="0"/>
          <w:sz w:val="28"/>
          <w:szCs w:val="28"/>
        </w:rPr>
        <w:t>指事业单位附属独立核算单位按照有关规定上缴的收入。</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其他收入：</w:t>
      </w:r>
      <w:r>
        <w:rPr>
          <w:rFonts w:cs="黑体" w:asciiTheme="minorEastAsia" w:hAnsiTheme="minorEastAsia"/>
          <w:color w:val="000000"/>
          <w:kern w:val="0"/>
          <w:sz w:val="28"/>
          <w:szCs w:val="28"/>
        </w:rPr>
        <w:t>指除上述“财政拨款收入”、“事业收入”、“经营收入”等以外的收入。</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用事业基金弥补收支差额：</w:t>
      </w:r>
      <w:r>
        <w:rPr>
          <w:rFonts w:cs="黑体" w:asciiTheme="minorEastAsia" w:hAnsiTheme="minorEastAsia"/>
          <w:color w:val="000000"/>
          <w:kern w:val="0"/>
          <w:sz w:val="28"/>
          <w:szCs w:val="28"/>
        </w:rPr>
        <w:t>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年初结转和结余：</w:t>
      </w:r>
      <w:r>
        <w:rPr>
          <w:rFonts w:cs="黑体" w:asciiTheme="minorEastAsia" w:hAnsiTheme="minorEastAsia"/>
          <w:color w:val="000000"/>
          <w:kern w:val="0"/>
          <w:sz w:val="28"/>
          <w:szCs w:val="28"/>
        </w:rPr>
        <w:t>指以前年度尚未完成、结转到本年按有关规定继续使用的资金。</w:t>
      </w:r>
      <w:r>
        <w:rPr>
          <w:rFonts w:cs="黑体" w:asciiTheme="minorEastAsia" w:hAnsiTheme="minorEastAsia"/>
          <w:color w:val="000000"/>
          <w:kern w:val="0"/>
          <w:sz w:val="28"/>
          <w:szCs w:val="28"/>
        </w:rPr>
        <w:br w:type="textWrapping"/>
      </w:r>
      <w:r>
        <w:rPr>
          <w:rFonts w:hint="eastAsia" w:cs="黑体" w:asciiTheme="minorEastAsia" w:hAnsiTheme="minorEastAsia"/>
          <w:color w:val="000000"/>
          <w:kern w:val="0"/>
          <w:sz w:val="28"/>
          <w:szCs w:val="28"/>
        </w:rPr>
        <w:t xml:space="preserve">    </w:t>
      </w:r>
      <w:r>
        <w:rPr>
          <w:rFonts w:cs="黑体" w:asciiTheme="minorEastAsia" w:hAnsiTheme="minorEastAsia"/>
          <w:b/>
          <w:color w:val="000000"/>
          <w:kern w:val="0"/>
          <w:sz w:val="28"/>
          <w:szCs w:val="28"/>
        </w:rPr>
        <w:t>结余分配：</w:t>
      </w:r>
      <w:r>
        <w:rPr>
          <w:rFonts w:cs="黑体" w:asciiTheme="minorEastAsia" w:hAnsiTheme="minorEastAsia"/>
          <w:color w:val="000000"/>
          <w:kern w:val="0"/>
          <w:sz w:val="28"/>
          <w:szCs w:val="28"/>
        </w:rPr>
        <w:t>指事业事位按规定从非财政补助结余中分配的事业基金和职工福利基金等。</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年末结转和结余：</w:t>
      </w:r>
      <w:r>
        <w:rPr>
          <w:rFonts w:cs="黑体" w:asciiTheme="minorEastAsia" w:hAnsiTheme="minorEastAsia"/>
          <w:color w:val="000000"/>
          <w:kern w:val="0"/>
          <w:sz w:val="28"/>
          <w:szCs w:val="28"/>
        </w:rPr>
        <w:t>指本年度或以前年度预算安排、因客观条件发生变化无法按原计划实施，需要延迟到以后年度按有关规定继续使用的资金。</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基本支出：</w:t>
      </w:r>
      <w:r>
        <w:rPr>
          <w:rFonts w:cs="黑体" w:asciiTheme="minorEastAsia" w:hAnsiTheme="minorEastAsia"/>
          <w:color w:val="000000"/>
          <w:kern w:val="0"/>
          <w:sz w:val="28"/>
          <w:szCs w:val="28"/>
        </w:rPr>
        <w:t>指为保障机构正常运转、完成日常工作任务而发生的人员支出和公用支出。</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项目支出：</w:t>
      </w:r>
      <w:r>
        <w:rPr>
          <w:rFonts w:cs="黑体" w:asciiTheme="minorEastAsia" w:hAnsiTheme="minorEastAsia"/>
          <w:color w:val="000000"/>
          <w:kern w:val="0"/>
          <w:sz w:val="28"/>
          <w:szCs w:val="28"/>
        </w:rPr>
        <w:t>指在基本支出之外为完成特定行政任务和事业发展目标所发生的支出。</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经营支出：</w:t>
      </w:r>
      <w:r>
        <w:rPr>
          <w:rFonts w:cs="黑体" w:asciiTheme="minorEastAsia" w:hAnsiTheme="minorEastAsia"/>
          <w:color w:val="000000"/>
          <w:kern w:val="0"/>
          <w:sz w:val="28"/>
          <w:szCs w:val="28"/>
        </w:rPr>
        <w:t>指事业单位在专业业务活动及其辅助活动之外开展非独立核算经营活动所发生的支出。</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“三公”经费：</w:t>
      </w:r>
      <w:r>
        <w:rPr>
          <w:rFonts w:cs="黑体" w:asciiTheme="minorEastAsia" w:hAnsiTheme="minorEastAsia"/>
          <w:color w:val="000000"/>
          <w:kern w:val="0"/>
          <w:sz w:val="28"/>
          <w:szCs w:val="28"/>
        </w:rPr>
        <w:t>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pPr>
        <w:widowControl/>
        <w:ind w:firstLine="560" w:firstLineChars="200"/>
        <w:jc w:val="left"/>
        <w:rPr>
          <w:rFonts w:cs="黑体" w:asciiTheme="minorEastAsia" w:hAnsiTheme="minorEastAsia"/>
          <w:color w:val="000000"/>
          <w:kern w:val="0"/>
          <w:sz w:val="28"/>
          <w:szCs w:val="28"/>
        </w:rPr>
      </w:pPr>
      <w:r>
        <w:rPr>
          <w:rFonts w:cs="黑体" w:asciiTheme="minorEastAsia" w:hAnsiTheme="minorEastAsia"/>
          <w:b/>
          <w:color w:val="000000"/>
          <w:kern w:val="0"/>
          <w:sz w:val="28"/>
          <w:szCs w:val="28"/>
        </w:rPr>
        <w:t>机关运行经费：</w:t>
      </w:r>
      <w:r>
        <w:rPr>
          <w:rFonts w:cs="黑体" w:asciiTheme="minorEastAsia" w:hAnsiTheme="minorEastAsia"/>
          <w:color w:val="000000"/>
          <w:kern w:val="0"/>
          <w:sz w:val="28"/>
          <w:szCs w:val="28"/>
        </w:rPr>
        <w:t>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
    <w:p>
      <w:pPr>
        <w:pStyle w:val="24"/>
        <w:jc w:val="center"/>
        <w:rPr>
          <w:sz w:val="28"/>
          <w:szCs w:val="28"/>
        </w:rPr>
      </w:pPr>
    </w:p>
    <w:p>
      <w:pPr>
        <w:pStyle w:val="24"/>
        <w:jc w:val="center"/>
        <w:rPr>
          <w:sz w:val="28"/>
          <w:szCs w:val="28"/>
        </w:rPr>
      </w:pPr>
    </w:p>
    <w:p>
      <w:pPr>
        <w:pStyle w:val="24"/>
        <w:jc w:val="center"/>
        <w:rPr>
          <w:sz w:val="28"/>
          <w:szCs w:val="28"/>
        </w:rPr>
      </w:pPr>
    </w:p>
    <w:p>
      <w:pPr>
        <w:pStyle w:val="24"/>
        <w:jc w:val="center"/>
        <w:rPr>
          <w:sz w:val="28"/>
          <w:szCs w:val="28"/>
        </w:rPr>
      </w:pPr>
    </w:p>
    <w:p>
      <w:pPr>
        <w:pStyle w:val="24"/>
        <w:jc w:val="center"/>
        <w:rPr>
          <w:rFonts w:hint="eastAsia"/>
          <w:sz w:val="28"/>
          <w:szCs w:val="28"/>
        </w:rPr>
      </w:pPr>
    </w:p>
    <w:p>
      <w:pPr>
        <w:pStyle w:val="24"/>
        <w:jc w:val="center"/>
        <w:rPr>
          <w:rFonts w:hint="eastAsia"/>
          <w:sz w:val="28"/>
          <w:szCs w:val="28"/>
        </w:rPr>
      </w:pPr>
    </w:p>
    <w:p>
      <w:pPr>
        <w:pStyle w:val="24"/>
        <w:jc w:val="center"/>
        <w:rPr>
          <w:sz w:val="28"/>
          <w:szCs w:val="28"/>
        </w:rPr>
      </w:pPr>
    </w:p>
    <w:p>
      <w:pPr>
        <w:pStyle w:val="24"/>
        <w:jc w:val="center"/>
        <w:rPr>
          <w:sz w:val="28"/>
          <w:szCs w:val="28"/>
        </w:rPr>
      </w:pPr>
    </w:p>
    <w:p>
      <w:pPr>
        <w:pStyle w:val="24"/>
        <w:jc w:val="center"/>
        <w:rPr>
          <w:b/>
          <w:sz w:val="72"/>
          <w:szCs w:val="72"/>
        </w:rPr>
      </w:pPr>
      <w:r>
        <w:rPr>
          <w:rFonts w:hint="eastAsia"/>
          <w:b/>
          <w:sz w:val="72"/>
          <w:szCs w:val="72"/>
        </w:rPr>
        <w:t>第五部分</w:t>
      </w:r>
    </w:p>
    <w:p>
      <w:pPr>
        <w:jc w:val="center"/>
        <w:rPr>
          <w:rFonts w:ascii="黑体" w:eastAsia="黑体" w:cs="黑体"/>
          <w:b/>
          <w:color w:val="000000"/>
          <w:kern w:val="0"/>
          <w:sz w:val="72"/>
          <w:szCs w:val="72"/>
        </w:rPr>
      </w:pPr>
    </w:p>
    <w:p>
      <w:pPr>
        <w:jc w:val="center"/>
        <w:rPr>
          <w:rFonts w:ascii="黑体" w:eastAsia="黑体" w:cs="黑体"/>
          <w:b/>
          <w:color w:val="000000"/>
          <w:kern w:val="0"/>
          <w:sz w:val="72"/>
          <w:szCs w:val="72"/>
        </w:rPr>
      </w:pPr>
      <w:r>
        <w:rPr>
          <w:rFonts w:hint="eastAsia" w:ascii="黑体" w:eastAsia="黑体" w:cs="黑体"/>
          <w:b/>
          <w:color w:val="000000"/>
          <w:kern w:val="0"/>
          <w:sz w:val="72"/>
          <w:szCs w:val="72"/>
        </w:rPr>
        <w:t>附  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hAnsi="黑体" w:eastAsia="黑体" w:cs="黑体"/>
          <w:color w:val="000000"/>
          <w:kern w:val="0"/>
          <w:sz w:val="48"/>
          <w:szCs w:val="48"/>
        </w:rPr>
      </w:pPr>
      <w:r>
        <w:rPr>
          <w:rFonts w:hint="eastAsia" w:ascii="黑体" w:hAnsi="黑体" w:eastAsia="黑体" w:cs="黑体"/>
          <w:color w:val="000000"/>
          <w:kern w:val="0"/>
          <w:sz w:val="48"/>
          <w:szCs w:val="48"/>
        </w:rPr>
        <w:t>湘乡市林业局2021年度部门整体支出</w:t>
      </w:r>
    </w:p>
    <w:p>
      <w:pPr>
        <w:jc w:val="center"/>
        <w:rPr>
          <w:rFonts w:ascii="黑体" w:hAnsi="黑体" w:eastAsia="黑体" w:cs="黑体"/>
          <w:color w:val="000000"/>
          <w:kern w:val="0"/>
          <w:sz w:val="48"/>
          <w:szCs w:val="48"/>
        </w:rPr>
      </w:pPr>
      <w:r>
        <w:rPr>
          <w:rFonts w:hint="eastAsia" w:ascii="黑体" w:hAnsi="黑体" w:eastAsia="黑体" w:cs="黑体"/>
          <w:color w:val="000000"/>
          <w:kern w:val="0"/>
          <w:sz w:val="48"/>
          <w:szCs w:val="48"/>
        </w:rPr>
        <w:t>绩效评价报告</w:t>
      </w:r>
    </w:p>
    <w:p>
      <w:pPr>
        <w:spacing w:line="600" w:lineRule="exact"/>
        <w:ind w:firstLine="600" w:firstLineChars="200"/>
        <w:rPr>
          <w:rFonts w:ascii="宋体" w:hAnsi="宋体" w:cs="仿宋"/>
          <w:sz w:val="30"/>
          <w:szCs w:val="30"/>
        </w:rPr>
      </w:pPr>
    </w:p>
    <w:p>
      <w:pPr>
        <w:spacing w:line="580" w:lineRule="exact"/>
        <w:ind w:firstLine="560" w:firstLineChars="200"/>
        <w:rPr>
          <w:rFonts w:ascii="宋体" w:hAnsi="宋体" w:cs="仿宋"/>
          <w:sz w:val="28"/>
          <w:szCs w:val="28"/>
        </w:rPr>
      </w:pPr>
      <w:r>
        <w:rPr>
          <w:rFonts w:hint="eastAsia" w:ascii="宋体" w:hAnsi="宋体" w:cs="仿宋"/>
          <w:sz w:val="28"/>
          <w:szCs w:val="28"/>
        </w:rPr>
        <w:t>为切实做好2021年度部门整体支出绩效自评工作，提高财政资金使用效益，根据《中共湖南省委办公厅、湖南省人民政府办公厅关于全面实施预算绩效管理的意见》（湘办发</w:t>
      </w:r>
      <w:r>
        <w:rPr>
          <w:rFonts w:ascii="宋体" w:hAnsi="宋体" w:cs="仿宋"/>
          <w:sz w:val="28"/>
          <w:szCs w:val="28"/>
        </w:rPr>
        <w:t>〔2019〕</w:t>
      </w:r>
      <w:r>
        <w:rPr>
          <w:rFonts w:hint="eastAsia" w:ascii="宋体" w:hAnsi="宋体" w:cs="仿宋"/>
          <w:sz w:val="28"/>
          <w:szCs w:val="28"/>
        </w:rPr>
        <w:t>10号）、《湘潭市财政局关于全面实施预算绩效管理的实施方案》（潭财绩</w:t>
      </w:r>
      <w:r>
        <w:rPr>
          <w:rFonts w:ascii="宋体" w:hAnsi="宋体" w:cs="仿宋"/>
          <w:sz w:val="28"/>
          <w:szCs w:val="28"/>
        </w:rPr>
        <w:t>〔2019〕</w:t>
      </w:r>
      <w:r>
        <w:rPr>
          <w:rFonts w:hint="eastAsia" w:ascii="宋体" w:hAnsi="宋体" w:cs="仿宋"/>
          <w:sz w:val="28"/>
          <w:szCs w:val="28"/>
        </w:rPr>
        <w:t>9号）、《湘乡市预算绩效管理协同联动实施方案》（湘乡财联</w:t>
      </w:r>
      <w:r>
        <w:rPr>
          <w:rFonts w:ascii="宋体" w:hAnsi="宋体" w:cs="仿宋"/>
          <w:sz w:val="28"/>
          <w:szCs w:val="28"/>
        </w:rPr>
        <w:t>〔2020〕</w:t>
      </w:r>
      <w:r>
        <w:rPr>
          <w:rFonts w:hint="eastAsia" w:ascii="宋体" w:hAnsi="宋体" w:cs="仿宋"/>
          <w:sz w:val="28"/>
          <w:szCs w:val="28"/>
        </w:rPr>
        <w:t>7</w:t>
      </w:r>
      <w:r>
        <w:rPr>
          <w:rFonts w:ascii="宋体" w:hAnsi="宋体" w:cs="仿宋"/>
          <w:sz w:val="28"/>
          <w:szCs w:val="28"/>
        </w:rPr>
        <w:t>9</w:t>
      </w:r>
      <w:r>
        <w:rPr>
          <w:rFonts w:hint="eastAsia" w:ascii="宋体" w:hAnsi="宋体" w:cs="仿宋"/>
          <w:sz w:val="28"/>
          <w:szCs w:val="28"/>
        </w:rPr>
        <w:t>号）精神，按照湘乡财绩〔202</w:t>
      </w:r>
      <w:r>
        <w:rPr>
          <w:rFonts w:ascii="宋体" w:hAnsi="宋体" w:cs="仿宋"/>
          <w:sz w:val="28"/>
          <w:szCs w:val="28"/>
        </w:rPr>
        <w:t>2</w:t>
      </w:r>
      <w:r>
        <w:rPr>
          <w:rFonts w:hint="eastAsia" w:ascii="宋体" w:hAnsi="宋体" w:cs="仿宋"/>
          <w:sz w:val="28"/>
          <w:szCs w:val="28"/>
        </w:rPr>
        <w:t>〕1号、</w:t>
      </w:r>
      <w:bookmarkStart w:id="2" w:name="_Hlk38979492"/>
      <w:r>
        <w:rPr>
          <w:rFonts w:hint="eastAsia" w:ascii="宋体" w:hAnsi="宋体" w:cs="仿宋"/>
          <w:sz w:val="28"/>
          <w:szCs w:val="28"/>
        </w:rPr>
        <w:t>湘乡财绩〔202</w:t>
      </w:r>
      <w:r>
        <w:rPr>
          <w:rFonts w:ascii="宋体" w:hAnsi="宋体" w:cs="仿宋"/>
          <w:sz w:val="28"/>
          <w:szCs w:val="28"/>
        </w:rPr>
        <w:t>2</w:t>
      </w:r>
      <w:r>
        <w:rPr>
          <w:rFonts w:hint="eastAsia" w:ascii="宋体" w:hAnsi="宋体" w:cs="仿宋"/>
          <w:sz w:val="28"/>
          <w:szCs w:val="28"/>
        </w:rPr>
        <w:t>〕2号</w:t>
      </w:r>
      <w:bookmarkEnd w:id="2"/>
      <w:r>
        <w:rPr>
          <w:rFonts w:hint="eastAsia" w:ascii="宋体" w:hAnsi="宋体" w:cs="仿宋"/>
          <w:sz w:val="28"/>
          <w:szCs w:val="28"/>
        </w:rPr>
        <w:t>、湘乡财绩〔202</w:t>
      </w:r>
      <w:r>
        <w:rPr>
          <w:rFonts w:ascii="宋体" w:hAnsi="宋体" w:cs="仿宋"/>
          <w:sz w:val="28"/>
          <w:szCs w:val="28"/>
        </w:rPr>
        <w:t>2</w:t>
      </w:r>
      <w:r>
        <w:rPr>
          <w:rFonts w:hint="eastAsia" w:ascii="宋体" w:hAnsi="宋体" w:cs="仿宋"/>
          <w:sz w:val="28"/>
          <w:szCs w:val="28"/>
        </w:rPr>
        <w:t>〕3号等文件要求，结合本单位实际，组织人员对20</w:t>
      </w:r>
      <w:r>
        <w:rPr>
          <w:rFonts w:ascii="宋体" w:hAnsi="宋体" w:cs="仿宋"/>
          <w:sz w:val="28"/>
          <w:szCs w:val="28"/>
        </w:rPr>
        <w:t>21</w:t>
      </w:r>
      <w:r>
        <w:rPr>
          <w:rFonts w:hint="eastAsia" w:ascii="宋体" w:hAnsi="宋体" w:cs="仿宋"/>
          <w:sz w:val="28"/>
          <w:szCs w:val="28"/>
        </w:rPr>
        <w:t>年的单位整体支出情况、整体支出绩效情况进行了自查、自评，并对照单位整体支出绩效评价指标进行了评分。现将自评结果报告如下：</w:t>
      </w:r>
    </w:p>
    <w:p>
      <w:pPr>
        <w:pStyle w:val="2"/>
        <w:ind w:left="420" w:right="420"/>
        <w:jc w:val="both"/>
        <w:rPr>
          <w:rFonts w:hint="default"/>
          <w:sz w:val="28"/>
          <w:szCs w:val="28"/>
        </w:rPr>
      </w:pPr>
      <w:r>
        <w:rPr>
          <w:sz w:val="28"/>
          <w:szCs w:val="28"/>
        </w:rPr>
        <w:t>一、单位基本情况</w:t>
      </w:r>
    </w:p>
    <w:p>
      <w:pPr>
        <w:pStyle w:val="3"/>
        <w:ind w:left="420" w:right="420"/>
        <w:jc w:val="both"/>
        <w:rPr>
          <w:rFonts w:hint="default"/>
          <w:sz w:val="28"/>
          <w:szCs w:val="28"/>
        </w:rPr>
      </w:pPr>
      <w:r>
        <w:rPr>
          <w:sz w:val="28"/>
          <w:szCs w:val="28"/>
        </w:rPr>
        <w:t>（一）主要职能</w:t>
      </w:r>
    </w:p>
    <w:p>
      <w:pPr>
        <w:spacing w:line="580" w:lineRule="exact"/>
        <w:ind w:firstLine="560" w:firstLineChars="200"/>
        <w:rPr>
          <w:rFonts w:ascii="宋体" w:hAnsi="宋体" w:cs="仿宋"/>
          <w:sz w:val="28"/>
          <w:szCs w:val="28"/>
        </w:rPr>
      </w:pPr>
      <w:r>
        <w:rPr>
          <w:rFonts w:hint="eastAsia" w:ascii="宋体" w:hAnsi="宋体" w:cs="仿宋"/>
          <w:sz w:val="28"/>
          <w:szCs w:val="28"/>
        </w:rPr>
        <w:t>20</w:t>
      </w:r>
      <w:r>
        <w:rPr>
          <w:rFonts w:ascii="宋体" w:hAnsi="宋体" w:cs="仿宋"/>
          <w:sz w:val="28"/>
          <w:szCs w:val="28"/>
        </w:rPr>
        <w:t>19</w:t>
      </w:r>
      <w:r>
        <w:rPr>
          <w:rFonts w:hint="eastAsia" w:ascii="宋体" w:hAnsi="宋体" w:cs="仿宋"/>
          <w:sz w:val="28"/>
          <w:szCs w:val="28"/>
        </w:rPr>
        <w:t>年，湘乡市机构编制委员会对湘乡市林业局的职能配置、内设机构、人员编制进行了重新核定，明确的主要职责有16项（详见湘党办〔2019〕35号文件）。</w:t>
      </w:r>
    </w:p>
    <w:p>
      <w:pPr>
        <w:pStyle w:val="3"/>
        <w:ind w:left="420" w:right="420"/>
        <w:jc w:val="both"/>
        <w:rPr>
          <w:rFonts w:hint="default"/>
          <w:sz w:val="28"/>
          <w:szCs w:val="28"/>
        </w:rPr>
      </w:pPr>
      <w:r>
        <w:rPr>
          <w:sz w:val="28"/>
          <w:szCs w:val="28"/>
        </w:rPr>
        <w:t>（二）机构设置、在职人员情况</w:t>
      </w:r>
    </w:p>
    <w:p>
      <w:pPr>
        <w:spacing w:line="580" w:lineRule="exact"/>
        <w:ind w:firstLine="560" w:firstLineChars="200"/>
        <w:rPr>
          <w:rFonts w:ascii="宋体" w:hAnsi="宋体" w:cs="仿宋"/>
          <w:sz w:val="28"/>
          <w:szCs w:val="28"/>
        </w:rPr>
      </w:pPr>
      <w:r>
        <w:rPr>
          <w:rFonts w:hint="eastAsia" w:ascii="宋体" w:hAnsi="宋体" w:cs="仿宋"/>
          <w:sz w:val="28"/>
          <w:szCs w:val="28"/>
        </w:rPr>
        <w:t>我单位机构和人员编制按湘党办〔2019〕35号、湘机编办〔2020〕21号、湘机编办〔202</w:t>
      </w:r>
      <w:r>
        <w:rPr>
          <w:rFonts w:ascii="宋体" w:hAnsi="宋体" w:cs="仿宋"/>
          <w:sz w:val="28"/>
          <w:szCs w:val="28"/>
        </w:rPr>
        <w:t>2</w:t>
      </w:r>
      <w:r>
        <w:rPr>
          <w:rFonts w:hint="eastAsia" w:ascii="宋体" w:hAnsi="宋体" w:cs="仿宋"/>
          <w:sz w:val="28"/>
          <w:szCs w:val="28"/>
        </w:rPr>
        <w:t>〕</w:t>
      </w:r>
      <w:r>
        <w:rPr>
          <w:rFonts w:ascii="宋体" w:hAnsi="宋体" w:cs="仿宋"/>
          <w:sz w:val="28"/>
          <w:szCs w:val="28"/>
        </w:rPr>
        <w:t>5</w:t>
      </w:r>
      <w:r>
        <w:rPr>
          <w:rFonts w:hint="eastAsia" w:ascii="宋体" w:hAnsi="宋体" w:cs="仿宋"/>
          <w:sz w:val="28"/>
          <w:szCs w:val="28"/>
        </w:rPr>
        <w:t>号文件报告。</w:t>
      </w:r>
      <w:bookmarkStart w:id="3" w:name="_Hlk38782150"/>
      <w:r>
        <w:rPr>
          <w:rFonts w:hint="eastAsia" w:ascii="宋体" w:hAnsi="宋体" w:cs="仿宋"/>
          <w:sz w:val="28"/>
          <w:szCs w:val="28"/>
        </w:rPr>
        <w:t>中共湘乡市委办公室、湘乡市人民政府办公室（湘党办〔2019〕35号）</w:t>
      </w:r>
      <w:bookmarkEnd w:id="3"/>
      <w:r>
        <w:rPr>
          <w:rFonts w:hint="eastAsia" w:ascii="宋体" w:hAnsi="宋体" w:cs="仿宋"/>
          <w:sz w:val="28"/>
          <w:szCs w:val="28"/>
        </w:rPr>
        <w:t>核定湘乡市林业局设立6个内设机构，核定局机关编制11名；中共湘乡市委机构编制委员会办公室（湘机编办〔2020〕21号）核定我局所属事业单位（不含国有林业场所）事业编制29名；中共湘乡市委机构编制委员会办公室（湘机编办〔202</w:t>
      </w:r>
      <w:r>
        <w:rPr>
          <w:rFonts w:ascii="宋体" w:hAnsi="宋体" w:cs="仿宋"/>
          <w:sz w:val="28"/>
          <w:szCs w:val="28"/>
        </w:rPr>
        <w:t>2</w:t>
      </w:r>
      <w:r>
        <w:rPr>
          <w:rFonts w:hint="eastAsia" w:ascii="宋体" w:hAnsi="宋体" w:cs="仿宋"/>
          <w:sz w:val="28"/>
          <w:szCs w:val="28"/>
        </w:rPr>
        <w:t>〕</w:t>
      </w:r>
      <w:r>
        <w:rPr>
          <w:rFonts w:ascii="宋体" w:hAnsi="宋体" w:cs="仿宋"/>
          <w:sz w:val="28"/>
          <w:szCs w:val="28"/>
        </w:rPr>
        <w:t>5</w:t>
      </w:r>
      <w:r>
        <w:rPr>
          <w:rFonts w:hint="eastAsia" w:ascii="宋体" w:hAnsi="宋体" w:cs="仿宋"/>
          <w:sz w:val="28"/>
          <w:szCs w:val="28"/>
        </w:rPr>
        <w:t>号）核定我局所属事业单位（不含国有林业场所）事业编制3名。人员编制共43名。20</w:t>
      </w:r>
      <w:r>
        <w:rPr>
          <w:rFonts w:ascii="宋体" w:hAnsi="宋体" w:cs="仿宋"/>
          <w:sz w:val="28"/>
          <w:szCs w:val="28"/>
        </w:rPr>
        <w:t>21</w:t>
      </w:r>
      <w:r>
        <w:rPr>
          <w:rFonts w:hint="eastAsia" w:ascii="宋体" w:hAnsi="宋体" w:cs="仿宋"/>
          <w:sz w:val="28"/>
          <w:szCs w:val="28"/>
        </w:rPr>
        <w:t>年末，实有在职人员</w:t>
      </w:r>
      <w:r>
        <w:rPr>
          <w:rFonts w:ascii="宋体" w:hAnsi="宋体" w:cs="仿宋"/>
          <w:sz w:val="28"/>
          <w:szCs w:val="28"/>
        </w:rPr>
        <w:t>55</w:t>
      </w:r>
      <w:r>
        <w:rPr>
          <w:rFonts w:hint="eastAsia" w:ascii="宋体" w:hAnsi="宋体" w:cs="仿宋"/>
          <w:sz w:val="28"/>
          <w:szCs w:val="28"/>
        </w:rPr>
        <w:t>人。</w:t>
      </w:r>
    </w:p>
    <w:p>
      <w:pPr>
        <w:pStyle w:val="2"/>
        <w:ind w:left="420" w:right="420"/>
        <w:jc w:val="both"/>
        <w:rPr>
          <w:rFonts w:hint="default"/>
          <w:sz w:val="28"/>
          <w:szCs w:val="28"/>
        </w:rPr>
      </w:pPr>
      <w:r>
        <w:rPr>
          <w:sz w:val="28"/>
          <w:szCs w:val="28"/>
        </w:rPr>
        <w:t>二、一般公共预算支出情况</w:t>
      </w:r>
    </w:p>
    <w:p>
      <w:pPr>
        <w:pStyle w:val="3"/>
        <w:ind w:left="420" w:right="420"/>
        <w:jc w:val="both"/>
        <w:rPr>
          <w:rFonts w:hint="default"/>
          <w:sz w:val="28"/>
          <w:szCs w:val="28"/>
        </w:rPr>
      </w:pPr>
      <w:r>
        <w:rPr>
          <w:sz w:val="28"/>
          <w:szCs w:val="28"/>
        </w:rPr>
        <w:t>（一）预算规模</w:t>
      </w:r>
    </w:p>
    <w:p>
      <w:pPr>
        <w:pStyle w:val="43"/>
        <w:ind w:left="420" w:right="420"/>
        <w:rPr>
          <w:rFonts w:ascii="宋体" w:hAnsi="宋体"/>
          <w:sz w:val="28"/>
          <w:szCs w:val="28"/>
        </w:rPr>
      </w:pPr>
      <w:r>
        <w:rPr>
          <w:rFonts w:hint="eastAsia" w:ascii="宋体" w:hAnsi="宋体"/>
          <w:sz w:val="28"/>
          <w:szCs w:val="28"/>
        </w:rPr>
        <w:t>1.预算资金情况</w:t>
      </w:r>
    </w:p>
    <w:p>
      <w:pPr>
        <w:pStyle w:val="14"/>
        <w:ind w:left="420" w:right="420"/>
        <w:jc w:val="both"/>
        <w:rPr>
          <w:rFonts w:ascii="宋体" w:hAnsi="宋体"/>
          <w:b w:val="0"/>
          <w:sz w:val="28"/>
          <w:szCs w:val="28"/>
        </w:rPr>
      </w:pPr>
      <w:r>
        <w:rPr>
          <w:rFonts w:hint="eastAsia" w:ascii="宋体" w:hAnsi="宋体"/>
          <w:b w:val="0"/>
          <w:sz w:val="28"/>
          <w:szCs w:val="28"/>
        </w:rPr>
        <w:t>（1）年初收支预算情况</w:t>
      </w:r>
    </w:p>
    <w:p>
      <w:pPr>
        <w:spacing w:line="580" w:lineRule="exact"/>
        <w:ind w:firstLine="560" w:firstLineChars="200"/>
        <w:rPr>
          <w:rFonts w:ascii="宋体" w:hAnsi="宋体"/>
          <w:sz w:val="28"/>
          <w:szCs w:val="28"/>
        </w:rPr>
      </w:pPr>
      <w:r>
        <w:rPr>
          <w:rFonts w:hint="eastAsia" w:ascii="宋体" w:hAnsi="宋体"/>
          <w:sz w:val="28"/>
          <w:szCs w:val="28"/>
        </w:rPr>
        <w:t>根据湘乡市财政局《关于批复2</w:t>
      </w:r>
      <w:r>
        <w:rPr>
          <w:rFonts w:ascii="宋体" w:hAnsi="宋体"/>
          <w:sz w:val="28"/>
          <w:szCs w:val="28"/>
        </w:rPr>
        <w:t>021</w:t>
      </w:r>
      <w:r>
        <w:rPr>
          <w:rFonts w:hint="eastAsia" w:ascii="宋体" w:hAnsi="宋体"/>
          <w:sz w:val="28"/>
          <w:szCs w:val="28"/>
        </w:rPr>
        <w:t>年部门预算的通知》（湘乡财预[</w:t>
      </w:r>
      <w:r>
        <w:rPr>
          <w:rFonts w:ascii="宋体" w:hAnsi="宋体"/>
          <w:sz w:val="28"/>
          <w:szCs w:val="28"/>
        </w:rPr>
        <w:t>2021]1</w:t>
      </w:r>
      <w:r>
        <w:rPr>
          <w:rFonts w:hint="eastAsia" w:ascii="宋体" w:hAnsi="宋体"/>
          <w:sz w:val="28"/>
          <w:szCs w:val="28"/>
        </w:rPr>
        <w:t>号）文件，我单位2</w:t>
      </w:r>
      <w:r>
        <w:rPr>
          <w:rFonts w:ascii="宋体" w:hAnsi="宋体"/>
          <w:sz w:val="28"/>
          <w:szCs w:val="28"/>
        </w:rPr>
        <w:t>021</w:t>
      </w:r>
      <w:r>
        <w:rPr>
          <w:rFonts w:hint="eastAsia" w:ascii="宋体" w:hAnsi="宋体"/>
          <w:sz w:val="28"/>
          <w:szCs w:val="28"/>
        </w:rPr>
        <w:t>年预算收支情况如下：</w:t>
      </w: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80"/>
        <w:gridCol w:w="2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80" w:type="dxa"/>
            <w:shd w:val="clear" w:color="auto" w:fill="auto"/>
            <w:vAlign w:val="center"/>
          </w:tcPr>
          <w:p>
            <w:pPr>
              <w:pStyle w:val="43"/>
              <w:keepNext w:val="0"/>
              <w:keepLines w:val="0"/>
              <w:spacing w:line="380" w:lineRule="exact"/>
              <w:ind w:left="420" w:right="420"/>
              <w:jc w:val="center"/>
              <w:rPr>
                <w:rFonts w:ascii="宋体" w:hAnsi="宋体"/>
                <w:b w:val="0"/>
                <w:sz w:val="24"/>
                <w:szCs w:val="24"/>
              </w:rPr>
            </w:pPr>
            <w:r>
              <w:rPr>
                <w:rFonts w:hint="eastAsia" w:ascii="宋体" w:hAnsi="宋体"/>
                <w:b w:val="0"/>
                <w:sz w:val="24"/>
                <w:szCs w:val="24"/>
              </w:rPr>
              <w:t>预算项目</w:t>
            </w:r>
          </w:p>
        </w:tc>
        <w:tc>
          <w:tcPr>
            <w:tcW w:w="2342" w:type="dxa"/>
            <w:shd w:val="clear" w:color="auto" w:fill="auto"/>
            <w:vAlign w:val="center"/>
          </w:tcPr>
          <w:p>
            <w:pPr>
              <w:spacing w:line="380" w:lineRule="exact"/>
              <w:jc w:val="center"/>
              <w:rPr>
                <w:sz w:val="24"/>
                <w:szCs w:val="24"/>
              </w:rPr>
            </w:pPr>
            <w:r>
              <w:rPr>
                <w:rFonts w:hint="eastAsia"/>
                <w:sz w:val="24"/>
                <w:szCs w:val="24"/>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80" w:type="dxa"/>
            <w:shd w:val="clear" w:color="auto" w:fill="auto"/>
            <w:vAlign w:val="center"/>
          </w:tcPr>
          <w:p>
            <w:pPr>
              <w:pStyle w:val="43"/>
              <w:keepNext w:val="0"/>
              <w:keepLines w:val="0"/>
              <w:spacing w:line="380" w:lineRule="exact"/>
              <w:ind w:left="420" w:right="420"/>
              <w:jc w:val="left"/>
              <w:rPr>
                <w:rFonts w:ascii="宋体" w:hAnsi="宋体"/>
                <w:b w:val="0"/>
                <w:sz w:val="24"/>
                <w:szCs w:val="24"/>
              </w:rPr>
            </w:pPr>
            <w:r>
              <w:rPr>
                <w:rFonts w:hint="eastAsia" w:ascii="宋体" w:hAnsi="宋体"/>
                <w:b w:val="0"/>
                <w:sz w:val="24"/>
                <w:szCs w:val="24"/>
              </w:rPr>
              <w:t>一、公共财政拨款</w:t>
            </w:r>
          </w:p>
        </w:tc>
        <w:tc>
          <w:tcPr>
            <w:tcW w:w="2342"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 xml:space="preserve"> 1</w:t>
            </w:r>
            <w:r>
              <w:rPr>
                <w:rFonts w:ascii="宋体" w:hAnsi="宋体"/>
                <w:sz w:val="24"/>
                <w:szCs w:val="24"/>
              </w:rPr>
              <w:t>1984916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80" w:type="dxa"/>
            <w:shd w:val="clear" w:color="auto" w:fill="auto"/>
            <w:vAlign w:val="center"/>
          </w:tcPr>
          <w:p>
            <w:pPr>
              <w:pStyle w:val="43"/>
              <w:keepNext w:val="0"/>
              <w:keepLines w:val="0"/>
              <w:spacing w:line="380" w:lineRule="exact"/>
              <w:ind w:left="420" w:right="420"/>
              <w:jc w:val="left"/>
              <w:rPr>
                <w:rFonts w:ascii="宋体" w:hAnsi="宋体"/>
                <w:b w:val="0"/>
                <w:sz w:val="24"/>
                <w:szCs w:val="24"/>
              </w:rPr>
            </w:pPr>
            <w:r>
              <w:rPr>
                <w:rFonts w:ascii="宋体" w:hAnsi="宋体"/>
                <w:b w:val="0"/>
                <w:sz w:val="24"/>
                <w:szCs w:val="24"/>
              </w:rPr>
              <w:t>1.</w:t>
            </w:r>
            <w:r>
              <w:rPr>
                <w:rFonts w:hint="eastAsia" w:ascii="宋体" w:hAnsi="宋体"/>
                <w:b w:val="0"/>
                <w:sz w:val="24"/>
                <w:szCs w:val="24"/>
              </w:rPr>
              <w:t>经费拨款</w:t>
            </w:r>
          </w:p>
        </w:tc>
        <w:tc>
          <w:tcPr>
            <w:tcW w:w="2342"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 xml:space="preserve"> 9</w:t>
            </w:r>
            <w:r>
              <w:rPr>
                <w:rFonts w:ascii="宋体" w:hAnsi="宋体"/>
                <w:sz w:val="24"/>
                <w:szCs w:val="24"/>
              </w:rPr>
              <w:t>404916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180" w:type="dxa"/>
            <w:shd w:val="clear" w:color="auto" w:fill="auto"/>
            <w:vAlign w:val="center"/>
          </w:tcPr>
          <w:p>
            <w:pPr>
              <w:pStyle w:val="43"/>
              <w:keepNext w:val="0"/>
              <w:keepLines w:val="0"/>
              <w:spacing w:line="380" w:lineRule="exact"/>
              <w:ind w:left="420" w:right="420"/>
              <w:jc w:val="left"/>
              <w:rPr>
                <w:rFonts w:ascii="宋体" w:hAnsi="宋体"/>
                <w:b w:val="0"/>
                <w:sz w:val="24"/>
                <w:szCs w:val="24"/>
              </w:rPr>
            </w:pPr>
            <w:r>
              <w:rPr>
                <w:rFonts w:ascii="宋体" w:hAnsi="宋体"/>
                <w:b w:val="0"/>
                <w:sz w:val="24"/>
                <w:szCs w:val="24"/>
              </w:rPr>
              <w:t>2.</w:t>
            </w:r>
            <w:r>
              <w:rPr>
                <w:rFonts w:hint="eastAsia" w:ascii="宋体" w:hAnsi="宋体"/>
                <w:b w:val="0"/>
                <w:sz w:val="24"/>
                <w:szCs w:val="24"/>
              </w:rPr>
              <w:t>纳入公共财政预算管理的非税收入安排的资金</w:t>
            </w:r>
          </w:p>
        </w:tc>
        <w:tc>
          <w:tcPr>
            <w:tcW w:w="2342"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2</w:t>
            </w:r>
            <w:r>
              <w:rPr>
                <w:rFonts w:ascii="宋体" w:hAnsi="宋体"/>
                <w:sz w:val="24"/>
                <w:szCs w:val="24"/>
              </w:rPr>
              <w:t>580000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80" w:type="dxa"/>
            <w:shd w:val="clear" w:color="auto" w:fill="auto"/>
            <w:vAlign w:val="center"/>
          </w:tcPr>
          <w:p>
            <w:pPr>
              <w:pStyle w:val="43"/>
              <w:keepNext w:val="0"/>
              <w:keepLines w:val="0"/>
              <w:spacing w:line="380" w:lineRule="exact"/>
              <w:ind w:left="420" w:right="420"/>
              <w:jc w:val="left"/>
              <w:rPr>
                <w:rFonts w:ascii="宋体" w:hAnsi="宋体"/>
                <w:b w:val="0"/>
                <w:sz w:val="24"/>
                <w:szCs w:val="24"/>
              </w:rPr>
            </w:pPr>
            <w:r>
              <w:rPr>
                <w:rFonts w:hint="eastAsia" w:ascii="宋体" w:hAnsi="宋体"/>
                <w:b w:val="0"/>
                <w:sz w:val="24"/>
                <w:szCs w:val="24"/>
              </w:rPr>
              <w:t>（1）专项收入安排的资金</w:t>
            </w:r>
          </w:p>
        </w:tc>
        <w:tc>
          <w:tcPr>
            <w:tcW w:w="2342"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2</w:t>
            </w:r>
            <w:r>
              <w:rPr>
                <w:rFonts w:ascii="宋体" w:hAnsi="宋体"/>
                <w:sz w:val="24"/>
                <w:szCs w:val="24"/>
              </w:rPr>
              <w:t>400000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80" w:type="dxa"/>
            <w:shd w:val="clear" w:color="auto" w:fill="auto"/>
            <w:vAlign w:val="center"/>
          </w:tcPr>
          <w:p>
            <w:pPr>
              <w:pStyle w:val="43"/>
              <w:keepNext w:val="0"/>
              <w:keepLines w:val="0"/>
              <w:spacing w:line="380" w:lineRule="exact"/>
              <w:ind w:left="420" w:right="420"/>
              <w:jc w:val="left"/>
              <w:rPr>
                <w:rFonts w:ascii="宋体" w:hAnsi="宋体"/>
                <w:b w:val="0"/>
                <w:sz w:val="24"/>
                <w:szCs w:val="24"/>
              </w:rPr>
            </w:pPr>
            <w:r>
              <w:rPr>
                <w:rFonts w:hint="eastAsia" w:ascii="宋体" w:hAnsi="宋体"/>
                <w:b w:val="0"/>
                <w:sz w:val="24"/>
                <w:szCs w:val="24"/>
              </w:rPr>
              <w:t>（2）罚没收入安排的资金</w:t>
            </w:r>
          </w:p>
        </w:tc>
        <w:tc>
          <w:tcPr>
            <w:tcW w:w="2342"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1</w:t>
            </w:r>
            <w:r>
              <w:rPr>
                <w:rFonts w:ascii="宋体" w:hAnsi="宋体"/>
                <w:sz w:val="24"/>
                <w:szCs w:val="24"/>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80" w:type="dxa"/>
            <w:shd w:val="clear" w:color="auto" w:fill="auto"/>
            <w:vAlign w:val="center"/>
          </w:tcPr>
          <w:p>
            <w:pPr>
              <w:pStyle w:val="43"/>
              <w:keepNext w:val="0"/>
              <w:keepLines w:val="0"/>
              <w:spacing w:line="380" w:lineRule="exact"/>
              <w:ind w:left="420" w:right="420"/>
              <w:jc w:val="left"/>
              <w:rPr>
                <w:rFonts w:ascii="宋体" w:hAnsi="宋体"/>
                <w:b w:val="0"/>
                <w:sz w:val="24"/>
                <w:szCs w:val="24"/>
              </w:rPr>
            </w:pPr>
            <w:r>
              <w:rPr>
                <w:rFonts w:hint="eastAsia" w:ascii="宋体" w:hAnsi="宋体"/>
                <w:b w:val="0"/>
                <w:sz w:val="24"/>
                <w:szCs w:val="24"/>
              </w:rPr>
              <w:t>（3）其他收入安排的资金</w:t>
            </w:r>
          </w:p>
        </w:tc>
        <w:tc>
          <w:tcPr>
            <w:tcW w:w="2342"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3</w:t>
            </w:r>
            <w:r>
              <w:rPr>
                <w:rFonts w:ascii="宋体" w:hAnsi="宋体"/>
                <w:sz w:val="24"/>
                <w:szCs w:val="24"/>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180" w:type="dxa"/>
            <w:shd w:val="clear" w:color="auto" w:fill="auto"/>
            <w:vAlign w:val="center"/>
          </w:tcPr>
          <w:p>
            <w:pPr>
              <w:pStyle w:val="43"/>
              <w:keepNext w:val="0"/>
              <w:keepLines w:val="0"/>
              <w:spacing w:line="380" w:lineRule="exact"/>
              <w:ind w:left="420" w:right="420"/>
              <w:jc w:val="left"/>
              <w:rPr>
                <w:rFonts w:ascii="宋体" w:hAnsi="宋体"/>
                <w:b w:val="0"/>
                <w:sz w:val="24"/>
                <w:szCs w:val="24"/>
              </w:rPr>
            </w:pPr>
            <w:r>
              <w:rPr>
                <w:rFonts w:hint="eastAsia" w:ascii="宋体" w:hAnsi="宋体"/>
                <w:b w:val="0"/>
                <w:sz w:val="24"/>
                <w:szCs w:val="24"/>
              </w:rPr>
              <w:t>二、纳入财政专户管理的收入安排的资金</w:t>
            </w:r>
          </w:p>
        </w:tc>
        <w:tc>
          <w:tcPr>
            <w:tcW w:w="2342"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2</w:t>
            </w:r>
            <w:r>
              <w:rPr>
                <w:rFonts w:ascii="宋体" w:hAnsi="宋体"/>
                <w:sz w:val="24"/>
                <w:szCs w:val="24"/>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80" w:type="dxa"/>
            <w:shd w:val="clear" w:color="auto" w:fill="auto"/>
            <w:vAlign w:val="center"/>
          </w:tcPr>
          <w:p>
            <w:pPr>
              <w:pStyle w:val="43"/>
              <w:keepNext w:val="0"/>
              <w:keepLines w:val="0"/>
              <w:spacing w:line="380" w:lineRule="exact"/>
              <w:ind w:left="420" w:right="420"/>
              <w:jc w:val="left"/>
              <w:rPr>
                <w:rFonts w:ascii="宋体" w:hAnsi="宋体"/>
                <w:b w:val="0"/>
                <w:sz w:val="24"/>
                <w:szCs w:val="24"/>
              </w:rPr>
            </w:pPr>
            <w:r>
              <w:rPr>
                <w:rFonts w:hint="eastAsia" w:ascii="宋体" w:hAnsi="宋体"/>
                <w:b w:val="0"/>
                <w:sz w:val="24"/>
                <w:szCs w:val="24"/>
              </w:rPr>
              <w:t>收入预算合计</w:t>
            </w:r>
          </w:p>
        </w:tc>
        <w:tc>
          <w:tcPr>
            <w:tcW w:w="2342"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1</w:t>
            </w:r>
            <w:r>
              <w:rPr>
                <w:rFonts w:ascii="宋体" w:hAnsi="宋体"/>
                <w:sz w:val="24"/>
                <w:szCs w:val="24"/>
              </w:rPr>
              <w:t>2004916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80" w:type="dxa"/>
            <w:shd w:val="clear" w:color="auto" w:fill="auto"/>
            <w:vAlign w:val="center"/>
          </w:tcPr>
          <w:p>
            <w:pPr>
              <w:pStyle w:val="43"/>
              <w:keepNext w:val="0"/>
              <w:keepLines w:val="0"/>
              <w:spacing w:line="380" w:lineRule="exact"/>
              <w:ind w:left="420" w:right="420"/>
              <w:jc w:val="left"/>
              <w:rPr>
                <w:rFonts w:ascii="宋体" w:hAnsi="宋体"/>
                <w:b w:val="0"/>
                <w:sz w:val="24"/>
                <w:szCs w:val="24"/>
              </w:rPr>
            </w:pPr>
            <w:r>
              <w:rPr>
                <w:rFonts w:hint="eastAsia" w:ascii="宋体" w:hAnsi="宋体"/>
                <w:b w:val="0"/>
                <w:sz w:val="24"/>
                <w:szCs w:val="24"/>
              </w:rPr>
              <w:t>一、基本支出</w:t>
            </w:r>
          </w:p>
        </w:tc>
        <w:tc>
          <w:tcPr>
            <w:tcW w:w="2342"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8</w:t>
            </w:r>
            <w:r>
              <w:rPr>
                <w:rFonts w:ascii="宋体" w:hAnsi="宋体"/>
                <w:sz w:val="24"/>
                <w:szCs w:val="24"/>
              </w:rPr>
              <w:t>204916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80" w:type="dxa"/>
            <w:shd w:val="clear" w:color="auto" w:fill="auto"/>
            <w:vAlign w:val="center"/>
          </w:tcPr>
          <w:p>
            <w:pPr>
              <w:pStyle w:val="43"/>
              <w:keepNext w:val="0"/>
              <w:keepLines w:val="0"/>
              <w:spacing w:line="380" w:lineRule="exact"/>
              <w:ind w:left="420" w:right="420" w:firstLine="240" w:firstLineChars="100"/>
              <w:jc w:val="left"/>
              <w:rPr>
                <w:rFonts w:ascii="宋体" w:hAnsi="宋体"/>
                <w:b w:val="0"/>
                <w:sz w:val="24"/>
                <w:szCs w:val="24"/>
              </w:rPr>
            </w:pPr>
            <w:r>
              <w:rPr>
                <w:rFonts w:hint="eastAsia" w:ascii="宋体" w:hAnsi="宋体"/>
                <w:b w:val="0"/>
                <w:sz w:val="24"/>
                <w:szCs w:val="24"/>
              </w:rPr>
              <w:t>1</w:t>
            </w:r>
            <w:r>
              <w:rPr>
                <w:rFonts w:ascii="宋体" w:hAnsi="宋体"/>
                <w:b w:val="0"/>
                <w:sz w:val="24"/>
                <w:szCs w:val="24"/>
              </w:rPr>
              <w:t>.</w:t>
            </w:r>
            <w:r>
              <w:rPr>
                <w:rFonts w:hint="eastAsia" w:ascii="宋体" w:hAnsi="宋体"/>
                <w:b w:val="0"/>
                <w:sz w:val="24"/>
                <w:szCs w:val="24"/>
              </w:rPr>
              <w:t>工资福利支出</w:t>
            </w:r>
          </w:p>
        </w:tc>
        <w:tc>
          <w:tcPr>
            <w:tcW w:w="2342"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6</w:t>
            </w:r>
            <w:r>
              <w:rPr>
                <w:rFonts w:ascii="宋体" w:hAnsi="宋体"/>
                <w:sz w:val="24"/>
                <w:szCs w:val="24"/>
              </w:rPr>
              <w:t>657107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80" w:type="dxa"/>
            <w:shd w:val="clear" w:color="auto" w:fill="auto"/>
            <w:vAlign w:val="center"/>
          </w:tcPr>
          <w:p>
            <w:pPr>
              <w:pStyle w:val="43"/>
              <w:keepNext w:val="0"/>
              <w:keepLines w:val="0"/>
              <w:spacing w:line="380" w:lineRule="exact"/>
              <w:ind w:left="420" w:right="420"/>
              <w:jc w:val="left"/>
              <w:rPr>
                <w:rFonts w:ascii="宋体" w:hAnsi="宋体"/>
                <w:b w:val="0"/>
                <w:sz w:val="24"/>
                <w:szCs w:val="24"/>
              </w:rPr>
            </w:pPr>
            <w:r>
              <w:rPr>
                <w:rFonts w:ascii="宋体" w:hAnsi="宋体"/>
                <w:b w:val="0"/>
                <w:sz w:val="24"/>
                <w:szCs w:val="24"/>
              </w:rPr>
              <w:t>2.</w:t>
            </w:r>
            <w:r>
              <w:rPr>
                <w:rFonts w:hint="eastAsia" w:ascii="宋体" w:hAnsi="宋体"/>
                <w:b w:val="0"/>
                <w:sz w:val="24"/>
                <w:szCs w:val="24"/>
              </w:rPr>
              <w:t>商品和服务支出</w:t>
            </w:r>
          </w:p>
        </w:tc>
        <w:tc>
          <w:tcPr>
            <w:tcW w:w="2342"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1</w:t>
            </w:r>
            <w:r>
              <w:rPr>
                <w:rFonts w:ascii="宋体" w:hAnsi="宋体"/>
                <w:sz w:val="24"/>
                <w:szCs w:val="24"/>
              </w:rPr>
              <w:t>321525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80" w:type="dxa"/>
            <w:shd w:val="clear" w:color="auto" w:fill="auto"/>
            <w:vAlign w:val="center"/>
          </w:tcPr>
          <w:p>
            <w:pPr>
              <w:pStyle w:val="43"/>
              <w:keepNext w:val="0"/>
              <w:keepLines w:val="0"/>
              <w:spacing w:line="380" w:lineRule="exact"/>
              <w:ind w:left="420" w:right="420"/>
              <w:jc w:val="left"/>
              <w:rPr>
                <w:rFonts w:ascii="宋体" w:hAnsi="宋体"/>
                <w:b w:val="0"/>
                <w:sz w:val="24"/>
                <w:szCs w:val="24"/>
              </w:rPr>
            </w:pPr>
            <w:r>
              <w:rPr>
                <w:rFonts w:ascii="宋体" w:hAnsi="宋体"/>
                <w:b w:val="0"/>
                <w:sz w:val="24"/>
                <w:szCs w:val="24"/>
              </w:rPr>
              <w:t>3.</w:t>
            </w:r>
            <w:r>
              <w:rPr>
                <w:rFonts w:hint="eastAsia" w:ascii="宋体" w:hAnsi="宋体"/>
                <w:b w:val="0"/>
                <w:sz w:val="24"/>
                <w:szCs w:val="24"/>
              </w:rPr>
              <w:t>对个人和家庭的补助支出</w:t>
            </w:r>
          </w:p>
        </w:tc>
        <w:tc>
          <w:tcPr>
            <w:tcW w:w="2342"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2</w:t>
            </w:r>
            <w:r>
              <w:rPr>
                <w:rFonts w:ascii="宋体" w:hAnsi="宋体"/>
                <w:sz w:val="24"/>
                <w:szCs w:val="24"/>
              </w:rPr>
              <w:t>26284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80" w:type="dxa"/>
            <w:shd w:val="clear" w:color="auto" w:fill="auto"/>
            <w:vAlign w:val="center"/>
          </w:tcPr>
          <w:p>
            <w:pPr>
              <w:pStyle w:val="43"/>
              <w:keepNext w:val="0"/>
              <w:keepLines w:val="0"/>
              <w:spacing w:line="380" w:lineRule="exact"/>
              <w:ind w:left="420" w:right="420"/>
              <w:jc w:val="left"/>
              <w:rPr>
                <w:rFonts w:ascii="宋体" w:hAnsi="宋体"/>
                <w:b w:val="0"/>
                <w:sz w:val="24"/>
                <w:szCs w:val="24"/>
              </w:rPr>
            </w:pPr>
            <w:r>
              <w:rPr>
                <w:rFonts w:hint="eastAsia" w:ascii="宋体" w:hAnsi="宋体"/>
                <w:b w:val="0"/>
                <w:sz w:val="24"/>
                <w:szCs w:val="24"/>
              </w:rPr>
              <w:t>二、项目支出</w:t>
            </w:r>
          </w:p>
        </w:tc>
        <w:tc>
          <w:tcPr>
            <w:tcW w:w="2342"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3</w:t>
            </w:r>
            <w:r>
              <w:rPr>
                <w:rFonts w:ascii="宋体" w:hAnsi="宋体"/>
                <w:sz w:val="24"/>
                <w:szCs w:val="24"/>
              </w:rPr>
              <w:t>800000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80" w:type="dxa"/>
            <w:shd w:val="clear" w:color="auto" w:fill="auto"/>
            <w:vAlign w:val="center"/>
          </w:tcPr>
          <w:p>
            <w:pPr>
              <w:pStyle w:val="43"/>
              <w:keepNext w:val="0"/>
              <w:keepLines w:val="0"/>
              <w:spacing w:line="380" w:lineRule="exact"/>
              <w:ind w:left="420" w:right="420"/>
              <w:jc w:val="left"/>
              <w:rPr>
                <w:rFonts w:ascii="宋体" w:hAnsi="宋体"/>
                <w:b w:val="0"/>
                <w:sz w:val="24"/>
                <w:szCs w:val="24"/>
              </w:rPr>
            </w:pPr>
            <w:r>
              <w:rPr>
                <w:rFonts w:hint="eastAsia" w:ascii="宋体" w:hAnsi="宋体"/>
                <w:b w:val="0"/>
                <w:sz w:val="24"/>
                <w:szCs w:val="24"/>
              </w:rPr>
              <w:t>支出预算合计</w:t>
            </w:r>
          </w:p>
        </w:tc>
        <w:tc>
          <w:tcPr>
            <w:tcW w:w="2342"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1</w:t>
            </w:r>
            <w:r>
              <w:rPr>
                <w:rFonts w:ascii="宋体" w:hAnsi="宋体"/>
                <w:sz w:val="24"/>
                <w:szCs w:val="24"/>
              </w:rPr>
              <w:t>2004916</w:t>
            </w:r>
          </w:p>
        </w:tc>
      </w:tr>
    </w:tbl>
    <w:p>
      <w:pPr>
        <w:spacing w:line="580" w:lineRule="exact"/>
        <w:ind w:firstLine="560" w:firstLineChars="200"/>
        <w:rPr>
          <w:rFonts w:ascii="宋体" w:hAnsi="宋体"/>
          <w:sz w:val="28"/>
          <w:szCs w:val="28"/>
        </w:rPr>
      </w:pPr>
      <w:r>
        <w:rPr>
          <w:rFonts w:hint="eastAsia" w:ascii="宋体" w:hAnsi="宋体"/>
          <w:sz w:val="28"/>
          <w:szCs w:val="28"/>
        </w:rPr>
        <w:t>从年初批复预算来看：我单位收入预算1</w:t>
      </w:r>
      <w:r>
        <w:rPr>
          <w:rFonts w:ascii="宋体" w:hAnsi="宋体"/>
          <w:sz w:val="28"/>
          <w:szCs w:val="28"/>
        </w:rPr>
        <w:t>2004916</w:t>
      </w:r>
      <w:r>
        <w:rPr>
          <w:rFonts w:hint="eastAsia" w:ascii="宋体" w:hAnsi="宋体"/>
          <w:sz w:val="28"/>
          <w:szCs w:val="28"/>
        </w:rPr>
        <w:t>元，主要为财政补助收入，占收入预算的9</w:t>
      </w:r>
      <w:r>
        <w:rPr>
          <w:rFonts w:ascii="宋体" w:hAnsi="宋体"/>
          <w:sz w:val="28"/>
          <w:szCs w:val="28"/>
        </w:rPr>
        <w:t>9.83</w:t>
      </w:r>
      <w:r>
        <w:rPr>
          <w:rFonts w:hint="eastAsia" w:ascii="宋体" w:hAnsi="宋体"/>
          <w:sz w:val="28"/>
          <w:szCs w:val="28"/>
        </w:rPr>
        <w:t>%，其次为其他收入安排的资金，占收入预算的0</w:t>
      </w:r>
      <w:r>
        <w:rPr>
          <w:rFonts w:ascii="宋体" w:hAnsi="宋体"/>
          <w:sz w:val="28"/>
          <w:szCs w:val="28"/>
        </w:rPr>
        <w:t>.17</w:t>
      </w:r>
      <w:r>
        <w:rPr>
          <w:rFonts w:hint="eastAsia" w:ascii="宋体" w:hAnsi="宋体"/>
          <w:sz w:val="28"/>
          <w:szCs w:val="28"/>
        </w:rPr>
        <w:t>%；支出预算12004916元。</w:t>
      </w:r>
    </w:p>
    <w:p>
      <w:pPr>
        <w:spacing w:line="580" w:lineRule="exact"/>
        <w:ind w:firstLine="280" w:firstLineChars="100"/>
        <w:rPr>
          <w:rFonts w:hint="eastAsia" w:ascii="宋体" w:hAnsi="宋体"/>
          <w:sz w:val="28"/>
          <w:szCs w:val="28"/>
        </w:rPr>
      </w:pPr>
      <w:r>
        <w:rPr>
          <w:rFonts w:hint="eastAsia" w:ascii="宋体" w:hAnsi="宋体"/>
          <w:sz w:val="28"/>
          <w:szCs w:val="28"/>
        </w:rPr>
        <w:t>（2）追加指标、上年指标结转、年度可用指标情况（按照“单位指标列表”统计）</w:t>
      </w:r>
    </w:p>
    <w:p>
      <w:pPr>
        <w:spacing w:line="580" w:lineRule="exact"/>
        <w:ind w:firstLine="240" w:firstLineChars="100"/>
        <w:jc w:val="right"/>
        <w:rPr>
          <w:rFonts w:ascii="宋体" w:hAnsi="宋体"/>
          <w:sz w:val="24"/>
          <w:szCs w:val="24"/>
        </w:rPr>
      </w:pPr>
      <w:r>
        <w:rPr>
          <w:rFonts w:hint="eastAsia" w:ascii="宋体" w:hAnsi="宋体"/>
          <w:sz w:val="24"/>
          <w:szCs w:val="24"/>
        </w:rPr>
        <w:t>单位：元</w:t>
      </w:r>
    </w:p>
    <w:tbl>
      <w:tblPr>
        <w:tblStyle w:val="20"/>
        <w:tblW w:w="850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843"/>
        <w:gridCol w:w="1701"/>
        <w:gridCol w:w="1843"/>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44" w:type="dxa"/>
            <w:gridSpan w:val="2"/>
            <w:shd w:val="clear" w:color="auto" w:fill="auto"/>
            <w:vAlign w:val="center"/>
          </w:tcPr>
          <w:p>
            <w:pPr>
              <w:spacing w:line="380" w:lineRule="exact"/>
              <w:jc w:val="center"/>
              <w:rPr>
                <w:rFonts w:ascii="宋体" w:hAnsi="宋体"/>
                <w:sz w:val="24"/>
                <w:szCs w:val="24"/>
              </w:rPr>
            </w:pPr>
            <w:r>
              <w:rPr>
                <w:rFonts w:hint="eastAsia" w:ascii="宋体" w:hAnsi="宋体"/>
                <w:sz w:val="24"/>
                <w:szCs w:val="24"/>
              </w:rPr>
              <w:t>项目</w:t>
            </w:r>
          </w:p>
        </w:tc>
        <w:tc>
          <w:tcPr>
            <w:tcW w:w="1701" w:type="dxa"/>
            <w:shd w:val="clear" w:color="auto" w:fill="auto"/>
            <w:vAlign w:val="center"/>
          </w:tcPr>
          <w:p>
            <w:pPr>
              <w:spacing w:line="380" w:lineRule="exact"/>
              <w:jc w:val="center"/>
              <w:rPr>
                <w:rFonts w:ascii="宋体" w:hAnsi="宋体"/>
                <w:sz w:val="24"/>
                <w:szCs w:val="24"/>
              </w:rPr>
            </w:pPr>
            <w:r>
              <w:rPr>
                <w:rFonts w:hint="eastAsia" w:ascii="宋体" w:hAnsi="宋体"/>
                <w:sz w:val="24"/>
                <w:szCs w:val="24"/>
              </w:rPr>
              <w:t>基本支出</w:t>
            </w:r>
          </w:p>
        </w:tc>
        <w:tc>
          <w:tcPr>
            <w:tcW w:w="1843" w:type="dxa"/>
            <w:shd w:val="clear" w:color="auto" w:fill="auto"/>
            <w:vAlign w:val="center"/>
          </w:tcPr>
          <w:p>
            <w:pPr>
              <w:spacing w:line="380" w:lineRule="exact"/>
              <w:jc w:val="center"/>
              <w:rPr>
                <w:rFonts w:ascii="宋体" w:hAnsi="宋体"/>
                <w:sz w:val="24"/>
                <w:szCs w:val="24"/>
              </w:rPr>
            </w:pPr>
            <w:r>
              <w:rPr>
                <w:rFonts w:hint="eastAsia" w:ascii="宋体" w:hAnsi="宋体"/>
                <w:sz w:val="24"/>
                <w:szCs w:val="24"/>
              </w:rPr>
              <w:t>项目支出</w:t>
            </w:r>
          </w:p>
        </w:tc>
        <w:tc>
          <w:tcPr>
            <w:tcW w:w="1417" w:type="dxa"/>
            <w:shd w:val="clear" w:color="auto" w:fill="auto"/>
            <w:vAlign w:val="center"/>
          </w:tcPr>
          <w:p>
            <w:pPr>
              <w:spacing w:line="380" w:lineRule="exact"/>
              <w:jc w:val="center"/>
              <w:rPr>
                <w:rFonts w:ascii="宋体" w:hAnsi="宋体"/>
                <w:sz w:val="24"/>
                <w:szCs w:val="24"/>
              </w:rPr>
            </w:pPr>
            <w:r>
              <w:rPr>
                <w:rFonts w:hint="eastAsia" w:ascii="宋体" w:hAnsi="宋体"/>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44" w:type="dxa"/>
            <w:gridSpan w:val="2"/>
            <w:shd w:val="clear" w:color="auto" w:fill="auto"/>
            <w:vAlign w:val="center"/>
          </w:tcPr>
          <w:p>
            <w:pPr>
              <w:pStyle w:val="43"/>
              <w:keepNext w:val="0"/>
              <w:keepLines w:val="0"/>
              <w:spacing w:line="380" w:lineRule="exact"/>
              <w:ind w:left="420" w:right="420"/>
              <w:jc w:val="left"/>
              <w:rPr>
                <w:rFonts w:ascii="宋体" w:hAnsi="宋体"/>
                <w:b w:val="0"/>
                <w:sz w:val="24"/>
                <w:szCs w:val="24"/>
              </w:rPr>
            </w:pPr>
            <w:r>
              <w:rPr>
                <w:rFonts w:hint="eastAsia" w:ascii="宋体" w:hAnsi="宋体"/>
                <w:b w:val="0"/>
                <w:sz w:val="24"/>
                <w:szCs w:val="24"/>
              </w:rPr>
              <w:t>上年指标结转</w:t>
            </w:r>
          </w:p>
        </w:tc>
        <w:tc>
          <w:tcPr>
            <w:tcW w:w="1701"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0</w:t>
            </w:r>
          </w:p>
        </w:tc>
        <w:tc>
          <w:tcPr>
            <w:tcW w:w="1843"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9</w:t>
            </w:r>
            <w:r>
              <w:rPr>
                <w:rFonts w:ascii="宋体" w:hAnsi="宋体"/>
                <w:sz w:val="24"/>
                <w:szCs w:val="24"/>
              </w:rPr>
              <w:t>979374</w:t>
            </w:r>
          </w:p>
        </w:tc>
        <w:tc>
          <w:tcPr>
            <w:tcW w:w="1417"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9</w:t>
            </w:r>
            <w:r>
              <w:rPr>
                <w:rFonts w:ascii="宋体" w:hAnsi="宋体"/>
                <w:sz w:val="24"/>
                <w:szCs w:val="24"/>
              </w:rPr>
              <w:t>979374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44" w:type="dxa"/>
            <w:gridSpan w:val="2"/>
            <w:shd w:val="clear" w:color="auto" w:fill="auto"/>
            <w:vAlign w:val="center"/>
          </w:tcPr>
          <w:p>
            <w:pPr>
              <w:pStyle w:val="43"/>
              <w:keepNext w:val="0"/>
              <w:keepLines w:val="0"/>
              <w:spacing w:line="380" w:lineRule="exact"/>
              <w:ind w:left="130" w:leftChars="62" w:right="420"/>
              <w:rPr>
                <w:rFonts w:ascii="宋体" w:hAnsi="宋体"/>
                <w:b w:val="0"/>
                <w:sz w:val="24"/>
                <w:szCs w:val="24"/>
              </w:rPr>
            </w:pPr>
            <w:r>
              <w:rPr>
                <w:rFonts w:hint="eastAsia" w:ascii="宋体" w:hAnsi="宋体"/>
                <w:b w:val="0"/>
                <w:sz w:val="24"/>
                <w:szCs w:val="24"/>
              </w:rPr>
              <w:t>（+）收回2</w:t>
            </w:r>
            <w:r>
              <w:rPr>
                <w:rFonts w:ascii="宋体" w:hAnsi="宋体"/>
                <w:b w:val="0"/>
                <w:sz w:val="24"/>
                <w:szCs w:val="24"/>
              </w:rPr>
              <w:t>020</w:t>
            </w:r>
            <w:r>
              <w:rPr>
                <w:rFonts w:hint="eastAsia" w:ascii="宋体" w:hAnsi="宋体"/>
                <w:b w:val="0"/>
                <w:sz w:val="24"/>
                <w:szCs w:val="24"/>
              </w:rPr>
              <w:t>年结余资金</w:t>
            </w:r>
          </w:p>
        </w:tc>
        <w:tc>
          <w:tcPr>
            <w:tcW w:w="1701"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0</w:t>
            </w:r>
          </w:p>
        </w:tc>
        <w:tc>
          <w:tcPr>
            <w:tcW w:w="1843"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2</w:t>
            </w:r>
            <w:r>
              <w:rPr>
                <w:rFonts w:ascii="宋体" w:hAnsi="宋体"/>
                <w:sz w:val="24"/>
                <w:szCs w:val="24"/>
              </w:rPr>
              <w:t>2100000</w:t>
            </w:r>
          </w:p>
        </w:tc>
        <w:tc>
          <w:tcPr>
            <w:tcW w:w="1417"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2</w:t>
            </w:r>
            <w:r>
              <w:rPr>
                <w:rFonts w:ascii="宋体" w:hAnsi="宋体"/>
                <w:sz w:val="24"/>
                <w:szCs w:val="24"/>
              </w:rPr>
              <w:t>2100000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701" w:type="dxa"/>
            <w:vMerge w:val="restart"/>
            <w:shd w:val="clear" w:color="auto" w:fill="auto"/>
            <w:vAlign w:val="center"/>
          </w:tcPr>
          <w:p>
            <w:pPr>
              <w:pStyle w:val="43"/>
              <w:keepNext w:val="0"/>
              <w:keepLines w:val="0"/>
              <w:spacing w:line="380" w:lineRule="exact"/>
              <w:ind w:left="0" w:leftChars="0" w:right="0" w:rightChars="0"/>
              <w:jc w:val="center"/>
              <w:rPr>
                <w:rFonts w:ascii="宋体" w:hAnsi="宋体"/>
                <w:b w:val="0"/>
                <w:sz w:val="24"/>
                <w:szCs w:val="24"/>
              </w:rPr>
            </w:pPr>
            <w:r>
              <w:rPr>
                <w:rFonts w:hint="eastAsia" w:ascii="宋体" w:hAnsi="宋体"/>
                <w:b w:val="0"/>
                <w:sz w:val="24"/>
                <w:szCs w:val="24"/>
              </w:rPr>
              <w:t>（+）</w:t>
            </w:r>
          </w:p>
          <w:p>
            <w:pPr>
              <w:pStyle w:val="43"/>
              <w:keepNext w:val="0"/>
              <w:keepLines w:val="0"/>
              <w:spacing w:line="380" w:lineRule="exact"/>
              <w:ind w:left="0" w:leftChars="0" w:right="0" w:rightChars="0"/>
              <w:jc w:val="center"/>
              <w:rPr>
                <w:rFonts w:ascii="宋体" w:hAnsi="宋体"/>
                <w:b w:val="0"/>
                <w:sz w:val="24"/>
                <w:szCs w:val="24"/>
              </w:rPr>
            </w:pPr>
            <w:r>
              <w:rPr>
                <w:rFonts w:hint="eastAsia" w:ascii="宋体" w:hAnsi="宋体"/>
                <w:b w:val="0"/>
                <w:sz w:val="24"/>
                <w:szCs w:val="24"/>
              </w:rPr>
              <w:t>本年预算指标</w:t>
            </w:r>
          </w:p>
        </w:tc>
        <w:tc>
          <w:tcPr>
            <w:tcW w:w="1843" w:type="dxa"/>
            <w:shd w:val="clear" w:color="auto" w:fill="auto"/>
            <w:vAlign w:val="center"/>
          </w:tcPr>
          <w:p>
            <w:pPr>
              <w:pStyle w:val="43"/>
              <w:keepNext w:val="0"/>
              <w:keepLines w:val="0"/>
              <w:spacing w:line="380" w:lineRule="exact"/>
              <w:ind w:left="0" w:leftChars="0" w:right="420"/>
              <w:jc w:val="left"/>
              <w:rPr>
                <w:rFonts w:ascii="宋体" w:hAnsi="宋体"/>
                <w:b w:val="0"/>
                <w:sz w:val="24"/>
                <w:szCs w:val="24"/>
              </w:rPr>
            </w:pPr>
            <w:r>
              <w:rPr>
                <w:rFonts w:hint="eastAsia" w:ascii="宋体" w:hAnsi="宋体"/>
                <w:b w:val="0"/>
                <w:sz w:val="24"/>
                <w:szCs w:val="24"/>
              </w:rPr>
              <w:t>年初安排</w:t>
            </w:r>
          </w:p>
        </w:tc>
        <w:tc>
          <w:tcPr>
            <w:tcW w:w="1701"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8</w:t>
            </w:r>
            <w:r>
              <w:rPr>
                <w:rFonts w:ascii="宋体" w:hAnsi="宋体"/>
                <w:sz w:val="24"/>
                <w:szCs w:val="24"/>
              </w:rPr>
              <w:t>204916</w:t>
            </w:r>
          </w:p>
        </w:tc>
        <w:tc>
          <w:tcPr>
            <w:tcW w:w="1843"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3</w:t>
            </w:r>
            <w:r>
              <w:rPr>
                <w:rFonts w:ascii="宋体" w:hAnsi="宋体"/>
                <w:sz w:val="24"/>
                <w:szCs w:val="24"/>
              </w:rPr>
              <w:t>780000</w:t>
            </w:r>
          </w:p>
        </w:tc>
        <w:tc>
          <w:tcPr>
            <w:tcW w:w="1417"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1</w:t>
            </w:r>
            <w:r>
              <w:rPr>
                <w:rFonts w:ascii="宋体" w:hAnsi="宋体"/>
                <w:sz w:val="24"/>
                <w:szCs w:val="24"/>
              </w:rPr>
              <w:t>1984916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vMerge w:val="continue"/>
            <w:shd w:val="clear" w:color="auto" w:fill="auto"/>
            <w:vAlign w:val="center"/>
          </w:tcPr>
          <w:p>
            <w:pPr>
              <w:pStyle w:val="43"/>
              <w:keepNext w:val="0"/>
              <w:keepLines w:val="0"/>
              <w:spacing w:line="380" w:lineRule="exact"/>
              <w:ind w:left="420" w:right="420"/>
              <w:jc w:val="left"/>
              <w:rPr>
                <w:rFonts w:ascii="宋体" w:hAnsi="宋体"/>
                <w:b w:val="0"/>
                <w:sz w:val="24"/>
                <w:szCs w:val="24"/>
              </w:rPr>
            </w:pPr>
          </w:p>
        </w:tc>
        <w:tc>
          <w:tcPr>
            <w:tcW w:w="1843" w:type="dxa"/>
            <w:shd w:val="clear" w:color="auto" w:fill="auto"/>
            <w:vAlign w:val="center"/>
          </w:tcPr>
          <w:p>
            <w:pPr>
              <w:pStyle w:val="43"/>
              <w:keepNext w:val="0"/>
              <w:keepLines w:val="0"/>
              <w:spacing w:line="380" w:lineRule="exact"/>
              <w:ind w:left="0" w:leftChars="0" w:right="420"/>
              <w:jc w:val="left"/>
              <w:rPr>
                <w:rFonts w:ascii="宋体" w:hAnsi="宋体"/>
                <w:b w:val="0"/>
                <w:sz w:val="24"/>
                <w:szCs w:val="24"/>
              </w:rPr>
            </w:pPr>
            <w:r>
              <w:rPr>
                <w:rFonts w:hint="eastAsia" w:ascii="宋体" w:hAnsi="宋体"/>
                <w:b w:val="0"/>
                <w:sz w:val="24"/>
                <w:szCs w:val="24"/>
              </w:rPr>
              <w:t>年中追加</w:t>
            </w:r>
          </w:p>
        </w:tc>
        <w:tc>
          <w:tcPr>
            <w:tcW w:w="1701"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8</w:t>
            </w:r>
            <w:r>
              <w:rPr>
                <w:rFonts w:ascii="宋体" w:hAnsi="宋体"/>
                <w:sz w:val="24"/>
                <w:szCs w:val="24"/>
              </w:rPr>
              <w:t>51700</w:t>
            </w:r>
          </w:p>
        </w:tc>
        <w:tc>
          <w:tcPr>
            <w:tcW w:w="1843" w:type="dxa"/>
            <w:shd w:val="clear" w:color="auto" w:fill="auto"/>
            <w:vAlign w:val="center"/>
          </w:tcPr>
          <w:p>
            <w:pPr>
              <w:spacing w:line="380" w:lineRule="exact"/>
              <w:jc w:val="right"/>
              <w:rPr>
                <w:rFonts w:ascii="宋体" w:hAnsi="宋体"/>
                <w:sz w:val="24"/>
                <w:szCs w:val="24"/>
              </w:rPr>
            </w:pPr>
            <w:r>
              <w:rPr>
                <w:rFonts w:ascii="宋体" w:hAnsi="宋体"/>
                <w:sz w:val="24"/>
                <w:szCs w:val="24"/>
              </w:rPr>
              <w:t>30675832</w:t>
            </w:r>
          </w:p>
        </w:tc>
        <w:tc>
          <w:tcPr>
            <w:tcW w:w="1417"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3</w:t>
            </w:r>
            <w:r>
              <w:rPr>
                <w:rFonts w:ascii="宋体" w:hAnsi="宋体"/>
                <w:sz w:val="24"/>
                <w:szCs w:val="24"/>
              </w:rPr>
              <w:t>1527532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vMerge w:val="continue"/>
            <w:shd w:val="clear" w:color="auto" w:fill="auto"/>
            <w:vAlign w:val="center"/>
          </w:tcPr>
          <w:p>
            <w:pPr>
              <w:pStyle w:val="43"/>
              <w:keepNext w:val="0"/>
              <w:keepLines w:val="0"/>
              <w:spacing w:line="380" w:lineRule="exact"/>
              <w:ind w:left="420" w:right="420"/>
              <w:jc w:val="left"/>
              <w:rPr>
                <w:rFonts w:ascii="宋体" w:hAnsi="宋体"/>
                <w:b w:val="0"/>
                <w:sz w:val="24"/>
                <w:szCs w:val="24"/>
              </w:rPr>
            </w:pPr>
          </w:p>
        </w:tc>
        <w:tc>
          <w:tcPr>
            <w:tcW w:w="1843" w:type="dxa"/>
            <w:shd w:val="clear" w:color="auto" w:fill="auto"/>
            <w:vAlign w:val="center"/>
          </w:tcPr>
          <w:p>
            <w:pPr>
              <w:pStyle w:val="43"/>
              <w:keepNext w:val="0"/>
              <w:keepLines w:val="0"/>
              <w:spacing w:line="380" w:lineRule="exact"/>
              <w:ind w:left="420" w:right="420"/>
              <w:jc w:val="left"/>
              <w:rPr>
                <w:rFonts w:ascii="宋体" w:hAnsi="宋体"/>
                <w:b w:val="0"/>
                <w:sz w:val="24"/>
                <w:szCs w:val="24"/>
              </w:rPr>
            </w:pPr>
            <w:r>
              <w:rPr>
                <w:rFonts w:hint="eastAsia" w:ascii="宋体" w:hAnsi="宋体"/>
                <w:b w:val="0"/>
                <w:sz w:val="24"/>
                <w:szCs w:val="24"/>
              </w:rPr>
              <w:t>小计</w:t>
            </w:r>
          </w:p>
        </w:tc>
        <w:tc>
          <w:tcPr>
            <w:tcW w:w="1701"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9</w:t>
            </w:r>
            <w:r>
              <w:rPr>
                <w:rFonts w:ascii="宋体" w:hAnsi="宋体"/>
                <w:sz w:val="24"/>
                <w:szCs w:val="24"/>
              </w:rPr>
              <w:t>056616</w:t>
            </w:r>
          </w:p>
        </w:tc>
        <w:tc>
          <w:tcPr>
            <w:tcW w:w="1843"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3</w:t>
            </w:r>
            <w:r>
              <w:rPr>
                <w:rFonts w:ascii="宋体" w:hAnsi="宋体"/>
                <w:sz w:val="24"/>
                <w:szCs w:val="24"/>
              </w:rPr>
              <w:t>4455832</w:t>
            </w:r>
          </w:p>
        </w:tc>
        <w:tc>
          <w:tcPr>
            <w:tcW w:w="1417"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4</w:t>
            </w:r>
            <w:r>
              <w:rPr>
                <w:rFonts w:ascii="宋体" w:hAnsi="宋体"/>
                <w:sz w:val="24"/>
                <w:szCs w:val="24"/>
              </w:rPr>
              <w:t>3512448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44" w:type="dxa"/>
            <w:gridSpan w:val="2"/>
            <w:shd w:val="clear" w:color="auto" w:fill="auto"/>
            <w:vAlign w:val="center"/>
          </w:tcPr>
          <w:p>
            <w:pPr>
              <w:pStyle w:val="43"/>
              <w:keepNext w:val="0"/>
              <w:keepLines w:val="0"/>
              <w:spacing w:line="380" w:lineRule="exact"/>
              <w:ind w:left="420" w:right="420"/>
              <w:jc w:val="left"/>
              <w:rPr>
                <w:rFonts w:ascii="宋体" w:hAnsi="宋体"/>
                <w:b w:val="0"/>
                <w:sz w:val="24"/>
                <w:szCs w:val="24"/>
              </w:rPr>
            </w:pPr>
            <w:r>
              <w:rPr>
                <w:rFonts w:hint="eastAsia" w:ascii="宋体" w:hAnsi="宋体"/>
                <w:b w:val="0"/>
                <w:sz w:val="24"/>
                <w:szCs w:val="24"/>
              </w:rPr>
              <w:t>合计</w:t>
            </w:r>
          </w:p>
        </w:tc>
        <w:tc>
          <w:tcPr>
            <w:tcW w:w="1701"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9</w:t>
            </w:r>
            <w:r>
              <w:rPr>
                <w:rFonts w:ascii="宋体" w:hAnsi="宋体"/>
                <w:sz w:val="24"/>
                <w:szCs w:val="24"/>
              </w:rPr>
              <w:t>056616</w:t>
            </w:r>
          </w:p>
        </w:tc>
        <w:tc>
          <w:tcPr>
            <w:tcW w:w="1843"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6</w:t>
            </w:r>
            <w:r>
              <w:rPr>
                <w:rFonts w:ascii="宋体" w:hAnsi="宋体"/>
                <w:sz w:val="24"/>
                <w:szCs w:val="24"/>
              </w:rPr>
              <w:t>6535206</w:t>
            </w:r>
          </w:p>
        </w:tc>
        <w:tc>
          <w:tcPr>
            <w:tcW w:w="1417" w:type="dxa"/>
            <w:shd w:val="clear" w:color="auto" w:fill="auto"/>
            <w:vAlign w:val="center"/>
          </w:tcPr>
          <w:p>
            <w:pPr>
              <w:spacing w:line="380" w:lineRule="exact"/>
              <w:jc w:val="right"/>
              <w:rPr>
                <w:rFonts w:ascii="宋体" w:hAnsi="宋体"/>
                <w:sz w:val="24"/>
                <w:szCs w:val="24"/>
              </w:rPr>
            </w:pPr>
            <w:r>
              <w:rPr>
                <w:rFonts w:ascii="宋体" w:hAnsi="宋体"/>
                <w:sz w:val="24"/>
                <w:szCs w:val="24"/>
              </w:rPr>
              <w:t>75591822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544" w:type="dxa"/>
            <w:gridSpan w:val="2"/>
            <w:shd w:val="clear" w:color="auto" w:fill="auto"/>
            <w:vAlign w:val="center"/>
          </w:tcPr>
          <w:p>
            <w:pPr>
              <w:pStyle w:val="43"/>
              <w:keepNext w:val="0"/>
              <w:keepLines w:val="0"/>
              <w:spacing w:line="380" w:lineRule="exact"/>
              <w:ind w:left="420" w:right="420"/>
              <w:rPr>
                <w:rFonts w:ascii="宋体" w:hAnsi="宋体"/>
                <w:b w:val="0"/>
                <w:sz w:val="24"/>
                <w:szCs w:val="24"/>
              </w:rPr>
            </w:pPr>
            <w:r>
              <w:rPr>
                <w:rFonts w:hint="eastAsia" w:ascii="宋体" w:hAnsi="宋体"/>
                <w:b w:val="0"/>
                <w:sz w:val="24"/>
                <w:szCs w:val="24"/>
              </w:rPr>
              <w:t>（-）本年指标支出</w:t>
            </w:r>
          </w:p>
        </w:tc>
        <w:tc>
          <w:tcPr>
            <w:tcW w:w="1701"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7</w:t>
            </w:r>
            <w:r>
              <w:rPr>
                <w:rFonts w:ascii="宋体" w:hAnsi="宋体"/>
                <w:sz w:val="24"/>
                <w:szCs w:val="24"/>
              </w:rPr>
              <w:t>409737</w:t>
            </w:r>
          </w:p>
        </w:tc>
        <w:tc>
          <w:tcPr>
            <w:tcW w:w="1843"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2</w:t>
            </w:r>
            <w:r>
              <w:rPr>
                <w:rFonts w:ascii="宋体" w:hAnsi="宋体"/>
                <w:sz w:val="24"/>
                <w:szCs w:val="24"/>
              </w:rPr>
              <w:t>2364776</w:t>
            </w:r>
          </w:p>
        </w:tc>
        <w:tc>
          <w:tcPr>
            <w:tcW w:w="1417"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2</w:t>
            </w:r>
            <w:r>
              <w:rPr>
                <w:rFonts w:ascii="宋体" w:hAnsi="宋体"/>
                <w:sz w:val="24"/>
                <w:szCs w:val="24"/>
              </w:rPr>
              <w:t>9774514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44" w:type="dxa"/>
            <w:gridSpan w:val="2"/>
            <w:shd w:val="clear" w:color="auto" w:fill="auto"/>
            <w:vAlign w:val="center"/>
          </w:tcPr>
          <w:p>
            <w:pPr>
              <w:pStyle w:val="43"/>
              <w:keepNext w:val="0"/>
              <w:keepLines w:val="0"/>
              <w:spacing w:line="380" w:lineRule="exact"/>
              <w:ind w:left="420" w:right="420"/>
              <w:rPr>
                <w:rFonts w:ascii="宋体" w:hAnsi="宋体"/>
                <w:b w:val="0"/>
                <w:sz w:val="24"/>
                <w:szCs w:val="24"/>
              </w:rPr>
            </w:pPr>
            <w:r>
              <w:rPr>
                <w:rFonts w:hint="eastAsia" w:ascii="宋体" w:hAnsi="宋体"/>
                <w:b w:val="0"/>
                <w:sz w:val="24"/>
                <w:szCs w:val="24"/>
              </w:rPr>
              <w:t>指标结余</w:t>
            </w:r>
          </w:p>
        </w:tc>
        <w:tc>
          <w:tcPr>
            <w:tcW w:w="1701"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1</w:t>
            </w:r>
            <w:r>
              <w:rPr>
                <w:rFonts w:ascii="宋体" w:hAnsi="宋体"/>
                <w:sz w:val="24"/>
                <w:szCs w:val="24"/>
              </w:rPr>
              <w:t>646879</w:t>
            </w:r>
          </w:p>
        </w:tc>
        <w:tc>
          <w:tcPr>
            <w:tcW w:w="1843"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4</w:t>
            </w:r>
            <w:r>
              <w:rPr>
                <w:rFonts w:ascii="宋体" w:hAnsi="宋体"/>
                <w:sz w:val="24"/>
                <w:szCs w:val="24"/>
              </w:rPr>
              <w:t>4170430</w:t>
            </w:r>
          </w:p>
        </w:tc>
        <w:tc>
          <w:tcPr>
            <w:tcW w:w="1417"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4</w:t>
            </w:r>
            <w:r>
              <w:rPr>
                <w:rFonts w:ascii="宋体" w:hAnsi="宋体"/>
                <w:sz w:val="24"/>
                <w:szCs w:val="24"/>
              </w:rPr>
              <w:t>5817308</w:t>
            </w:r>
          </w:p>
        </w:tc>
      </w:tr>
    </w:tbl>
    <w:p>
      <w:pPr>
        <w:spacing w:line="580" w:lineRule="exact"/>
        <w:ind w:firstLine="560" w:firstLineChars="200"/>
        <w:rPr>
          <w:rFonts w:ascii="宋体" w:hAnsi="宋体"/>
          <w:sz w:val="28"/>
          <w:szCs w:val="28"/>
        </w:rPr>
      </w:pPr>
      <w:r>
        <w:rPr>
          <w:rFonts w:hint="eastAsia" w:ascii="宋体" w:hAnsi="宋体"/>
          <w:sz w:val="28"/>
          <w:szCs w:val="28"/>
        </w:rPr>
        <w:t>从上表反映：2</w:t>
      </w:r>
      <w:r>
        <w:rPr>
          <w:rFonts w:ascii="宋体" w:hAnsi="宋体"/>
          <w:sz w:val="28"/>
          <w:szCs w:val="28"/>
        </w:rPr>
        <w:t>021</w:t>
      </w:r>
      <w:r>
        <w:rPr>
          <w:rFonts w:hint="eastAsia" w:ascii="宋体" w:hAnsi="宋体"/>
          <w:sz w:val="28"/>
          <w:szCs w:val="28"/>
        </w:rPr>
        <w:t>年我单位全年可用预算指标7</w:t>
      </w:r>
      <w:r>
        <w:rPr>
          <w:rFonts w:ascii="宋体" w:hAnsi="宋体"/>
          <w:sz w:val="28"/>
          <w:szCs w:val="28"/>
        </w:rPr>
        <w:t>5591822</w:t>
      </w:r>
      <w:r>
        <w:rPr>
          <w:rFonts w:hint="eastAsia" w:ascii="宋体" w:hAnsi="宋体"/>
          <w:sz w:val="28"/>
          <w:szCs w:val="28"/>
        </w:rPr>
        <w:t>元，其中上年结转9</w:t>
      </w:r>
      <w:r>
        <w:rPr>
          <w:rFonts w:ascii="宋体" w:hAnsi="宋体"/>
          <w:sz w:val="28"/>
          <w:szCs w:val="28"/>
        </w:rPr>
        <w:t>979374</w:t>
      </w:r>
      <w:r>
        <w:rPr>
          <w:rFonts w:hint="eastAsia" w:ascii="宋体" w:hAnsi="宋体"/>
          <w:sz w:val="28"/>
          <w:szCs w:val="28"/>
        </w:rPr>
        <w:t>元，收回2</w:t>
      </w:r>
      <w:r>
        <w:rPr>
          <w:rFonts w:ascii="宋体" w:hAnsi="宋体"/>
          <w:sz w:val="28"/>
          <w:szCs w:val="28"/>
        </w:rPr>
        <w:t>020</w:t>
      </w:r>
      <w:r>
        <w:rPr>
          <w:rFonts w:hint="eastAsia" w:ascii="宋体" w:hAnsi="宋体"/>
          <w:sz w:val="28"/>
          <w:szCs w:val="28"/>
        </w:rPr>
        <w:t>年结余资金2</w:t>
      </w:r>
      <w:r>
        <w:rPr>
          <w:rFonts w:ascii="宋体" w:hAnsi="宋体"/>
          <w:sz w:val="28"/>
          <w:szCs w:val="28"/>
        </w:rPr>
        <w:t>2100000</w:t>
      </w:r>
      <w:r>
        <w:rPr>
          <w:rFonts w:hint="eastAsia" w:ascii="宋体" w:hAnsi="宋体"/>
          <w:sz w:val="28"/>
          <w:szCs w:val="28"/>
        </w:rPr>
        <w:t>元，年初预算1</w:t>
      </w:r>
      <w:r>
        <w:rPr>
          <w:rFonts w:ascii="宋体" w:hAnsi="宋体"/>
          <w:sz w:val="28"/>
          <w:szCs w:val="28"/>
        </w:rPr>
        <w:t>1984916</w:t>
      </w:r>
      <w:r>
        <w:rPr>
          <w:rFonts w:hint="eastAsia" w:ascii="宋体" w:hAnsi="宋体"/>
          <w:sz w:val="28"/>
          <w:szCs w:val="28"/>
        </w:rPr>
        <w:t>元（公共财政预算拨款），追加预算3</w:t>
      </w:r>
      <w:r>
        <w:rPr>
          <w:rFonts w:ascii="宋体" w:hAnsi="宋体"/>
          <w:sz w:val="28"/>
          <w:szCs w:val="28"/>
        </w:rPr>
        <w:t>1527532</w:t>
      </w:r>
      <w:r>
        <w:rPr>
          <w:rFonts w:hint="eastAsia" w:ascii="宋体" w:hAnsi="宋体"/>
          <w:sz w:val="28"/>
          <w:szCs w:val="28"/>
        </w:rPr>
        <w:t>元（本级追加8</w:t>
      </w:r>
      <w:r>
        <w:rPr>
          <w:rFonts w:ascii="宋体" w:hAnsi="宋体"/>
          <w:sz w:val="28"/>
          <w:szCs w:val="28"/>
        </w:rPr>
        <w:t>51700</w:t>
      </w:r>
      <w:r>
        <w:rPr>
          <w:rFonts w:hint="eastAsia" w:ascii="宋体" w:hAnsi="宋体"/>
          <w:sz w:val="28"/>
          <w:szCs w:val="28"/>
        </w:rPr>
        <w:t>元，上级追加3</w:t>
      </w:r>
      <w:r>
        <w:rPr>
          <w:rFonts w:ascii="宋体" w:hAnsi="宋体"/>
          <w:sz w:val="28"/>
          <w:szCs w:val="28"/>
        </w:rPr>
        <w:t>0675832</w:t>
      </w:r>
      <w:r>
        <w:rPr>
          <w:rFonts w:hint="eastAsia" w:ascii="宋体" w:hAnsi="宋体"/>
          <w:sz w:val="28"/>
          <w:szCs w:val="28"/>
        </w:rPr>
        <w:t>元），本年指标支出2</w:t>
      </w:r>
      <w:r>
        <w:rPr>
          <w:rFonts w:ascii="宋体" w:hAnsi="宋体"/>
          <w:sz w:val="28"/>
          <w:szCs w:val="28"/>
        </w:rPr>
        <w:t>9774514</w:t>
      </w:r>
      <w:r>
        <w:rPr>
          <w:rFonts w:hint="eastAsia" w:ascii="宋体" w:hAnsi="宋体"/>
          <w:sz w:val="28"/>
          <w:szCs w:val="28"/>
        </w:rPr>
        <w:t>元，本年指标结余</w:t>
      </w:r>
      <w:r>
        <w:rPr>
          <w:rFonts w:ascii="宋体" w:hAnsi="宋体"/>
          <w:sz w:val="28"/>
          <w:szCs w:val="28"/>
        </w:rPr>
        <w:t>13737934</w:t>
      </w:r>
      <w:r>
        <w:rPr>
          <w:rFonts w:hint="eastAsia" w:ascii="宋体" w:hAnsi="宋体"/>
          <w:sz w:val="28"/>
          <w:szCs w:val="28"/>
        </w:rPr>
        <w:t>（4</w:t>
      </w:r>
      <w:r>
        <w:rPr>
          <w:rFonts w:ascii="宋体" w:hAnsi="宋体"/>
          <w:sz w:val="28"/>
          <w:szCs w:val="28"/>
        </w:rPr>
        <w:t>3512448-29774514</w:t>
      </w:r>
      <w:r>
        <w:rPr>
          <w:rFonts w:hint="eastAsia" w:ascii="宋体" w:hAnsi="宋体"/>
          <w:sz w:val="28"/>
          <w:szCs w:val="28"/>
        </w:rPr>
        <w:t>）元，指标累计结余4</w:t>
      </w:r>
      <w:r>
        <w:rPr>
          <w:rFonts w:ascii="宋体" w:hAnsi="宋体"/>
          <w:sz w:val="28"/>
          <w:szCs w:val="28"/>
        </w:rPr>
        <w:t>5817308</w:t>
      </w:r>
      <w:r>
        <w:rPr>
          <w:rFonts w:hint="eastAsia" w:ascii="宋体" w:hAnsi="宋体"/>
          <w:sz w:val="28"/>
          <w:szCs w:val="28"/>
        </w:rPr>
        <w:t>元。</w:t>
      </w:r>
    </w:p>
    <w:p>
      <w:pPr>
        <w:pStyle w:val="43"/>
        <w:ind w:left="420" w:right="420"/>
        <w:rPr>
          <w:rFonts w:hint="eastAsia" w:ascii="宋体" w:hAnsi="宋体"/>
          <w:sz w:val="28"/>
          <w:szCs w:val="28"/>
        </w:rPr>
      </w:pPr>
      <w:r>
        <w:rPr>
          <w:rFonts w:ascii="宋体" w:hAnsi="宋体"/>
          <w:sz w:val="28"/>
          <w:szCs w:val="28"/>
        </w:rPr>
        <w:t>2</w:t>
      </w:r>
      <w:r>
        <w:rPr>
          <w:rFonts w:hint="eastAsia" w:ascii="宋体" w:hAnsi="宋体"/>
          <w:sz w:val="28"/>
          <w:szCs w:val="28"/>
        </w:rPr>
        <w:t>.整体支出使用范围、方向和内容</w:t>
      </w:r>
    </w:p>
    <w:p>
      <w:pPr>
        <w:spacing w:line="580" w:lineRule="exact"/>
        <w:ind w:firstLine="240" w:firstLineChars="100"/>
        <w:jc w:val="right"/>
        <w:rPr>
          <w:rFonts w:ascii="宋体" w:hAnsi="宋体"/>
          <w:sz w:val="24"/>
          <w:szCs w:val="24"/>
        </w:rPr>
      </w:pPr>
      <w:r>
        <w:rPr>
          <w:rFonts w:hint="eastAsia" w:ascii="宋体" w:hAnsi="宋体"/>
          <w:sz w:val="24"/>
          <w:szCs w:val="24"/>
        </w:rPr>
        <w:t>单位：元</w:t>
      </w:r>
    </w:p>
    <w:tbl>
      <w:tblPr>
        <w:tblStyle w:val="20"/>
        <w:tblpPr w:leftFromText="180" w:rightFromText="180" w:vertAnchor="text" w:horzAnchor="margin" w:tblpY="9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1415"/>
        <w:gridCol w:w="1984"/>
        <w:gridCol w:w="1842"/>
        <w:gridCol w:w="1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trPr>
        <w:tc>
          <w:tcPr>
            <w:tcW w:w="2940" w:type="dxa"/>
            <w:gridSpan w:val="2"/>
            <w:shd w:val="clear" w:color="auto" w:fill="auto"/>
            <w:vAlign w:val="center"/>
          </w:tcPr>
          <w:p>
            <w:pPr>
              <w:spacing w:line="380" w:lineRule="atLeast"/>
              <w:jc w:val="center"/>
              <w:rPr>
                <w:rFonts w:ascii="宋体" w:hAnsi="宋体"/>
                <w:sz w:val="24"/>
                <w:szCs w:val="24"/>
              </w:rPr>
            </w:pPr>
            <w:r>
              <w:rPr>
                <w:rFonts w:hint="eastAsia" w:ascii="宋体" w:hAnsi="宋体"/>
                <w:sz w:val="24"/>
                <w:szCs w:val="24"/>
              </w:rPr>
              <w:t>项目</w:t>
            </w:r>
          </w:p>
        </w:tc>
        <w:tc>
          <w:tcPr>
            <w:tcW w:w="1984" w:type="dxa"/>
            <w:shd w:val="clear" w:color="auto" w:fill="auto"/>
            <w:vAlign w:val="center"/>
          </w:tcPr>
          <w:p>
            <w:pPr>
              <w:spacing w:line="380" w:lineRule="atLeast"/>
              <w:jc w:val="center"/>
              <w:rPr>
                <w:rFonts w:ascii="宋体" w:hAnsi="宋体"/>
                <w:sz w:val="24"/>
                <w:szCs w:val="24"/>
              </w:rPr>
            </w:pPr>
            <w:r>
              <w:rPr>
                <w:rFonts w:hint="eastAsia" w:ascii="宋体" w:hAnsi="宋体"/>
                <w:sz w:val="24"/>
                <w:szCs w:val="24"/>
              </w:rPr>
              <w:t>基本支出</w:t>
            </w:r>
          </w:p>
        </w:tc>
        <w:tc>
          <w:tcPr>
            <w:tcW w:w="1842" w:type="dxa"/>
            <w:shd w:val="clear" w:color="auto" w:fill="auto"/>
            <w:vAlign w:val="center"/>
          </w:tcPr>
          <w:p>
            <w:pPr>
              <w:spacing w:line="380" w:lineRule="atLeast"/>
              <w:jc w:val="center"/>
              <w:rPr>
                <w:rFonts w:ascii="宋体" w:hAnsi="宋体"/>
                <w:sz w:val="24"/>
                <w:szCs w:val="24"/>
              </w:rPr>
            </w:pPr>
            <w:r>
              <w:rPr>
                <w:rFonts w:hint="eastAsia" w:ascii="宋体" w:hAnsi="宋体"/>
                <w:sz w:val="24"/>
                <w:szCs w:val="24"/>
              </w:rPr>
              <w:t>项目支出</w:t>
            </w:r>
          </w:p>
        </w:tc>
        <w:tc>
          <w:tcPr>
            <w:tcW w:w="1756" w:type="dxa"/>
            <w:shd w:val="clear" w:color="auto" w:fill="auto"/>
            <w:vAlign w:val="center"/>
          </w:tcPr>
          <w:p>
            <w:pPr>
              <w:spacing w:line="380" w:lineRule="atLeast"/>
              <w:jc w:val="center"/>
              <w:rPr>
                <w:rFonts w:ascii="宋体" w:hAnsi="宋体"/>
                <w:sz w:val="24"/>
                <w:szCs w:val="24"/>
              </w:rPr>
            </w:pPr>
            <w:r>
              <w:rPr>
                <w:rFonts w:hint="eastAsia" w:ascii="宋体" w:hAnsi="宋体"/>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40" w:type="dxa"/>
            <w:gridSpan w:val="2"/>
            <w:shd w:val="clear" w:color="auto" w:fill="auto"/>
            <w:vAlign w:val="center"/>
          </w:tcPr>
          <w:p>
            <w:pPr>
              <w:spacing w:line="380" w:lineRule="atLeast"/>
              <w:jc w:val="center"/>
              <w:rPr>
                <w:rFonts w:ascii="宋体" w:hAnsi="宋体"/>
                <w:sz w:val="24"/>
                <w:szCs w:val="24"/>
              </w:rPr>
            </w:pPr>
            <w:r>
              <w:rPr>
                <w:rFonts w:hint="eastAsia" w:ascii="宋体" w:hAnsi="宋体"/>
                <w:sz w:val="24"/>
                <w:szCs w:val="24"/>
              </w:rPr>
              <w:t>年初预算</w:t>
            </w:r>
          </w:p>
        </w:tc>
        <w:tc>
          <w:tcPr>
            <w:tcW w:w="1984" w:type="dxa"/>
            <w:shd w:val="clear" w:color="auto" w:fill="auto"/>
            <w:vAlign w:val="center"/>
          </w:tcPr>
          <w:p>
            <w:pPr>
              <w:spacing w:line="380" w:lineRule="atLeast"/>
              <w:jc w:val="right"/>
              <w:rPr>
                <w:rFonts w:ascii="宋体" w:hAnsi="宋体"/>
                <w:sz w:val="24"/>
                <w:szCs w:val="24"/>
              </w:rPr>
            </w:pPr>
            <w:r>
              <w:rPr>
                <w:rFonts w:hint="eastAsia" w:ascii="宋体" w:hAnsi="宋体"/>
                <w:sz w:val="24"/>
                <w:szCs w:val="24"/>
              </w:rPr>
              <w:t>8</w:t>
            </w:r>
            <w:r>
              <w:rPr>
                <w:rFonts w:ascii="宋体" w:hAnsi="宋体"/>
                <w:sz w:val="24"/>
                <w:szCs w:val="24"/>
              </w:rPr>
              <w:t>204916</w:t>
            </w:r>
          </w:p>
        </w:tc>
        <w:tc>
          <w:tcPr>
            <w:tcW w:w="1842" w:type="dxa"/>
            <w:shd w:val="clear" w:color="auto" w:fill="auto"/>
            <w:vAlign w:val="center"/>
          </w:tcPr>
          <w:p>
            <w:pPr>
              <w:spacing w:line="380" w:lineRule="atLeast"/>
              <w:jc w:val="right"/>
              <w:rPr>
                <w:rFonts w:ascii="宋体" w:hAnsi="宋体"/>
                <w:sz w:val="24"/>
                <w:szCs w:val="24"/>
              </w:rPr>
            </w:pPr>
            <w:r>
              <w:rPr>
                <w:rFonts w:hint="eastAsia" w:ascii="宋体" w:hAnsi="宋体"/>
                <w:sz w:val="24"/>
                <w:szCs w:val="24"/>
              </w:rPr>
              <w:t>3</w:t>
            </w:r>
            <w:r>
              <w:rPr>
                <w:rFonts w:ascii="宋体" w:hAnsi="宋体"/>
                <w:sz w:val="24"/>
                <w:szCs w:val="24"/>
              </w:rPr>
              <w:t>780000</w:t>
            </w:r>
          </w:p>
        </w:tc>
        <w:tc>
          <w:tcPr>
            <w:tcW w:w="1756" w:type="dxa"/>
            <w:shd w:val="clear" w:color="auto" w:fill="auto"/>
            <w:vAlign w:val="center"/>
          </w:tcPr>
          <w:p>
            <w:pPr>
              <w:spacing w:line="380" w:lineRule="atLeast"/>
              <w:jc w:val="right"/>
              <w:rPr>
                <w:rFonts w:ascii="宋体" w:hAnsi="宋体"/>
                <w:sz w:val="24"/>
                <w:szCs w:val="24"/>
              </w:rPr>
            </w:pPr>
            <w:r>
              <w:rPr>
                <w:rFonts w:hint="eastAsia" w:ascii="宋体" w:hAnsi="宋体"/>
                <w:sz w:val="24"/>
                <w:szCs w:val="24"/>
              </w:rPr>
              <w:t>1</w:t>
            </w:r>
            <w:r>
              <w:rPr>
                <w:rFonts w:ascii="宋体" w:hAnsi="宋体"/>
                <w:sz w:val="24"/>
                <w:szCs w:val="24"/>
              </w:rPr>
              <w:t>1984916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5" w:type="dxa"/>
            <w:vMerge w:val="restart"/>
            <w:shd w:val="clear" w:color="auto" w:fill="auto"/>
            <w:vAlign w:val="center"/>
          </w:tcPr>
          <w:p>
            <w:pPr>
              <w:spacing w:line="380" w:lineRule="atLeast"/>
              <w:jc w:val="center"/>
              <w:rPr>
                <w:rFonts w:ascii="宋体" w:hAnsi="宋体"/>
                <w:sz w:val="24"/>
                <w:szCs w:val="24"/>
              </w:rPr>
            </w:pPr>
            <w:r>
              <w:rPr>
                <w:rFonts w:hint="eastAsia" w:ascii="宋体" w:hAnsi="宋体"/>
                <w:sz w:val="24"/>
                <w:szCs w:val="24"/>
              </w:rPr>
              <w:t>本年追加</w:t>
            </w:r>
          </w:p>
        </w:tc>
        <w:tc>
          <w:tcPr>
            <w:tcW w:w="1415" w:type="dxa"/>
            <w:shd w:val="clear" w:color="auto" w:fill="auto"/>
            <w:vAlign w:val="center"/>
          </w:tcPr>
          <w:p>
            <w:pPr>
              <w:spacing w:line="380" w:lineRule="atLeast"/>
              <w:jc w:val="center"/>
              <w:rPr>
                <w:rFonts w:ascii="宋体" w:hAnsi="宋体"/>
                <w:sz w:val="24"/>
                <w:szCs w:val="24"/>
              </w:rPr>
            </w:pPr>
            <w:r>
              <w:rPr>
                <w:rFonts w:hint="eastAsia" w:ascii="宋体" w:hAnsi="宋体"/>
                <w:sz w:val="24"/>
                <w:szCs w:val="24"/>
              </w:rPr>
              <w:t>本级</w:t>
            </w:r>
          </w:p>
        </w:tc>
        <w:tc>
          <w:tcPr>
            <w:tcW w:w="1984" w:type="dxa"/>
            <w:shd w:val="clear" w:color="auto" w:fill="auto"/>
            <w:vAlign w:val="center"/>
          </w:tcPr>
          <w:p>
            <w:pPr>
              <w:spacing w:line="380" w:lineRule="atLeast"/>
              <w:jc w:val="right"/>
              <w:rPr>
                <w:rFonts w:ascii="宋体" w:hAnsi="宋体"/>
                <w:sz w:val="24"/>
                <w:szCs w:val="24"/>
              </w:rPr>
            </w:pPr>
            <w:r>
              <w:rPr>
                <w:rFonts w:hint="eastAsia" w:ascii="宋体" w:hAnsi="宋体"/>
                <w:sz w:val="24"/>
                <w:szCs w:val="24"/>
              </w:rPr>
              <w:t>8</w:t>
            </w:r>
            <w:r>
              <w:rPr>
                <w:rFonts w:ascii="宋体" w:hAnsi="宋体"/>
                <w:sz w:val="24"/>
                <w:szCs w:val="24"/>
              </w:rPr>
              <w:t>51700</w:t>
            </w:r>
          </w:p>
        </w:tc>
        <w:tc>
          <w:tcPr>
            <w:tcW w:w="1842" w:type="dxa"/>
            <w:shd w:val="clear" w:color="auto" w:fill="auto"/>
            <w:vAlign w:val="center"/>
          </w:tcPr>
          <w:p>
            <w:pPr>
              <w:spacing w:line="380" w:lineRule="atLeast"/>
              <w:jc w:val="right"/>
              <w:rPr>
                <w:rFonts w:ascii="宋体" w:hAnsi="宋体"/>
                <w:sz w:val="24"/>
                <w:szCs w:val="24"/>
              </w:rPr>
            </w:pPr>
            <w:r>
              <w:rPr>
                <w:rFonts w:hint="eastAsia" w:ascii="宋体" w:hAnsi="宋体"/>
                <w:sz w:val="24"/>
                <w:szCs w:val="24"/>
              </w:rPr>
              <w:t>1</w:t>
            </w:r>
            <w:r>
              <w:rPr>
                <w:rFonts w:ascii="宋体" w:hAnsi="宋体"/>
                <w:sz w:val="24"/>
                <w:szCs w:val="24"/>
              </w:rPr>
              <w:t>893532</w:t>
            </w:r>
          </w:p>
        </w:tc>
        <w:tc>
          <w:tcPr>
            <w:tcW w:w="1756" w:type="dxa"/>
            <w:shd w:val="clear" w:color="auto" w:fill="auto"/>
            <w:vAlign w:val="center"/>
          </w:tcPr>
          <w:p>
            <w:pPr>
              <w:spacing w:line="380" w:lineRule="atLeast"/>
              <w:jc w:val="right"/>
              <w:rPr>
                <w:rFonts w:ascii="宋体" w:hAnsi="宋体"/>
                <w:sz w:val="24"/>
                <w:szCs w:val="24"/>
              </w:rPr>
            </w:pPr>
            <w:r>
              <w:rPr>
                <w:rFonts w:hint="eastAsia" w:ascii="宋体" w:hAnsi="宋体"/>
                <w:sz w:val="24"/>
                <w:szCs w:val="24"/>
              </w:rPr>
              <w:t>2</w:t>
            </w:r>
            <w:r>
              <w:rPr>
                <w:rFonts w:ascii="宋体" w:hAnsi="宋体"/>
                <w:sz w:val="24"/>
                <w:szCs w:val="24"/>
              </w:rPr>
              <w:t>745232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5" w:type="dxa"/>
            <w:vMerge w:val="continue"/>
            <w:shd w:val="clear" w:color="auto" w:fill="auto"/>
            <w:vAlign w:val="center"/>
          </w:tcPr>
          <w:p>
            <w:pPr>
              <w:spacing w:line="380" w:lineRule="atLeast"/>
              <w:jc w:val="center"/>
              <w:rPr>
                <w:rFonts w:ascii="宋体" w:hAnsi="宋体"/>
                <w:sz w:val="24"/>
                <w:szCs w:val="24"/>
              </w:rPr>
            </w:pPr>
          </w:p>
        </w:tc>
        <w:tc>
          <w:tcPr>
            <w:tcW w:w="1415" w:type="dxa"/>
            <w:shd w:val="clear" w:color="auto" w:fill="auto"/>
            <w:vAlign w:val="center"/>
          </w:tcPr>
          <w:p>
            <w:pPr>
              <w:spacing w:line="380" w:lineRule="atLeast"/>
              <w:jc w:val="center"/>
              <w:rPr>
                <w:rFonts w:ascii="宋体" w:hAnsi="宋体"/>
                <w:sz w:val="24"/>
                <w:szCs w:val="24"/>
              </w:rPr>
            </w:pPr>
            <w:r>
              <w:rPr>
                <w:rFonts w:hint="eastAsia" w:ascii="宋体" w:hAnsi="宋体"/>
                <w:sz w:val="24"/>
                <w:szCs w:val="24"/>
              </w:rPr>
              <w:t>上级</w:t>
            </w:r>
          </w:p>
        </w:tc>
        <w:tc>
          <w:tcPr>
            <w:tcW w:w="1984" w:type="dxa"/>
            <w:shd w:val="clear" w:color="auto" w:fill="auto"/>
            <w:vAlign w:val="center"/>
          </w:tcPr>
          <w:p>
            <w:pPr>
              <w:spacing w:line="380" w:lineRule="atLeast"/>
              <w:jc w:val="right"/>
              <w:rPr>
                <w:rFonts w:ascii="宋体" w:hAnsi="宋体"/>
                <w:sz w:val="24"/>
                <w:szCs w:val="24"/>
              </w:rPr>
            </w:pPr>
            <w:r>
              <w:rPr>
                <w:rFonts w:hint="eastAsia" w:ascii="宋体" w:hAnsi="宋体"/>
                <w:sz w:val="24"/>
                <w:szCs w:val="24"/>
              </w:rPr>
              <w:t>0</w:t>
            </w:r>
          </w:p>
        </w:tc>
        <w:tc>
          <w:tcPr>
            <w:tcW w:w="1842" w:type="dxa"/>
            <w:shd w:val="clear" w:color="auto" w:fill="auto"/>
            <w:vAlign w:val="center"/>
          </w:tcPr>
          <w:p>
            <w:pPr>
              <w:spacing w:line="380" w:lineRule="atLeast"/>
              <w:jc w:val="right"/>
              <w:rPr>
                <w:rFonts w:ascii="宋体" w:hAnsi="宋体"/>
                <w:sz w:val="24"/>
                <w:szCs w:val="24"/>
              </w:rPr>
            </w:pPr>
            <w:r>
              <w:rPr>
                <w:rFonts w:hint="eastAsia" w:ascii="宋体" w:hAnsi="宋体"/>
                <w:sz w:val="24"/>
                <w:szCs w:val="24"/>
              </w:rPr>
              <w:t>2</w:t>
            </w:r>
            <w:r>
              <w:rPr>
                <w:rFonts w:ascii="宋体" w:hAnsi="宋体"/>
                <w:sz w:val="24"/>
                <w:szCs w:val="24"/>
              </w:rPr>
              <w:t>8782300</w:t>
            </w:r>
          </w:p>
        </w:tc>
        <w:tc>
          <w:tcPr>
            <w:tcW w:w="1756" w:type="dxa"/>
            <w:shd w:val="clear" w:color="auto" w:fill="auto"/>
            <w:vAlign w:val="center"/>
          </w:tcPr>
          <w:p>
            <w:pPr>
              <w:spacing w:line="380" w:lineRule="atLeast"/>
              <w:jc w:val="right"/>
              <w:rPr>
                <w:rFonts w:ascii="宋体" w:hAnsi="宋体"/>
                <w:sz w:val="24"/>
                <w:szCs w:val="24"/>
              </w:rPr>
            </w:pPr>
            <w:r>
              <w:rPr>
                <w:rFonts w:hint="eastAsia" w:ascii="宋体" w:hAnsi="宋体"/>
                <w:sz w:val="24"/>
                <w:szCs w:val="24"/>
              </w:rPr>
              <w:t>2</w:t>
            </w:r>
            <w:r>
              <w:rPr>
                <w:rFonts w:ascii="宋体" w:hAnsi="宋体"/>
                <w:sz w:val="24"/>
                <w:szCs w:val="24"/>
              </w:rPr>
              <w:t>8782300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5" w:type="dxa"/>
            <w:vMerge w:val="continue"/>
            <w:shd w:val="clear" w:color="auto" w:fill="auto"/>
            <w:vAlign w:val="center"/>
          </w:tcPr>
          <w:p>
            <w:pPr>
              <w:spacing w:line="380" w:lineRule="atLeast"/>
              <w:jc w:val="center"/>
              <w:rPr>
                <w:rFonts w:ascii="宋体" w:hAnsi="宋体"/>
                <w:sz w:val="24"/>
                <w:szCs w:val="24"/>
              </w:rPr>
            </w:pPr>
          </w:p>
        </w:tc>
        <w:tc>
          <w:tcPr>
            <w:tcW w:w="1415" w:type="dxa"/>
            <w:shd w:val="clear" w:color="auto" w:fill="auto"/>
            <w:vAlign w:val="center"/>
          </w:tcPr>
          <w:p>
            <w:pPr>
              <w:spacing w:line="380" w:lineRule="atLeast"/>
              <w:jc w:val="center"/>
              <w:rPr>
                <w:rFonts w:ascii="宋体" w:hAnsi="宋体"/>
                <w:sz w:val="24"/>
                <w:szCs w:val="24"/>
              </w:rPr>
            </w:pPr>
            <w:r>
              <w:rPr>
                <w:rFonts w:hint="eastAsia" w:ascii="宋体" w:hAnsi="宋体"/>
                <w:sz w:val="24"/>
                <w:szCs w:val="24"/>
              </w:rPr>
              <w:t>小计</w:t>
            </w:r>
          </w:p>
        </w:tc>
        <w:tc>
          <w:tcPr>
            <w:tcW w:w="1984" w:type="dxa"/>
            <w:shd w:val="clear" w:color="auto" w:fill="auto"/>
            <w:vAlign w:val="center"/>
          </w:tcPr>
          <w:p>
            <w:pPr>
              <w:spacing w:line="380" w:lineRule="atLeast"/>
              <w:jc w:val="right"/>
              <w:rPr>
                <w:rFonts w:ascii="宋体" w:hAnsi="宋体"/>
                <w:sz w:val="24"/>
                <w:szCs w:val="24"/>
              </w:rPr>
            </w:pPr>
            <w:r>
              <w:rPr>
                <w:rFonts w:hint="eastAsia" w:ascii="宋体" w:hAnsi="宋体"/>
                <w:sz w:val="24"/>
                <w:szCs w:val="24"/>
              </w:rPr>
              <w:t>8</w:t>
            </w:r>
            <w:r>
              <w:rPr>
                <w:rFonts w:ascii="宋体" w:hAnsi="宋体"/>
                <w:sz w:val="24"/>
                <w:szCs w:val="24"/>
              </w:rPr>
              <w:t>51700</w:t>
            </w:r>
          </w:p>
        </w:tc>
        <w:tc>
          <w:tcPr>
            <w:tcW w:w="1842" w:type="dxa"/>
            <w:shd w:val="clear" w:color="auto" w:fill="auto"/>
            <w:vAlign w:val="center"/>
          </w:tcPr>
          <w:p>
            <w:pPr>
              <w:spacing w:line="380" w:lineRule="atLeast"/>
              <w:jc w:val="right"/>
              <w:rPr>
                <w:rFonts w:ascii="宋体" w:hAnsi="宋体"/>
                <w:sz w:val="24"/>
                <w:szCs w:val="24"/>
              </w:rPr>
            </w:pPr>
            <w:r>
              <w:rPr>
                <w:rFonts w:hint="eastAsia" w:ascii="宋体" w:hAnsi="宋体"/>
                <w:sz w:val="24"/>
                <w:szCs w:val="24"/>
              </w:rPr>
              <w:t>3</w:t>
            </w:r>
            <w:r>
              <w:rPr>
                <w:rFonts w:ascii="宋体" w:hAnsi="宋体"/>
                <w:sz w:val="24"/>
                <w:szCs w:val="24"/>
              </w:rPr>
              <w:t>0675832</w:t>
            </w:r>
          </w:p>
        </w:tc>
        <w:tc>
          <w:tcPr>
            <w:tcW w:w="1756" w:type="dxa"/>
            <w:shd w:val="clear" w:color="auto" w:fill="auto"/>
            <w:vAlign w:val="center"/>
          </w:tcPr>
          <w:p>
            <w:pPr>
              <w:spacing w:line="380" w:lineRule="atLeast"/>
              <w:jc w:val="right"/>
              <w:rPr>
                <w:rFonts w:ascii="宋体" w:hAnsi="宋体"/>
                <w:sz w:val="24"/>
                <w:szCs w:val="24"/>
              </w:rPr>
            </w:pPr>
            <w:r>
              <w:rPr>
                <w:rFonts w:hint="eastAsia" w:ascii="宋体" w:hAnsi="宋体"/>
                <w:sz w:val="24"/>
                <w:szCs w:val="24"/>
              </w:rPr>
              <w:t>3</w:t>
            </w:r>
            <w:r>
              <w:rPr>
                <w:rFonts w:ascii="宋体" w:hAnsi="宋体"/>
                <w:sz w:val="24"/>
                <w:szCs w:val="24"/>
              </w:rPr>
              <w:t>1527532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40" w:type="dxa"/>
            <w:gridSpan w:val="2"/>
            <w:shd w:val="clear" w:color="auto" w:fill="auto"/>
            <w:vAlign w:val="center"/>
          </w:tcPr>
          <w:p>
            <w:pPr>
              <w:spacing w:line="380" w:lineRule="atLeast"/>
              <w:jc w:val="center"/>
              <w:rPr>
                <w:rFonts w:ascii="宋体" w:hAnsi="宋体"/>
                <w:sz w:val="24"/>
                <w:szCs w:val="24"/>
              </w:rPr>
            </w:pPr>
            <w:r>
              <w:rPr>
                <w:rFonts w:hint="eastAsia" w:ascii="宋体" w:hAnsi="宋体"/>
                <w:sz w:val="24"/>
                <w:szCs w:val="24"/>
              </w:rPr>
              <w:t>合计</w:t>
            </w:r>
          </w:p>
        </w:tc>
        <w:tc>
          <w:tcPr>
            <w:tcW w:w="1984" w:type="dxa"/>
            <w:shd w:val="clear" w:color="auto" w:fill="auto"/>
            <w:vAlign w:val="center"/>
          </w:tcPr>
          <w:p>
            <w:pPr>
              <w:spacing w:line="380" w:lineRule="atLeast"/>
              <w:jc w:val="right"/>
              <w:rPr>
                <w:rFonts w:ascii="宋体" w:hAnsi="宋体"/>
                <w:sz w:val="24"/>
                <w:szCs w:val="24"/>
              </w:rPr>
            </w:pPr>
            <w:r>
              <w:rPr>
                <w:rFonts w:hint="eastAsia" w:ascii="宋体" w:hAnsi="宋体"/>
                <w:sz w:val="24"/>
                <w:szCs w:val="24"/>
              </w:rPr>
              <w:t>9</w:t>
            </w:r>
            <w:r>
              <w:rPr>
                <w:rFonts w:ascii="宋体" w:hAnsi="宋体"/>
                <w:sz w:val="24"/>
                <w:szCs w:val="24"/>
              </w:rPr>
              <w:t>056616</w:t>
            </w:r>
          </w:p>
        </w:tc>
        <w:tc>
          <w:tcPr>
            <w:tcW w:w="1842" w:type="dxa"/>
            <w:shd w:val="clear" w:color="auto" w:fill="auto"/>
            <w:vAlign w:val="center"/>
          </w:tcPr>
          <w:p>
            <w:pPr>
              <w:spacing w:line="380" w:lineRule="atLeast"/>
              <w:jc w:val="right"/>
              <w:rPr>
                <w:rFonts w:ascii="宋体" w:hAnsi="宋体"/>
                <w:sz w:val="24"/>
                <w:szCs w:val="24"/>
              </w:rPr>
            </w:pPr>
            <w:r>
              <w:rPr>
                <w:rFonts w:hint="eastAsia" w:ascii="宋体" w:hAnsi="宋体"/>
                <w:sz w:val="24"/>
                <w:szCs w:val="24"/>
              </w:rPr>
              <w:t>3</w:t>
            </w:r>
            <w:r>
              <w:rPr>
                <w:rFonts w:ascii="宋体" w:hAnsi="宋体"/>
                <w:sz w:val="24"/>
                <w:szCs w:val="24"/>
              </w:rPr>
              <w:t>4455832</w:t>
            </w:r>
          </w:p>
        </w:tc>
        <w:tc>
          <w:tcPr>
            <w:tcW w:w="1756" w:type="dxa"/>
            <w:shd w:val="clear" w:color="auto" w:fill="auto"/>
            <w:vAlign w:val="center"/>
          </w:tcPr>
          <w:p>
            <w:pPr>
              <w:spacing w:line="380" w:lineRule="atLeast"/>
              <w:jc w:val="right"/>
              <w:rPr>
                <w:rFonts w:ascii="宋体" w:hAnsi="宋体"/>
                <w:sz w:val="24"/>
                <w:szCs w:val="24"/>
              </w:rPr>
            </w:pPr>
            <w:r>
              <w:rPr>
                <w:rFonts w:hint="eastAsia" w:ascii="宋体" w:hAnsi="宋体"/>
                <w:sz w:val="24"/>
                <w:szCs w:val="24"/>
              </w:rPr>
              <w:t>4</w:t>
            </w:r>
            <w:r>
              <w:rPr>
                <w:rFonts w:ascii="宋体" w:hAnsi="宋体"/>
                <w:sz w:val="24"/>
                <w:szCs w:val="24"/>
              </w:rPr>
              <w:t>3512448</w:t>
            </w:r>
          </w:p>
        </w:tc>
      </w:tr>
    </w:tbl>
    <w:p>
      <w:pPr>
        <w:spacing w:line="580" w:lineRule="exact"/>
        <w:ind w:firstLine="560" w:firstLineChars="200"/>
        <w:rPr>
          <w:rFonts w:ascii="宋体" w:hAnsi="宋体"/>
          <w:sz w:val="28"/>
          <w:szCs w:val="28"/>
        </w:rPr>
      </w:pPr>
      <w:r>
        <w:rPr>
          <w:rFonts w:hint="eastAsia" w:ascii="宋体" w:hAnsi="宋体"/>
          <w:sz w:val="28"/>
          <w:szCs w:val="28"/>
        </w:rPr>
        <w:t>从上表反映：</w:t>
      </w:r>
      <w:r>
        <w:rPr>
          <w:rFonts w:ascii="宋体" w:hAnsi="宋体"/>
          <w:sz w:val="28"/>
          <w:szCs w:val="28"/>
        </w:rPr>
        <w:t>2021</w:t>
      </w:r>
      <w:r>
        <w:rPr>
          <w:rFonts w:hint="eastAsia" w:ascii="宋体" w:hAnsi="宋体"/>
          <w:sz w:val="28"/>
          <w:szCs w:val="28"/>
        </w:rPr>
        <w:t>年年初预算1</w:t>
      </w:r>
      <w:r>
        <w:rPr>
          <w:rFonts w:ascii="宋体" w:hAnsi="宋体"/>
          <w:sz w:val="28"/>
          <w:szCs w:val="28"/>
        </w:rPr>
        <w:t>1984916</w:t>
      </w:r>
      <w:r>
        <w:rPr>
          <w:rFonts w:hint="eastAsia" w:ascii="宋体" w:hAnsi="宋体"/>
          <w:sz w:val="28"/>
          <w:szCs w:val="28"/>
        </w:rPr>
        <w:t>元，其中基本支出8</w:t>
      </w:r>
      <w:r>
        <w:rPr>
          <w:rFonts w:ascii="宋体" w:hAnsi="宋体"/>
          <w:sz w:val="28"/>
          <w:szCs w:val="28"/>
        </w:rPr>
        <w:t>204916</w:t>
      </w:r>
      <w:r>
        <w:rPr>
          <w:rFonts w:hint="eastAsia" w:ascii="宋体" w:hAnsi="宋体"/>
          <w:sz w:val="28"/>
          <w:szCs w:val="28"/>
        </w:rPr>
        <w:t>元，使用内容为人员经费和日常公用经费；项目支出</w:t>
      </w:r>
      <w:r>
        <w:rPr>
          <w:rFonts w:ascii="宋体" w:hAnsi="宋体"/>
          <w:sz w:val="28"/>
          <w:szCs w:val="28"/>
        </w:rPr>
        <w:t>3780000</w:t>
      </w:r>
      <w:r>
        <w:rPr>
          <w:rFonts w:hint="eastAsia" w:ascii="宋体" w:hAnsi="宋体"/>
          <w:sz w:val="28"/>
          <w:szCs w:val="28"/>
        </w:rPr>
        <w:t>元，使用内容为森林防火、森林护林员管护、林业有害生物防治、森林公安和行政执法办案、森林督查及资源数据更新、野生动物保护及疫情疫源监测等项目。年中追加3</w:t>
      </w:r>
      <w:r>
        <w:rPr>
          <w:rFonts w:ascii="宋体" w:hAnsi="宋体"/>
          <w:sz w:val="28"/>
          <w:szCs w:val="28"/>
        </w:rPr>
        <w:t>1527532</w:t>
      </w:r>
      <w:r>
        <w:rPr>
          <w:rFonts w:hint="eastAsia" w:ascii="宋体" w:hAnsi="宋体"/>
          <w:sz w:val="28"/>
          <w:szCs w:val="28"/>
        </w:rPr>
        <w:t>元，其中基本支出8</w:t>
      </w:r>
      <w:r>
        <w:rPr>
          <w:rFonts w:ascii="宋体" w:hAnsi="宋体"/>
          <w:sz w:val="28"/>
          <w:szCs w:val="28"/>
        </w:rPr>
        <w:t>51700</w:t>
      </w:r>
      <w:r>
        <w:rPr>
          <w:rFonts w:hint="eastAsia" w:ascii="宋体" w:hAnsi="宋体"/>
          <w:sz w:val="28"/>
          <w:szCs w:val="28"/>
        </w:rPr>
        <w:t>元，使用内容为绩效考核奖励及人员异动工资等；项目支出3</w:t>
      </w:r>
      <w:r>
        <w:rPr>
          <w:rFonts w:ascii="宋体" w:hAnsi="宋体"/>
          <w:sz w:val="28"/>
          <w:szCs w:val="28"/>
        </w:rPr>
        <w:t>0675832</w:t>
      </w:r>
      <w:r>
        <w:rPr>
          <w:rFonts w:hint="eastAsia" w:ascii="宋体" w:hAnsi="宋体"/>
          <w:sz w:val="28"/>
          <w:szCs w:val="28"/>
        </w:rPr>
        <w:t>元（本级1</w:t>
      </w:r>
      <w:r>
        <w:rPr>
          <w:rFonts w:ascii="宋体" w:hAnsi="宋体"/>
          <w:sz w:val="28"/>
          <w:szCs w:val="28"/>
        </w:rPr>
        <w:t>893532</w:t>
      </w:r>
      <w:r>
        <w:rPr>
          <w:rFonts w:hint="eastAsia" w:ascii="宋体" w:hAnsi="宋体"/>
          <w:sz w:val="28"/>
          <w:szCs w:val="28"/>
        </w:rPr>
        <w:t>元，上级2</w:t>
      </w:r>
      <w:r>
        <w:rPr>
          <w:rFonts w:ascii="宋体" w:hAnsi="宋体"/>
          <w:sz w:val="28"/>
          <w:szCs w:val="28"/>
        </w:rPr>
        <w:t>8782300</w:t>
      </w:r>
      <w:r>
        <w:rPr>
          <w:rFonts w:hint="eastAsia" w:ascii="宋体" w:hAnsi="宋体"/>
          <w:sz w:val="28"/>
          <w:szCs w:val="28"/>
        </w:rPr>
        <w:t>元），使用内容为油茶奖扶（本级1</w:t>
      </w:r>
      <w:r>
        <w:rPr>
          <w:rFonts w:ascii="宋体" w:hAnsi="宋体"/>
          <w:sz w:val="28"/>
          <w:szCs w:val="28"/>
        </w:rPr>
        <w:t>500000</w:t>
      </w:r>
      <w:r>
        <w:rPr>
          <w:rFonts w:hint="eastAsia" w:ascii="宋体" w:hAnsi="宋体"/>
          <w:sz w:val="28"/>
          <w:szCs w:val="28"/>
        </w:rPr>
        <w:t>元）、野生动物退养补偿（含本级及上级，本级3</w:t>
      </w:r>
      <w:r>
        <w:rPr>
          <w:rFonts w:ascii="宋体" w:hAnsi="宋体"/>
          <w:sz w:val="28"/>
          <w:szCs w:val="28"/>
        </w:rPr>
        <w:t>93532</w:t>
      </w:r>
      <w:r>
        <w:rPr>
          <w:rFonts w:hint="eastAsia" w:ascii="宋体" w:hAnsi="宋体"/>
          <w:sz w:val="28"/>
          <w:szCs w:val="28"/>
        </w:rPr>
        <w:t>元）、林业有害生物防治、天然商品林管护、森林抚育、油茶低改及产业发展、森林防火等项目。</w:t>
      </w:r>
    </w:p>
    <w:p>
      <w:pPr>
        <w:pStyle w:val="3"/>
        <w:ind w:left="420" w:right="420"/>
        <w:jc w:val="both"/>
        <w:rPr>
          <w:sz w:val="28"/>
          <w:szCs w:val="28"/>
        </w:rPr>
      </w:pPr>
      <w:r>
        <w:rPr>
          <w:sz w:val="28"/>
          <w:szCs w:val="28"/>
        </w:rPr>
        <w:t>（二）年度预算收支决算情况</w:t>
      </w:r>
    </w:p>
    <w:p>
      <w:pPr>
        <w:jc w:val="right"/>
      </w:pPr>
      <w:r>
        <w:rPr>
          <w:rFonts w:hint="eastAsia"/>
        </w:rPr>
        <w:t>单位：元</w:t>
      </w:r>
    </w:p>
    <w:tbl>
      <w:tblPr>
        <w:tblStyle w:val="20"/>
        <w:tblW w:w="83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43"/>
        <w:gridCol w:w="2044"/>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43" w:type="dxa"/>
            <w:shd w:val="clear" w:color="auto" w:fill="auto"/>
            <w:vAlign w:val="center"/>
          </w:tcPr>
          <w:p>
            <w:pPr>
              <w:spacing w:line="380" w:lineRule="exact"/>
              <w:jc w:val="center"/>
              <w:rPr>
                <w:rFonts w:ascii="宋体" w:hAnsi="宋体"/>
                <w:sz w:val="24"/>
                <w:szCs w:val="24"/>
              </w:rPr>
            </w:pPr>
            <w:r>
              <w:rPr>
                <w:rFonts w:hint="eastAsia" w:ascii="宋体" w:hAnsi="宋体"/>
                <w:sz w:val="24"/>
                <w:szCs w:val="24"/>
              </w:rPr>
              <w:t>预算项目</w:t>
            </w:r>
          </w:p>
        </w:tc>
        <w:tc>
          <w:tcPr>
            <w:tcW w:w="2044" w:type="dxa"/>
            <w:shd w:val="clear" w:color="auto" w:fill="auto"/>
            <w:vAlign w:val="center"/>
          </w:tcPr>
          <w:p>
            <w:pPr>
              <w:spacing w:line="380" w:lineRule="exact"/>
              <w:jc w:val="center"/>
              <w:rPr>
                <w:rFonts w:ascii="宋体" w:hAnsi="宋体"/>
                <w:sz w:val="24"/>
                <w:szCs w:val="24"/>
              </w:rPr>
            </w:pPr>
            <w:r>
              <w:rPr>
                <w:rFonts w:hint="eastAsia" w:ascii="宋体" w:hAnsi="宋体"/>
                <w:sz w:val="24"/>
                <w:szCs w:val="24"/>
              </w:rPr>
              <w:t>预算数</w:t>
            </w:r>
          </w:p>
        </w:tc>
        <w:tc>
          <w:tcPr>
            <w:tcW w:w="1842" w:type="dxa"/>
            <w:vAlign w:val="center"/>
          </w:tcPr>
          <w:p>
            <w:pPr>
              <w:spacing w:line="380" w:lineRule="exact"/>
              <w:jc w:val="center"/>
              <w:rPr>
                <w:rFonts w:ascii="宋体" w:hAnsi="宋体"/>
                <w:sz w:val="24"/>
                <w:szCs w:val="24"/>
              </w:rPr>
            </w:pPr>
            <w:r>
              <w:rPr>
                <w:rFonts w:hint="eastAsia" w:ascii="宋体" w:hAnsi="宋体"/>
                <w:sz w:val="24"/>
                <w:szCs w:val="24"/>
              </w:rPr>
              <w:t>决算数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43" w:type="dxa"/>
            <w:shd w:val="clear" w:color="auto" w:fill="auto"/>
            <w:vAlign w:val="center"/>
          </w:tcPr>
          <w:p>
            <w:pPr>
              <w:spacing w:line="380" w:lineRule="exact"/>
              <w:rPr>
                <w:rFonts w:ascii="宋体" w:hAnsi="宋体"/>
                <w:sz w:val="24"/>
                <w:szCs w:val="24"/>
              </w:rPr>
            </w:pPr>
            <w:r>
              <w:rPr>
                <w:rFonts w:hint="eastAsia" w:ascii="宋体" w:hAnsi="宋体"/>
                <w:sz w:val="24"/>
                <w:szCs w:val="24"/>
              </w:rPr>
              <w:t>一、公共财政拨款</w:t>
            </w:r>
          </w:p>
        </w:tc>
        <w:tc>
          <w:tcPr>
            <w:tcW w:w="2044"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1</w:t>
            </w:r>
            <w:r>
              <w:rPr>
                <w:rFonts w:ascii="宋体" w:hAnsi="宋体"/>
                <w:sz w:val="24"/>
                <w:szCs w:val="24"/>
              </w:rPr>
              <w:t>1984916</w:t>
            </w:r>
          </w:p>
        </w:tc>
        <w:tc>
          <w:tcPr>
            <w:tcW w:w="1842" w:type="dxa"/>
            <w:vAlign w:val="center"/>
          </w:tcPr>
          <w:p>
            <w:pPr>
              <w:spacing w:line="380" w:lineRule="exact"/>
              <w:jc w:val="right"/>
              <w:rPr>
                <w:rFonts w:ascii="宋体" w:hAnsi="宋体"/>
                <w:sz w:val="24"/>
                <w:szCs w:val="24"/>
              </w:rPr>
            </w:pPr>
            <w:r>
              <w:rPr>
                <w:rFonts w:hint="eastAsia" w:ascii="宋体" w:hAnsi="宋体"/>
                <w:sz w:val="24"/>
                <w:szCs w:val="24"/>
              </w:rPr>
              <w:t>3</w:t>
            </w:r>
            <w:r>
              <w:rPr>
                <w:rFonts w:ascii="宋体" w:hAnsi="宋体"/>
                <w:sz w:val="24"/>
                <w:szCs w:val="24"/>
              </w:rPr>
              <w:t>2216446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43" w:type="dxa"/>
            <w:shd w:val="clear" w:color="auto" w:fill="auto"/>
            <w:vAlign w:val="center"/>
          </w:tcPr>
          <w:p>
            <w:pPr>
              <w:spacing w:line="380" w:lineRule="exact"/>
              <w:rPr>
                <w:rFonts w:ascii="宋体" w:hAnsi="宋体"/>
                <w:sz w:val="24"/>
                <w:szCs w:val="24"/>
              </w:rPr>
            </w:pPr>
            <w:r>
              <w:rPr>
                <w:rFonts w:hint="eastAsia" w:ascii="宋体" w:hAnsi="宋体"/>
                <w:sz w:val="24"/>
                <w:szCs w:val="24"/>
              </w:rPr>
              <w:t>1</w:t>
            </w:r>
            <w:r>
              <w:rPr>
                <w:rFonts w:ascii="宋体" w:hAnsi="宋体"/>
                <w:sz w:val="24"/>
                <w:szCs w:val="24"/>
              </w:rPr>
              <w:t>.</w:t>
            </w:r>
            <w:r>
              <w:rPr>
                <w:rFonts w:hint="eastAsia" w:ascii="宋体" w:hAnsi="宋体"/>
                <w:sz w:val="24"/>
                <w:szCs w:val="24"/>
              </w:rPr>
              <w:t>经费拨款</w:t>
            </w:r>
          </w:p>
        </w:tc>
        <w:tc>
          <w:tcPr>
            <w:tcW w:w="2044"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9</w:t>
            </w:r>
            <w:r>
              <w:rPr>
                <w:rFonts w:ascii="宋体" w:hAnsi="宋体"/>
                <w:sz w:val="24"/>
                <w:szCs w:val="24"/>
              </w:rPr>
              <w:t>404916</w:t>
            </w:r>
          </w:p>
        </w:tc>
        <w:tc>
          <w:tcPr>
            <w:tcW w:w="1842" w:type="dxa"/>
            <w:vAlign w:val="center"/>
          </w:tcPr>
          <w:p>
            <w:pPr>
              <w:spacing w:line="380" w:lineRule="exact"/>
              <w:jc w:val="right"/>
              <w:rPr>
                <w:rFonts w:ascii="宋体" w:hAnsi="宋体"/>
                <w:sz w:val="24"/>
                <w:szCs w:val="24"/>
              </w:rPr>
            </w:pPr>
            <w:r>
              <w:rPr>
                <w:rFonts w:hint="eastAsia" w:ascii="宋体" w:hAnsi="宋体"/>
                <w:sz w:val="24"/>
                <w:szCs w:val="24"/>
              </w:rPr>
              <w:t>2</w:t>
            </w:r>
            <w:r>
              <w:rPr>
                <w:rFonts w:ascii="宋体" w:hAnsi="宋体"/>
                <w:sz w:val="24"/>
                <w:szCs w:val="24"/>
              </w:rPr>
              <w:t>9774514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443" w:type="dxa"/>
            <w:shd w:val="clear" w:color="auto" w:fill="auto"/>
            <w:vAlign w:val="center"/>
          </w:tcPr>
          <w:p>
            <w:pPr>
              <w:spacing w:line="380" w:lineRule="exact"/>
              <w:rPr>
                <w:rFonts w:ascii="宋体" w:hAnsi="宋体"/>
                <w:sz w:val="24"/>
                <w:szCs w:val="24"/>
              </w:rPr>
            </w:pPr>
            <w:r>
              <w:rPr>
                <w:rFonts w:ascii="宋体" w:hAnsi="宋体"/>
                <w:sz w:val="24"/>
                <w:szCs w:val="24"/>
              </w:rPr>
              <w:t>2.</w:t>
            </w:r>
            <w:r>
              <w:rPr>
                <w:rFonts w:hint="eastAsia" w:ascii="宋体" w:hAnsi="宋体"/>
                <w:sz w:val="24"/>
                <w:szCs w:val="24"/>
              </w:rPr>
              <w:t>纳入公共财政预算管理的非税收入安排的资金</w:t>
            </w:r>
          </w:p>
        </w:tc>
        <w:tc>
          <w:tcPr>
            <w:tcW w:w="2044"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2</w:t>
            </w:r>
            <w:r>
              <w:rPr>
                <w:rFonts w:ascii="宋体" w:hAnsi="宋体"/>
                <w:sz w:val="24"/>
                <w:szCs w:val="24"/>
              </w:rPr>
              <w:t>580000</w:t>
            </w:r>
          </w:p>
        </w:tc>
        <w:tc>
          <w:tcPr>
            <w:tcW w:w="1842" w:type="dxa"/>
            <w:vAlign w:val="center"/>
          </w:tcPr>
          <w:p>
            <w:pPr>
              <w:spacing w:line="380" w:lineRule="exact"/>
              <w:jc w:val="right"/>
              <w:rPr>
                <w:rFonts w:ascii="宋体" w:hAnsi="宋体"/>
                <w:sz w:val="24"/>
                <w:szCs w:val="24"/>
              </w:rPr>
            </w:pPr>
            <w:r>
              <w:rPr>
                <w:rFonts w:hint="eastAsia" w:ascii="宋体" w:hAnsi="宋体"/>
                <w:sz w:val="24"/>
                <w:szCs w:val="24"/>
              </w:rPr>
              <w:t>2</w:t>
            </w:r>
            <w:r>
              <w:rPr>
                <w:rFonts w:ascii="宋体" w:hAnsi="宋体"/>
                <w:sz w:val="24"/>
                <w:szCs w:val="24"/>
              </w:rPr>
              <w:t>441932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43" w:type="dxa"/>
            <w:shd w:val="clear" w:color="auto" w:fill="auto"/>
            <w:vAlign w:val="center"/>
          </w:tcPr>
          <w:p>
            <w:pPr>
              <w:spacing w:line="380" w:lineRule="exact"/>
              <w:rPr>
                <w:rFonts w:ascii="宋体" w:hAnsi="宋体"/>
                <w:sz w:val="24"/>
                <w:szCs w:val="24"/>
              </w:rPr>
            </w:pPr>
            <w:r>
              <w:rPr>
                <w:rFonts w:hint="eastAsia" w:ascii="宋体" w:hAnsi="宋体"/>
                <w:sz w:val="24"/>
                <w:szCs w:val="24"/>
              </w:rPr>
              <w:t>（1）专项收入安排的资金</w:t>
            </w:r>
          </w:p>
        </w:tc>
        <w:tc>
          <w:tcPr>
            <w:tcW w:w="2044"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2</w:t>
            </w:r>
            <w:r>
              <w:rPr>
                <w:rFonts w:ascii="宋体" w:hAnsi="宋体"/>
                <w:sz w:val="24"/>
                <w:szCs w:val="24"/>
              </w:rPr>
              <w:t>400000</w:t>
            </w:r>
          </w:p>
        </w:tc>
        <w:tc>
          <w:tcPr>
            <w:tcW w:w="1842" w:type="dxa"/>
            <w:vAlign w:val="center"/>
          </w:tcPr>
          <w:p>
            <w:pPr>
              <w:spacing w:line="380" w:lineRule="exact"/>
              <w:jc w:val="right"/>
              <w:rPr>
                <w:rFonts w:ascii="宋体" w:hAnsi="宋体"/>
                <w:sz w:val="24"/>
                <w:szCs w:val="24"/>
              </w:rPr>
            </w:pPr>
            <w:r>
              <w:rPr>
                <w:rFonts w:hint="eastAsia" w:ascii="宋体" w:hAnsi="宋体"/>
                <w:sz w:val="24"/>
                <w:szCs w:val="24"/>
              </w:rPr>
              <w:t>1</w:t>
            </w:r>
            <w:r>
              <w:rPr>
                <w:rFonts w:ascii="宋体" w:hAnsi="宋体"/>
                <w:sz w:val="24"/>
                <w:szCs w:val="24"/>
              </w:rPr>
              <w:t>749130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43" w:type="dxa"/>
            <w:shd w:val="clear" w:color="auto" w:fill="auto"/>
            <w:vAlign w:val="center"/>
          </w:tcPr>
          <w:p>
            <w:pPr>
              <w:spacing w:line="380" w:lineRule="exact"/>
              <w:rPr>
                <w:rFonts w:ascii="宋体" w:hAnsi="宋体"/>
                <w:sz w:val="24"/>
                <w:szCs w:val="24"/>
              </w:rPr>
            </w:pPr>
            <w:r>
              <w:rPr>
                <w:rFonts w:hint="eastAsia" w:ascii="宋体" w:hAnsi="宋体"/>
                <w:sz w:val="24"/>
                <w:szCs w:val="24"/>
              </w:rPr>
              <w:t>（2）罚没收入安排的资金</w:t>
            </w:r>
          </w:p>
        </w:tc>
        <w:tc>
          <w:tcPr>
            <w:tcW w:w="2044"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1</w:t>
            </w:r>
            <w:r>
              <w:rPr>
                <w:rFonts w:ascii="宋体" w:hAnsi="宋体"/>
                <w:sz w:val="24"/>
                <w:szCs w:val="24"/>
              </w:rPr>
              <w:t>50000</w:t>
            </w:r>
          </w:p>
        </w:tc>
        <w:tc>
          <w:tcPr>
            <w:tcW w:w="1842" w:type="dxa"/>
            <w:vAlign w:val="center"/>
          </w:tcPr>
          <w:p>
            <w:pPr>
              <w:spacing w:line="380" w:lineRule="exact"/>
              <w:jc w:val="right"/>
              <w:rPr>
                <w:rFonts w:ascii="宋体" w:hAnsi="宋体"/>
                <w:sz w:val="24"/>
                <w:szCs w:val="24"/>
              </w:rPr>
            </w:pPr>
            <w:r>
              <w:rPr>
                <w:rFonts w:hint="eastAsia" w:ascii="宋体" w:hAnsi="宋体"/>
                <w:sz w:val="24"/>
                <w:szCs w:val="24"/>
              </w:rPr>
              <w:t>6</w:t>
            </w:r>
            <w:r>
              <w:rPr>
                <w:rFonts w:ascii="宋体" w:hAnsi="宋体"/>
                <w:sz w:val="24"/>
                <w:szCs w:val="24"/>
              </w:rPr>
              <w:t>62802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43" w:type="dxa"/>
            <w:shd w:val="clear" w:color="auto" w:fill="auto"/>
            <w:vAlign w:val="center"/>
          </w:tcPr>
          <w:p>
            <w:pPr>
              <w:spacing w:line="380" w:lineRule="exact"/>
              <w:rPr>
                <w:rFonts w:ascii="宋体" w:hAnsi="宋体"/>
                <w:sz w:val="24"/>
                <w:szCs w:val="24"/>
              </w:rPr>
            </w:pPr>
            <w:r>
              <w:rPr>
                <w:rFonts w:hint="eastAsia" w:ascii="宋体" w:hAnsi="宋体"/>
                <w:sz w:val="24"/>
                <w:szCs w:val="24"/>
              </w:rPr>
              <w:t>（3）其他收入安排的资金</w:t>
            </w:r>
          </w:p>
        </w:tc>
        <w:tc>
          <w:tcPr>
            <w:tcW w:w="2044"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3</w:t>
            </w:r>
            <w:r>
              <w:rPr>
                <w:rFonts w:ascii="宋体" w:hAnsi="宋体"/>
                <w:sz w:val="24"/>
                <w:szCs w:val="24"/>
              </w:rPr>
              <w:t>0000</w:t>
            </w:r>
          </w:p>
        </w:tc>
        <w:tc>
          <w:tcPr>
            <w:tcW w:w="1842" w:type="dxa"/>
            <w:vAlign w:val="center"/>
          </w:tcPr>
          <w:p>
            <w:pPr>
              <w:spacing w:line="380" w:lineRule="exact"/>
              <w:jc w:val="right"/>
              <w:rPr>
                <w:rFonts w:ascii="宋体" w:hAnsi="宋体"/>
                <w:sz w:val="24"/>
                <w:szCs w:val="24"/>
              </w:rPr>
            </w:pPr>
            <w:r>
              <w:rPr>
                <w:rFonts w:hint="eastAsia" w:ascii="宋体" w:hAnsi="宋体"/>
                <w:sz w:val="24"/>
                <w:szCs w:val="24"/>
              </w:rPr>
              <w:t>3</w:t>
            </w:r>
            <w:r>
              <w:rPr>
                <w:rFonts w:ascii="宋体" w:hAnsi="宋体"/>
                <w:sz w:val="24"/>
                <w:szCs w:val="24"/>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443" w:type="dxa"/>
            <w:shd w:val="clear" w:color="auto" w:fill="auto"/>
            <w:vAlign w:val="center"/>
          </w:tcPr>
          <w:p>
            <w:pPr>
              <w:spacing w:line="380" w:lineRule="exact"/>
              <w:rPr>
                <w:rFonts w:ascii="宋体" w:hAnsi="宋体"/>
                <w:sz w:val="24"/>
                <w:szCs w:val="24"/>
              </w:rPr>
            </w:pPr>
            <w:r>
              <w:rPr>
                <w:rFonts w:hint="eastAsia" w:ascii="宋体" w:hAnsi="宋体"/>
                <w:sz w:val="24"/>
                <w:szCs w:val="24"/>
              </w:rPr>
              <w:t>二、纳入财政专户管理的收入安排的资金</w:t>
            </w:r>
          </w:p>
        </w:tc>
        <w:tc>
          <w:tcPr>
            <w:tcW w:w="2044"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2</w:t>
            </w:r>
            <w:r>
              <w:rPr>
                <w:rFonts w:ascii="宋体" w:hAnsi="宋体"/>
                <w:sz w:val="24"/>
                <w:szCs w:val="24"/>
              </w:rPr>
              <w:t>0000</w:t>
            </w:r>
          </w:p>
        </w:tc>
        <w:tc>
          <w:tcPr>
            <w:tcW w:w="1842" w:type="dxa"/>
            <w:vAlign w:val="center"/>
          </w:tcPr>
          <w:p>
            <w:pPr>
              <w:spacing w:line="380" w:lineRule="exact"/>
              <w:jc w:val="right"/>
              <w:rPr>
                <w:rFonts w:ascii="宋体" w:hAnsi="宋体"/>
                <w:sz w:val="24"/>
                <w:szCs w:val="24"/>
              </w:rPr>
            </w:pPr>
            <w:r>
              <w:rPr>
                <w:rFonts w:hint="eastAsia" w:ascii="宋体" w:hAnsi="宋体"/>
                <w:sz w:val="24"/>
                <w:szCs w:val="24"/>
              </w:rPr>
              <w:t>5</w:t>
            </w:r>
            <w:r>
              <w:rPr>
                <w:rFonts w:ascii="宋体" w:hAnsi="宋体"/>
                <w:sz w:val="24"/>
                <w:szCs w:val="24"/>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43" w:type="dxa"/>
            <w:shd w:val="clear" w:color="auto" w:fill="auto"/>
            <w:vAlign w:val="center"/>
          </w:tcPr>
          <w:p>
            <w:pPr>
              <w:spacing w:line="380" w:lineRule="exact"/>
              <w:jc w:val="center"/>
              <w:rPr>
                <w:rFonts w:ascii="宋体" w:hAnsi="宋体"/>
                <w:sz w:val="24"/>
                <w:szCs w:val="24"/>
              </w:rPr>
            </w:pPr>
            <w:r>
              <w:rPr>
                <w:rFonts w:hint="eastAsia" w:ascii="宋体" w:hAnsi="宋体"/>
                <w:sz w:val="24"/>
                <w:szCs w:val="24"/>
              </w:rPr>
              <w:t>合计</w:t>
            </w:r>
          </w:p>
        </w:tc>
        <w:tc>
          <w:tcPr>
            <w:tcW w:w="2044"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1</w:t>
            </w:r>
            <w:r>
              <w:rPr>
                <w:rFonts w:ascii="宋体" w:hAnsi="宋体"/>
                <w:sz w:val="24"/>
                <w:szCs w:val="24"/>
              </w:rPr>
              <w:t>2004916</w:t>
            </w:r>
          </w:p>
        </w:tc>
        <w:tc>
          <w:tcPr>
            <w:tcW w:w="1842" w:type="dxa"/>
            <w:vAlign w:val="center"/>
          </w:tcPr>
          <w:p>
            <w:pPr>
              <w:spacing w:line="380" w:lineRule="exact"/>
              <w:jc w:val="right"/>
              <w:rPr>
                <w:rFonts w:ascii="宋体" w:hAnsi="宋体"/>
                <w:sz w:val="24"/>
                <w:szCs w:val="24"/>
              </w:rPr>
            </w:pPr>
            <w:r>
              <w:rPr>
                <w:rFonts w:hint="eastAsia" w:ascii="宋体" w:hAnsi="宋体"/>
                <w:sz w:val="24"/>
                <w:szCs w:val="24"/>
              </w:rPr>
              <w:t>3</w:t>
            </w:r>
            <w:r>
              <w:rPr>
                <w:rFonts w:ascii="宋体" w:hAnsi="宋体"/>
                <w:sz w:val="24"/>
                <w:szCs w:val="24"/>
              </w:rPr>
              <w:t>2222346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43" w:type="dxa"/>
            <w:shd w:val="clear" w:color="auto" w:fill="auto"/>
            <w:vAlign w:val="center"/>
          </w:tcPr>
          <w:p>
            <w:pPr>
              <w:spacing w:line="380" w:lineRule="exact"/>
              <w:rPr>
                <w:rFonts w:ascii="宋体" w:hAnsi="宋体"/>
                <w:sz w:val="24"/>
                <w:szCs w:val="24"/>
              </w:rPr>
            </w:pPr>
            <w:r>
              <w:rPr>
                <w:rFonts w:hint="eastAsia" w:ascii="宋体" w:hAnsi="宋体"/>
                <w:sz w:val="24"/>
                <w:szCs w:val="24"/>
              </w:rPr>
              <w:t>一、基本支出</w:t>
            </w:r>
          </w:p>
        </w:tc>
        <w:tc>
          <w:tcPr>
            <w:tcW w:w="2044" w:type="dxa"/>
            <w:shd w:val="clear" w:color="auto" w:fill="auto"/>
            <w:vAlign w:val="center"/>
          </w:tcPr>
          <w:p>
            <w:pPr>
              <w:spacing w:line="380" w:lineRule="exact"/>
              <w:jc w:val="right"/>
              <w:rPr>
                <w:rFonts w:ascii="宋体" w:hAnsi="宋体"/>
                <w:sz w:val="24"/>
                <w:szCs w:val="24"/>
              </w:rPr>
            </w:pPr>
            <w:r>
              <w:rPr>
                <w:rFonts w:ascii="宋体" w:hAnsi="宋体"/>
                <w:sz w:val="24"/>
                <w:szCs w:val="24"/>
              </w:rPr>
              <w:t>9056616</w:t>
            </w:r>
          </w:p>
        </w:tc>
        <w:tc>
          <w:tcPr>
            <w:tcW w:w="1842" w:type="dxa"/>
            <w:vAlign w:val="center"/>
          </w:tcPr>
          <w:p>
            <w:pPr>
              <w:spacing w:line="380" w:lineRule="exact"/>
              <w:jc w:val="right"/>
              <w:rPr>
                <w:rFonts w:ascii="宋体" w:hAnsi="宋体"/>
                <w:sz w:val="24"/>
                <w:szCs w:val="24"/>
              </w:rPr>
            </w:pPr>
            <w:r>
              <w:rPr>
                <w:rFonts w:ascii="宋体" w:hAnsi="宋体"/>
                <w:sz w:val="24"/>
                <w:szCs w:val="24"/>
              </w:rPr>
              <w:t>9324177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43" w:type="dxa"/>
            <w:shd w:val="clear" w:color="auto" w:fill="auto"/>
            <w:vAlign w:val="center"/>
          </w:tcPr>
          <w:p>
            <w:pPr>
              <w:spacing w:line="380" w:lineRule="exact"/>
              <w:rPr>
                <w:rFonts w:ascii="宋体" w:hAnsi="宋体"/>
                <w:sz w:val="24"/>
                <w:szCs w:val="24"/>
              </w:rPr>
            </w:pPr>
            <w:r>
              <w:rPr>
                <w:rFonts w:ascii="宋体" w:hAnsi="宋体"/>
                <w:sz w:val="24"/>
                <w:szCs w:val="24"/>
              </w:rPr>
              <w:t>1.</w:t>
            </w:r>
            <w:r>
              <w:rPr>
                <w:rFonts w:hint="eastAsia" w:ascii="宋体" w:hAnsi="宋体"/>
                <w:sz w:val="24"/>
                <w:szCs w:val="24"/>
              </w:rPr>
              <w:t>工资福利支出</w:t>
            </w:r>
          </w:p>
        </w:tc>
        <w:tc>
          <w:tcPr>
            <w:tcW w:w="2044" w:type="dxa"/>
            <w:shd w:val="clear" w:color="auto" w:fill="auto"/>
            <w:vAlign w:val="center"/>
          </w:tcPr>
          <w:p>
            <w:pPr>
              <w:spacing w:line="380" w:lineRule="exact"/>
              <w:jc w:val="right"/>
              <w:rPr>
                <w:rFonts w:ascii="宋体" w:hAnsi="宋体"/>
                <w:sz w:val="24"/>
                <w:szCs w:val="24"/>
              </w:rPr>
            </w:pPr>
            <w:r>
              <w:rPr>
                <w:rFonts w:ascii="宋体" w:hAnsi="宋体"/>
                <w:sz w:val="24"/>
                <w:szCs w:val="24"/>
              </w:rPr>
              <w:t>7508807</w:t>
            </w:r>
          </w:p>
        </w:tc>
        <w:tc>
          <w:tcPr>
            <w:tcW w:w="1842" w:type="dxa"/>
            <w:vAlign w:val="center"/>
          </w:tcPr>
          <w:p>
            <w:pPr>
              <w:spacing w:line="380" w:lineRule="exact"/>
              <w:jc w:val="right"/>
              <w:rPr>
                <w:rFonts w:ascii="宋体" w:hAnsi="宋体"/>
                <w:sz w:val="24"/>
                <w:szCs w:val="24"/>
              </w:rPr>
            </w:pPr>
            <w:r>
              <w:rPr>
                <w:rFonts w:hint="eastAsia" w:ascii="宋体" w:hAnsi="宋体"/>
                <w:sz w:val="24"/>
                <w:szCs w:val="24"/>
              </w:rPr>
              <w:t>7</w:t>
            </w:r>
            <w:r>
              <w:rPr>
                <w:rFonts w:ascii="宋体" w:hAnsi="宋体"/>
                <w:sz w:val="24"/>
                <w:szCs w:val="24"/>
              </w:rPr>
              <w:t>401276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443" w:type="dxa"/>
            <w:shd w:val="clear" w:color="auto" w:fill="auto"/>
            <w:vAlign w:val="center"/>
          </w:tcPr>
          <w:p>
            <w:pPr>
              <w:spacing w:line="380" w:lineRule="exact"/>
              <w:rPr>
                <w:rFonts w:ascii="宋体" w:hAnsi="宋体"/>
                <w:sz w:val="24"/>
                <w:szCs w:val="24"/>
              </w:rPr>
            </w:pPr>
            <w:r>
              <w:rPr>
                <w:rFonts w:ascii="宋体" w:hAnsi="宋体"/>
                <w:sz w:val="24"/>
                <w:szCs w:val="24"/>
              </w:rPr>
              <w:t>2.</w:t>
            </w:r>
            <w:r>
              <w:rPr>
                <w:rFonts w:hint="eastAsia" w:ascii="宋体" w:hAnsi="宋体"/>
                <w:sz w:val="24"/>
                <w:szCs w:val="24"/>
              </w:rPr>
              <w:t>商品和服务支出</w:t>
            </w:r>
          </w:p>
        </w:tc>
        <w:tc>
          <w:tcPr>
            <w:tcW w:w="2044" w:type="dxa"/>
            <w:shd w:val="clear" w:color="auto" w:fill="auto"/>
            <w:vAlign w:val="center"/>
          </w:tcPr>
          <w:p>
            <w:pPr>
              <w:spacing w:line="380" w:lineRule="exact"/>
              <w:jc w:val="right"/>
              <w:rPr>
                <w:rFonts w:ascii="宋体" w:hAnsi="宋体"/>
                <w:sz w:val="24"/>
                <w:szCs w:val="24"/>
              </w:rPr>
            </w:pPr>
            <w:r>
              <w:rPr>
                <w:rFonts w:ascii="宋体" w:hAnsi="宋体"/>
                <w:sz w:val="24"/>
                <w:szCs w:val="24"/>
              </w:rPr>
              <w:t>1321525</w:t>
            </w:r>
          </w:p>
        </w:tc>
        <w:tc>
          <w:tcPr>
            <w:tcW w:w="1842" w:type="dxa"/>
            <w:vAlign w:val="center"/>
          </w:tcPr>
          <w:p>
            <w:pPr>
              <w:spacing w:line="380" w:lineRule="exact"/>
              <w:jc w:val="right"/>
              <w:rPr>
                <w:rFonts w:ascii="宋体" w:hAnsi="宋体"/>
                <w:sz w:val="24"/>
                <w:szCs w:val="24"/>
              </w:rPr>
            </w:pPr>
            <w:r>
              <w:rPr>
                <w:rFonts w:ascii="宋体" w:hAnsi="宋体"/>
                <w:sz w:val="24"/>
                <w:szCs w:val="24"/>
              </w:rPr>
              <w:t>1609694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43" w:type="dxa"/>
            <w:shd w:val="clear" w:color="auto" w:fill="auto"/>
            <w:vAlign w:val="center"/>
          </w:tcPr>
          <w:p>
            <w:pPr>
              <w:spacing w:line="380" w:lineRule="exact"/>
              <w:rPr>
                <w:rFonts w:ascii="宋体" w:hAnsi="宋体"/>
                <w:sz w:val="24"/>
                <w:szCs w:val="24"/>
              </w:rPr>
            </w:pPr>
            <w:r>
              <w:rPr>
                <w:rFonts w:hint="eastAsia" w:ascii="宋体" w:hAnsi="宋体"/>
                <w:sz w:val="24"/>
                <w:szCs w:val="24"/>
              </w:rPr>
              <w:t>3</w:t>
            </w:r>
            <w:r>
              <w:rPr>
                <w:rFonts w:ascii="宋体" w:hAnsi="宋体"/>
                <w:sz w:val="24"/>
                <w:szCs w:val="24"/>
              </w:rPr>
              <w:t>.</w:t>
            </w:r>
            <w:r>
              <w:rPr>
                <w:rFonts w:hint="eastAsia" w:ascii="宋体" w:hAnsi="宋体"/>
                <w:sz w:val="24"/>
                <w:szCs w:val="24"/>
              </w:rPr>
              <w:t>对个人和家庭的补助支出</w:t>
            </w:r>
          </w:p>
        </w:tc>
        <w:tc>
          <w:tcPr>
            <w:tcW w:w="2044" w:type="dxa"/>
            <w:shd w:val="clear" w:color="auto" w:fill="auto"/>
            <w:vAlign w:val="center"/>
          </w:tcPr>
          <w:p>
            <w:pPr>
              <w:spacing w:line="380" w:lineRule="exact"/>
              <w:jc w:val="right"/>
              <w:rPr>
                <w:rFonts w:ascii="宋体" w:hAnsi="宋体"/>
                <w:sz w:val="24"/>
                <w:szCs w:val="24"/>
              </w:rPr>
            </w:pPr>
            <w:r>
              <w:rPr>
                <w:rFonts w:ascii="宋体" w:hAnsi="宋体"/>
                <w:sz w:val="24"/>
                <w:szCs w:val="24"/>
              </w:rPr>
              <w:t>226284</w:t>
            </w:r>
          </w:p>
        </w:tc>
        <w:tc>
          <w:tcPr>
            <w:tcW w:w="1842" w:type="dxa"/>
            <w:vAlign w:val="center"/>
          </w:tcPr>
          <w:p>
            <w:pPr>
              <w:spacing w:line="380" w:lineRule="exact"/>
              <w:jc w:val="right"/>
              <w:rPr>
                <w:rFonts w:ascii="宋体" w:hAnsi="宋体"/>
                <w:sz w:val="24"/>
                <w:szCs w:val="24"/>
              </w:rPr>
            </w:pPr>
            <w:r>
              <w:rPr>
                <w:rFonts w:hint="eastAsia" w:ascii="宋体" w:hAnsi="宋体"/>
                <w:sz w:val="24"/>
                <w:szCs w:val="24"/>
              </w:rPr>
              <w:t>3</w:t>
            </w:r>
            <w:r>
              <w:rPr>
                <w:rFonts w:ascii="宋体" w:hAnsi="宋体"/>
                <w:sz w:val="24"/>
                <w:szCs w:val="24"/>
              </w:rPr>
              <w:t>13207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43" w:type="dxa"/>
            <w:shd w:val="clear" w:color="auto" w:fill="auto"/>
            <w:vAlign w:val="center"/>
          </w:tcPr>
          <w:p>
            <w:pPr>
              <w:spacing w:line="380" w:lineRule="exact"/>
              <w:rPr>
                <w:rFonts w:ascii="宋体" w:hAnsi="宋体"/>
                <w:sz w:val="24"/>
                <w:szCs w:val="24"/>
              </w:rPr>
            </w:pPr>
            <w:r>
              <w:rPr>
                <w:rFonts w:hint="eastAsia" w:ascii="宋体" w:hAnsi="宋体"/>
                <w:sz w:val="24"/>
                <w:szCs w:val="24"/>
              </w:rPr>
              <w:t>二、项目支出</w:t>
            </w:r>
          </w:p>
        </w:tc>
        <w:tc>
          <w:tcPr>
            <w:tcW w:w="2044"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3</w:t>
            </w:r>
            <w:r>
              <w:rPr>
                <w:rFonts w:ascii="宋体" w:hAnsi="宋体"/>
                <w:sz w:val="24"/>
                <w:szCs w:val="24"/>
              </w:rPr>
              <w:t>4455832</w:t>
            </w:r>
          </w:p>
        </w:tc>
        <w:tc>
          <w:tcPr>
            <w:tcW w:w="1842" w:type="dxa"/>
            <w:vAlign w:val="center"/>
          </w:tcPr>
          <w:p>
            <w:pPr>
              <w:spacing w:line="380" w:lineRule="exact"/>
              <w:jc w:val="right"/>
              <w:rPr>
                <w:rFonts w:ascii="宋体" w:hAnsi="宋体"/>
                <w:sz w:val="24"/>
                <w:szCs w:val="24"/>
              </w:rPr>
            </w:pPr>
            <w:r>
              <w:rPr>
                <w:rFonts w:hint="eastAsia" w:ascii="宋体" w:hAnsi="宋体"/>
                <w:sz w:val="24"/>
                <w:szCs w:val="24"/>
              </w:rPr>
              <w:t>2</w:t>
            </w:r>
            <w:r>
              <w:rPr>
                <w:rFonts w:ascii="宋体" w:hAnsi="宋体"/>
                <w:sz w:val="24"/>
                <w:szCs w:val="24"/>
              </w:rPr>
              <w:t>2898169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43" w:type="dxa"/>
            <w:shd w:val="clear" w:color="auto" w:fill="auto"/>
            <w:vAlign w:val="center"/>
          </w:tcPr>
          <w:p>
            <w:pPr>
              <w:spacing w:line="380" w:lineRule="exact"/>
              <w:rPr>
                <w:rFonts w:ascii="宋体" w:hAnsi="宋体"/>
                <w:sz w:val="24"/>
                <w:szCs w:val="24"/>
              </w:rPr>
            </w:pPr>
            <w:r>
              <w:rPr>
                <w:rFonts w:hint="eastAsia" w:ascii="宋体" w:hAnsi="宋体"/>
                <w:sz w:val="24"/>
                <w:szCs w:val="24"/>
              </w:rPr>
              <w:t>1</w:t>
            </w:r>
            <w:r>
              <w:rPr>
                <w:rFonts w:ascii="宋体" w:hAnsi="宋体"/>
                <w:sz w:val="24"/>
                <w:szCs w:val="24"/>
              </w:rPr>
              <w:t>.</w:t>
            </w:r>
            <w:r>
              <w:rPr>
                <w:rFonts w:hint="eastAsia" w:ascii="宋体" w:hAnsi="宋体"/>
                <w:sz w:val="24"/>
                <w:szCs w:val="24"/>
              </w:rPr>
              <w:t>本级</w:t>
            </w:r>
          </w:p>
        </w:tc>
        <w:tc>
          <w:tcPr>
            <w:tcW w:w="2044" w:type="dxa"/>
            <w:shd w:val="clear" w:color="auto" w:fill="auto"/>
            <w:vAlign w:val="center"/>
          </w:tcPr>
          <w:p>
            <w:pPr>
              <w:spacing w:line="380" w:lineRule="exact"/>
              <w:jc w:val="right"/>
              <w:rPr>
                <w:rFonts w:ascii="宋体" w:hAnsi="宋体"/>
                <w:sz w:val="24"/>
                <w:szCs w:val="24"/>
              </w:rPr>
            </w:pPr>
            <w:r>
              <w:rPr>
                <w:rFonts w:ascii="宋体" w:hAnsi="宋体"/>
                <w:sz w:val="24"/>
                <w:szCs w:val="24"/>
              </w:rPr>
              <w:t>5673532</w:t>
            </w:r>
          </w:p>
        </w:tc>
        <w:tc>
          <w:tcPr>
            <w:tcW w:w="1842" w:type="dxa"/>
            <w:vAlign w:val="center"/>
          </w:tcPr>
          <w:p>
            <w:pPr>
              <w:spacing w:line="380" w:lineRule="exact"/>
              <w:jc w:val="right"/>
              <w:rPr>
                <w:rFonts w:ascii="宋体" w:hAnsi="宋体"/>
                <w:sz w:val="24"/>
                <w:szCs w:val="24"/>
              </w:rPr>
            </w:pPr>
            <w:r>
              <w:rPr>
                <w:rFonts w:ascii="宋体" w:hAnsi="宋体"/>
                <w:sz w:val="24"/>
                <w:szCs w:val="24"/>
              </w:rPr>
              <w:t>8692395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443" w:type="dxa"/>
            <w:shd w:val="clear" w:color="auto" w:fill="auto"/>
            <w:vAlign w:val="center"/>
          </w:tcPr>
          <w:p>
            <w:pPr>
              <w:spacing w:line="380" w:lineRule="exact"/>
              <w:rPr>
                <w:rFonts w:ascii="宋体" w:hAnsi="宋体"/>
                <w:sz w:val="24"/>
                <w:szCs w:val="24"/>
              </w:rPr>
            </w:pPr>
            <w:r>
              <w:rPr>
                <w:rFonts w:hint="eastAsia" w:ascii="宋体" w:hAnsi="宋体"/>
                <w:sz w:val="24"/>
                <w:szCs w:val="24"/>
              </w:rPr>
              <w:t>2</w:t>
            </w:r>
            <w:r>
              <w:rPr>
                <w:rFonts w:ascii="宋体" w:hAnsi="宋体"/>
                <w:sz w:val="24"/>
                <w:szCs w:val="24"/>
              </w:rPr>
              <w:t>.</w:t>
            </w:r>
            <w:r>
              <w:rPr>
                <w:rFonts w:hint="eastAsia" w:ascii="宋体" w:hAnsi="宋体"/>
                <w:sz w:val="24"/>
                <w:szCs w:val="24"/>
              </w:rPr>
              <w:t>上级</w:t>
            </w:r>
          </w:p>
        </w:tc>
        <w:tc>
          <w:tcPr>
            <w:tcW w:w="2044" w:type="dxa"/>
            <w:shd w:val="clear" w:color="auto" w:fill="auto"/>
            <w:vAlign w:val="center"/>
          </w:tcPr>
          <w:p>
            <w:pPr>
              <w:spacing w:line="380" w:lineRule="exact"/>
              <w:jc w:val="right"/>
              <w:rPr>
                <w:rFonts w:ascii="宋体" w:hAnsi="宋体"/>
                <w:sz w:val="24"/>
                <w:szCs w:val="24"/>
              </w:rPr>
            </w:pPr>
            <w:r>
              <w:rPr>
                <w:rFonts w:hint="eastAsia" w:ascii="宋体" w:hAnsi="宋体"/>
                <w:sz w:val="24"/>
                <w:szCs w:val="24"/>
              </w:rPr>
              <w:t>2</w:t>
            </w:r>
            <w:r>
              <w:rPr>
                <w:rFonts w:ascii="宋体" w:hAnsi="宋体"/>
                <w:sz w:val="24"/>
                <w:szCs w:val="24"/>
              </w:rPr>
              <w:t>8782480</w:t>
            </w:r>
          </w:p>
        </w:tc>
        <w:tc>
          <w:tcPr>
            <w:tcW w:w="1842" w:type="dxa"/>
            <w:vAlign w:val="center"/>
          </w:tcPr>
          <w:p>
            <w:pPr>
              <w:spacing w:line="380" w:lineRule="exact"/>
              <w:jc w:val="right"/>
              <w:rPr>
                <w:rFonts w:ascii="宋体" w:hAnsi="宋体"/>
                <w:sz w:val="24"/>
                <w:szCs w:val="24"/>
              </w:rPr>
            </w:pPr>
            <w:r>
              <w:rPr>
                <w:rFonts w:hint="eastAsia" w:ascii="宋体" w:hAnsi="宋体"/>
                <w:sz w:val="24"/>
                <w:szCs w:val="24"/>
              </w:rPr>
              <w:t>1</w:t>
            </w:r>
            <w:r>
              <w:rPr>
                <w:rFonts w:ascii="宋体" w:hAnsi="宋体"/>
                <w:sz w:val="24"/>
                <w:szCs w:val="24"/>
              </w:rPr>
              <w:t>4205774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43" w:type="dxa"/>
            <w:shd w:val="clear" w:color="auto" w:fill="auto"/>
            <w:vAlign w:val="center"/>
          </w:tcPr>
          <w:p>
            <w:pPr>
              <w:spacing w:line="380" w:lineRule="exact"/>
              <w:jc w:val="center"/>
              <w:rPr>
                <w:rFonts w:ascii="宋体" w:hAnsi="宋体"/>
                <w:sz w:val="24"/>
                <w:szCs w:val="24"/>
              </w:rPr>
            </w:pPr>
            <w:r>
              <w:rPr>
                <w:rFonts w:hint="eastAsia" w:ascii="宋体" w:hAnsi="宋体"/>
                <w:sz w:val="24"/>
                <w:szCs w:val="24"/>
              </w:rPr>
              <w:t>合计</w:t>
            </w:r>
          </w:p>
        </w:tc>
        <w:tc>
          <w:tcPr>
            <w:tcW w:w="2044" w:type="dxa"/>
            <w:shd w:val="clear" w:color="auto" w:fill="auto"/>
            <w:vAlign w:val="center"/>
          </w:tcPr>
          <w:p>
            <w:pPr>
              <w:spacing w:line="380" w:lineRule="exact"/>
              <w:jc w:val="right"/>
              <w:rPr>
                <w:rFonts w:ascii="宋体" w:hAnsi="宋体"/>
                <w:sz w:val="24"/>
                <w:szCs w:val="24"/>
              </w:rPr>
            </w:pPr>
            <w:r>
              <w:rPr>
                <w:rFonts w:ascii="宋体" w:hAnsi="宋体"/>
                <w:sz w:val="24"/>
                <w:szCs w:val="24"/>
              </w:rPr>
              <w:t>43512448</w:t>
            </w:r>
          </w:p>
        </w:tc>
        <w:tc>
          <w:tcPr>
            <w:tcW w:w="1842" w:type="dxa"/>
            <w:vAlign w:val="center"/>
          </w:tcPr>
          <w:p>
            <w:pPr>
              <w:spacing w:line="380" w:lineRule="exact"/>
              <w:jc w:val="right"/>
              <w:rPr>
                <w:rFonts w:ascii="宋体" w:hAnsi="宋体"/>
                <w:sz w:val="24"/>
                <w:szCs w:val="24"/>
              </w:rPr>
            </w:pPr>
            <w:r>
              <w:rPr>
                <w:rFonts w:hint="eastAsia" w:ascii="宋体" w:hAnsi="宋体"/>
                <w:sz w:val="24"/>
                <w:szCs w:val="24"/>
              </w:rPr>
              <w:t>3</w:t>
            </w:r>
            <w:r>
              <w:rPr>
                <w:rFonts w:ascii="宋体" w:hAnsi="宋体"/>
                <w:sz w:val="24"/>
                <w:szCs w:val="24"/>
              </w:rPr>
              <w:t>2222346</w:t>
            </w:r>
          </w:p>
        </w:tc>
      </w:tr>
    </w:tbl>
    <w:p>
      <w:pPr>
        <w:pStyle w:val="3"/>
        <w:ind w:left="420" w:right="420"/>
        <w:jc w:val="both"/>
        <w:rPr>
          <w:rFonts w:hint="default" w:asciiTheme="minorEastAsia" w:hAnsiTheme="minorEastAsia" w:eastAsiaTheme="minorEastAsia"/>
          <w:sz w:val="28"/>
          <w:szCs w:val="28"/>
        </w:rPr>
      </w:pPr>
      <w:r>
        <w:rPr>
          <w:rFonts w:asciiTheme="minorEastAsia" w:hAnsiTheme="minorEastAsia" w:eastAsiaTheme="minorEastAsia"/>
          <w:sz w:val="28"/>
          <w:szCs w:val="28"/>
        </w:rPr>
        <w:t>（三）整体支出使用管理情况（详见2021年预算情况表）</w:t>
      </w:r>
    </w:p>
    <w:p>
      <w:pPr>
        <w:widowControl/>
        <w:shd w:val="clear" w:color="auto" w:fill="FFFFFF"/>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本年度整体支出均由市财政局国库集中支付，支出符合国家财经法规、专项资金管理办法及财务管理制度等规定，符合部门预算批复的用途；资金拨付有完整的审批程序和手续。2</w:t>
      </w:r>
      <w:r>
        <w:rPr>
          <w:rFonts w:cs="仿宋" w:asciiTheme="minorEastAsia" w:hAnsiTheme="minorEastAsia"/>
          <w:sz w:val="28"/>
          <w:szCs w:val="28"/>
        </w:rPr>
        <w:t>021</w:t>
      </w:r>
      <w:r>
        <w:rPr>
          <w:rFonts w:hint="eastAsia" w:cs="仿宋" w:asciiTheme="minorEastAsia" w:hAnsiTheme="minorEastAsia"/>
          <w:sz w:val="28"/>
          <w:szCs w:val="28"/>
        </w:rPr>
        <w:t>年年初预算1</w:t>
      </w:r>
      <w:r>
        <w:rPr>
          <w:rFonts w:cs="仿宋" w:asciiTheme="minorEastAsia" w:hAnsiTheme="minorEastAsia"/>
          <w:sz w:val="28"/>
          <w:szCs w:val="28"/>
        </w:rPr>
        <w:t>1984916</w:t>
      </w:r>
      <w:r>
        <w:rPr>
          <w:rFonts w:hint="eastAsia" w:cs="仿宋" w:asciiTheme="minorEastAsia" w:hAnsiTheme="minorEastAsia"/>
          <w:sz w:val="28"/>
          <w:szCs w:val="28"/>
        </w:rPr>
        <w:t>元，年中追加3</w:t>
      </w:r>
      <w:r>
        <w:rPr>
          <w:rFonts w:cs="仿宋" w:asciiTheme="minorEastAsia" w:hAnsiTheme="minorEastAsia"/>
          <w:sz w:val="28"/>
          <w:szCs w:val="28"/>
        </w:rPr>
        <w:t>1527532</w:t>
      </w:r>
      <w:r>
        <w:rPr>
          <w:rFonts w:hint="eastAsia" w:cs="仿宋" w:asciiTheme="minorEastAsia" w:hAnsiTheme="minorEastAsia"/>
          <w:sz w:val="28"/>
          <w:szCs w:val="28"/>
        </w:rPr>
        <w:t>元，合计4</w:t>
      </w:r>
      <w:r>
        <w:rPr>
          <w:rFonts w:cs="仿宋" w:asciiTheme="minorEastAsia" w:hAnsiTheme="minorEastAsia"/>
          <w:sz w:val="28"/>
          <w:szCs w:val="28"/>
        </w:rPr>
        <w:t>3512448</w:t>
      </w:r>
      <w:r>
        <w:rPr>
          <w:rFonts w:hint="eastAsia" w:cs="仿宋" w:asciiTheme="minorEastAsia" w:hAnsiTheme="minorEastAsia"/>
          <w:sz w:val="28"/>
          <w:szCs w:val="28"/>
        </w:rPr>
        <w:t>元，用结余结转资金拨付</w:t>
      </w:r>
      <w:r>
        <w:rPr>
          <w:rFonts w:cs="仿宋" w:asciiTheme="minorEastAsia" w:hAnsiTheme="minorEastAsia"/>
          <w:sz w:val="28"/>
          <w:szCs w:val="28"/>
        </w:rPr>
        <w:t>12163100</w:t>
      </w:r>
      <w:r>
        <w:rPr>
          <w:rFonts w:hint="eastAsia" w:cs="仿宋" w:asciiTheme="minorEastAsia" w:hAnsiTheme="minorEastAsia"/>
          <w:sz w:val="28"/>
          <w:szCs w:val="28"/>
        </w:rPr>
        <w:t>元，调整后的预算数</w:t>
      </w:r>
      <w:r>
        <w:rPr>
          <w:rFonts w:cs="仿宋" w:asciiTheme="minorEastAsia" w:hAnsiTheme="minorEastAsia"/>
          <w:sz w:val="28"/>
          <w:szCs w:val="28"/>
        </w:rPr>
        <w:t>55675548</w:t>
      </w:r>
      <w:r>
        <w:rPr>
          <w:rFonts w:hint="eastAsia" w:cs="仿宋" w:asciiTheme="minorEastAsia" w:hAnsiTheme="minorEastAsia"/>
          <w:sz w:val="28"/>
          <w:szCs w:val="28"/>
        </w:rPr>
        <w:t>元，决算支出3</w:t>
      </w:r>
      <w:r>
        <w:rPr>
          <w:rFonts w:cs="仿宋" w:asciiTheme="minorEastAsia" w:hAnsiTheme="minorEastAsia"/>
          <w:sz w:val="28"/>
          <w:szCs w:val="28"/>
        </w:rPr>
        <w:t>2222346</w:t>
      </w:r>
      <w:r>
        <w:rPr>
          <w:rFonts w:hint="eastAsia" w:cs="仿宋" w:asciiTheme="minorEastAsia" w:hAnsiTheme="minorEastAsia"/>
          <w:sz w:val="28"/>
          <w:szCs w:val="28"/>
        </w:rPr>
        <w:t>元，剔除本年拨付上年资金13080433元，实际支出19141913元，预算执行率</w:t>
      </w:r>
      <w:r>
        <w:rPr>
          <w:rFonts w:cs="仿宋" w:asciiTheme="minorEastAsia" w:hAnsiTheme="minorEastAsia"/>
          <w:sz w:val="28"/>
          <w:szCs w:val="28"/>
        </w:rPr>
        <w:t>34.</w:t>
      </w:r>
      <w:r>
        <w:rPr>
          <w:rFonts w:hint="eastAsia" w:cs="仿宋" w:asciiTheme="minorEastAsia" w:hAnsiTheme="minorEastAsia"/>
          <w:sz w:val="28"/>
          <w:szCs w:val="28"/>
        </w:rPr>
        <w:t>38%。截至2</w:t>
      </w:r>
      <w:r>
        <w:rPr>
          <w:rFonts w:cs="仿宋" w:asciiTheme="minorEastAsia" w:hAnsiTheme="minorEastAsia"/>
          <w:sz w:val="28"/>
          <w:szCs w:val="28"/>
        </w:rPr>
        <w:t>022</w:t>
      </w:r>
      <w:r>
        <w:rPr>
          <w:rFonts w:hint="eastAsia" w:cs="仿宋" w:asciiTheme="minorEastAsia" w:hAnsiTheme="minorEastAsia"/>
          <w:sz w:val="28"/>
          <w:szCs w:val="28"/>
        </w:rPr>
        <w:t>年3月底，用结余结转资金拨付1</w:t>
      </w:r>
      <w:r>
        <w:rPr>
          <w:rFonts w:cs="仿宋" w:asciiTheme="minorEastAsia" w:hAnsiTheme="minorEastAsia"/>
          <w:sz w:val="28"/>
          <w:szCs w:val="28"/>
        </w:rPr>
        <w:t>3098137</w:t>
      </w:r>
      <w:r>
        <w:rPr>
          <w:rFonts w:hint="eastAsia" w:cs="仿宋" w:asciiTheme="minorEastAsia" w:hAnsiTheme="minorEastAsia"/>
          <w:sz w:val="28"/>
          <w:szCs w:val="28"/>
        </w:rPr>
        <w:t>元，调整后的预算数5</w:t>
      </w:r>
      <w:r>
        <w:rPr>
          <w:rFonts w:cs="仿宋" w:asciiTheme="minorEastAsia" w:hAnsiTheme="minorEastAsia"/>
          <w:sz w:val="28"/>
          <w:szCs w:val="28"/>
        </w:rPr>
        <w:t>6610585</w:t>
      </w:r>
      <w:r>
        <w:rPr>
          <w:rFonts w:hint="eastAsia" w:cs="仿宋" w:asciiTheme="minorEastAsia" w:hAnsiTheme="minorEastAsia"/>
          <w:sz w:val="28"/>
          <w:szCs w:val="28"/>
        </w:rPr>
        <w:t>元，剔除拨付2021年之前的项目支出，加2022年1—3月项目支出3140212元，支出合计22282125元，预算执行率</w:t>
      </w:r>
      <w:r>
        <w:rPr>
          <w:rFonts w:cs="仿宋" w:asciiTheme="minorEastAsia" w:hAnsiTheme="minorEastAsia"/>
          <w:sz w:val="28"/>
          <w:szCs w:val="28"/>
        </w:rPr>
        <w:t>39.</w:t>
      </w:r>
      <w:r>
        <w:rPr>
          <w:rFonts w:hint="eastAsia" w:cs="仿宋" w:asciiTheme="minorEastAsia" w:hAnsiTheme="minorEastAsia"/>
          <w:sz w:val="28"/>
          <w:szCs w:val="28"/>
        </w:rPr>
        <w:t>36%。</w:t>
      </w:r>
    </w:p>
    <w:p>
      <w:pPr>
        <w:pStyle w:val="43"/>
        <w:ind w:left="420" w:right="420"/>
        <w:rPr>
          <w:rFonts w:asciiTheme="minorEastAsia" w:hAnsiTheme="minorEastAsia" w:eastAsiaTheme="minorEastAsia"/>
          <w:sz w:val="28"/>
          <w:szCs w:val="28"/>
        </w:rPr>
      </w:pPr>
      <w:r>
        <w:rPr>
          <w:rFonts w:asciiTheme="minorEastAsia" w:hAnsiTheme="minorEastAsia" w:eastAsiaTheme="minorEastAsia"/>
          <w:sz w:val="28"/>
          <w:szCs w:val="28"/>
        </w:rPr>
        <w:t xml:space="preserve">1.  </w:t>
      </w:r>
      <w:r>
        <w:rPr>
          <w:rFonts w:hint="eastAsia" w:asciiTheme="minorEastAsia" w:hAnsiTheme="minorEastAsia" w:eastAsiaTheme="minorEastAsia"/>
          <w:sz w:val="28"/>
          <w:szCs w:val="28"/>
        </w:rPr>
        <w:t>基本支出使用管理情况</w:t>
      </w:r>
    </w:p>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基本支出的范围和主要用途包括单位的人员经费和日常公用经费，具体包括：工资福利支出、商品和服务支出、对个人和家庭的补助等方面。基本支出的管理和使用情况如下：</w:t>
      </w:r>
    </w:p>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20</w:t>
      </w:r>
      <w:r>
        <w:rPr>
          <w:rFonts w:cs="仿宋" w:asciiTheme="minorEastAsia" w:hAnsiTheme="minorEastAsia"/>
          <w:sz w:val="28"/>
          <w:szCs w:val="28"/>
        </w:rPr>
        <w:t>21</w:t>
      </w:r>
      <w:r>
        <w:rPr>
          <w:rFonts w:hint="eastAsia" w:cs="仿宋" w:asciiTheme="minorEastAsia" w:hAnsiTheme="minorEastAsia"/>
          <w:sz w:val="28"/>
          <w:szCs w:val="28"/>
        </w:rPr>
        <w:t>年基本支出年初预算</w:t>
      </w:r>
      <w:r>
        <w:rPr>
          <w:rFonts w:cs="仿宋" w:asciiTheme="minorEastAsia" w:hAnsiTheme="minorEastAsia"/>
          <w:sz w:val="28"/>
          <w:szCs w:val="28"/>
        </w:rPr>
        <w:t>8204916</w:t>
      </w:r>
      <w:r>
        <w:rPr>
          <w:rFonts w:hint="eastAsia" w:cs="仿宋" w:asciiTheme="minorEastAsia" w:hAnsiTheme="minorEastAsia"/>
          <w:sz w:val="28"/>
          <w:szCs w:val="28"/>
        </w:rPr>
        <w:t>元，年中追加</w:t>
      </w:r>
      <w:r>
        <w:rPr>
          <w:rFonts w:cs="仿宋" w:asciiTheme="minorEastAsia" w:hAnsiTheme="minorEastAsia"/>
          <w:sz w:val="28"/>
          <w:szCs w:val="28"/>
        </w:rPr>
        <w:t>851700</w:t>
      </w:r>
      <w:r>
        <w:rPr>
          <w:rFonts w:hint="eastAsia" w:cs="仿宋" w:asciiTheme="minorEastAsia" w:hAnsiTheme="minorEastAsia"/>
          <w:sz w:val="28"/>
          <w:szCs w:val="28"/>
        </w:rPr>
        <w:t>元，调整后的预算数</w:t>
      </w:r>
      <w:r>
        <w:rPr>
          <w:rFonts w:cs="仿宋" w:asciiTheme="minorEastAsia" w:hAnsiTheme="minorEastAsia"/>
          <w:sz w:val="28"/>
          <w:szCs w:val="28"/>
        </w:rPr>
        <w:t>9056616</w:t>
      </w:r>
      <w:r>
        <w:rPr>
          <w:rFonts w:hint="eastAsia" w:cs="仿宋" w:asciiTheme="minorEastAsia" w:hAnsiTheme="minorEastAsia"/>
          <w:sz w:val="28"/>
          <w:szCs w:val="28"/>
        </w:rPr>
        <w:t>元，决算支出</w:t>
      </w:r>
      <w:r>
        <w:rPr>
          <w:rFonts w:cs="仿宋" w:asciiTheme="minorEastAsia" w:hAnsiTheme="minorEastAsia"/>
          <w:sz w:val="28"/>
          <w:szCs w:val="28"/>
        </w:rPr>
        <w:t>9324177</w:t>
      </w:r>
      <w:r>
        <w:rPr>
          <w:rFonts w:hint="eastAsia" w:cs="仿宋" w:asciiTheme="minorEastAsia" w:hAnsiTheme="minorEastAsia"/>
          <w:sz w:val="28"/>
          <w:szCs w:val="28"/>
        </w:rPr>
        <w:t>元，占全年总支出的41.85%（截至2</w:t>
      </w:r>
      <w:r>
        <w:rPr>
          <w:rFonts w:cs="仿宋" w:asciiTheme="minorEastAsia" w:hAnsiTheme="minorEastAsia"/>
          <w:sz w:val="28"/>
          <w:szCs w:val="28"/>
        </w:rPr>
        <w:t>022</w:t>
      </w:r>
      <w:r>
        <w:rPr>
          <w:rFonts w:hint="eastAsia" w:cs="仿宋" w:asciiTheme="minorEastAsia" w:hAnsiTheme="minorEastAsia"/>
          <w:sz w:val="28"/>
          <w:szCs w:val="28"/>
        </w:rPr>
        <w:t>年3月底，占比48.71%），预算执行率</w:t>
      </w:r>
      <w:r>
        <w:rPr>
          <w:rFonts w:cs="仿宋" w:asciiTheme="minorEastAsia" w:hAnsiTheme="minorEastAsia"/>
          <w:sz w:val="28"/>
          <w:szCs w:val="28"/>
        </w:rPr>
        <w:t>102.95</w:t>
      </w:r>
      <w:r>
        <w:rPr>
          <w:rFonts w:hint="eastAsia" w:cs="仿宋" w:asciiTheme="minorEastAsia" w:hAnsiTheme="minorEastAsia"/>
          <w:sz w:val="28"/>
          <w:szCs w:val="28"/>
        </w:rPr>
        <w:t>%。具体执行情况如下：</w:t>
      </w:r>
    </w:p>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b/>
          <w:sz w:val="28"/>
          <w:szCs w:val="28"/>
        </w:rPr>
        <w:t>（1）工资福利支出：</w:t>
      </w:r>
      <w:r>
        <w:rPr>
          <w:rFonts w:hint="eastAsia" w:cs="仿宋" w:asciiTheme="minorEastAsia" w:hAnsiTheme="minorEastAsia"/>
          <w:sz w:val="28"/>
          <w:szCs w:val="28"/>
        </w:rPr>
        <w:t>年初预算</w:t>
      </w:r>
      <w:r>
        <w:rPr>
          <w:rFonts w:cs="仿宋" w:asciiTheme="minorEastAsia" w:hAnsiTheme="minorEastAsia"/>
          <w:sz w:val="28"/>
          <w:szCs w:val="28"/>
        </w:rPr>
        <w:t>6657107</w:t>
      </w:r>
      <w:r>
        <w:rPr>
          <w:rFonts w:hint="eastAsia" w:cs="仿宋" w:asciiTheme="minorEastAsia" w:hAnsiTheme="minorEastAsia"/>
          <w:sz w:val="28"/>
          <w:szCs w:val="28"/>
        </w:rPr>
        <w:t>元，年中追加</w:t>
      </w:r>
      <w:r>
        <w:rPr>
          <w:rFonts w:cs="仿宋" w:asciiTheme="minorEastAsia" w:hAnsiTheme="minorEastAsia"/>
          <w:sz w:val="28"/>
          <w:szCs w:val="28"/>
        </w:rPr>
        <w:t>851700</w:t>
      </w:r>
      <w:r>
        <w:rPr>
          <w:rFonts w:hint="eastAsia" w:cs="仿宋" w:asciiTheme="minorEastAsia" w:hAnsiTheme="minorEastAsia"/>
          <w:sz w:val="28"/>
          <w:szCs w:val="28"/>
        </w:rPr>
        <w:t>元，调整后的预算数</w:t>
      </w:r>
      <w:r>
        <w:rPr>
          <w:rFonts w:cs="仿宋" w:asciiTheme="minorEastAsia" w:hAnsiTheme="minorEastAsia"/>
          <w:sz w:val="28"/>
          <w:szCs w:val="28"/>
        </w:rPr>
        <w:t>7508807</w:t>
      </w:r>
      <w:r>
        <w:rPr>
          <w:rFonts w:hint="eastAsia" w:cs="仿宋" w:asciiTheme="minorEastAsia" w:hAnsiTheme="minorEastAsia"/>
          <w:sz w:val="28"/>
          <w:szCs w:val="28"/>
        </w:rPr>
        <w:t>元，决算支出</w:t>
      </w:r>
      <w:r>
        <w:rPr>
          <w:rFonts w:cs="仿宋" w:asciiTheme="minorEastAsia" w:hAnsiTheme="minorEastAsia"/>
          <w:sz w:val="28"/>
          <w:szCs w:val="28"/>
        </w:rPr>
        <w:t>7401276</w:t>
      </w:r>
      <w:r>
        <w:rPr>
          <w:rFonts w:hint="eastAsia" w:cs="仿宋" w:asciiTheme="minorEastAsia" w:hAnsiTheme="minorEastAsia"/>
          <w:sz w:val="28"/>
          <w:szCs w:val="28"/>
        </w:rPr>
        <w:t>元，结余资金</w:t>
      </w:r>
      <w:r>
        <w:rPr>
          <w:rFonts w:cs="仿宋" w:asciiTheme="minorEastAsia" w:hAnsiTheme="minorEastAsia"/>
          <w:sz w:val="28"/>
          <w:szCs w:val="28"/>
        </w:rPr>
        <w:t>107531</w:t>
      </w:r>
      <w:r>
        <w:rPr>
          <w:rFonts w:hint="eastAsia" w:cs="仿宋" w:asciiTheme="minorEastAsia" w:hAnsiTheme="minorEastAsia"/>
          <w:sz w:val="28"/>
          <w:szCs w:val="28"/>
        </w:rPr>
        <w:t>元，占基本支出的</w:t>
      </w:r>
      <w:r>
        <w:rPr>
          <w:rFonts w:cs="仿宋" w:asciiTheme="minorEastAsia" w:hAnsiTheme="minorEastAsia"/>
          <w:sz w:val="28"/>
          <w:szCs w:val="28"/>
        </w:rPr>
        <w:t>79.38</w:t>
      </w:r>
      <w:r>
        <w:rPr>
          <w:rFonts w:hint="eastAsia" w:cs="仿宋" w:asciiTheme="minorEastAsia" w:hAnsiTheme="minorEastAsia"/>
          <w:sz w:val="28"/>
          <w:szCs w:val="28"/>
        </w:rPr>
        <w:t>%，预算执行率</w:t>
      </w:r>
      <w:r>
        <w:rPr>
          <w:rFonts w:cs="仿宋" w:asciiTheme="minorEastAsia" w:hAnsiTheme="minorEastAsia"/>
          <w:sz w:val="28"/>
          <w:szCs w:val="28"/>
        </w:rPr>
        <w:t>98.57</w:t>
      </w:r>
      <w:r>
        <w:rPr>
          <w:rFonts w:hint="eastAsia" w:cs="仿宋" w:asciiTheme="minorEastAsia" w:hAnsiTheme="minorEastAsia"/>
          <w:sz w:val="28"/>
          <w:szCs w:val="28"/>
        </w:rPr>
        <w:t>%。</w:t>
      </w:r>
    </w:p>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b/>
          <w:sz w:val="28"/>
          <w:szCs w:val="28"/>
        </w:rPr>
        <w:t>（2）商品和服务支出：</w:t>
      </w:r>
      <w:r>
        <w:rPr>
          <w:rFonts w:hint="eastAsia" w:cs="仿宋" w:asciiTheme="minorEastAsia" w:hAnsiTheme="minorEastAsia"/>
          <w:sz w:val="28"/>
          <w:szCs w:val="28"/>
        </w:rPr>
        <w:t>年初预算</w:t>
      </w:r>
      <w:r>
        <w:rPr>
          <w:rFonts w:cs="仿宋" w:asciiTheme="minorEastAsia" w:hAnsiTheme="minorEastAsia"/>
          <w:sz w:val="28"/>
          <w:szCs w:val="28"/>
        </w:rPr>
        <w:t>1321525</w:t>
      </w:r>
      <w:r>
        <w:rPr>
          <w:rFonts w:hint="eastAsia" w:cs="仿宋" w:asciiTheme="minorEastAsia" w:hAnsiTheme="minorEastAsia"/>
          <w:sz w:val="28"/>
          <w:szCs w:val="28"/>
        </w:rPr>
        <w:t>元，决算支出</w:t>
      </w:r>
      <w:r>
        <w:rPr>
          <w:rFonts w:cs="仿宋" w:asciiTheme="minorEastAsia" w:hAnsiTheme="minorEastAsia"/>
          <w:sz w:val="28"/>
          <w:szCs w:val="28"/>
        </w:rPr>
        <w:t>1609694</w:t>
      </w:r>
      <w:r>
        <w:rPr>
          <w:rFonts w:hint="eastAsia" w:cs="仿宋" w:asciiTheme="minorEastAsia" w:hAnsiTheme="minorEastAsia"/>
          <w:sz w:val="28"/>
          <w:szCs w:val="28"/>
        </w:rPr>
        <w:t>元，超预算</w:t>
      </w:r>
      <w:r>
        <w:rPr>
          <w:rFonts w:cs="仿宋" w:asciiTheme="minorEastAsia" w:hAnsiTheme="minorEastAsia"/>
          <w:sz w:val="28"/>
          <w:szCs w:val="28"/>
        </w:rPr>
        <w:t>288169</w:t>
      </w:r>
      <w:r>
        <w:rPr>
          <w:rFonts w:hint="eastAsia" w:cs="仿宋" w:asciiTheme="minorEastAsia" w:hAnsiTheme="minorEastAsia"/>
          <w:sz w:val="28"/>
          <w:szCs w:val="28"/>
        </w:rPr>
        <w:t>元，占基本支出的</w:t>
      </w:r>
      <w:r>
        <w:rPr>
          <w:rFonts w:cs="仿宋" w:asciiTheme="minorEastAsia" w:hAnsiTheme="minorEastAsia"/>
          <w:sz w:val="28"/>
          <w:szCs w:val="28"/>
        </w:rPr>
        <w:t>17.26</w:t>
      </w:r>
      <w:r>
        <w:rPr>
          <w:rFonts w:hint="eastAsia" w:cs="仿宋" w:asciiTheme="minorEastAsia" w:hAnsiTheme="minorEastAsia"/>
          <w:sz w:val="28"/>
          <w:szCs w:val="28"/>
        </w:rPr>
        <w:t>%，预算执行率</w:t>
      </w:r>
      <w:r>
        <w:rPr>
          <w:rFonts w:cs="仿宋" w:asciiTheme="minorEastAsia" w:hAnsiTheme="minorEastAsia"/>
          <w:sz w:val="28"/>
          <w:szCs w:val="28"/>
        </w:rPr>
        <w:t>121.81</w:t>
      </w:r>
      <w:r>
        <w:rPr>
          <w:rFonts w:hint="eastAsia" w:cs="仿宋" w:asciiTheme="minorEastAsia" w:hAnsiTheme="minorEastAsia"/>
          <w:sz w:val="28"/>
          <w:szCs w:val="28"/>
        </w:rPr>
        <w:t>%。超预算原因：一是员工体检、女工妇检、全市工间操比赛、政务网维护等均未安排预算；二是补付了2019年的档案整理劳务费。</w:t>
      </w:r>
    </w:p>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b/>
          <w:sz w:val="28"/>
          <w:szCs w:val="28"/>
        </w:rPr>
        <w:t>（3）对个人和家庭的补助支出：</w:t>
      </w:r>
      <w:r>
        <w:rPr>
          <w:rFonts w:hint="eastAsia" w:cs="仿宋" w:asciiTheme="minorEastAsia" w:hAnsiTheme="minorEastAsia"/>
          <w:sz w:val="28"/>
          <w:szCs w:val="28"/>
        </w:rPr>
        <w:t>年初预算</w:t>
      </w:r>
      <w:r>
        <w:rPr>
          <w:rFonts w:cs="仿宋" w:asciiTheme="minorEastAsia" w:hAnsiTheme="minorEastAsia"/>
          <w:sz w:val="28"/>
          <w:szCs w:val="28"/>
        </w:rPr>
        <w:t>226284</w:t>
      </w:r>
      <w:r>
        <w:rPr>
          <w:rFonts w:hint="eastAsia" w:cs="仿宋" w:asciiTheme="minorEastAsia" w:hAnsiTheme="minorEastAsia"/>
          <w:sz w:val="28"/>
          <w:szCs w:val="28"/>
        </w:rPr>
        <w:t>元，决算支出</w:t>
      </w:r>
      <w:r>
        <w:rPr>
          <w:rFonts w:cs="仿宋" w:asciiTheme="minorEastAsia" w:hAnsiTheme="minorEastAsia"/>
          <w:sz w:val="28"/>
          <w:szCs w:val="28"/>
        </w:rPr>
        <w:t>313207</w:t>
      </w:r>
      <w:r>
        <w:rPr>
          <w:rFonts w:hint="eastAsia" w:cs="仿宋" w:asciiTheme="minorEastAsia" w:hAnsiTheme="minorEastAsia"/>
          <w:sz w:val="28"/>
          <w:szCs w:val="28"/>
        </w:rPr>
        <w:t>元，超预算</w:t>
      </w:r>
      <w:r>
        <w:rPr>
          <w:rFonts w:cs="仿宋" w:asciiTheme="minorEastAsia" w:hAnsiTheme="minorEastAsia"/>
          <w:sz w:val="28"/>
          <w:szCs w:val="28"/>
        </w:rPr>
        <w:t>86923</w:t>
      </w:r>
      <w:r>
        <w:rPr>
          <w:rFonts w:hint="eastAsia" w:cs="仿宋" w:asciiTheme="minorEastAsia" w:hAnsiTheme="minorEastAsia"/>
          <w:sz w:val="28"/>
          <w:szCs w:val="28"/>
        </w:rPr>
        <w:t>元，占基本支出的</w:t>
      </w:r>
      <w:r>
        <w:rPr>
          <w:rFonts w:cs="仿宋" w:asciiTheme="minorEastAsia" w:hAnsiTheme="minorEastAsia"/>
          <w:sz w:val="28"/>
          <w:szCs w:val="28"/>
        </w:rPr>
        <w:t>3.36</w:t>
      </w:r>
      <w:r>
        <w:rPr>
          <w:rFonts w:hint="eastAsia" w:cs="仿宋" w:asciiTheme="minorEastAsia" w:hAnsiTheme="minorEastAsia"/>
          <w:sz w:val="28"/>
          <w:szCs w:val="28"/>
        </w:rPr>
        <w:t>%，预算执行率</w:t>
      </w:r>
      <w:r>
        <w:rPr>
          <w:rFonts w:cs="仿宋" w:asciiTheme="minorEastAsia" w:hAnsiTheme="minorEastAsia"/>
          <w:sz w:val="28"/>
          <w:szCs w:val="28"/>
        </w:rPr>
        <w:t>138.41</w:t>
      </w:r>
      <w:r>
        <w:rPr>
          <w:rFonts w:hint="eastAsia" w:cs="仿宋" w:asciiTheme="minorEastAsia" w:hAnsiTheme="minorEastAsia"/>
          <w:sz w:val="28"/>
          <w:szCs w:val="28"/>
        </w:rPr>
        <w:t>%。超预算原因：单位离退休人员的综治奖未纳入预算。</w:t>
      </w:r>
    </w:p>
    <w:p>
      <w:pPr>
        <w:pStyle w:val="43"/>
        <w:ind w:left="420" w:right="420"/>
        <w:rPr>
          <w:rFonts w:asciiTheme="minorEastAsia" w:hAnsiTheme="minorEastAsia" w:eastAsiaTheme="minorEastAsia"/>
          <w:sz w:val="28"/>
          <w:szCs w:val="28"/>
        </w:rPr>
      </w:pPr>
      <w:r>
        <w:rPr>
          <w:rFonts w:asciiTheme="minorEastAsia" w:hAnsiTheme="minorEastAsia" w:eastAsiaTheme="minorEastAsia"/>
          <w:sz w:val="28"/>
          <w:szCs w:val="28"/>
        </w:rPr>
        <w:t>2.</w:t>
      </w:r>
      <w:r>
        <w:rPr>
          <w:rFonts w:hint="eastAsia" w:asciiTheme="minorEastAsia" w:hAnsiTheme="minorEastAsia" w:eastAsiaTheme="minorEastAsia"/>
          <w:sz w:val="28"/>
          <w:szCs w:val="28"/>
        </w:rPr>
        <w:t xml:space="preserve">  项目支出使用管理情况</w:t>
      </w:r>
    </w:p>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项目支出的范围和主要用途是在基本支出之外为完成特定的职能目标而发生的支出，主要用于森林资源管护、森林资源培育、生态保护体系建设等方面。我市的林业项目资金严格按照国家财经法规、预算资金管理办法、《湘乡市林业项目管理办法》《湘乡市林业局内部控制工作手册》《湘乡市林业局财务管理制度》执行，遵循先预算、再审批、后支出的原则，严格按照计划和资金预算文件进行计划、资金分配与拨付，做到了专款专用，实行专项管理、分项核算，无擅自调整工程计划和改变资金用途问题，无截留、滞留、违规抵扣等现象，也无挤占、串用、挪用资金现象，保障了资金使用的合规性；项目完工经林业部门和财政部门共同验收合格后，由项目实施单位提交报账资料并按程序审批后再由国库集中支付，基本保障了资金使用的合规性和时效性；无管理不善和失职、渎职造成的损失、浪费资金问题；资金管理和会计核算按国家有关规定执行，无转移、转存资金、帐外设账、私设“小金库”等现象。项目支出使用情况如下：</w:t>
      </w:r>
    </w:p>
    <w:p>
      <w:pPr>
        <w:widowControl/>
        <w:shd w:val="clear" w:color="auto" w:fill="FFFFFF"/>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20</w:t>
      </w:r>
      <w:r>
        <w:rPr>
          <w:rFonts w:cs="仿宋" w:asciiTheme="minorEastAsia" w:hAnsiTheme="minorEastAsia"/>
          <w:sz w:val="28"/>
          <w:szCs w:val="28"/>
        </w:rPr>
        <w:t>21</w:t>
      </w:r>
      <w:r>
        <w:rPr>
          <w:rFonts w:hint="eastAsia" w:cs="仿宋" w:asciiTheme="minorEastAsia" w:hAnsiTheme="minorEastAsia"/>
          <w:sz w:val="28"/>
          <w:szCs w:val="28"/>
        </w:rPr>
        <w:t>年项目支出年初预算</w:t>
      </w:r>
      <w:r>
        <w:rPr>
          <w:rFonts w:cs="仿宋" w:asciiTheme="minorEastAsia" w:hAnsiTheme="minorEastAsia"/>
          <w:sz w:val="28"/>
          <w:szCs w:val="28"/>
        </w:rPr>
        <w:t>3780000</w:t>
      </w:r>
      <w:r>
        <w:rPr>
          <w:rFonts w:hint="eastAsia" w:cs="仿宋" w:asciiTheme="minorEastAsia" w:hAnsiTheme="minorEastAsia"/>
          <w:sz w:val="28"/>
          <w:szCs w:val="28"/>
        </w:rPr>
        <w:t>元，年中追加</w:t>
      </w:r>
      <w:r>
        <w:rPr>
          <w:rFonts w:cs="仿宋" w:asciiTheme="minorEastAsia" w:hAnsiTheme="minorEastAsia"/>
          <w:sz w:val="28"/>
          <w:szCs w:val="28"/>
        </w:rPr>
        <w:t>30675832</w:t>
      </w:r>
      <w:r>
        <w:rPr>
          <w:rFonts w:hint="eastAsia" w:cs="仿宋" w:asciiTheme="minorEastAsia" w:hAnsiTheme="minorEastAsia"/>
          <w:sz w:val="28"/>
          <w:szCs w:val="28"/>
        </w:rPr>
        <w:t>元，合计3</w:t>
      </w:r>
      <w:r>
        <w:rPr>
          <w:rFonts w:cs="仿宋" w:asciiTheme="minorEastAsia" w:hAnsiTheme="minorEastAsia"/>
          <w:sz w:val="28"/>
          <w:szCs w:val="28"/>
        </w:rPr>
        <w:t>4455832</w:t>
      </w:r>
      <w:r>
        <w:rPr>
          <w:rFonts w:hint="eastAsia" w:cs="仿宋" w:asciiTheme="minorEastAsia" w:hAnsiTheme="minorEastAsia"/>
          <w:sz w:val="28"/>
          <w:szCs w:val="28"/>
        </w:rPr>
        <w:t>元，用结余结转资金拨付</w:t>
      </w:r>
      <w:r>
        <w:rPr>
          <w:rFonts w:cs="仿宋" w:asciiTheme="minorEastAsia" w:hAnsiTheme="minorEastAsia"/>
          <w:sz w:val="28"/>
          <w:szCs w:val="28"/>
        </w:rPr>
        <w:t>12163100</w:t>
      </w:r>
      <w:r>
        <w:rPr>
          <w:rFonts w:hint="eastAsia" w:cs="仿宋" w:asciiTheme="minorEastAsia" w:hAnsiTheme="minorEastAsia"/>
          <w:sz w:val="28"/>
          <w:szCs w:val="28"/>
        </w:rPr>
        <w:t>元，调整后的预算数</w:t>
      </w:r>
      <w:r>
        <w:rPr>
          <w:rFonts w:cs="仿宋" w:asciiTheme="minorEastAsia" w:hAnsiTheme="minorEastAsia"/>
          <w:sz w:val="28"/>
          <w:szCs w:val="28"/>
        </w:rPr>
        <w:t>46618932</w:t>
      </w:r>
      <w:r>
        <w:rPr>
          <w:rFonts w:hint="eastAsia" w:cs="仿宋" w:asciiTheme="minorEastAsia" w:hAnsiTheme="minorEastAsia"/>
          <w:sz w:val="28"/>
          <w:szCs w:val="28"/>
        </w:rPr>
        <w:t>元，决算支出</w:t>
      </w:r>
      <w:r>
        <w:rPr>
          <w:rFonts w:cs="仿宋" w:asciiTheme="minorEastAsia" w:hAnsiTheme="minorEastAsia"/>
          <w:sz w:val="28"/>
          <w:szCs w:val="28"/>
        </w:rPr>
        <w:t>22898169</w:t>
      </w:r>
      <w:r>
        <w:rPr>
          <w:rFonts w:hint="eastAsia" w:cs="仿宋" w:asciiTheme="minorEastAsia" w:hAnsiTheme="minorEastAsia"/>
          <w:sz w:val="28"/>
          <w:szCs w:val="28"/>
        </w:rPr>
        <w:t>元，剔除本年拨付上年及以前年度项目支出13080433元，实际支出9817736元，占全年总支出的</w:t>
      </w:r>
      <w:r>
        <w:rPr>
          <w:rFonts w:cs="仿宋" w:asciiTheme="minorEastAsia" w:hAnsiTheme="minorEastAsia"/>
          <w:sz w:val="28"/>
          <w:szCs w:val="28"/>
        </w:rPr>
        <w:t>51.</w:t>
      </w:r>
      <w:r>
        <w:rPr>
          <w:rFonts w:hint="eastAsia" w:cs="仿宋" w:asciiTheme="minorEastAsia" w:hAnsiTheme="minorEastAsia"/>
          <w:sz w:val="28"/>
          <w:szCs w:val="28"/>
        </w:rPr>
        <w:t>29%，预算执行率</w:t>
      </w:r>
      <w:r>
        <w:rPr>
          <w:rFonts w:cs="仿宋" w:asciiTheme="minorEastAsia" w:hAnsiTheme="minorEastAsia"/>
          <w:sz w:val="28"/>
          <w:szCs w:val="28"/>
        </w:rPr>
        <w:t>21.</w:t>
      </w:r>
      <w:r>
        <w:rPr>
          <w:rFonts w:hint="eastAsia" w:cs="仿宋" w:asciiTheme="minorEastAsia" w:hAnsiTheme="minorEastAsia"/>
          <w:sz w:val="28"/>
          <w:szCs w:val="28"/>
        </w:rPr>
        <w:t>0</w:t>
      </w:r>
      <w:r>
        <w:rPr>
          <w:rFonts w:cs="仿宋" w:asciiTheme="minorEastAsia" w:hAnsiTheme="minorEastAsia"/>
          <w:sz w:val="28"/>
          <w:szCs w:val="28"/>
        </w:rPr>
        <w:t>6</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年3月底，用结余结转资金拨付1</w:t>
      </w:r>
      <w:r>
        <w:rPr>
          <w:rFonts w:cs="仿宋" w:asciiTheme="minorEastAsia" w:hAnsiTheme="minorEastAsia"/>
          <w:sz w:val="28"/>
          <w:szCs w:val="28"/>
        </w:rPr>
        <w:t>3098137</w:t>
      </w:r>
      <w:r>
        <w:rPr>
          <w:rFonts w:hint="eastAsia" w:cs="仿宋" w:asciiTheme="minorEastAsia" w:hAnsiTheme="minorEastAsia"/>
          <w:sz w:val="28"/>
          <w:szCs w:val="28"/>
        </w:rPr>
        <w:t>元，调整后的预算数4</w:t>
      </w:r>
      <w:r>
        <w:rPr>
          <w:rFonts w:cs="仿宋" w:asciiTheme="minorEastAsia" w:hAnsiTheme="minorEastAsia"/>
          <w:sz w:val="28"/>
          <w:szCs w:val="28"/>
        </w:rPr>
        <w:t>7553969</w:t>
      </w:r>
      <w:r>
        <w:rPr>
          <w:rFonts w:hint="eastAsia" w:cs="仿宋" w:asciiTheme="minorEastAsia" w:hAnsiTheme="minorEastAsia"/>
          <w:sz w:val="28"/>
          <w:szCs w:val="28"/>
        </w:rPr>
        <w:t>元，整体支出时段内的实际支出12957948元，占全年总支出的</w:t>
      </w:r>
      <w:r>
        <w:rPr>
          <w:rFonts w:cs="仿宋" w:asciiTheme="minorEastAsia" w:hAnsiTheme="minorEastAsia"/>
          <w:sz w:val="28"/>
          <w:szCs w:val="28"/>
        </w:rPr>
        <w:t>58.</w:t>
      </w:r>
      <w:r>
        <w:rPr>
          <w:rFonts w:hint="eastAsia" w:cs="仿宋" w:asciiTheme="minorEastAsia" w:hAnsiTheme="minorEastAsia"/>
          <w:sz w:val="28"/>
          <w:szCs w:val="28"/>
        </w:rPr>
        <w:t>1</w:t>
      </w:r>
      <w:r>
        <w:rPr>
          <w:rFonts w:cs="仿宋" w:asciiTheme="minorEastAsia" w:hAnsiTheme="minorEastAsia"/>
          <w:sz w:val="28"/>
          <w:szCs w:val="28"/>
        </w:rPr>
        <w:t>5</w:t>
      </w:r>
      <w:r>
        <w:rPr>
          <w:rFonts w:hint="eastAsia" w:cs="仿宋" w:asciiTheme="minorEastAsia" w:hAnsiTheme="minorEastAsia"/>
          <w:sz w:val="28"/>
          <w:szCs w:val="28"/>
        </w:rPr>
        <w:t>%，预算执行率</w:t>
      </w:r>
      <w:r>
        <w:rPr>
          <w:rFonts w:cs="仿宋" w:asciiTheme="minorEastAsia" w:hAnsiTheme="minorEastAsia"/>
          <w:sz w:val="28"/>
          <w:szCs w:val="28"/>
        </w:rPr>
        <w:t>27.</w:t>
      </w:r>
      <w:r>
        <w:rPr>
          <w:rFonts w:hint="eastAsia" w:cs="仿宋" w:asciiTheme="minorEastAsia" w:hAnsiTheme="minorEastAsia"/>
          <w:sz w:val="28"/>
          <w:szCs w:val="28"/>
        </w:rPr>
        <w:t>25%。</w:t>
      </w:r>
    </w:p>
    <w:p>
      <w:pPr>
        <w:pStyle w:val="46"/>
        <w:keepNext w:val="0"/>
        <w:keepLines w:val="0"/>
        <w:numPr>
          <w:ilvl w:val="0"/>
          <w:numId w:val="0"/>
        </w:numPr>
        <w:spacing w:line="580" w:lineRule="exact"/>
        <w:ind w:left="600"/>
        <w:rPr>
          <w:rFonts w:asciiTheme="minorEastAsia" w:hAnsiTheme="minorEastAsia" w:eastAsiaTheme="minorEastAsia"/>
          <w:sz w:val="28"/>
          <w:szCs w:val="28"/>
        </w:rPr>
      </w:pPr>
      <w:r>
        <w:rPr>
          <w:rFonts w:hint="eastAsia" w:asciiTheme="minorEastAsia" w:hAnsiTheme="minorEastAsia" w:eastAsiaTheme="minorEastAsia"/>
          <w:sz w:val="28"/>
          <w:szCs w:val="28"/>
        </w:rPr>
        <w:t>（1）业务性（经常性）专项执行情况</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年初预算</w:t>
      </w:r>
      <w:r>
        <w:rPr>
          <w:rFonts w:cs="仿宋" w:asciiTheme="minorEastAsia" w:hAnsiTheme="minorEastAsia"/>
          <w:sz w:val="28"/>
          <w:szCs w:val="28"/>
        </w:rPr>
        <w:t>1980000</w:t>
      </w:r>
      <w:r>
        <w:rPr>
          <w:rFonts w:hint="eastAsia" w:cs="仿宋" w:asciiTheme="minorEastAsia" w:hAnsiTheme="minorEastAsia"/>
          <w:sz w:val="28"/>
          <w:szCs w:val="28"/>
        </w:rPr>
        <w:t>元，年中追加</w:t>
      </w:r>
      <w:r>
        <w:rPr>
          <w:rFonts w:cs="仿宋" w:asciiTheme="minorEastAsia" w:hAnsiTheme="minorEastAsia"/>
          <w:sz w:val="28"/>
          <w:szCs w:val="28"/>
        </w:rPr>
        <w:t>300000</w:t>
      </w:r>
      <w:r>
        <w:rPr>
          <w:rFonts w:hint="eastAsia" w:cs="仿宋" w:asciiTheme="minorEastAsia" w:hAnsiTheme="minorEastAsia"/>
          <w:sz w:val="28"/>
          <w:szCs w:val="28"/>
        </w:rPr>
        <w:t>元，合计2</w:t>
      </w:r>
      <w:r>
        <w:rPr>
          <w:rFonts w:cs="仿宋" w:asciiTheme="minorEastAsia" w:hAnsiTheme="minorEastAsia"/>
          <w:sz w:val="28"/>
          <w:szCs w:val="28"/>
        </w:rPr>
        <w:t>280000</w:t>
      </w:r>
      <w:r>
        <w:rPr>
          <w:rFonts w:hint="eastAsia" w:cs="仿宋" w:asciiTheme="minorEastAsia" w:hAnsiTheme="minorEastAsia"/>
          <w:sz w:val="28"/>
          <w:szCs w:val="28"/>
        </w:rPr>
        <w:t>元，用结余结转资金拨付2</w:t>
      </w:r>
      <w:r>
        <w:rPr>
          <w:rFonts w:cs="仿宋" w:asciiTheme="minorEastAsia" w:hAnsiTheme="minorEastAsia"/>
          <w:sz w:val="28"/>
          <w:szCs w:val="28"/>
        </w:rPr>
        <w:t>9658</w:t>
      </w:r>
      <w:r>
        <w:rPr>
          <w:rFonts w:hint="eastAsia" w:cs="仿宋" w:asciiTheme="minorEastAsia" w:hAnsiTheme="minorEastAsia"/>
          <w:sz w:val="28"/>
          <w:szCs w:val="28"/>
        </w:rPr>
        <w:t>元，调整后的预算数</w:t>
      </w:r>
      <w:r>
        <w:rPr>
          <w:rFonts w:cs="仿宋" w:asciiTheme="minorEastAsia" w:hAnsiTheme="minorEastAsia"/>
          <w:sz w:val="28"/>
          <w:szCs w:val="28"/>
        </w:rPr>
        <w:t>2309658</w:t>
      </w:r>
      <w:r>
        <w:rPr>
          <w:rFonts w:hint="eastAsia" w:cs="仿宋" w:asciiTheme="minorEastAsia" w:hAnsiTheme="minorEastAsia"/>
          <w:sz w:val="28"/>
          <w:szCs w:val="28"/>
        </w:rPr>
        <w:t>元，决算支出</w:t>
      </w:r>
      <w:r>
        <w:rPr>
          <w:rFonts w:cs="仿宋" w:asciiTheme="minorEastAsia" w:hAnsiTheme="minorEastAsia"/>
          <w:sz w:val="28"/>
          <w:szCs w:val="28"/>
        </w:rPr>
        <w:t>1882427</w:t>
      </w:r>
      <w:r>
        <w:rPr>
          <w:rFonts w:hint="eastAsia" w:cs="仿宋" w:asciiTheme="minorEastAsia" w:hAnsiTheme="minorEastAsia"/>
          <w:sz w:val="28"/>
          <w:szCs w:val="28"/>
        </w:rPr>
        <w:t>元，剔除本年拨付上年支出550988元，实际支出1331440元，占项目支出的13.56%，预算执行率57.65%。截至2</w:t>
      </w:r>
      <w:r>
        <w:rPr>
          <w:rFonts w:cs="仿宋" w:asciiTheme="minorEastAsia" w:hAnsiTheme="minorEastAsia"/>
          <w:sz w:val="28"/>
          <w:szCs w:val="28"/>
        </w:rPr>
        <w:t>022</w:t>
      </w:r>
      <w:r>
        <w:rPr>
          <w:rFonts w:hint="eastAsia" w:cs="仿宋" w:asciiTheme="minorEastAsia" w:hAnsiTheme="minorEastAsia"/>
          <w:sz w:val="28"/>
          <w:szCs w:val="28"/>
        </w:rPr>
        <w:t>年3月底，实际支出1689410元，占项目支出的13.04%，预算执行率73.15%。具体执行情况如下：</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森林公安办案支出：年初预算2</w:t>
      </w:r>
      <w:r>
        <w:rPr>
          <w:rFonts w:cs="仿宋" w:asciiTheme="minorEastAsia" w:hAnsiTheme="minorEastAsia"/>
          <w:sz w:val="28"/>
          <w:szCs w:val="28"/>
        </w:rPr>
        <w:t>0</w:t>
      </w:r>
      <w:r>
        <w:rPr>
          <w:rFonts w:hint="eastAsia" w:cs="仿宋" w:asciiTheme="minorEastAsia" w:hAnsiTheme="minorEastAsia"/>
          <w:sz w:val="28"/>
          <w:szCs w:val="28"/>
        </w:rPr>
        <w:t>0000元，决算支出</w:t>
      </w:r>
      <w:r>
        <w:rPr>
          <w:rFonts w:cs="仿宋" w:asciiTheme="minorEastAsia" w:hAnsiTheme="minorEastAsia"/>
          <w:sz w:val="28"/>
          <w:szCs w:val="28"/>
        </w:rPr>
        <w:t>107878</w:t>
      </w:r>
      <w:r>
        <w:rPr>
          <w:rFonts w:hint="eastAsia" w:cs="仿宋" w:asciiTheme="minorEastAsia" w:hAnsiTheme="minorEastAsia"/>
          <w:sz w:val="28"/>
          <w:szCs w:val="28"/>
        </w:rPr>
        <w:t>元，剔除本年拨付上年支出6</w:t>
      </w:r>
      <w:r>
        <w:rPr>
          <w:rFonts w:cs="仿宋" w:asciiTheme="minorEastAsia" w:hAnsiTheme="minorEastAsia"/>
          <w:sz w:val="28"/>
          <w:szCs w:val="28"/>
        </w:rPr>
        <w:t>9820</w:t>
      </w:r>
      <w:r>
        <w:rPr>
          <w:rFonts w:hint="eastAsia" w:cs="仿宋" w:asciiTheme="minorEastAsia" w:hAnsiTheme="minorEastAsia"/>
          <w:sz w:val="28"/>
          <w:szCs w:val="28"/>
        </w:rPr>
        <w:t>元，实际支出3</w:t>
      </w:r>
      <w:r>
        <w:rPr>
          <w:rFonts w:cs="仿宋" w:asciiTheme="minorEastAsia" w:hAnsiTheme="minorEastAsia"/>
          <w:sz w:val="28"/>
          <w:szCs w:val="28"/>
        </w:rPr>
        <w:t>8058</w:t>
      </w:r>
      <w:r>
        <w:rPr>
          <w:rFonts w:hint="eastAsia" w:cs="仿宋" w:asciiTheme="minorEastAsia" w:hAnsiTheme="minorEastAsia"/>
          <w:sz w:val="28"/>
          <w:szCs w:val="28"/>
        </w:rPr>
        <w:t>元，占业务性专项支出的</w:t>
      </w:r>
      <w:r>
        <w:rPr>
          <w:rFonts w:cs="仿宋" w:asciiTheme="minorEastAsia" w:hAnsiTheme="minorEastAsia"/>
          <w:sz w:val="28"/>
          <w:szCs w:val="28"/>
        </w:rPr>
        <w:t>2.</w:t>
      </w:r>
      <w:r>
        <w:rPr>
          <w:rFonts w:hint="eastAsia" w:cs="仿宋" w:asciiTheme="minorEastAsia" w:hAnsiTheme="minorEastAsia"/>
          <w:sz w:val="28"/>
          <w:szCs w:val="28"/>
        </w:rPr>
        <w:t>86%（截至2</w:t>
      </w:r>
      <w:r>
        <w:rPr>
          <w:rFonts w:cs="仿宋" w:asciiTheme="minorEastAsia" w:hAnsiTheme="minorEastAsia"/>
          <w:sz w:val="28"/>
          <w:szCs w:val="28"/>
        </w:rPr>
        <w:t>022</w:t>
      </w:r>
      <w:r>
        <w:rPr>
          <w:rFonts w:hint="eastAsia" w:cs="仿宋" w:asciiTheme="minorEastAsia" w:hAnsiTheme="minorEastAsia"/>
          <w:sz w:val="28"/>
          <w:szCs w:val="28"/>
        </w:rPr>
        <w:t>年3月底，占比2.25%），预算执行率</w:t>
      </w:r>
      <w:r>
        <w:rPr>
          <w:rFonts w:cs="仿宋" w:asciiTheme="minorEastAsia" w:hAnsiTheme="minorEastAsia"/>
          <w:sz w:val="28"/>
          <w:szCs w:val="28"/>
        </w:rPr>
        <w:t>19.03</w:t>
      </w:r>
      <w:r>
        <w:rPr>
          <w:rFonts w:hint="eastAsia" w:cs="仿宋" w:asciiTheme="minorEastAsia" w:hAnsiTheme="minorEastAsia"/>
          <w:sz w:val="28"/>
          <w:szCs w:val="28"/>
        </w:rPr>
        <w:t>%。本项目结余资金</w:t>
      </w:r>
      <w:r>
        <w:rPr>
          <w:rFonts w:cs="仿宋" w:asciiTheme="minorEastAsia" w:hAnsiTheme="minorEastAsia"/>
          <w:sz w:val="28"/>
          <w:szCs w:val="28"/>
        </w:rPr>
        <w:t>161942</w:t>
      </w:r>
      <w:r>
        <w:rPr>
          <w:rFonts w:hint="eastAsia" w:cs="仿宋" w:asciiTheme="minorEastAsia" w:hAnsiTheme="minorEastAsia"/>
          <w:sz w:val="28"/>
          <w:szCs w:val="28"/>
        </w:rPr>
        <w:t>元，系森林公安转隶，未将结余资金及时调剂至湘乡市公安局。</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执法大队办案支出：年初预算2</w:t>
      </w:r>
      <w:r>
        <w:rPr>
          <w:rFonts w:cs="仿宋" w:asciiTheme="minorEastAsia" w:hAnsiTheme="minorEastAsia"/>
          <w:sz w:val="28"/>
          <w:szCs w:val="28"/>
        </w:rPr>
        <w:t>8</w:t>
      </w:r>
      <w:r>
        <w:rPr>
          <w:rFonts w:hint="eastAsia" w:cs="仿宋" w:asciiTheme="minorEastAsia" w:hAnsiTheme="minorEastAsia"/>
          <w:sz w:val="28"/>
          <w:szCs w:val="28"/>
        </w:rPr>
        <w:t>0000元，用结余结转资金拨付2</w:t>
      </w:r>
      <w:r>
        <w:rPr>
          <w:rFonts w:cs="仿宋" w:asciiTheme="minorEastAsia" w:hAnsiTheme="minorEastAsia"/>
          <w:sz w:val="28"/>
          <w:szCs w:val="28"/>
        </w:rPr>
        <w:t>9658</w:t>
      </w:r>
      <w:r>
        <w:rPr>
          <w:rFonts w:hint="eastAsia" w:cs="仿宋" w:asciiTheme="minorEastAsia" w:hAnsiTheme="minorEastAsia"/>
          <w:sz w:val="28"/>
          <w:szCs w:val="28"/>
        </w:rPr>
        <w:t>元，调整后的预算数3</w:t>
      </w:r>
      <w:r>
        <w:rPr>
          <w:rFonts w:cs="仿宋" w:asciiTheme="minorEastAsia" w:hAnsiTheme="minorEastAsia"/>
          <w:sz w:val="28"/>
          <w:szCs w:val="28"/>
        </w:rPr>
        <w:t>09658</w:t>
      </w:r>
      <w:r>
        <w:rPr>
          <w:rFonts w:hint="eastAsia" w:cs="仿宋" w:asciiTheme="minorEastAsia" w:hAnsiTheme="minorEastAsia"/>
          <w:sz w:val="28"/>
          <w:szCs w:val="28"/>
        </w:rPr>
        <w:t>元，决算支出</w:t>
      </w:r>
      <w:r>
        <w:rPr>
          <w:rFonts w:cs="仿宋" w:asciiTheme="minorEastAsia" w:hAnsiTheme="minorEastAsia"/>
          <w:sz w:val="28"/>
          <w:szCs w:val="28"/>
        </w:rPr>
        <w:t>309658</w:t>
      </w:r>
      <w:r>
        <w:rPr>
          <w:rFonts w:hint="eastAsia" w:cs="仿宋" w:asciiTheme="minorEastAsia" w:hAnsiTheme="minorEastAsia"/>
          <w:sz w:val="28"/>
          <w:szCs w:val="28"/>
        </w:rPr>
        <w:t>元，剔除本年拨付上年资金1</w:t>
      </w:r>
      <w:r>
        <w:rPr>
          <w:rFonts w:cs="仿宋" w:asciiTheme="minorEastAsia" w:hAnsiTheme="minorEastAsia"/>
          <w:sz w:val="28"/>
          <w:szCs w:val="28"/>
        </w:rPr>
        <w:t>73560</w:t>
      </w:r>
      <w:r>
        <w:rPr>
          <w:rFonts w:hint="eastAsia" w:cs="仿宋" w:asciiTheme="minorEastAsia" w:hAnsiTheme="minorEastAsia"/>
          <w:sz w:val="28"/>
          <w:szCs w:val="28"/>
        </w:rPr>
        <w:t>元，实际支出1</w:t>
      </w:r>
      <w:r>
        <w:rPr>
          <w:rFonts w:cs="仿宋" w:asciiTheme="minorEastAsia" w:hAnsiTheme="minorEastAsia"/>
          <w:sz w:val="28"/>
          <w:szCs w:val="28"/>
        </w:rPr>
        <w:t>36098</w:t>
      </w:r>
      <w:r>
        <w:rPr>
          <w:rFonts w:hint="eastAsia" w:cs="仿宋" w:asciiTheme="minorEastAsia" w:hAnsiTheme="minorEastAsia"/>
          <w:sz w:val="28"/>
          <w:szCs w:val="28"/>
        </w:rPr>
        <w:t>元，占业务性专项支出的10.22%（截至2</w:t>
      </w:r>
      <w:r>
        <w:rPr>
          <w:rFonts w:cs="仿宋" w:asciiTheme="minorEastAsia" w:hAnsiTheme="minorEastAsia"/>
          <w:sz w:val="28"/>
          <w:szCs w:val="28"/>
        </w:rPr>
        <w:t>022</w:t>
      </w:r>
      <w:r>
        <w:rPr>
          <w:rFonts w:hint="eastAsia" w:cs="仿宋" w:asciiTheme="minorEastAsia" w:hAnsiTheme="minorEastAsia"/>
          <w:sz w:val="28"/>
          <w:szCs w:val="28"/>
        </w:rPr>
        <w:t>年3月底，占比8.06%），预算执行率</w:t>
      </w:r>
      <w:r>
        <w:rPr>
          <w:rFonts w:cs="仿宋" w:asciiTheme="minorEastAsia" w:hAnsiTheme="minorEastAsia"/>
          <w:sz w:val="28"/>
          <w:szCs w:val="28"/>
        </w:rPr>
        <w:t>43.95</w:t>
      </w:r>
      <w:r>
        <w:rPr>
          <w:rFonts w:hint="eastAsia" w:cs="仿宋" w:asciiTheme="minorEastAsia" w:hAnsiTheme="minorEastAsia"/>
          <w:sz w:val="28"/>
          <w:szCs w:val="28"/>
        </w:rPr>
        <w:t>%。本项目结余资金</w:t>
      </w:r>
      <w:r>
        <w:rPr>
          <w:rFonts w:cs="仿宋" w:asciiTheme="minorEastAsia" w:hAnsiTheme="minorEastAsia"/>
          <w:sz w:val="28"/>
          <w:szCs w:val="28"/>
        </w:rPr>
        <w:t>173560</w:t>
      </w:r>
      <w:r>
        <w:rPr>
          <w:rFonts w:hint="eastAsia" w:cs="仿宋" w:asciiTheme="minorEastAsia" w:hAnsiTheme="minorEastAsia"/>
          <w:sz w:val="28"/>
          <w:szCs w:val="28"/>
        </w:rPr>
        <w:t>元，系资金调度困难，未将应付款项及时结付。</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森林防火：年初预算1</w:t>
      </w:r>
      <w:r>
        <w:rPr>
          <w:rFonts w:cs="仿宋" w:asciiTheme="minorEastAsia" w:hAnsiTheme="minorEastAsia"/>
          <w:sz w:val="28"/>
          <w:szCs w:val="28"/>
        </w:rPr>
        <w:t>50000</w:t>
      </w:r>
      <w:r>
        <w:rPr>
          <w:rFonts w:hint="eastAsia" w:cs="仿宋" w:asciiTheme="minorEastAsia" w:hAnsiTheme="minorEastAsia"/>
          <w:sz w:val="28"/>
          <w:szCs w:val="28"/>
        </w:rPr>
        <w:t>元，年中中央财政下达资金3</w:t>
      </w:r>
      <w:r>
        <w:rPr>
          <w:rFonts w:cs="仿宋" w:asciiTheme="minorEastAsia" w:hAnsiTheme="minorEastAsia"/>
          <w:sz w:val="28"/>
          <w:szCs w:val="28"/>
        </w:rPr>
        <w:t>00000</w:t>
      </w:r>
      <w:r>
        <w:rPr>
          <w:rFonts w:hint="eastAsia" w:cs="仿宋" w:asciiTheme="minorEastAsia" w:hAnsiTheme="minorEastAsia"/>
          <w:sz w:val="28"/>
          <w:szCs w:val="28"/>
        </w:rPr>
        <w:t>元，调整后的预算数1</w:t>
      </w:r>
      <w:r>
        <w:rPr>
          <w:rFonts w:cs="仿宋" w:asciiTheme="minorEastAsia" w:hAnsiTheme="minorEastAsia"/>
          <w:sz w:val="28"/>
          <w:szCs w:val="28"/>
        </w:rPr>
        <w:t>800000</w:t>
      </w:r>
      <w:r>
        <w:rPr>
          <w:rFonts w:hint="eastAsia" w:cs="仿宋" w:asciiTheme="minorEastAsia" w:hAnsiTheme="minorEastAsia"/>
          <w:sz w:val="28"/>
          <w:szCs w:val="28"/>
        </w:rPr>
        <w:t>元，决算支出1</w:t>
      </w:r>
      <w:r>
        <w:rPr>
          <w:rFonts w:cs="仿宋" w:asciiTheme="minorEastAsia" w:hAnsiTheme="minorEastAsia"/>
          <w:sz w:val="28"/>
          <w:szCs w:val="28"/>
        </w:rPr>
        <w:t>464891</w:t>
      </w:r>
      <w:r>
        <w:rPr>
          <w:rFonts w:hint="eastAsia" w:cs="仿宋" w:asciiTheme="minorEastAsia" w:hAnsiTheme="minorEastAsia"/>
          <w:sz w:val="28"/>
          <w:szCs w:val="28"/>
        </w:rPr>
        <w:t>元，剔除本年拨付上年支出307608元，实际支出1157283元，占业务性专项支出的86.92%，预算执行率64.29%。截至2</w:t>
      </w:r>
      <w:r>
        <w:rPr>
          <w:rFonts w:cs="仿宋" w:asciiTheme="minorEastAsia" w:hAnsiTheme="minorEastAsia"/>
          <w:sz w:val="28"/>
          <w:szCs w:val="28"/>
        </w:rPr>
        <w:t>022</w:t>
      </w:r>
      <w:r>
        <w:rPr>
          <w:rFonts w:hint="eastAsia" w:cs="仿宋" w:asciiTheme="minorEastAsia" w:hAnsiTheme="minorEastAsia"/>
          <w:sz w:val="28"/>
          <w:szCs w:val="28"/>
        </w:rPr>
        <w:t>年3月底，实际支出1515253元，占业务性专项支出的89.69%，预算执行率84.18%。本项目资金结余284747元，系资金调剂困难，GPS通讯及维护费尚未拨付联通公司。</w:t>
      </w:r>
    </w:p>
    <w:p>
      <w:pPr>
        <w:pStyle w:val="46"/>
        <w:keepNext w:val="0"/>
        <w:keepLines w:val="0"/>
        <w:numPr>
          <w:ilvl w:val="0"/>
          <w:numId w:val="0"/>
        </w:numPr>
        <w:spacing w:line="5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（2）项目性（专项性）专项执行情况</w:t>
      </w:r>
    </w:p>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项目性专项年初预算</w:t>
      </w:r>
      <w:r>
        <w:rPr>
          <w:rFonts w:cs="仿宋" w:asciiTheme="minorEastAsia" w:hAnsiTheme="minorEastAsia"/>
          <w:sz w:val="28"/>
          <w:szCs w:val="28"/>
        </w:rPr>
        <w:t>1800000</w:t>
      </w:r>
      <w:r>
        <w:rPr>
          <w:rFonts w:hint="eastAsia" w:cs="仿宋" w:asciiTheme="minorEastAsia" w:hAnsiTheme="minorEastAsia"/>
          <w:sz w:val="28"/>
          <w:szCs w:val="28"/>
        </w:rPr>
        <w:t>元，年中追加</w:t>
      </w:r>
      <w:r>
        <w:rPr>
          <w:rFonts w:cs="仿宋" w:asciiTheme="minorEastAsia" w:hAnsiTheme="minorEastAsia"/>
          <w:sz w:val="28"/>
          <w:szCs w:val="28"/>
        </w:rPr>
        <w:t>30375832</w:t>
      </w:r>
      <w:r>
        <w:rPr>
          <w:rFonts w:hint="eastAsia" w:cs="仿宋" w:asciiTheme="minorEastAsia" w:hAnsiTheme="minorEastAsia"/>
          <w:sz w:val="28"/>
          <w:szCs w:val="28"/>
        </w:rPr>
        <w:t>元，合计3</w:t>
      </w:r>
      <w:r>
        <w:rPr>
          <w:rFonts w:cs="仿宋" w:asciiTheme="minorEastAsia" w:hAnsiTheme="minorEastAsia"/>
          <w:sz w:val="28"/>
          <w:szCs w:val="28"/>
        </w:rPr>
        <w:t>2175832</w:t>
      </w:r>
      <w:r>
        <w:rPr>
          <w:rFonts w:hint="eastAsia" w:cs="仿宋" w:asciiTheme="minorEastAsia" w:hAnsiTheme="minorEastAsia"/>
          <w:sz w:val="28"/>
          <w:szCs w:val="28"/>
        </w:rPr>
        <w:t>元，用结余结转资金拨付</w:t>
      </w:r>
      <w:r>
        <w:rPr>
          <w:rFonts w:cs="仿宋" w:asciiTheme="minorEastAsia" w:hAnsiTheme="minorEastAsia"/>
          <w:sz w:val="28"/>
          <w:szCs w:val="28"/>
        </w:rPr>
        <w:t>12133442</w:t>
      </w:r>
      <w:r>
        <w:rPr>
          <w:rFonts w:hint="eastAsia" w:cs="仿宋" w:asciiTheme="minorEastAsia" w:hAnsiTheme="minorEastAsia"/>
          <w:sz w:val="28"/>
          <w:szCs w:val="28"/>
        </w:rPr>
        <w:t>元，调整后的预算数</w:t>
      </w:r>
      <w:r>
        <w:rPr>
          <w:rFonts w:cs="仿宋" w:asciiTheme="minorEastAsia" w:hAnsiTheme="minorEastAsia"/>
          <w:sz w:val="28"/>
          <w:szCs w:val="28"/>
        </w:rPr>
        <w:t>44309274</w:t>
      </w:r>
      <w:r>
        <w:rPr>
          <w:rFonts w:hint="eastAsia" w:cs="仿宋" w:asciiTheme="minorEastAsia" w:hAnsiTheme="minorEastAsia"/>
          <w:sz w:val="28"/>
          <w:szCs w:val="28"/>
        </w:rPr>
        <w:t>元，决算支出</w:t>
      </w:r>
      <w:r>
        <w:rPr>
          <w:rFonts w:cs="仿宋" w:asciiTheme="minorEastAsia" w:hAnsiTheme="minorEastAsia"/>
          <w:sz w:val="28"/>
          <w:szCs w:val="28"/>
        </w:rPr>
        <w:t>21015742</w:t>
      </w:r>
      <w:r>
        <w:rPr>
          <w:rFonts w:hint="eastAsia" w:cs="仿宋" w:asciiTheme="minorEastAsia" w:hAnsiTheme="minorEastAsia"/>
          <w:sz w:val="28"/>
          <w:szCs w:val="28"/>
        </w:rPr>
        <w:t>元，剔除本年拨付以前年度资金</w:t>
      </w:r>
      <w:r>
        <w:rPr>
          <w:rFonts w:cs="仿宋" w:asciiTheme="minorEastAsia" w:hAnsiTheme="minorEastAsia"/>
          <w:sz w:val="28"/>
          <w:szCs w:val="28"/>
        </w:rPr>
        <w:t>12529445</w:t>
      </w:r>
      <w:r>
        <w:rPr>
          <w:rFonts w:hint="eastAsia" w:cs="仿宋" w:asciiTheme="minorEastAsia" w:hAnsiTheme="minorEastAsia"/>
          <w:sz w:val="28"/>
          <w:szCs w:val="28"/>
        </w:rPr>
        <w:t>元，实际支出</w:t>
      </w:r>
      <w:r>
        <w:rPr>
          <w:rFonts w:cs="仿宋" w:asciiTheme="minorEastAsia" w:hAnsiTheme="minorEastAsia"/>
          <w:sz w:val="28"/>
          <w:szCs w:val="28"/>
        </w:rPr>
        <w:t>8486297</w:t>
      </w:r>
      <w:r>
        <w:rPr>
          <w:rFonts w:hint="eastAsia" w:cs="仿宋" w:asciiTheme="minorEastAsia" w:hAnsiTheme="minorEastAsia"/>
          <w:sz w:val="28"/>
          <w:szCs w:val="28"/>
        </w:rPr>
        <w:t>元，占项目支出的</w:t>
      </w:r>
      <w:r>
        <w:rPr>
          <w:rFonts w:cs="仿宋" w:asciiTheme="minorEastAsia" w:hAnsiTheme="minorEastAsia"/>
          <w:sz w:val="28"/>
          <w:szCs w:val="28"/>
        </w:rPr>
        <w:t>8</w:t>
      </w:r>
      <w:r>
        <w:rPr>
          <w:rFonts w:hint="eastAsia" w:cs="仿宋" w:asciiTheme="minorEastAsia" w:hAnsiTheme="minorEastAsia"/>
          <w:sz w:val="28"/>
          <w:szCs w:val="28"/>
        </w:rPr>
        <w:t>6.44%，预算执行率</w:t>
      </w:r>
      <w:r>
        <w:rPr>
          <w:rFonts w:cs="仿宋" w:asciiTheme="minorEastAsia" w:hAnsiTheme="minorEastAsia"/>
          <w:sz w:val="28"/>
          <w:szCs w:val="28"/>
        </w:rPr>
        <w:t>19.15</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年3月底，用结余结转资金拨付1</w:t>
      </w:r>
      <w:r>
        <w:rPr>
          <w:rFonts w:cs="仿宋" w:asciiTheme="minorEastAsia" w:hAnsiTheme="minorEastAsia"/>
          <w:sz w:val="28"/>
          <w:szCs w:val="28"/>
        </w:rPr>
        <w:t>3068479</w:t>
      </w:r>
      <w:r>
        <w:rPr>
          <w:rFonts w:hint="eastAsia" w:cs="仿宋" w:asciiTheme="minorEastAsia" w:hAnsiTheme="minorEastAsia"/>
          <w:sz w:val="28"/>
          <w:szCs w:val="28"/>
        </w:rPr>
        <w:t>元，调整后的预算数4</w:t>
      </w:r>
      <w:r>
        <w:rPr>
          <w:rFonts w:cs="仿宋" w:asciiTheme="minorEastAsia" w:hAnsiTheme="minorEastAsia"/>
          <w:sz w:val="28"/>
          <w:szCs w:val="28"/>
        </w:rPr>
        <w:t>5244311</w:t>
      </w:r>
      <w:r>
        <w:rPr>
          <w:rFonts w:hint="eastAsia" w:cs="仿宋" w:asciiTheme="minorEastAsia" w:hAnsiTheme="minorEastAsia"/>
          <w:sz w:val="28"/>
          <w:szCs w:val="28"/>
        </w:rPr>
        <w:t>元，实际支出</w:t>
      </w:r>
      <w:r>
        <w:rPr>
          <w:rFonts w:cs="仿宋" w:asciiTheme="minorEastAsia" w:hAnsiTheme="minorEastAsia"/>
          <w:sz w:val="28"/>
          <w:szCs w:val="28"/>
        </w:rPr>
        <w:t>11268538</w:t>
      </w:r>
      <w:r>
        <w:rPr>
          <w:rFonts w:hint="eastAsia" w:cs="仿宋" w:asciiTheme="minorEastAsia" w:hAnsiTheme="minorEastAsia"/>
          <w:sz w:val="28"/>
          <w:szCs w:val="28"/>
        </w:rPr>
        <w:t>元，占项目支出的</w:t>
      </w:r>
      <w:r>
        <w:rPr>
          <w:rFonts w:cs="仿宋" w:asciiTheme="minorEastAsia" w:hAnsiTheme="minorEastAsia"/>
          <w:sz w:val="28"/>
          <w:szCs w:val="28"/>
        </w:rPr>
        <w:t>8</w:t>
      </w:r>
      <w:r>
        <w:rPr>
          <w:rFonts w:hint="eastAsia" w:cs="仿宋" w:asciiTheme="minorEastAsia" w:hAnsiTheme="minorEastAsia"/>
          <w:sz w:val="28"/>
          <w:szCs w:val="28"/>
        </w:rPr>
        <w:t>6.96%，预算执行率</w:t>
      </w:r>
      <w:r>
        <w:rPr>
          <w:rFonts w:cs="仿宋" w:asciiTheme="minorEastAsia" w:hAnsiTheme="minorEastAsia"/>
          <w:sz w:val="28"/>
          <w:szCs w:val="28"/>
        </w:rPr>
        <w:t>24.91</w:t>
      </w:r>
      <w:r>
        <w:rPr>
          <w:rFonts w:hint="eastAsia" w:cs="仿宋" w:asciiTheme="minorEastAsia" w:hAnsiTheme="minorEastAsia"/>
          <w:sz w:val="28"/>
          <w:szCs w:val="28"/>
        </w:rPr>
        <w:t>%。具体执行情况如下：</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林业有害生物防治：年初预算</w:t>
      </w:r>
      <w:r>
        <w:rPr>
          <w:rFonts w:cs="仿宋" w:asciiTheme="minorEastAsia" w:hAnsiTheme="minorEastAsia"/>
          <w:sz w:val="28"/>
          <w:szCs w:val="28"/>
        </w:rPr>
        <w:t>16</w:t>
      </w:r>
      <w:r>
        <w:rPr>
          <w:rFonts w:hint="eastAsia" w:cs="仿宋" w:asciiTheme="minorEastAsia" w:hAnsiTheme="minorEastAsia"/>
          <w:sz w:val="28"/>
          <w:szCs w:val="28"/>
        </w:rPr>
        <w:t>0000元，年中省级财政下达资金</w:t>
      </w:r>
      <w:r>
        <w:rPr>
          <w:rFonts w:cs="仿宋" w:asciiTheme="minorEastAsia" w:hAnsiTheme="minorEastAsia"/>
          <w:sz w:val="28"/>
          <w:szCs w:val="28"/>
        </w:rPr>
        <w:t>30</w:t>
      </w:r>
      <w:r>
        <w:rPr>
          <w:rFonts w:hint="eastAsia" w:cs="仿宋" w:asciiTheme="minorEastAsia" w:hAnsiTheme="minorEastAsia"/>
          <w:sz w:val="28"/>
          <w:szCs w:val="28"/>
        </w:rPr>
        <w:t>0000元，合计4</w:t>
      </w:r>
      <w:r>
        <w:rPr>
          <w:rFonts w:cs="仿宋" w:asciiTheme="minorEastAsia" w:hAnsiTheme="minorEastAsia"/>
          <w:sz w:val="28"/>
          <w:szCs w:val="28"/>
        </w:rPr>
        <w:t>60000</w:t>
      </w:r>
      <w:r>
        <w:rPr>
          <w:rFonts w:hint="eastAsia" w:cs="仿宋" w:asciiTheme="minorEastAsia" w:hAnsiTheme="minorEastAsia"/>
          <w:sz w:val="28"/>
          <w:szCs w:val="28"/>
        </w:rPr>
        <w:t>元，用结余结转资金拨付1</w:t>
      </w:r>
      <w:r>
        <w:rPr>
          <w:rFonts w:cs="仿宋" w:asciiTheme="minorEastAsia" w:hAnsiTheme="minorEastAsia"/>
          <w:sz w:val="28"/>
          <w:szCs w:val="28"/>
        </w:rPr>
        <w:t>280117</w:t>
      </w:r>
      <w:r>
        <w:rPr>
          <w:rFonts w:hint="eastAsia" w:cs="仿宋" w:asciiTheme="minorEastAsia" w:hAnsiTheme="minorEastAsia"/>
          <w:sz w:val="28"/>
          <w:szCs w:val="28"/>
        </w:rPr>
        <w:t>元，调整后的预算数</w:t>
      </w:r>
      <w:r>
        <w:rPr>
          <w:rFonts w:cs="仿宋" w:asciiTheme="minorEastAsia" w:hAnsiTheme="minorEastAsia"/>
          <w:sz w:val="28"/>
          <w:szCs w:val="28"/>
        </w:rPr>
        <w:t>1740117</w:t>
      </w:r>
      <w:r>
        <w:rPr>
          <w:rFonts w:hint="eastAsia" w:cs="仿宋" w:asciiTheme="minorEastAsia" w:hAnsiTheme="minorEastAsia"/>
          <w:sz w:val="28"/>
          <w:szCs w:val="28"/>
        </w:rPr>
        <w:t>元，决算支出</w:t>
      </w:r>
      <w:r>
        <w:rPr>
          <w:rFonts w:cs="仿宋" w:asciiTheme="minorEastAsia" w:hAnsiTheme="minorEastAsia"/>
          <w:sz w:val="28"/>
          <w:szCs w:val="28"/>
        </w:rPr>
        <w:t>1740177</w:t>
      </w:r>
      <w:r>
        <w:rPr>
          <w:rFonts w:hint="eastAsia" w:cs="仿宋" w:asciiTheme="minorEastAsia" w:hAnsiTheme="minorEastAsia"/>
          <w:sz w:val="28"/>
          <w:szCs w:val="28"/>
        </w:rPr>
        <w:t>元，剔除本年拨付上年资金</w:t>
      </w:r>
      <w:r>
        <w:rPr>
          <w:rFonts w:cs="仿宋" w:asciiTheme="minorEastAsia" w:hAnsiTheme="minorEastAsia"/>
          <w:sz w:val="28"/>
          <w:szCs w:val="28"/>
        </w:rPr>
        <w:t>14260</w:t>
      </w:r>
      <w:r>
        <w:rPr>
          <w:rFonts w:hint="eastAsia" w:cs="仿宋" w:asciiTheme="minorEastAsia" w:hAnsiTheme="minorEastAsia"/>
          <w:sz w:val="28"/>
          <w:szCs w:val="28"/>
        </w:rPr>
        <w:t>元，实际支出</w:t>
      </w:r>
      <w:r>
        <w:rPr>
          <w:rFonts w:cs="仿宋" w:asciiTheme="minorEastAsia" w:hAnsiTheme="minorEastAsia"/>
          <w:sz w:val="28"/>
          <w:szCs w:val="28"/>
        </w:rPr>
        <w:t>1725917</w:t>
      </w:r>
      <w:r>
        <w:rPr>
          <w:rFonts w:hint="eastAsia" w:cs="仿宋" w:asciiTheme="minorEastAsia" w:hAnsiTheme="minorEastAsia"/>
          <w:sz w:val="28"/>
          <w:szCs w:val="28"/>
        </w:rPr>
        <w:t>元，占项目性专项的</w:t>
      </w:r>
      <w:r>
        <w:rPr>
          <w:rFonts w:cs="仿宋" w:asciiTheme="minorEastAsia" w:hAnsiTheme="minorEastAsia"/>
          <w:sz w:val="28"/>
          <w:szCs w:val="28"/>
        </w:rPr>
        <w:t>20.34</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年3月底，占比1</w:t>
      </w:r>
      <w:r>
        <w:rPr>
          <w:rFonts w:cs="仿宋" w:asciiTheme="minorEastAsia" w:hAnsiTheme="minorEastAsia"/>
          <w:sz w:val="28"/>
          <w:szCs w:val="28"/>
        </w:rPr>
        <w:t>5.32</w:t>
      </w:r>
      <w:r>
        <w:rPr>
          <w:rFonts w:hint="eastAsia" w:cs="仿宋" w:asciiTheme="minorEastAsia" w:hAnsiTheme="minorEastAsia"/>
          <w:sz w:val="28"/>
          <w:szCs w:val="28"/>
        </w:rPr>
        <w:t>%），预算执行率</w:t>
      </w:r>
      <w:r>
        <w:rPr>
          <w:rFonts w:cs="仿宋" w:asciiTheme="minorEastAsia" w:hAnsiTheme="minorEastAsia"/>
          <w:sz w:val="28"/>
          <w:szCs w:val="28"/>
        </w:rPr>
        <w:t>99.18</w:t>
      </w:r>
      <w:r>
        <w:rPr>
          <w:rFonts w:hint="eastAsia" w:cs="仿宋" w:asciiTheme="minorEastAsia" w:hAnsiTheme="minorEastAsia"/>
          <w:sz w:val="28"/>
          <w:szCs w:val="28"/>
        </w:rPr>
        <w:t>%。</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野生动物疫情疫病监测：年初预算</w:t>
      </w:r>
      <w:r>
        <w:rPr>
          <w:rFonts w:cs="仿宋" w:asciiTheme="minorEastAsia" w:hAnsiTheme="minorEastAsia"/>
          <w:sz w:val="28"/>
          <w:szCs w:val="28"/>
        </w:rPr>
        <w:t>90</w:t>
      </w:r>
      <w:r>
        <w:rPr>
          <w:rFonts w:hint="eastAsia" w:cs="仿宋" w:asciiTheme="minorEastAsia" w:hAnsiTheme="minorEastAsia"/>
          <w:sz w:val="28"/>
          <w:szCs w:val="28"/>
        </w:rPr>
        <w:t>000元，决算支出</w:t>
      </w:r>
      <w:r>
        <w:rPr>
          <w:rFonts w:cs="仿宋" w:asciiTheme="minorEastAsia" w:hAnsiTheme="minorEastAsia"/>
          <w:sz w:val="28"/>
          <w:szCs w:val="28"/>
        </w:rPr>
        <w:t>20010</w:t>
      </w:r>
      <w:r>
        <w:rPr>
          <w:rFonts w:hint="eastAsia" w:cs="仿宋" w:asciiTheme="minorEastAsia" w:hAnsiTheme="minorEastAsia"/>
          <w:sz w:val="28"/>
          <w:szCs w:val="28"/>
        </w:rPr>
        <w:t>元，剔除本年拨付上年资金8</w:t>
      </w:r>
      <w:r>
        <w:rPr>
          <w:rFonts w:cs="仿宋" w:asciiTheme="minorEastAsia" w:hAnsiTheme="minorEastAsia"/>
          <w:sz w:val="28"/>
          <w:szCs w:val="28"/>
        </w:rPr>
        <w:t>590</w:t>
      </w:r>
      <w:r>
        <w:rPr>
          <w:rFonts w:hint="eastAsia" w:cs="仿宋" w:asciiTheme="minorEastAsia" w:hAnsiTheme="minorEastAsia"/>
          <w:sz w:val="28"/>
          <w:szCs w:val="28"/>
        </w:rPr>
        <w:t>元，实际支出1</w:t>
      </w:r>
      <w:r>
        <w:rPr>
          <w:rFonts w:cs="仿宋" w:asciiTheme="minorEastAsia" w:hAnsiTheme="minorEastAsia"/>
          <w:sz w:val="28"/>
          <w:szCs w:val="28"/>
        </w:rPr>
        <w:t>1420</w:t>
      </w:r>
      <w:r>
        <w:rPr>
          <w:rFonts w:hint="eastAsia" w:cs="仿宋" w:asciiTheme="minorEastAsia" w:hAnsiTheme="minorEastAsia"/>
          <w:sz w:val="28"/>
          <w:szCs w:val="28"/>
        </w:rPr>
        <w:t>元，占项目性专项的</w:t>
      </w:r>
      <w:r>
        <w:rPr>
          <w:rFonts w:cs="仿宋" w:asciiTheme="minorEastAsia" w:hAnsiTheme="minorEastAsia"/>
          <w:sz w:val="28"/>
          <w:szCs w:val="28"/>
        </w:rPr>
        <w:t>0.13</w:t>
      </w:r>
      <w:r>
        <w:rPr>
          <w:rFonts w:hint="eastAsia" w:cs="仿宋" w:asciiTheme="minorEastAsia" w:hAnsiTheme="minorEastAsia"/>
          <w:sz w:val="28"/>
          <w:szCs w:val="28"/>
        </w:rPr>
        <w:t>%，预算执行率</w:t>
      </w:r>
      <w:r>
        <w:rPr>
          <w:rFonts w:cs="仿宋" w:asciiTheme="minorEastAsia" w:hAnsiTheme="minorEastAsia"/>
          <w:sz w:val="28"/>
          <w:szCs w:val="28"/>
        </w:rPr>
        <w:t>12.69</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年3月底，实际支出</w:t>
      </w:r>
      <w:r>
        <w:rPr>
          <w:rFonts w:cs="仿宋" w:asciiTheme="minorEastAsia" w:hAnsiTheme="minorEastAsia"/>
          <w:sz w:val="28"/>
          <w:szCs w:val="28"/>
        </w:rPr>
        <w:t>27823</w:t>
      </w:r>
      <w:r>
        <w:rPr>
          <w:rFonts w:hint="eastAsia" w:cs="仿宋" w:asciiTheme="minorEastAsia" w:hAnsiTheme="minorEastAsia"/>
          <w:sz w:val="28"/>
          <w:szCs w:val="28"/>
        </w:rPr>
        <w:t>元，占项目支出的</w:t>
      </w:r>
      <w:r>
        <w:rPr>
          <w:rFonts w:cs="仿宋" w:asciiTheme="minorEastAsia" w:hAnsiTheme="minorEastAsia"/>
          <w:sz w:val="28"/>
          <w:szCs w:val="28"/>
        </w:rPr>
        <w:t>0.25</w:t>
      </w:r>
      <w:r>
        <w:rPr>
          <w:rFonts w:hint="eastAsia" w:cs="仿宋" w:asciiTheme="minorEastAsia" w:hAnsiTheme="minorEastAsia"/>
          <w:sz w:val="28"/>
          <w:szCs w:val="28"/>
        </w:rPr>
        <w:t>%，预算执行率</w:t>
      </w:r>
      <w:r>
        <w:rPr>
          <w:rFonts w:cs="仿宋" w:asciiTheme="minorEastAsia" w:hAnsiTheme="minorEastAsia"/>
          <w:sz w:val="28"/>
          <w:szCs w:val="28"/>
        </w:rPr>
        <w:t>30.91</w:t>
      </w:r>
      <w:r>
        <w:rPr>
          <w:rFonts w:hint="eastAsia" w:cs="仿宋" w:asciiTheme="minorEastAsia" w:hAnsiTheme="minorEastAsia"/>
          <w:sz w:val="28"/>
          <w:szCs w:val="28"/>
        </w:rPr>
        <w:t>%。本项目结余资金</w:t>
      </w:r>
      <w:r>
        <w:rPr>
          <w:rFonts w:cs="仿宋" w:asciiTheme="minorEastAsia" w:hAnsiTheme="minorEastAsia"/>
          <w:sz w:val="28"/>
          <w:szCs w:val="28"/>
        </w:rPr>
        <w:t>62177</w:t>
      </w:r>
      <w:r>
        <w:rPr>
          <w:rFonts w:hint="eastAsia" w:cs="仿宋" w:asciiTheme="minorEastAsia" w:hAnsiTheme="minorEastAsia"/>
          <w:sz w:val="28"/>
          <w:szCs w:val="28"/>
        </w:rPr>
        <w:t>元，系资金调度困难，不能满足用款需求。</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森林督查及资源数据更新：年初预算</w:t>
      </w:r>
      <w:r>
        <w:rPr>
          <w:rFonts w:cs="仿宋" w:asciiTheme="minorEastAsia" w:hAnsiTheme="minorEastAsia"/>
          <w:sz w:val="28"/>
          <w:szCs w:val="28"/>
        </w:rPr>
        <w:t>150</w:t>
      </w:r>
      <w:r>
        <w:rPr>
          <w:rFonts w:hint="eastAsia" w:cs="仿宋" w:asciiTheme="minorEastAsia" w:hAnsiTheme="minorEastAsia"/>
          <w:sz w:val="28"/>
          <w:szCs w:val="28"/>
        </w:rPr>
        <w:t>000元，用结余结转资金拨付</w:t>
      </w:r>
      <w:r>
        <w:rPr>
          <w:rFonts w:cs="仿宋" w:asciiTheme="minorEastAsia" w:hAnsiTheme="minorEastAsia"/>
          <w:sz w:val="28"/>
          <w:szCs w:val="28"/>
        </w:rPr>
        <w:t>57579</w:t>
      </w:r>
      <w:r>
        <w:rPr>
          <w:rFonts w:hint="eastAsia" w:cs="仿宋" w:asciiTheme="minorEastAsia" w:hAnsiTheme="minorEastAsia"/>
          <w:sz w:val="28"/>
          <w:szCs w:val="28"/>
        </w:rPr>
        <w:t>元，调整后的预算数</w:t>
      </w:r>
      <w:r>
        <w:rPr>
          <w:rFonts w:cs="仿宋" w:asciiTheme="minorEastAsia" w:hAnsiTheme="minorEastAsia"/>
          <w:sz w:val="28"/>
          <w:szCs w:val="28"/>
        </w:rPr>
        <w:t>207579</w:t>
      </w:r>
      <w:r>
        <w:rPr>
          <w:rFonts w:hint="eastAsia" w:cs="仿宋" w:asciiTheme="minorEastAsia" w:hAnsiTheme="minorEastAsia"/>
          <w:sz w:val="28"/>
          <w:szCs w:val="28"/>
        </w:rPr>
        <w:t>元，决算支出</w:t>
      </w:r>
      <w:r>
        <w:rPr>
          <w:rFonts w:cs="仿宋" w:asciiTheme="minorEastAsia" w:hAnsiTheme="minorEastAsia"/>
          <w:sz w:val="28"/>
          <w:szCs w:val="28"/>
        </w:rPr>
        <w:t>207579</w:t>
      </w:r>
      <w:r>
        <w:rPr>
          <w:rFonts w:hint="eastAsia" w:cs="仿宋" w:asciiTheme="minorEastAsia" w:hAnsiTheme="minorEastAsia"/>
          <w:sz w:val="28"/>
          <w:szCs w:val="28"/>
        </w:rPr>
        <w:t>元，剔除本年拨付2</w:t>
      </w:r>
      <w:r>
        <w:rPr>
          <w:rFonts w:cs="仿宋" w:asciiTheme="minorEastAsia" w:hAnsiTheme="minorEastAsia"/>
          <w:sz w:val="28"/>
          <w:szCs w:val="28"/>
        </w:rPr>
        <w:t>019</w:t>
      </w:r>
      <w:r>
        <w:rPr>
          <w:rFonts w:hint="eastAsia" w:cs="仿宋" w:asciiTheme="minorEastAsia" w:hAnsiTheme="minorEastAsia"/>
          <w:sz w:val="28"/>
          <w:szCs w:val="28"/>
        </w:rPr>
        <w:t>年度资金1</w:t>
      </w:r>
      <w:r>
        <w:rPr>
          <w:rFonts w:cs="仿宋" w:asciiTheme="minorEastAsia" w:hAnsiTheme="minorEastAsia"/>
          <w:sz w:val="28"/>
          <w:szCs w:val="28"/>
        </w:rPr>
        <w:t>58500</w:t>
      </w:r>
      <w:r>
        <w:rPr>
          <w:rFonts w:hint="eastAsia" w:cs="仿宋" w:asciiTheme="minorEastAsia" w:hAnsiTheme="minorEastAsia"/>
          <w:sz w:val="28"/>
          <w:szCs w:val="28"/>
        </w:rPr>
        <w:t>元，实际支出4</w:t>
      </w:r>
      <w:r>
        <w:rPr>
          <w:rFonts w:cs="仿宋" w:asciiTheme="minorEastAsia" w:hAnsiTheme="minorEastAsia"/>
          <w:sz w:val="28"/>
          <w:szCs w:val="28"/>
        </w:rPr>
        <w:t>9079</w:t>
      </w:r>
      <w:r>
        <w:rPr>
          <w:rFonts w:hint="eastAsia" w:cs="仿宋" w:asciiTheme="minorEastAsia" w:hAnsiTheme="minorEastAsia"/>
          <w:sz w:val="28"/>
          <w:szCs w:val="28"/>
        </w:rPr>
        <w:t>元，占项目性专项的</w:t>
      </w:r>
      <w:r>
        <w:rPr>
          <w:rFonts w:cs="仿宋" w:asciiTheme="minorEastAsia" w:hAnsiTheme="minorEastAsia"/>
          <w:sz w:val="28"/>
          <w:szCs w:val="28"/>
        </w:rPr>
        <w:t>0.58</w:t>
      </w:r>
      <w:r>
        <w:rPr>
          <w:rFonts w:hint="eastAsia" w:cs="仿宋" w:asciiTheme="minorEastAsia" w:hAnsiTheme="minorEastAsia"/>
          <w:sz w:val="28"/>
          <w:szCs w:val="28"/>
        </w:rPr>
        <w:t>%，预算执行率</w:t>
      </w:r>
      <w:r>
        <w:rPr>
          <w:rFonts w:cs="仿宋" w:asciiTheme="minorEastAsia" w:hAnsiTheme="minorEastAsia"/>
          <w:sz w:val="28"/>
          <w:szCs w:val="28"/>
        </w:rPr>
        <w:t>23.64</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年3月底，用结余结转资金拨付1</w:t>
      </w:r>
      <w:r>
        <w:rPr>
          <w:rFonts w:cs="仿宋" w:asciiTheme="minorEastAsia" w:hAnsiTheme="minorEastAsia"/>
          <w:sz w:val="28"/>
          <w:szCs w:val="28"/>
        </w:rPr>
        <w:t>49079</w:t>
      </w:r>
      <w:r>
        <w:rPr>
          <w:rFonts w:hint="eastAsia" w:cs="仿宋" w:asciiTheme="minorEastAsia" w:hAnsiTheme="minorEastAsia"/>
          <w:sz w:val="28"/>
          <w:szCs w:val="28"/>
        </w:rPr>
        <w:t>元，调整后的预算数2</w:t>
      </w:r>
      <w:r>
        <w:rPr>
          <w:rFonts w:cs="仿宋" w:asciiTheme="minorEastAsia" w:hAnsiTheme="minorEastAsia"/>
          <w:sz w:val="28"/>
          <w:szCs w:val="28"/>
        </w:rPr>
        <w:t>99079</w:t>
      </w:r>
      <w:r>
        <w:rPr>
          <w:rFonts w:hint="eastAsia" w:cs="仿宋" w:asciiTheme="minorEastAsia" w:hAnsiTheme="minorEastAsia"/>
          <w:sz w:val="28"/>
          <w:szCs w:val="28"/>
        </w:rPr>
        <w:t>元，实际支出2</w:t>
      </w:r>
      <w:r>
        <w:rPr>
          <w:rFonts w:cs="仿宋" w:asciiTheme="minorEastAsia" w:hAnsiTheme="minorEastAsia"/>
          <w:sz w:val="28"/>
          <w:szCs w:val="28"/>
        </w:rPr>
        <w:t>99079</w:t>
      </w:r>
      <w:r>
        <w:rPr>
          <w:rFonts w:hint="eastAsia" w:cs="仿宋" w:asciiTheme="minorEastAsia" w:hAnsiTheme="minorEastAsia"/>
          <w:sz w:val="28"/>
          <w:szCs w:val="28"/>
        </w:rPr>
        <w:t>元，占项目支出的</w:t>
      </w:r>
      <w:r>
        <w:rPr>
          <w:rFonts w:cs="仿宋" w:asciiTheme="minorEastAsia" w:hAnsiTheme="minorEastAsia"/>
          <w:sz w:val="28"/>
          <w:szCs w:val="28"/>
        </w:rPr>
        <w:t>2.65</w:t>
      </w:r>
      <w:r>
        <w:rPr>
          <w:rFonts w:hint="eastAsia" w:cs="仿宋" w:asciiTheme="minorEastAsia" w:hAnsiTheme="minorEastAsia"/>
          <w:sz w:val="28"/>
          <w:szCs w:val="28"/>
        </w:rPr>
        <w:t>%，预算执行率</w:t>
      </w:r>
      <w:r>
        <w:rPr>
          <w:rFonts w:cs="仿宋" w:asciiTheme="minorEastAsia" w:hAnsiTheme="minorEastAsia"/>
          <w:sz w:val="28"/>
          <w:szCs w:val="28"/>
        </w:rPr>
        <w:t>100</w:t>
      </w:r>
      <w:r>
        <w:rPr>
          <w:rFonts w:hint="eastAsia" w:cs="仿宋" w:asciiTheme="minorEastAsia" w:hAnsiTheme="minorEastAsia"/>
          <w:sz w:val="28"/>
          <w:szCs w:val="28"/>
        </w:rPr>
        <w:t>%。</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森林护林员管护：年初预算1</w:t>
      </w:r>
      <w:r>
        <w:rPr>
          <w:rFonts w:cs="仿宋" w:asciiTheme="minorEastAsia" w:hAnsiTheme="minorEastAsia"/>
          <w:sz w:val="28"/>
          <w:szCs w:val="28"/>
        </w:rPr>
        <w:t>400</w:t>
      </w:r>
      <w:r>
        <w:rPr>
          <w:rFonts w:hint="eastAsia" w:cs="仿宋" w:asciiTheme="minorEastAsia" w:hAnsiTheme="minorEastAsia"/>
          <w:sz w:val="28"/>
          <w:szCs w:val="28"/>
        </w:rPr>
        <w:t>000元，决算支出</w:t>
      </w:r>
      <w:r>
        <w:rPr>
          <w:rFonts w:cs="仿宋" w:asciiTheme="minorEastAsia" w:hAnsiTheme="minorEastAsia"/>
          <w:sz w:val="28"/>
          <w:szCs w:val="28"/>
        </w:rPr>
        <w:t>1335445</w:t>
      </w:r>
      <w:r>
        <w:rPr>
          <w:rFonts w:hint="eastAsia" w:cs="仿宋" w:asciiTheme="minorEastAsia" w:hAnsiTheme="minorEastAsia"/>
          <w:sz w:val="28"/>
          <w:szCs w:val="28"/>
        </w:rPr>
        <w:t>元，剔除本年拨付上年资金</w:t>
      </w:r>
      <w:r>
        <w:rPr>
          <w:rFonts w:cs="仿宋" w:asciiTheme="minorEastAsia" w:hAnsiTheme="minorEastAsia"/>
          <w:sz w:val="28"/>
          <w:szCs w:val="28"/>
        </w:rPr>
        <w:t>1335445</w:t>
      </w:r>
      <w:r>
        <w:rPr>
          <w:rFonts w:hint="eastAsia" w:cs="仿宋" w:asciiTheme="minorEastAsia" w:hAnsiTheme="minorEastAsia"/>
          <w:sz w:val="28"/>
          <w:szCs w:val="28"/>
        </w:rPr>
        <w:t>元，实际支出</w:t>
      </w:r>
      <w:r>
        <w:rPr>
          <w:rFonts w:cs="仿宋" w:asciiTheme="minorEastAsia" w:hAnsiTheme="minorEastAsia"/>
          <w:sz w:val="28"/>
          <w:szCs w:val="28"/>
        </w:rPr>
        <w:t>0</w:t>
      </w:r>
      <w:r>
        <w:rPr>
          <w:rFonts w:hint="eastAsia" w:cs="仿宋" w:asciiTheme="minorEastAsia" w:hAnsiTheme="minorEastAsia"/>
          <w:sz w:val="28"/>
          <w:szCs w:val="28"/>
        </w:rPr>
        <w:t>元，占项目性专项的</w:t>
      </w:r>
      <w:r>
        <w:rPr>
          <w:rFonts w:cs="仿宋" w:asciiTheme="minorEastAsia" w:hAnsiTheme="minorEastAsia"/>
          <w:sz w:val="28"/>
          <w:szCs w:val="28"/>
        </w:rPr>
        <w:t>0.00</w:t>
      </w:r>
      <w:r>
        <w:rPr>
          <w:rFonts w:hint="eastAsia" w:cs="仿宋" w:asciiTheme="minorEastAsia" w:hAnsiTheme="minorEastAsia"/>
          <w:sz w:val="28"/>
          <w:szCs w:val="28"/>
        </w:rPr>
        <w:t>%，预算执行率</w:t>
      </w:r>
      <w:r>
        <w:rPr>
          <w:rFonts w:cs="仿宋" w:asciiTheme="minorEastAsia" w:hAnsiTheme="minorEastAsia"/>
          <w:sz w:val="28"/>
          <w:szCs w:val="28"/>
        </w:rPr>
        <w:t>0.00</w:t>
      </w:r>
      <w:r>
        <w:rPr>
          <w:rFonts w:hint="eastAsia" w:cs="仿宋" w:asciiTheme="minorEastAsia" w:hAnsiTheme="minorEastAsia"/>
          <w:sz w:val="28"/>
          <w:szCs w:val="28"/>
        </w:rPr>
        <w:t>%。本项目结余资金</w:t>
      </w:r>
      <w:r>
        <w:rPr>
          <w:rFonts w:cs="仿宋" w:asciiTheme="minorEastAsia" w:hAnsiTheme="minorEastAsia"/>
          <w:sz w:val="28"/>
          <w:szCs w:val="28"/>
        </w:rPr>
        <w:t>1400000</w:t>
      </w:r>
      <w:r>
        <w:rPr>
          <w:rFonts w:hint="eastAsia" w:cs="仿宋" w:asciiTheme="minorEastAsia" w:hAnsiTheme="minorEastAsia"/>
          <w:sz w:val="28"/>
          <w:szCs w:val="28"/>
        </w:rPr>
        <w:t>元，系护林员考核在该年度1</w:t>
      </w:r>
      <w:r>
        <w:rPr>
          <w:rFonts w:cs="仿宋" w:asciiTheme="minorEastAsia" w:hAnsiTheme="minorEastAsia"/>
          <w:sz w:val="28"/>
          <w:szCs w:val="28"/>
        </w:rPr>
        <w:t>2</w:t>
      </w:r>
      <w:r>
        <w:rPr>
          <w:rFonts w:hint="eastAsia" w:cs="仿宋" w:asciiTheme="minorEastAsia" w:hAnsiTheme="minorEastAsia"/>
          <w:sz w:val="28"/>
          <w:szCs w:val="28"/>
        </w:rPr>
        <w:t>月底进行，导致资金发放滞后。截至2</w:t>
      </w:r>
      <w:r>
        <w:rPr>
          <w:rFonts w:cs="仿宋" w:asciiTheme="minorEastAsia" w:hAnsiTheme="minorEastAsia"/>
          <w:sz w:val="28"/>
          <w:szCs w:val="28"/>
        </w:rPr>
        <w:t>022</w:t>
      </w:r>
      <w:r>
        <w:rPr>
          <w:rFonts w:hint="eastAsia" w:cs="仿宋" w:asciiTheme="minorEastAsia" w:hAnsiTheme="minorEastAsia"/>
          <w:sz w:val="28"/>
          <w:szCs w:val="28"/>
        </w:rPr>
        <w:t>年3月底，实际支出</w:t>
      </w:r>
      <w:r>
        <w:rPr>
          <w:rFonts w:cs="仿宋" w:asciiTheme="minorEastAsia" w:hAnsiTheme="minorEastAsia"/>
          <w:sz w:val="28"/>
          <w:szCs w:val="28"/>
        </w:rPr>
        <w:t>953922</w:t>
      </w:r>
      <w:r>
        <w:rPr>
          <w:rFonts w:hint="eastAsia" w:cs="仿宋" w:asciiTheme="minorEastAsia" w:hAnsiTheme="minorEastAsia"/>
          <w:sz w:val="28"/>
          <w:szCs w:val="28"/>
        </w:rPr>
        <w:t>元，占项目支出的</w:t>
      </w:r>
      <w:r>
        <w:rPr>
          <w:rFonts w:cs="仿宋" w:asciiTheme="minorEastAsia" w:hAnsiTheme="minorEastAsia"/>
          <w:sz w:val="28"/>
          <w:szCs w:val="28"/>
        </w:rPr>
        <w:t>8.47</w:t>
      </w:r>
      <w:r>
        <w:rPr>
          <w:rFonts w:hint="eastAsia" w:cs="仿宋" w:asciiTheme="minorEastAsia" w:hAnsiTheme="minorEastAsia"/>
          <w:sz w:val="28"/>
          <w:szCs w:val="28"/>
        </w:rPr>
        <w:t>%，预算执行率</w:t>
      </w:r>
      <w:r>
        <w:rPr>
          <w:rFonts w:cs="仿宋" w:asciiTheme="minorEastAsia" w:hAnsiTheme="minorEastAsia"/>
          <w:sz w:val="28"/>
          <w:szCs w:val="28"/>
        </w:rPr>
        <w:t>68.14</w:t>
      </w:r>
      <w:r>
        <w:rPr>
          <w:rFonts w:hint="eastAsia" w:cs="仿宋" w:asciiTheme="minorEastAsia" w:hAnsiTheme="minorEastAsia"/>
          <w:sz w:val="28"/>
          <w:szCs w:val="28"/>
        </w:rPr>
        <w:t>%。本项目结余资金</w:t>
      </w:r>
      <w:r>
        <w:rPr>
          <w:rFonts w:cs="仿宋" w:asciiTheme="minorEastAsia" w:hAnsiTheme="minorEastAsia"/>
          <w:sz w:val="28"/>
          <w:szCs w:val="28"/>
        </w:rPr>
        <w:t>446078</w:t>
      </w:r>
      <w:r>
        <w:rPr>
          <w:rFonts w:hint="eastAsia" w:cs="仿宋" w:asciiTheme="minorEastAsia" w:hAnsiTheme="minorEastAsia"/>
          <w:sz w:val="28"/>
          <w:szCs w:val="28"/>
        </w:rPr>
        <w:t>元，系资金调度困难，未及时发放片区管护费。</w:t>
      </w:r>
    </w:p>
    <w:p>
      <w:pPr>
        <w:snapToGrid w:val="0"/>
        <w:spacing w:line="580" w:lineRule="exact"/>
        <w:ind w:firstLine="596" w:firstLineChars="213"/>
        <w:rPr>
          <w:rFonts w:cs="仿宋" w:asciiTheme="minorEastAsia" w:hAnsiTheme="minorEastAsia"/>
          <w:sz w:val="28"/>
          <w:szCs w:val="28"/>
        </w:rPr>
      </w:pPr>
      <w:r>
        <w:rPr>
          <w:rFonts w:hint="eastAsia" w:cs="仿宋" w:asciiTheme="minorEastAsia" w:hAnsiTheme="minorEastAsia"/>
          <w:sz w:val="28"/>
          <w:szCs w:val="28"/>
        </w:rPr>
        <w:t>油茶奖扶：年初未安排预算资金，年中结转2</w:t>
      </w:r>
      <w:r>
        <w:rPr>
          <w:rFonts w:cs="仿宋" w:asciiTheme="minorEastAsia" w:hAnsiTheme="minorEastAsia"/>
          <w:sz w:val="28"/>
          <w:szCs w:val="28"/>
        </w:rPr>
        <w:t>020</w:t>
      </w:r>
      <w:r>
        <w:rPr>
          <w:rFonts w:hint="eastAsia" w:cs="仿宋" w:asciiTheme="minorEastAsia" w:hAnsiTheme="minorEastAsia"/>
          <w:sz w:val="28"/>
          <w:szCs w:val="28"/>
        </w:rPr>
        <w:t>年年初预算指标1</w:t>
      </w:r>
      <w:r>
        <w:rPr>
          <w:rFonts w:cs="仿宋" w:asciiTheme="minorEastAsia" w:hAnsiTheme="minorEastAsia"/>
          <w:sz w:val="28"/>
          <w:szCs w:val="28"/>
        </w:rPr>
        <w:t>500000</w:t>
      </w:r>
      <w:r>
        <w:rPr>
          <w:rFonts w:hint="eastAsia" w:cs="仿宋" w:asciiTheme="minorEastAsia" w:hAnsiTheme="minorEastAsia"/>
          <w:sz w:val="28"/>
          <w:szCs w:val="28"/>
        </w:rPr>
        <w:t>元（预留项目），决算支出</w:t>
      </w:r>
      <w:r>
        <w:rPr>
          <w:rFonts w:cs="仿宋" w:asciiTheme="minorEastAsia" w:hAnsiTheme="minorEastAsia"/>
          <w:sz w:val="28"/>
          <w:szCs w:val="28"/>
        </w:rPr>
        <w:t>30000</w:t>
      </w:r>
      <w:r>
        <w:rPr>
          <w:rFonts w:hint="eastAsia" w:cs="仿宋" w:asciiTheme="minorEastAsia" w:hAnsiTheme="minorEastAsia"/>
          <w:sz w:val="28"/>
          <w:szCs w:val="28"/>
        </w:rPr>
        <w:t>元，剔除本年拨付2</w:t>
      </w:r>
      <w:r>
        <w:rPr>
          <w:rFonts w:cs="仿宋" w:asciiTheme="minorEastAsia" w:hAnsiTheme="minorEastAsia"/>
          <w:sz w:val="28"/>
          <w:szCs w:val="28"/>
        </w:rPr>
        <w:t>019</w:t>
      </w:r>
      <w:r>
        <w:rPr>
          <w:rFonts w:hint="eastAsia" w:cs="仿宋" w:asciiTheme="minorEastAsia" w:hAnsiTheme="minorEastAsia"/>
          <w:sz w:val="28"/>
          <w:szCs w:val="28"/>
        </w:rPr>
        <w:t>年资金</w:t>
      </w:r>
      <w:r>
        <w:rPr>
          <w:rFonts w:cs="仿宋" w:asciiTheme="minorEastAsia" w:hAnsiTheme="minorEastAsia"/>
          <w:sz w:val="28"/>
          <w:szCs w:val="28"/>
        </w:rPr>
        <w:t>30000</w:t>
      </w:r>
      <w:r>
        <w:rPr>
          <w:rFonts w:hint="eastAsia" w:cs="仿宋" w:asciiTheme="minorEastAsia" w:hAnsiTheme="minorEastAsia"/>
          <w:sz w:val="28"/>
          <w:szCs w:val="28"/>
        </w:rPr>
        <w:t>元，实际支出0元，占项目性专项的</w:t>
      </w:r>
      <w:r>
        <w:rPr>
          <w:rFonts w:cs="仿宋" w:asciiTheme="minorEastAsia" w:hAnsiTheme="minorEastAsia"/>
          <w:sz w:val="28"/>
          <w:szCs w:val="28"/>
        </w:rPr>
        <w:t>0.00</w:t>
      </w:r>
      <w:r>
        <w:rPr>
          <w:rFonts w:hint="eastAsia" w:cs="仿宋" w:asciiTheme="minorEastAsia" w:hAnsiTheme="minorEastAsia"/>
          <w:sz w:val="28"/>
          <w:szCs w:val="28"/>
        </w:rPr>
        <w:t>%，预算执行率</w:t>
      </w:r>
      <w:r>
        <w:rPr>
          <w:rFonts w:cs="仿宋" w:asciiTheme="minorEastAsia" w:hAnsiTheme="minorEastAsia"/>
          <w:sz w:val="28"/>
          <w:szCs w:val="28"/>
        </w:rPr>
        <w:t>0.00</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年3月底，本项目结余资金1</w:t>
      </w:r>
      <w:r>
        <w:rPr>
          <w:rFonts w:cs="仿宋" w:asciiTheme="minorEastAsia" w:hAnsiTheme="minorEastAsia"/>
          <w:sz w:val="28"/>
          <w:szCs w:val="28"/>
        </w:rPr>
        <w:t>500000</w:t>
      </w:r>
      <w:r>
        <w:rPr>
          <w:rFonts w:hint="eastAsia" w:cs="仿宋" w:asciiTheme="minorEastAsia" w:hAnsiTheme="minorEastAsia"/>
          <w:sz w:val="28"/>
          <w:szCs w:val="28"/>
        </w:rPr>
        <w:t>元，系资金调度紧张，未能及时拨付已完工并验收的油茶奖扶资金。</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天然商品林管护：中央财政下达资金4</w:t>
      </w:r>
      <w:r>
        <w:rPr>
          <w:rFonts w:cs="仿宋" w:asciiTheme="minorEastAsia" w:hAnsiTheme="minorEastAsia"/>
          <w:sz w:val="28"/>
          <w:szCs w:val="28"/>
        </w:rPr>
        <w:t>865600</w:t>
      </w:r>
      <w:r>
        <w:rPr>
          <w:rFonts w:hint="eastAsia" w:cs="仿宋" w:asciiTheme="minorEastAsia" w:hAnsiTheme="minorEastAsia"/>
          <w:sz w:val="28"/>
          <w:szCs w:val="28"/>
        </w:rPr>
        <w:t>元，决算支出4</w:t>
      </w:r>
      <w:r>
        <w:rPr>
          <w:rFonts w:cs="仿宋" w:asciiTheme="minorEastAsia" w:hAnsiTheme="minorEastAsia"/>
          <w:sz w:val="28"/>
          <w:szCs w:val="28"/>
        </w:rPr>
        <w:t>036613</w:t>
      </w:r>
      <w:r>
        <w:rPr>
          <w:rFonts w:hint="eastAsia" w:cs="仿宋" w:asciiTheme="minorEastAsia" w:hAnsiTheme="minorEastAsia"/>
          <w:sz w:val="28"/>
          <w:szCs w:val="28"/>
        </w:rPr>
        <w:t>元，剔除本年拨付上年资金4</w:t>
      </w:r>
      <w:r>
        <w:rPr>
          <w:rFonts w:cs="仿宋" w:asciiTheme="minorEastAsia" w:hAnsiTheme="minorEastAsia"/>
          <w:sz w:val="28"/>
          <w:szCs w:val="28"/>
        </w:rPr>
        <w:t>036613</w:t>
      </w:r>
      <w:r>
        <w:rPr>
          <w:rFonts w:hint="eastAsia" w:cs="仿宋" w:asciiTheme="minorEastAsia" w:hAnsiTheme="minorEastAsia"/>
          <w:sz w:val="28"/>
          <w:szCs w:val="28"/>
        </w:rPr>
        <w:t>元，实际支出0元，占项目性专项的0</w:t>
      </w:r>
      <w:r>
        <w:rPr>
          <w:rFonts w:cs="仿宋" w:asciiTheme="minorEastAsia" w:hAnsiTheme="minorEastAsia"/>
          <w:sz w:val="28"/>
          <w:szCs w:val="28"/>
        </w:rPr>
        <w:t>.00</w:t>
      </w:r>
      <w:r>
        <w:rPr>
          <w:rFonts w:hint="eastAsia" w:cs="仿宋" w:asciiTheme="minorEastAsia" w:hAnsiTheme="minorEastAsia"/>
          <w:sz w:val="28"/>
          <w:szCs w:val="28"/>
        </w:rPr>
        <w:t>%，预算执行率0</w:t>
      </w:r>
      <w:r>
        <w:rPr>
          <w:rFonts w:cs="仿宋" w:asciiTheme="minorEastAsia" w:hAnsiTheme="minorEastAsia"/>
          <w:sz w:val="28"/>
          <w:szCs w:val="28"/>
        </w:rPr>
        <w:t>.00</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年3月底，本项目结余资金4</w:t>
      </w:r>
      <w:r>
        <w:rPr>
          <w:rFonts w:cs="仿宋" w:asciiTheme="minorEastAsia" w:hAnsiTheme="minorEastAsia"/>
          <w:sz w:val="28"/>
          <w:szCs w:val="28"/>
        </w:rPr>
        <w:t>865600</w:t>
      </w:r>
      <w:r>
        <w:rPr>
          <w:rFonts w:hint="eastAsia" w:cs="仿宋" w:asciiTheme="minorEastAsia" w:hAnsiTheme="minorEastAsia"/>
          <w:sz w:val="28"/>
          <w:szCs w:val="28"/>
        </w:rPr>
        <w:t>元，系资金调度紧张，未能及时拨付已完工并验收的项目资金。</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天然林停伐管护：年初未安排预算资金，决算支出4</w:t>
      </w:r>
      <w:r>
        <w:rPr>
          <w:rFonts w:cs="仿宋" w:asciiTheme="minorEastAsia" w:hAnsiTheme="minorEastAsia"/>
          <w:sz w:val="28"/>
          <w:szCs w:val="28"/>
        </w:rPr>
        <w:t>00000</w:t>
      </w:r>
      <w:r>
        <w:rPr>
          <w:rFonts w:hint="eastAsia" w:cs="仿宋" w:asciiTheme="minorEastAsia" w:hAnsiTheme="minorEastAsia"/>
          <w:sz w:val="28"/>
          <w:szCs w:val="28"/>
        </w:rPr>
        <w:t>元，系用结余结转资金拨付上年度应付未付资金。</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中央财政森林抚育补助：中央财政在2</w:t>
      </w:r>
      <w:r>
        <w:rPr>
          <w:rFonts w:cs="仿宋" w:asciiTheme="minorEastAsia" w:hAnsiTheme="minorEastAsia"/>
          <w:sz w:val="28"/>
          <w:szCs w:val="28"/>
        </w:rPr>
        <w:t>020</w:t>
      </w:r>
      <w:r>
        <w:rPr>
          <w:rFonts w:hint="eastAsia" w:cs="仿宋" w:asciiTheme="minorEastAsia" w:hAnsiTheme="minorEastAsia"/>
          <w:sz w:val="28"/>
          <w:szCs w:val="28"/>
        </w:rPr>
        <w:t>年提前下达我市森林抚育补助5</w:t>
      </w:r>
      <w:r>
        <w:rPr>
          <w:rFonts w:cs="仿宋" w:asciiTheme="minorEastAsia" w:hAnsiTheme="minorEastAsia"/>
          <w:sz w:val="28"/>
          <w:szCs w:val="28"/>
        </w:rPr>
        <w:t>60000</w:t>
      </w:r>
      <w:r>
        <w:rPr>
          <w:rFonts w:hint="eastAsia" w:cs="仿宋" w:asciiTheme="minorEastAsia" w:hAnsiTheme="minorEastAsia"/>
          <w:sz w:val="28"/>
          <w:szCs w:val="28"/>
        </w:rPr>
        <w:t>元，决算支出5</w:t>
      </w:r>
      <w:r>
        <w:rPr>
          <w:rFonts w:cs="仿宋" w:asciiTheme="minorEastAsia" w:hAnsiTheme="minorEastAsia"/>
          <w:sz w:val="28"/>
          <w:szCs w:val="28"/>
        </w:rPr>
        <w:t>55128</w:t>
      </w:r>
      <w:r>
        <w:rPr>
          <w:rFonts w:hint="eastAsia" w:cs="仿宋" w:asciiTheme="minorEastAsia" w:hAnsiTheme="minorEastAsia"/>
          <w:sz w:val="28"/>
          <w:szCs w:val="28"/>
        </w:rPr>
        <w:t>元，剔除本年拨付上年资金5</w:t>
      </w:r>
      <w:r>
        <w:rPr>
          <w:rFonts w:cs="仿宋" w:asciiTheme="minorEastAsia" w:hAnsiTheme="minorEastAsia"/>
          <w:sz w:val="28"/>
          <w:szCs w:val="28"/>
        </w:rPr>
        <w:t>55128</w:t>
      </w:r>
      <w:r>
        <w:rPr>
          <w:rFonts w:hint="eastAsia" w:cs="仿宋" w:asciiTheme="minorEastAsia" w:hAnsiTheme="minorEastAsia"/>
          <w:sz w:val="28"/>
          <w:szCs w:val="28"/>
        </w:rPr>
        <w:t>元，实际支出0元，占项目性专项的</w:t>
      </w:r>
      <w:r>
        <w:rPr>
          <w:rFonts w:cs="仿宋" w:asciiTheme="minorEastAsia" w:hAnsiTheme="minorEastAsia"/>
          <w:sz w:val="28"/>
          <w:szCs w:val="28"/>
        </w:rPr>
        <w:t>0.00</w:t>
      </w:r>
      <w:r>
        <w:rPr>
          <w:rFonts w:hint="eastAsia" w:cs="仿宋" w:asciiTheme="minorEastAsia" w:hAnsiTheme="minorEastAsia"/>
          <w:sz w:val="28"/>
          <w:szCs w:val="28"/>
        </w:rPr>
        <w:t>%，预算执行率</w:t>
      </w:r>
      <w:r>
        <w:rPr>
          <w:rFonts w:cs="仿宋" w:asciiTheme="minorEastAsia" w:hAnsiTheme="minorEastAsia"/>
          <w:sz w:val="28"/>
          <w:szCs w:val="28"/>
        </w:rPr>
        <w:t>0.00</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年3月底，本项目结余资金</w:t>
      </w:r>
      <w:r>
        <w:rPr>
          <w:rFonts w:cs="仿宋" w:asciiTheme="minorEastAsia" w:hAnsiTheme="minorEastAsia"/>
          <w:sz w:val="28"/>
          <w:szCs w:val="28"/>
        </w:rPr>
        <w:t>560000</w:t>
      </w:r>
      <w:r>
        <w:rPr>
          <w:rFonts w:hint="eastAsia" w:cs="仿宋" w:asciiTheme="minorEastAsia" w:hAnsiTheme="minorEastAsia"/>
          <w:sz w:val="28"/>
          <w:szCs w:val="28"/>
        </w:rPr>
        <w:t>元，系资金调度紧张，不能及时拨付已完工并验收的项目资金。</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中央财政森林抚育补助（调整下达）</w:t>
      </w:r>
      <w:r>
        <w:rPr>
          <w:rFonts w:hint="eastAsia" w:cs="仿宋" w:asciiTheme="minorEastAsia" w:hAnsiTheme="minorEastAsia"/>
          <w:b/>
          <w:sz w:val="28"/>
          <w:szCs w:val="28"/>
        </w:rPr>
        <w:t>：</w:t>
      </w:r>
      <w:r>
        <w:rPr>
          <w:rFonts w:hint="eastAsia" w:cs="仿宋" w:asciiTheme="minorEastAsia" w:hAnsiTheme="minorEastAsia"/>
          <w:sz w:val="28"/>
          <w:szCs w:val="28"/>
        </w:rPr>
        <w:t>中央财政调整下达我市森林抚育补助4</w:t>
      </w:r>
      <w:r>
        <w:rPr>
          <w:rFonts w:cs="仿宋" w:asciiTheme="minorEastAsia" w:hAnsiTheme="minorEastAsia"/>
          <w:sz w:val="28"/>
          <w:szCs w:val="28"/>
        </w:rPr>
        <w:t>5</w:t>
      </w:r>
      <w:r>
        <w:rPr>
          <w:rFonts w:hint="eastAsia" w:cs="仿宋" w:asciiTheme="minorEastAsia" w:hAnsiTheme="minorEastAsia"/>
          <w:sz w:val="28"/>
          <w:szCs w:val="28"/>
        </w:rPr>
        <w:t>0</w:t>
      </w:r>
      <w:r>
        <w:rPr>
          <w:rFonts w:cs="仿宋" w:asciiTheme="minorEastAsia" w:hAnsiTheme="minorEastAsia"/>
          <w:sz w:val="28"/>
          <w:szCs w:val="28"/>
        </w:rPr>
        <w:t>000</w:t>
      </w:r>
      <w:r>
        <w:rPr>
          <w:rFonts w:hint="eastAsia" w:cs="仿宋" w:asciiTheme="minorEastAsia" w:hAnsiTheme="minorEastAsia"/>
          <w:sz w:val="28"/>
          <w:szCs w:val="28"/>
        </w:rPr>
        <w:t>元，决算支出0元，占项目性专项的</w:t>
      </w:r>
      <w:r>
        <w:rPr>
          <w:rFonts w:cs="仿宋" w:asciiTheme="minorEastAsia" w:hAnsiTheme="minorEastAsia"/>
          <w:sz w:val="28"/>
          <w:szCs w:val="28"/>
        </w:rPr>
        <w:t>0.00</w:t>
      </w:r>
      <w:r>
        <w:rPr>
          <w:rFonts w:hint="eastAsia" w:cs="仿宋" w:asciiTheme="minorEastAsia" w:hAnsiTheme="minorEastAsia"/>
          <w:sz w:val="28"/>
          <w:szCs w:val="28"/>
        </w:rPr>
        <w:t>%，预算执行率</w:t>
      </w:r>
      <w:r>
        <w:rPr>
          <w:rFonts w:cs="仿宋" w:asciiTheme="minorEastAsia" w:hAnsiTheme="minorEastAsia"/>
          <w:sz w:val="28"/>
          <w:szCs w:val="28"/>
        </w:rPr>
        <w:t>0.00</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年3月底，本项目结余资金</w:t>
      </w:r>
      <w:r>
        <w:rPr>
          <w:rFonts w:cs="仿宋" w:asciiTheme="minorEastAsia" w:hAnsiTheme="minorEastAsia"/>
          <w:sz w:val="28"/>
          <w:szCs w:val="28"/>
        </w:rPr>
        <w:t>450000</w:t>
      </w:r>
      <w:r>
        <w:rPr>
          <w:rFonts w:hint="eastAsia" w:cs="仿宋" w:asciiTheme="minorEastAsia" w:hAnsiTheme="minorEastAsia"/>
          <w:sz w:val="28"/>
          <w:szCs w:val="28"/>
        </w:rPr>
        <w:t>元，系资金调度紧张，不能及时拨付已完工并验收的项目资金。</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上一轮退耕还生态林纳入森林抚育补助项目：中央财政下达我市资金4</w:t>
      </w:r>
      <w:r>
        <w:rPr>
          <w:rFonts w:cs="仿宋" w:asciiTheme="minorEastAsia" w:hAnsiTheme="minorEastAsia"/>
          <w:sz w:val="28"/>
          <w:szCs w:val="28"/>
        </w:rPr>
        <w:t>39000</w:t>
      </w:r>
      <w:r>
        <w:rPr>
          <w:rFonts w:hint="eastAsia" w:cs="仿宋" w:asciiTheme="minorEastAsia" w:hAnsiTheme="minorEastAsia"/>
          <w:sz w:val="28"/>
          <w:szCs w:val="28"/>
        </w:rPr>
        <w:t>元，决算支出0元，占项目性专项的</w:t>
      </w:r>
      <w:r>
        <w:rPr>
          <w:rFonts w:cs="仿宋" w:asciiTheme="minorEastAsia" w:hAnsiTheme="minorEastAsia"/>
          <w:sz w:val="28"/>
          <w:szCs w:val="28"/>
        </w:rPr>
        <w:t>0.00</w:t>
      </w:r>
      <w:r>
        <w:rPr>
          <w:rFonts w:hint="eastAsia" w:cs="仿宋" w:asciiTheme="minorEastAsia" w:hAnsiTheme="minorEastAsia"/>
          <w:sz w:val="28"/>
          <w:szCs w:val="28"/>
        </w:rPr>
        <w:t>%，预算执行率</w:t>
      </w:r>
      <w:r>
        <w:rPr>
          <w:rFonts w:cs="仿宋" w:asciiTheme="minorEastAsia" w:hAnsiTheme="minorEastAsia"/>
          <w:sz w:val="28"/>
          <w:szCs w:val="28"/>
        </w:rPr>
        <w:t>0.00</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年3月底，本项目结余资金</w:t>
      </w:r>
      <w:r>
        <w:rPr>
          <w:rFonts w:cs="仿宋" w:asciiTheme="minorEastAsia" w:hAnsiTheme="minorEastAsia"/>
          <w:sz w:val="28"/>
          <w:szCs w:val="28"/>
        </w:rPr>
        <w:t>439000</w:t>
      </w:r>
      <w:r>
        <w:rPr>
          <w:rFonts w:hint="eastAsia" w:cs="仿宋" w:asciiTheme="minorEastAsia" w:hAnsiTheme="minorEastAsia"/>
          <w:sz w:val="28"/>
          <w:szCs w:val="28"/>
        </w:rPr>
        <w:t>元，系资金调度紧张，不能及时拨付已完工并验收的项目资金。</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油茶低改：中央财政下达我市资金</w:t>
      </w:r>
      <w:r>
        <w:rPr>
          <w:rFonts w:cs="仿宋" w:asciiTheme="minorEastAsia" w:hAnsiTheme="minorEastAsia"/>
          <w:sz w:val="28"/>
          <w:szCs w:val="28"/>
        </w:rPr>
        <w:t>4000000</w:t>
      </w:r>
      <w:r>
        <w:rPr>
          <w:rFonts w:hint="eastAsia" w:cs="仿宋" w:asciiTheme="minorEastAsia" w:hAnsiTheme="minorEastAsia"/>
          <w:sz w:val="28"/>
          <w:szCs w:val="28"/>
        </w:rPr>
        <w:t>元，决算支出0元，占项目性专项的</w:t>
      </w:r>
      <w:r>
        <w:rPr>
          <w:rFonts w:cs="仿宋" w:asciiTheme="minorEastAsia" w:hAnsiTheme="minorEastAsia"/>
          <w:sz w:val="28"/>
          <w:szCs w:val="28"/>
        </w:rPr>
        <w:t>0.00</w:t>
      </w:r>
      <w:r>
        <w:rPr>
          <w:rFonts w:hint="eastAsia" w:cs="仿宋" w:asciiTheme="minorEastAsia" w:hAnsiTheme="minorEastAsia"/>
          <w:sz w:val="28"/>
          <w:szCs w:val="28"/>
        </w:rPr>
        <w:t>%，预算执行率</w:t>
      </w:r>
      <w:r>
        <w:rPr>
          <w:rFonts w:cs="仿宋" w:asciiTheme="minorEastAsia" w:hAnsiTheme="minorEastAsia"/>
          <w:sz w:val="28"/>
          <w:szCs w:val="28"/>
        </w:rPr>
        <w:t>0.00</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年3月底，本项目结余资金</w:t>
      </w:r>
      <w:r>
        <w:rPr>
          <w:rFonts w:cs="仿宋" w:asciiTheme="minorEastAsia" w:hAnsiTheme="minorEastAsia"/>
          <w:sz w:val="28"/>
          <w:szCs w:val="28"/>
        </w:rPr>
        <w:t>4000000</w:t>
      </w:r>
      <w:r>
        <w:rPr>
          <w:rFonts w:hint="eastAsia" w:cs="仿宋" w:asciiTheme="minorEastAsia" w:hAnsiTheme="minorEastAsia"/>
          <w:sz w:val="28"/>
          <w:szCs w:val="28"/>
        </w:rPr>
        <w:t>元，系资金调度紧张，不能及时拨付已完工并验收的项目资金。</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油茶产业发展：中央财政下达我市资金</w:t>
      </w:r>
      <w:r>
        <w:rPr>
          <w:rFonts w:cs="仿宋" w:asciiTheme="minorEastAsia" w:hAnsiTheme="minorEastAsia"/>
          <w:sz w:val="28"/>
          <w:szCs w:val="28"/>
        </w:rPr>
        <w:t>2200000</w:t>
      </w:r>
      <w:r>
        <w:rPr>
          <w:rFonts w:hint="eastAsia" w:cs="仿宋" w:asciiTheme="minorEastAsia" w:hAnsiTheme="minorEastAsia"/>
          <w:sz w:val="28"/>
          <w:szCs w:val="28"/>
        </w:rPr>
        <w:t>元，决算支出0元，占项目性专项的</w:t>
      </w:r>
      <w:r>
        <w:rPr>
          <w:rFonts w:cs="仿宋" w:asciiTheme="minorEastAsia" w:hAnsiTheme="minorEastAsia"/>
          <w:sz w:val="28"/>
          <w:szCs w:val="28"/>
        </w:rPr>
        <w:t>0.00</w:t>
      </w:r>
      <w:r>
        <w:rPr>
          <w:rFonts w:hint="eastAsia" w:cs="仿宋" w:asciiTheme="minorEastAsia" w:hAnsiTheme="minorEastAsia"/>
          <w:sz w:val="28"/>
          <w:szCs w:val="28"/>
        </w:rPr>
        <w:t>%，预算执行率</w:t>
      </w:r>
      <w:r>
        <w:rPr>
          <w:rFonts w:cs="仿宋" w:asciiTheme="minorEastAsia" w:hAnsiTheme="minorEastAsia"/>
          <w:sz w:val="28"/>
          <w:szCs w:val="28"/>
        </w:rPr>
        <w:t>0.00</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年3月底，本项目结余资金</w:t>
      </w:r>
      <w:r>
        <w:rPr>
          <w:rFonts w:cs="仿宋" w:asciiTheme="minorEastAsia" w:hAnsiTheme="minorEastAsia"/>
          <w:sz w:val="28"/>
          <w:szCs w:val="28"/>
        </w:rPr>
        <w:t>2200000</w:t>
      </w:r>
      <w:r>
        <w:rPr>
          <w:rFonts w:hint="eastAsia" w:cs="仿宋" w:asciiTheme="minorEastAsia" w:hAnsiTheme="minorEastAsia"/>
          <w:sz w:val="28"/>
          <w:szCs w:val="28"/>
        </w:rPr>
        <w:t>元，系资金调度紧张，不能及时拨付已完工并验收的项目资金。</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禁食野生动物人工繁育主体退出项目：年初未安排预算，年中省级财政下达资金1</w:t>
      </w:r>
      <w:r>
        <w:rPr>
          <w:rFonts w:cs="仿宋" w:asciiTheme="minorEastAsia" w:hAnsiTheme="minorEastAsia"/>
          <w:sz w:val="28"/>
          <w:szCs w:val="28"/>
        </w:rPr>
        <w:t>967700</w:t>
      </w:r>
      <w:r>
        <w:rPr>
          <w:rFonts w:hint="eastAsia" w:cs="仿宋" w:asciiTheme="minorEastAsia" w:hAnsiTheme="minorEastAsia"/>
          <w:sz w:val="28"/>
          <w:szCs w:val="28"/>
        </w:rPr>
        <w:t>元，本级配套资金3</w:t>
      </w:r>
      <w:r>
        <w:rPr>
          <w:rFonts w:cs="仿宋" w:asciiTheme="minorEastAsia" w:hAnsiTheme="minorEastAsia"/>
          <w:sz w:val="28"/>
          <w:szCs w:val="28"/>
        </w:rPr>
        <w:t>93532</w:t>
      </w:r>
      <w:r>
        <w:rPr>
          <w:rFonts w:hint="eastAsia" w:cs="仿宋" w:asciiTheme="minorEastAsia" w:hAnsiTheme="minorEastAsia"/>
          <w:sz w:val="28"/>
          <w:szCs w:val="28"/>
        </w:rPr>
        <w:t>元，合计2</w:t>
      </w:r>
      <w:r>
        <w:rPr>
          <w:rFonts w:cs="仿宋" w:asciiTheme="minorEastAsia" w:hAnsiTheme="minorEastAsia"/>
          <w:sz w:val="28"/>
          <w:szCs w:val="28"/>
        </w:rPr>
        <w:t>361232</w:t>
      </w:r>
      <w:r>
        <w:rPr>
          <w:rFonts w:hint="eastAsia" w:cs="仿宋" w:asciiTheme="minorEastAsia" w:hAnsiTheme="minorEastAsia"/>
          <w:sz w:val="28"/>
          <w:szCs w:val="28"/>
        </w:rPr>
        <w:t>元，决算支出9</w:t>
      </w:r>
      <w:r>
        <w:rPr>
          <w:rFonts w:cs="仿宋" w:asciiTheme="minorEastAsia" w:hAnsiTheme="minorEastAsia"/>
          <w:sz w:val="28"/>
          <w:szCs w:val="28"/>
        </w:rPr>
        <w:t>18241</w:t>
      </w:r>
      <w:r>
        <w:rPr>
          <w:rFonts w:hint="eastAsia" w:cs="仿宋" w:asciiTheme="minorEastAsia" w:hAnsiTheme="minorEastAsia"/>
          <w:sz w:val="28"/>
          <w:szCs w:val="28"/>
        </w:rPr>
        <w:t>元，占项目性专项的1</w:t>
      </w:r>
      <w:r>
        <w:rPr>
          <w:rFonts w:cs="仿宋" w:asciiTheme="minorEastAsia" w:hAnsiTheme="minorEastAsia"/>
          <w:sz w:val="28"/>
          <w:szCs w:val="28"/>
        </w:rPr>
        <w:t>0.82</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年3月底，占比8</w:t>
      </w:r>
      <w:r>
        <w:rPr>
          <w:rFonts w:cs="仿宋" w:asciiTheme="minorEastAsia" w:hAnsiTheme="minorEastAsia"/>
          <w:sz w:val="28"/>
          <w:szCs w:val="28"/>
        </w:rPr>
        <w:t>.15</w:t>
      </w:r>
      <w:r>
        <w:rPr>
          <w:rFonts w:hint="eastAsia" w:cs="仿宋" w:asciiTheme="minorEastAsia" w:hAnsiTheme="minorEastAsia"/>
          <w:sz w:val="28"/>
          <w:szCs w:val="28"/>
        </w:rPr>
        <w:t>%），预算执行率</w:t>
      </w:r>
      <w:r>
        <w:rPr>
          <w:rFonts w:cs="仿宋" w:asciiTheme="minorEastAsia" w:hAnsiTheme="minorEastAsia"/>
          <w:sz w:val="28"/>
          <w:szCs w:val="28"/>
        </w:rPr>
        <w:t>38.89</w:t>
      </w:r>
      <w:r>
        <w:rPr>
          <w:rFonts w:hint="eastAsia" w:cs="仿宋" w:asciiTheme="minorEastAsia" w:hAnsiTheme="minorEastAsia"/>
          <w:sz w:val="28"/>
          <w:szCs w:val="28"/>
        </w:rPr>
        <w:t>%。本项目账面结余资金</w:t>
      </w:r>
      <w:r>
        <w:rPr>
          <w:rFonts w:cs="仿宋" w:asciiTheme="minorEastAsia" w:hAnsiTheme="minorEastAsia"/>
          <w:sz w:val="28"/>
          <w:szCs w:val="28"/>
        </w:rPr>
        <w:t>1442991</w:t>
      </w:r>
      <w:r>
        <w:rPr>
          <w:rFonts w:hint="eastAsia" w:cs="仿宋" w:asciiTheme="minorEastAsia" w:hAnsiTheme="minorEastAsia"/>
          <w:sz w:val="28"/>
          <w:szCs w:val="28"/>
        </w:rPr>
        <w:t>元，实无结余资金，当时的情况是上级要求养殖户2</w:t>
      </w:r>
      <w:r>
        <w:rPr>
          <w:rFonts w:cs="仿宋" w:asciiTheme="minorEastAsia" w:hAnsiTheme="minorEastAsia"/>
          <w:sz w:val="28"/>
          <w:szCs w:val="28"/>
        </w:rPr>
        <w:t>020</w:t>
      </w:r>
      <w:r>
        <w:rPr>
          <w:rFonts w:hint="eastAsia" w:cs="仿宋" w:asciiTheme="minorEastAsia" w:hAnsiTheme="minorEastAsia"/>
          <w:sz w:val="28"/>
          <w:szCs w:val="28"/>
        </w:rPr>
        <w:t xml:space="preserve">年度的退养补偿必须在限定时间内拨付到位，然后再根据补偿情况申请省级财政下达资金，所以我单位特事特办，用单位的结余结转资金足额拨付了退养户的退养补偿资金。 </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基层单位财政补助项目：市级财政下达湖南楚山宝农业发展有限公司补助80</w:t>
      </w:r>
      <w:r>
        <w:rPr>
          <w:rFonts w:cs="仿宋" w:asciiTheme="minorEastAsia" w:hAnsiTheme="minorEastAsia"/>
          <w:sz w:val="28"/>
          <w:szCs w:val="28"/>
        </w:rPr>
        <w:t>000</w:t>
      </w:r>
      <w:r>
        <w:rPr>
          <w:rFonts w:hint="eastAsia" w:cs="仿宋" w:asciiTheme="minorEastAsia" w:hAnsiTheme="minorEastAsia"/>
          <w:sz w:val="28"/>
          <w:szCs w:val="28"/>
        </w:rPr>
        <w:t>元，决算支出0元，占项目性专项的</w:t>
      </w:r>
      <w:r>
        <w:rPr>
          <w:rFonts w:cs="仿宋" w:asciiTheme="minorEastAsia" w:hAnsiTheme="minorEastAsia"/>
          <w:sz w:val="28"/>
          <w:szCs w:val="28"/>
        </w:rPr>
        <w:t>0.00</w:t>
      </w:r>
      <w:r>
        <w:rPr>
          <w:rFonts w:hint="eastAsia" w:cs="仿宋" w:asciiTheme="minorEastAsia" w:hAnsiTheme="minorEastAsia"/>
          <w:sz w:val="28"/>
          <w:szCs w:val="28"/>
        </w:rPr>
        <w:t>%，预算执行率</w:t>
      </w:r>
      <w:r>
        <w:rPr>
          <w:rFonts w:cs="仿宋" w:asciiTheme="minorEastAsia" w:hAnsiTheme="minorEastAsia"/>
          <w:sz w:val="28"/>
          <w:szCs w:val="28"/>
        </w:rPr>
        <w:t>0.00</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年3月底，本项目结余资金</w:t>
      </w:r>
      <w:r>
        <w:rPr>
          <w:rFonts w:cs="仿宋" w:asciiTheme="minorEastAsia" w:hAnsiTheme="minorEastAsia"/>
          <w:sz w:val="28"/>
          <w:szCs w:val="28"/>
        </w:rPr>
        <w:t>80000</w:t>
      </w:r>
      <w:r>
        <w:rPr>
          <w:rFonts w:hint="eastAsia" w:cs="仿宋" w:asciiTheme="minorEastAsia" w:hAnsiTheme="minorEastAsia"/>
          <w:sz w:val="28"/>
          <w:szCs w:val="28"/>
        </w:rPr>
        <w:t>元，系资金调度紧张，未及时拨付。</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本级植被恢复费项目（含义务植树）：年初预算0元，决算支出</w:t>
      </w:r>
      <w:r>
        <w:rPr>
          <w:rFonts w:cs="仿宋" w:asciiTheme="minorEastAsia" w:hAnsiTheme="minorEastAsia"/>
          <w:sz w:val="28"/>
          <w:szCs w:val="28"/>
        </w:rPr>
        <w:t>3850700</w:t>
      </w:r>
      <w:r>
        <w:rPr>
          <w:rFonts w:hint="eastAsia" w:cs="仿宋" w:asciiTheme="minorEastAsia" w:hAnsiTheme="minorEastAsia"/>
          <w:sz w:val="28"/>
          <w:szCs w:val="28"/>
        </w:rPr>
        <w:t>元（系结余结转资金拨付），剔除本年拨付2</w:t>
      </w:r>
      <w:r>
        <w:rPr>
          <w:rFonts w:cs="仿宋" w:asciiTheme="minorEastAsia" w:hAnsiTheme="minorEastAsia"/>
          <w:sz w:val="28"/>
          <w:szCs w:val="28"/>
        </w:rPr>
        <w:t>022</w:t>
      </w:r>
      <w:r>
        <w:rPr>
          <w:rFonts w:hint="eastAsia" w:cs="仿宋" w:asciiTheme="minorEastAsia" w:hAnsiTheme="minorEastAsia"/>
          <w:sz w:val="28"/>
          <w:szCs w:val="28"/>
        </w:rPr>
        <w:t>年1月工作人员意外保险</w:t>
      </w:r>
      <w:r>
        <w:rPr>
          <w:rFonts w:cs="仿宋" w:asciiTheme="minorEastAsia" w:hAnsiTheme="minorEastAsia"/>
          <w:sz w:val="28"/>
          <w:szCs w:val="28"/>
        </w:rPr>
        <w:t>28776</w:t>
      </w:r>
      <w:r>
        <w:rPr>
          <w:rFonts w:hint="eastAsia" w:cs="仿宋" w:asciiTheme="minorEastAsia" w:hAnsiTheme="minorEastAsia"/>
          <w:sz w:val="28"/>
          <w:szCs w:val="28"/>
        </w:rPr>
        <w:t>元，实际支出</w:t>
      </w:r>
      <w:r>
        <w:rPr>
          <w:rFonts w:cs="仿宋" w:asciiTheme="minorEastAsia" w:hAnsiTheme="minorEastAsia"/>
          <w:sz w:val="28"/>
          <w:szCs w:val="28"/>
        </w:rPr>
        <w:t>3821924</w:t>
      </w:r>
      <w:r>
        <w:rPr>
          <w:rFonts w:hint="eastAsia" w:cs="仿宋" w:asciiTheme="minorEastAsia" w:hAnsiTheme="minorEastAsia"/>
          <w:sz w:val="28"/>
          <w:szCs w:val="28"/>
        </w:rPr>
        <w:t>元，占项目性专项的</w:t>
      </w:r>
      <w:r>
        <w:rPr>
          <w:rFonts w:cs="仿宋" w:asciiTheme="minorEastAsia" w:hAnsiTheme="minorEastAsia"/>
          <w:sz w:val="28"/>
          <w:szCs w:val="28"/>
        </w:rPr>
        <w:t>45.04</w:t>
      </w:r>
      <w:r>
        <w:rPr>
          <w:rFonts w:hint="eastAsia" w:cs="仿宋" w:asciiTheme="minorEastAsia" w:hAnsiTheme="minorEastAsia"/>
          <w:sz w:val="28"/>
          <w:szCs w:val="28"/>
        </w:rPr>
        <w:t>%，预算执行率</w:t>
      </w:r>
      <w:r>
        <w:rPr>
          <w:rFonts w:cs="仿宋" w:asciiTheme="minorEastAsia" w:hAnsiTheme="minorEastAsia"/>
          <w:sz w:val="28"/>
          <w:szCs w:val="28"/>
        </w:rPr>
        <w:t>99.25</w:t>
      </w:r>
      <w:r>
        <w:rPr>
          <w:rFonts w:hint="eastAsia" w:cs="仿宋" w:asciiTheme="minorEastAsia" w:hAnsiTheme="minorEastAsia"/>
          <w:sz w:val="28"/>
          <w:szCs w:val="28"/>
        </w:rPr>
        <w:t>%。截止2</w:t>
      </w:r>
      <w:r>
        <w:rPr>
          <w:rFonts w:cs="仿宋" w:asciiTheme="minorEastAsia" w:hAnsiTheme="minorEastAsia"/>
          <w:sz w:val="28"/>
          <w:szCs w:val="28"/>
        </w:rPr>
        <w:t>022</w:t>
      </w:r>
      <w:r>
        <w:rPr>
          <w:rFonts w:hint="eastAsia" w:cs="仿宋" w:asciiTheme="minorEastAsia" w:hAnsiTheme="minorEastAsia"/>
          <w:sz w:val="28"/>
          <w:szCs w:val="28"/>
        </w:rPr>
        <w:t>年3月底，用结余结转资金拨付3</w:t>
      </w:r>
      <w:r>
        <w:rPr>
          <w:rFonts w:cs="仿宋" w:asciiTheme="minorEastAsia" w:hAnsiTheme="minorEastAsia"/>
          <w:sz w:val="28"/>
          <w:szCs w:val="28"/>
        </w:rPr>
        <w:t>921924</w:t>
      </w:r>
      <w:r>
        <w:rPr>
          <w:rFonts w:hint="eastAsia" w:cs="仿宋" w:asciiTheme="minorEastAsia" w:hAnsiTheme="minorEastAsia"/>
          <w:sz w:val="28"/>
          <w:szCs w:val="28"/>
        </w:rPr>
        <w:t>元，实际支出3</w:t>
      </w:r>
      <w:r>
        <w:rPr>
          <w:rFonts w:cs="仿宋" w:asciiTheme="minorEastAsia" w:hAnsiTheme="minorEastAsia"/>
          <w:sz w:val="28"/>
          <w:szCs w:val="28"/>
        </w:rPr>
        <w:t>921924</w:t>
      </w:r>
      <w:r>
        <w:rPr>
          <w:rFonts w:hint="eastAsia" w:cs="仿宋" w:asciiTheme="minorEastAsia" w:hAnsiTheme="minorEastAsia"/>
          <w:sz w:val="28"/>
          <w:szCs w:val="28"/>
        </w:rPr>
        <w:t>元，占项目性专项的3</w:t>
      </w:r>
      <w:r>
        <w:rPr>
          <w:rFonts w:cs="仿宋" w:asciiTheme="minorEastAsia" w:hAnsiTheme="minorEastAsia"/>
          <w:sz w:val="28"/>
          <w:szCs w:val="28"/>
        </w:rPr>
        <w:t>4.80</w:t>
      </w:r>
      <w:r>
        <w:rPr>
          <w:rFonts w:hint="eastAsia" w:cs="仿宋" w:asciiTheme="minorEastAsia" w:hAnsiTheme="minorEastAsia"/>
          <w:sz w:val="28"/>
          <w:szCs w:val="28"/>
        </w:rPr>
        <w:t>%。预算执行率1</w:t>
      </w:r>
      <w:r>
        <w:rPr>
          <w:rFonts w:cs="仿宋" w:asciiTheme="minorEastAsia" w:hAnsiTheme="minorEastAsia"/>
          <w:sz w:val="28"/>
          <w:szCs w:val="28"/>
        </w:rPr>
        <w:t>00</w:t>
      </w:r>
      <w:r>
        <w:rPr>
          <w:rFonts w:hint="eastAsia" w:cs="仿宋" w:asciiTheme="minorEastAsia" w:hAnsiTheme="minorEastAsia"/>
          <w:sz w:val="28"/>
          <w:szCs w:val="28"/>
        </w:rPr>
        <w:t>%。</w:t>
      </w:r>
    </w:p>
    <w:p>
      <w:pPr>
        <w:snapToGrid w:val="0"/>
        <w:spacing w:line="580" w:lineRule="exact"/>
        <w:ind w:firstLine="640"/>
        <w:rPr>
          <w:rFonts w:cs="仿宋" w:asciiTheme="minorEastAsia" w:hAnsiTheme="minorEastAsia"/>
          <w:sz w:val="28"/>
          <w:szCs w:val="28"/>
          <w:highlight w:val="yellow"/>
        </w:rPr>
      </w:pPr>
      <w:r>
        <w:rPr>
          <w:rFonts w:hint="eastAsia" w:cs="仿宋" w:asciiTheme="minorEastAsia" w:hAnsiTheme="minorEastAsia"/>
          <w:sz w:val="28"/>
          <w:szCs w:val="28"/>
        </w:rPr>
        <w:t>上级植被恢复费项目：年初预算0元，决算支出</w:t>
      </w:r>
      <w:r>
        <w:rPr>
          <w:rFonts w:cs="仿宋" w:asciiTheme="minorEastAsia" w:hAnsiTheme="minorEastAsia"/>
          <w:sz w:val="28"/>
          <w:szCs w:val="28"/>
        </w:rPr>
        <w:t>250000</w:t>
      </w:r>
      <w:r>
        <w:rPr>
          <w:rFonts w:hint="eastAsia" w:cs="仿宋" w:asciiTheme="minorEastAsia" w:hAnsiTheme="minorEastAsia"/>
          <w:sz w:val="28"/>
          <w:szCs w:val="28"/>
        </w:rPr>
        <w:t>元，系用结余结转资金拨付2</w:t>
      </w:r>
      <w:r>
        <w:rPr>
          <w:rFonts w:cs="仿宋" w:asciiTheme="minorEastAsia" w:hAnsiTheme="minorEastAsia"/>
          <w:sz w:val="28"/>
          <w:szCs w:val="28"/>
        </w:rPr>
        <w:t>018</w:t>
      </w:r>
      <w:r>
        <w:rPr>
          <w:rFonts w:hint="eastAsia" w:cs="仿宋" w:asciiTheme="minorEastAsia" w:hAnsiTheme="minorEastAsia"/>
          <w:sz w:val="28"/>
          <w:szCs w:val="28"/>
        </w:rPr>
        <w:t>年度湘潭市项目资金。</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林业贷款贴息：年初预算0元，决算支出</w:t>
      </w:r>
      <w:r>
        <w:rPr>
          <w:rFonts w:cs="仿宋" w:asciiTheme="minorEastAsia" w:hAnsiTheme="minorEastAsia"/>
          <w:sz w:val="28"/>
          <w:szCs w:val="28"/>
        </w:rPr>
        <w:t>172100</w:t>
      </w:r>
      <w:r>
        <w:rPr>
          <w:rFonts w:hint="eastAsia" w:cs="仿宋" w:asciiTheme="minorEastAsia" w:hAnsiTheme="minorEastAsia"/>
          <w:sz w:val="28"/>
          <w:szCs w:val="28"/>
        </w:rPr>
        <w:t>元，系用结余结转资金拨付上年度应付未付贷款贴息资金。</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退耕还林项目：年初预算0元，决算支出</w:t>
      </w:r>
      <w:r>
        <w:rPr>
          <w:rFonts w:cs="仿宋" w:asciiTheme="minorEastAsia" w:hAnsiTheme="minorEastAsia"/>
          <w:sz w:val="28"/>
          <w:szCs w:val="28"/>
        </w:rPr>
        <w:t>684801</w:t>
      </w:r>
      <w:r>
        <w:rPr>
          <w:rFonts w:hint="eastAsia" w:cs="仿宋" w:asciiTheme="minorEastAsia" w:hAnsiTheme="minorEastAsia"/>
          <w:sz w:val="28"/>
          <w:szCs w:val="28"/>
        </w:rPr>
        <w:t>元，系用结余结转资金拨付2</w:t>
      </w:r>
      <w:r>
        <w:rPr>
          <w:rFonts w:cs="仿宋" w:asciiTheme="minorEastAsia" w:hAnsiTheme="minorEastAsia"/>
          <w:sz w:val="28"/>
          <w:szCs w:val="28"/>
        </w:rPr>
        <w:t>019</w:t>
      </w:r>
      <w:r>
        <w:rPr>
          <w:rFonts w:hint="eastAsia" w:cs="仿宋" w:asciiTheme="minorEastAsia" w:hAnsiTheme="minorEastAsia"/>
          <w:sz w:val="28"/>
          <w:szCs w:val="28"/>
        </w:rPr>
        <w:t>年度完善退耕还林政策补助资金。</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完善退耕还林补助项目：年初预算0元，决算支出4</w:t>
      </w:r>
      <w:r>
        <w:rPr>
          <w:rFonts w:cs="仿宋" w:asciiTheme="minorEastAsia" w:hAnsiTheme="minorEastAsia"/>
          <w:sz w:val="28"/>
          <w:szCs w:val="28"/>
        </w:rPr>
        <w:t>79664</w:t>
      </w:r>
      <w:r>
        <w:rPr>
          <w:rFonts w:hint="eastAsia" w:cs="仿宋" w:asciiTheme="minorEastAsia" w:hAnsiTheme="minorEastAsia"/>
          <w:sz w:val="28"/>
          <w:szCs w:val="28"/>
        </w:rPr>
        <w:t>元，系用结余结转资金拨付上年度资金。</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退耕还湿：年初预算0元，用上年结余结转资金4</w:t>
      </w:r>
      <w:r>
        <w:rPr>
          <w:rFonts w:cs="仿宋" w:asciiTheme="minorEastAsia" w:hAnsiTheme="minorEastAsia"/>
          <w:sz w:val="28"/>
          <w:szCs w:val="28"/>
        </w:rPr>
        <w:t>29400</w:t>
      </w:r>
      <w:r>
        <w:rPr>
          <w:rFonts w:hint="eastAsia" w:cs="仿宋" w:asciiTheme="minorEastAsia" w:hAnsiTheme="minorEastAsia"/>
          <w:sz w:val="28"/>
          <w:szCs w:val="28"/>
        </w:rPr>
        <w:t>元，调整后的预算数4</w:t>
      </w:r>
      <w:r>
        <w:rPr>
          <w:rFonts w:cs="仿宋" w:asciiTheme="minorEastAsia" w:hAnsiTheme="minorEastAsia"/>
          <w:sz w:val="28"/>
          <w:szCs w:val="28"/>
        </w:rPr>
        <w:t>29400</w:t>
      </w:r>
      <w:r>
        <w:rPr>
          <w:rFonts w:hint="eastAsia" w:cs="仿宋" w:asciiTheme="minorEastAsia" w:hAnsiTheme="minorEastAsia"/>
          <w:sz w:val="28"/>
          <w:szCs w:val="28"/>
        </w:rPr>
        <w:t>元，决算支出</w:t>
      </w:r>
      <w:r>
        <w:rPr>
          <w:rFonts w:cs="仿宋" w:asciiTheme="minorEastAsia" w:hAnsiTheme="minorEastAsia"/>
          <w:sz w:val="28"/>
          <w:szCs w:val="28"/>
        </w:rPr>
        <w:t>429400</w:t>
      </w:r>
      <w:r>
        <w:rPr>
          <w:rFonts w:hint="eastAsia" w:cs="仿宋" w:asciiTheme="minorEastAsia" w:hAnsiTheme="minorEastAsia"/>
          <w:sz w:val="28"/>
          <w:szCs w:val="28"/>
        </w:rPr>
        <w:t>元，占项目性专项的</w:t>
      </w:r>
      <w:r>
        <w:rPr>
          <w:rFonts w:cs="仿宋" w:asciiTheme="minorEastAsia" w:hAnsiTheme="minorEastAsia"/>
          <w:sz w:val="28"/>
          <w:szCs w:val="28"/>
        </w:rPr>
        <w:t>5.06</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年3月底，占比3</w:t>
      </w:r>
      <w:r>
        <w:rPr>
          <w:rFonts w:cs="仿宋" w:asciiTheme="minorEastAsia" w:hAnsiTheme="minorEastAsia"/>
          <w:sz w:val="28"/>
          <w:szCs w:val="28"/>
        </w:rPr>
        <w:t>.81</w:t>
      </w:r>
      <w:r>
        <w:rPr>
          <w:rFonts w:hint="eastAsia" w:cs="仿宋" w:asciiTheme="minorEastAsia" w:hAnsiTheme="minorEastAsia"/>
          <w:sz w:val="28"/>
          <w:szCs w:val="28"/>
        </w:rPr>
        <w:t>%），预算执行率1</w:t>
      </w:r>
      <w:r>
        <w:rPr>
          <w:rFonts w:cs="仿宋" w:asciiTheme="minorEastAsia" w:hAnsiTheme="minorEastAsia"/>
          <w:sz w:val="28"/>
          <w:szCs w:val="28"/>
        </w:rPr>
        <w:t>00.00</w:t>
      </w:r>
      <w:r>
        <w:rPr>
          <w:rFonts w:hint="eastAsia" w:cs="仿宋" w:asciiTheme="minorEastAsia" w:hAnsiTheme="minorEastAsia"/>
          <w:sz w:val="28"/>
          <w:szCs w:val="28"/>
        </w:rPr>
        <w:t>%。</w:t>
      </w:r>
    </w:p>
    <w:p>
      <w:pPr>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中央造林：年初预算0元，年中中央财政下达我市资金1</w:t>
      </w:r>
      <w:r>
        <w:rPr>
          <w:rFonts w:cs="仿宋" w:asciiTheme="minorEastAsia" w:hAnsiTheme="minorEastAsia"/>
          <w:sz w:val="28"/>
          <w:szCs w:val="28"/>
        </w:rPr>
        <w:t>200000</w:t>
      </w:r>
      <w:r>
        <w:rPr>
          <w:rFonts w:hint="eastAsia" w:cs="仿宋" w:asciiTheme="minorEastAsia" w:hAnsiTheme="minorEastAsia"/>
          <w:sz w:val="28"/>
          <w:szCs w:val="28"/>
        </w:rPr>
        <w:t>元，调整后的预算数1</w:t>
      </w:r>
      <w:r>
        <w:rPr>
          <w:rFonts w:cs="仿宋" w:asciiTheme="minorEastAsia" w:hAnsiTheme="minorEastAsia"/>
          <w:sz w:val="28"/>
          <w:szCs w:val="28"/>
        </w:rPr>
        <w:t>200000</w:t>
      </w:r>
      <w:r>
        <w:rPr>
          <w:rFonts w:hint="eastAsia" w:cs="仿宋" w:asciiTheme="minorEastAsia" w:hAnsiTheme="minorEastAsia"/>
          <w:sz w:val="28"/>
          <w:szCs w:val="28"/>
        </w:rPr>
        <w:t>元，决算支出</w:t>
      </w:r>
      <w:r>
        <w:rPr>
          <w:rFonts w:cs="仿宋" w:asciiTheme="minorEastAsia" w:hAnsiTheme="minorEastAsia"/>
          <w:sz w:val="28"/>
          <w:szCs w:val="28"/>
        </w:rPr>
        <w:t>900726</w:t>
      </w:r>
      <w:r>
        <w:rPr>
          <w:rFonts w:hint="eastAsia" w:cs="仿宋" w:asciiTheme="minorEastAsia" w:hAnsiTheme="minorEastAsia"/>
          <w:sz w:val="28"/>
          <w:szCs w:val="28"/>
        </w:rPr>
        <w:t>元，剔除本年拨付上年资金9</w:t>
      </w:r>
      <w:r>
        <w:rPr>
          <w:rFonts w:cs="仿宋" w:asciiTheme="minorEastAsia" w:hAnsiTheme="minorEastAsia"/>
          <w:sz w:val="28"/>
          <w:szCs w:val="28"/>
        </w:rPr>
        <w:t>00726</w:t>
      </w:r>
      <w:r>
        <w:rPr>
          <w:rFonts w:hint="eastAsia" w:cs="仿宋" w:asciiTheme="minorEastAsia" w:hAnsiTheme="minorEastAsia"/>
          <w:sz w:val="28"/>
          <w:szCs w:val="28"/>
        </w:rPr>
        <w:t>元，实际支出</w:t>
      </w:r>
      <w:r>
        <w:rPr>
          <w:rFonts w:cs="仿宋" w:asciiTheme="minorEastAsia" w:hAnsiTheme="minorEastAsia"/>
          <w:sz w:val="28"/>
          <w:szCs w:val="28"/>
        </w:rPr>
        <w:t>0</w:t>
      </w:r>
      <w:r>
        <w:rPr>
          <w:rFonts w:hint="eastAsia" w:cs="仿宋" w:asciiTheme="minorEastAsia" w:hAnsiTheme="minorEastAsia"/>
          <w:sz w:val="28"/>
          <w:szCs w:val="28"/>
        </w:rPr>
        <w:t>元，占项目性专项的</w:t>
      </w:r>
      <w:r>
        <w:rPr>
          <w:rFonts w:cs="仿宋" w:asciiTheme="minorEastAsia" w:hAnsiTheme="minorEastAsia"/>
          <w:sz w:val="28"/>
          <w:szCs w:val="28"/>
        </w:rPr>
        <w:t>0.00</w:t>
      </w:r>
      <w:r>
        <w:rPr>
          <w:rFonts w:hint="eastAsia" w:cs="仿宋" w:asciiTheme="minorEastAsia" w:hAnsiTheme="minorEastAsia"/>
          <w:sz w:val="28"/>
          <w:szCs w:val="28"/>
        </w:rPr>
        <w:t>%，预算执行率</w:t>
      </w:r>
      <w:r>
        <w:rPr>
          <w:rFonts w:cs="仿宋" w:asciiTheme="minorEastAsia" w:hAnsiTheme="minorEastAsia"/>
          <w:sz w:val="28"/>
          <w:szCs w:val="28"/>
        </w:rPr>
        <w:t>0.00</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年3月底，本项目结余资金</w:t>
      </w:r>
      <w:r>
        <w:rPr>
          <w:rFonts w:cs="仿宋" w:asciiTheme="minorEastAsia" w:hAnsiTheme="minorEastAsia"/>
          <w:sz w:val="28"/>
          <w:szCs w:val="28"/>
        </w:rPr>
        <w:t>1200000</w:t>
      </w:r>
      <w:r>
        <w:rPr>
          <w:rFonts w:hint="eastAsia" w:cs="仿宋" w:asciiTheme="minorEastAsia" w:hAnsiTheme="minorEastAsia"/>
          <w:sz w:val="28"/>
          <w:szCs w:val="28"/>
        </w:rPr>
        <w:t>元，系资金调度困难，导致项目资金未及时拨付。</w:t>
      </w:r>
    </w:p>
    <w:p>
      <w:pPr>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水府庙湿地保护管理站建设（含湿地公园建设）：年初预算0元，用结余结转资金拨付</w:t>
      </w:r>
      <w:r>
        <w:rPr>
          <w:rFonts w:cs="仿宋" w:asciiTheme="minorEastAsia" w:hAnsiTheme="minorEastAsia"/>
          <w:sz w:val="28"/>
          <w:szCs w:val="28"/>
        </w:rPr>
        <w:t>1198935</w:t>
      </w:r>
      <w:r>
        <w:rPr>
          <w:rFonts w:hint="eastAsia" w:cs="仿宋" w:asciiTheme="minorEastAsia" w:hAnsiTheme="minorEastAsia"/>
          <w:sz w:val="28"/>
          <w:szCs w:val="28"/>
        </w:rPr>
        <w:t>元，调整后的预算数</w:t>
      </w:r>
      <w:r>
        <w:rPr>
          <w:rFonts w:cs="仿宋" w:asciiTheme="minorEastAsia" w:hAnsiTheme="minorEastAsia"/>
          <w:sz w:val="28"/>
          <w:szCs w:val="28"/>
        </w:rPr>
        <w:t>1198935</w:t>
      </w:r>
      <w:r>
        <w:rPr>
          <w:rFonts w:hint="eastAsia" w:cs="仿宋" w:asciiTheme="minorEastAsia" w:hAnsiTheme="minorEastAsia"/>
          <w:sz w:val="28"/>
          <w:szCs w:val="28"/>
        </w:rPr>
        <w:t>元，决算支出</w:t>
      </w:r>
      <w:r>
        <w:rPr>
          <w:rFonts w:cs="仿宋" w:asciiTheme="minorEastAsia" w:hAnsiTheme="minorEastAsia"/>
          <w:sz w:val="28"/>
          <w:szCs w:val="28"/>
        </w:rPr>
        <w:t>1198935</w:t>
      </w:r>
      <w:r>
        <w:rPr>
          <w:rFonts w:hint="eastAsia" w:cs="仿宋" w:asciiTheme="minorEastAsia" w:hAnsiTheme="minorEastAsia"/>
          <w:sz w:val="28"/>
          <w:szCs w:val="28"/>
        </w:rPr>
        <w:t>元，剔除本年拨付上年资金6</w:t>
      </w:r>
      <w:r>
        <w:rPr>
          <w:rFonts w:cs="仿宋" w:asciiTheme="minorEastAsia" w:hAnsiTheme="minorEastAsia"/>
          <w:sz w:val="28"/>
          <w:szCs w:val="28"/>
        </w:rPr>
        <w:t>35884</w:t>
      </w:r>
      <w:r>
        <w:rPr>
          <w:rFonts w:hint="eastAsia" w:cs="仿宋" w:asciiTheme="minorEastAsia" w:hAnsiTheme="minorEastAsia"/>
          <w:sz w:val="28"/>
          <w:szCs w:val="28"/>
        </w:rPr>
        <w:t>元，实际支出5</w:t>
      </w:r>
      <w:r>
        <w:rPr>
          <w:rFonts w:cs="仿宋" w:asciiTheme="minorEastAsia" w:hAnsiTheme="minorEastAsia"/>
          <w:sz w:val="28"/>
          <w:szCs w:val="28"/>
        </w:rPr>
        <w:t>63051</w:t>
      </w:r>
      <w:r>
        <w:rPr>
          <w:rFonts w:hint="eastAsia" w:cs="仿宋" w:asciiTheme="minorEastAsia" w:hAnsiTheme="minorEastAsia"/>
          <w:sz w:val="28"/>
          <w:szCs w:val="28"/>
        </w:rPr>
        <w:t>元，占项目性专项的</w:t>
      </w:r>
      <w:r>
        <w:rPr>
          <w:rFonts w:cs="仿宋" w:asciiTheme="minorEastAsia" w:hAnsiTheme="minorEastAsia"/>
          <w:sz w:val="28"/>
          <w:szCs w:val="28"/>
        </w:rPr>
        <w:t>6.63</w:t>
      </w:r>
      <w:r>
        <w:rPr>
          <w:rFonts w:hint="eastAsia" w:cs="仿宋" w:asciiTheme="minorEastAsia" w:hAnsiTheme="minorEastAsia"/>
          <w:sz w:val="28"/>
          <w:szCs w:val="28"/>
        </w:rPr>
        <w:t>%，预算执行率</w:t>
      </w:r>
      <w:r>
        <w:rPr>
          <w:rFonts w:cs="仿宋" w:asciiTheme="minorEastAsia" w:hAnsiTheme="minorEastAsia"/>
          <w:sz w:val="28"/>
          <w:szCs w:val="28"/>
        </w:rPr>
        <w:t>46.96</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年3月底，用结余结转资金拨付1</w:t>
      </w:r>
      <w:r>
        <w:rPr>
          <w:rFonts w:cs="仿宋" w:asciiTheme="minorEastAsia" w:hAnsiTheme="minorEastAsia"/>
          <w:sz w:val="28"/>
          <w:szCs w:val="28"/>
        </w:rPr>
        <w:t>671248</w:t>
      </w:r>
      <w:r>
        <w:rPr>
          <w:rFonts w:hint="eastAsia" w:cs="仿宋" w:asciiTheme="minorEastAsia" w:hAnsiTheme="minorEastAsia"/>
          <w:sz w:val="28"/>
          <w:szCs w:val="28"/>
        </w:rPr>
        <w:t>元，实际支出1</w:t>
      </w:r>
      <w:r>
        <w:rPr>
          <w:rFonts w:cs="仿宋" w:asciiTheme="minorEastAsia" w:hAnsiTheme="minorEastAsia"/>
          <w:sz w:val="28"/>
          <w:szCs w:val="28"/>
        </w:rPr>
        <w:t>671248</w:t>
      </w:r>
      <w:r>
        <w:rPr>
          <w:rFonts w:hint="eastAsia" w:cs="仿宋" w:asciiTheme="minorEastAsia" w:hAnsiTheme="minorEastAsia"/>
          <w:sz w:val="28"/>
          <w:szCs w:val="28"/>
        </w:rPr>
        <w:t>元，占项目性专项的1</w:t>
      </w:r>
      <w:r>
        <w:rPr>
          <w:rFonts w:cs="仿宋" w:asciiTheme="minorEastAsia" w:hAnsiTheme="minorEastAsia"/>
          <w:sz w:val="28"/>
          <w:szCs w:val="28"/>
        </w:rPr>
        <w:t>4.83</w:t>
      </w:r>
      <w:r>
        <w:rPr>
          <w:rFonts w:hint="eastAsia" w:cs="仿宋" w:asciiTheme="minorEastAsia" w:hAnsiTheme="minorEastAsia"/>
          <w:sz w:val="28"/>
          <w:szCs w:val="28"/>
        </w:rPr>
        <w:t>%，预算执行率1</w:t>
      </w:r>
      <w:r>
        <w:rPr>
          <w:rFonts w:cs="仿宋" w:asciiTheme="minorEastAsia" w:hAnsiTheme="minorEastAsia"/>
          <w:sz w:val="28"/>
          <w:szCs w:val="28"/>
        </w:rPr>
        <w:t>00</w:t>
      </w:r>
      <w:r>
        <w:rPr>
          <w:rFonts w:hint="eastAsia" w:cs="仿宋" w:asciiTheme="minorEastAsia" w:hAnsiTheme="minorEastAsia"/>
          <w:sz w:val="28"/>
          <w:szCs w:val="28"/>
        </w:rPr>
        <w:t>%。</w:t>
      </w:r>
    </w:p>
    <w:p>
      <w:pPr>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长防林工程建设项目：年初预算0元，决算支出</w:t>
      </w:r>
      <w:r>
        <w:rPr>
          <w:rFonts w:cs="仿宋" w:asciiTheme="minorEastAsia" w:hAnsiTheme="minorEastAsia"/>
          <w:sz w:val="28"/>
          <w:szCs w:val="28"/>
        </w:rPr>
        <w:t>2020000</w:t>
      </w:r>
      <w:r>
        <w:rPr>
          <w:rFonts w:hint="eastAsia" w:cs="仿宋" w:asciiTheme="minorEastAsia" w:hAnsiTheme="minorEastAsia"/>
          <w:sz w:val="28"/>
          <w:szCs w:val="28"/>
        </w:rPr>
        <w:t>元，系用结余结转资金拨付</w:t>
      </w:r>
      <w:r>
        <w:rPr>
          <w:rFonts w:cs="仿宋" w:asciiTheme="minorEastAsia" w:hAnsiTheme="minorEastAsia"/>
          <w:sz w:val="28"/>
          <w:szCs w:val="28"/>
        </w:rPr>
        <w:t>2019</w:t>
      </w:r>
      <w:r>
        <w:rPr>
          <w:rFonts w:hint="eastAsia" w:cs="仿宋" w:asciiTheme="minorEastAsia" w:hAnsiTheme="minorEastAsia"/>
          <w:sz w:val="28"/>
          <w:szCs w:val="28"/>
        </w:rPr>
        <w:t>年度长防林资金。</w:t>
      </w:r>
    </w:p>
    <w:p>
      <w:pPr>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乡镇面上造林：年初预算0元，决算支出</w:t>
      </w:r>
      <w:r>
        <w:rPr>
          <w:rFonts w:cs="仿宋" w:asciiTheme="minorEastAsia" w:hAnsiTheme="minorEastAsia"/>
          <w:sz w:val="28"/>
          <w:szCs w:val="28"/>
        </w:rPr>
        <w:t>189397</w:t>
      </w:r>
      <w:r>
        <w:rPr>
          <w:rFonts w:hint="eastAsia" w:cs="仿宋" w:asciiTheme="minorEastAsia" w:hAnsiTheme="minorEastAsia"/>
          <w:sz w:val="28"/>
          <w:szCs w:val="28"/>
        </w:rPr>
        <w:t>元，系用结余结转资金拨付上年度乡镇面上造林资金。</w:t>
      </w:r>
    </w:p>
    <w:p>
      <w:pPr>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省级森林城市创建：年初预算0元，用结余结转资金拨付</w:t>
      </w:r>
      <w:r>
        <w:rPr>
          <w:rFonts w:cs="仿宋" w:asciiTheme="minorEastAsia" w:hAnsiTheme="minorEastAsia"/>
          <w:sz w:val="28"/>
          <w:szCs w:val="28"/>
        </w:rPr>
        <w:t>519458</w:t>
      </w:r>
      <w:r>
        <w:rPr>
          <w:rFonts w:hint="eastAsia" w:cs="仿宋" w:asciiTheme="minorEastAsia" w:hAnsiTheme="minorEastAsia"/>
          <w:sz w:val="28"/>
          <w:szCs w:val="28"/>
        </w:rPr>
        <w:t>元，调整后的预算数</w:t>
      </w:r>
      <w:r>
        <w:rPr>
          <w:rFonts w:cs="仿宋" w:asciiTheme="minorEastAsia" w:hAnsiTheme="minorEastAsia"/>
          <w:sz w:val="28"/>
          <w:szCs w:val="28"/>
        </w:rPr>
        <w:t>519458</w:t>
      </w:r>
      <w:r>
        <w:rPr>
          <w:rFonts w:hint="eastAsia" w:cs="仿宋" w:asciiTheme="minorEastAsia" w:hAnsiTheme="minorEastAsia"/>
          <w:sz w:val="28"/>
          <w:szCs w:val="28"/>
        </w:rPr>
        <w:t>元，决算支出</w:t>
      </w:r>
      <w:r>
        <w:rPr>
          <w:rFonts w:cs="仿宋" w:asciiTheme="minorEastAsia" w:hAnsiTheme="minorEastAsia"/>
          <w:sz w:val="28"/>
          <w:szCs w:val="28"/>
        </w:rPr>
        <w:t>519458</w:t>
      </w:r>
      <w:r>
        <w:rPr>
          <w:rFonts w:hint="eastAsia" w:cs="仿宋" w:asciiTheme="minorEastAsia" w:hAnsiTheme="minorEastAsia"/>
          <w:sz w:val="28"/>
          <w:szCs w:val="28"/>
        </w:rPr>
        <w:t>元，剔除本年拨付上年资金</w:t>
      </w:r>
      <w:r>
        <w:rPr>
          <w:rFonts w:cs="仿宋" w:asciiTheme="minorEastAsia" w:hAnsiTheme="minorEastAsia"/>
          <w:sz w:val="28"/>
          <w:szCs w:val="28"/>
        </w:rPr>
        <w:t>3060</w:t>
      </w:r>
      <w:r>
        <w:rPr>
          <w:rFonts w:hint="eastAsia" w:cs="仿宋" w:asciiTheme="minorEastAsia" w:hAnsiTheme="minorEastAsia"/>
          <w:sz w:val="28"/>
          <w:szCs w:val="28"/>
        </w:rPr>
        <w:t>元，实际支出</w:t>
      </w:r>
      <w:r>
        <w:rPr>
          <w:rFonts w:cs="仿宋" w:asciiTheme="minorEastAsia" w:hAnsiTheme="minorEastAsia"/>
          <w:sz w:val="28"/>
          <w:szCs w:val="28"/>
        </w:rPr>
        <w:t>516398</w:t>
      </w:r>
      <w:r>
        <w:rPr>
          <w:rFonts w:hint="eastAsia" w:cs="仿宋" w:asciiTheme="minorEastAsia" w:hAnsiTheme="minorEastAsia"/>
          <w:sz w:val="28"/>
          <w:szCs w:val="28"/>
        </w:rPr>
        <w:t>元，占项目性专项的</w:t>
      </w:r>
      <w:r>
        <w:rPr>
          <w:rFonts w:cs="仿宋" w:asciiTheme="minorEastAsia" w:hAnsiTheme="minorEastAsia"/>
          <w:sz w:val="28"/>
          <w:szCs w:val="28"/>
        </w:rPr>
        <w:t>6.09</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年3月底，占比4</w:t>
      </w:r>
      <w:r>
        <w:rPr>
          <w:rFonts w:cs="仿宋" w:asciiTheme="minorEastAsia" w:hAnsiTheme="minorEastAsia"/>
          <w:sz w:val="28"/>
          <w:szCs w:val="28"/>
        </w:rPr>
        <w:t>.58</w:t>
      </w:r>
      <w:r>
        <w:rPr>
          <w:rFonts w:hint="eastAsia" w:cs="仿宋" w:asciiTheme="minorEastAsia" w:hAnsiTheme="minorEastAsia"/>
          <w:sz w:val="28"/>
          <w:szCs w:val="28"/>
        </w:rPr>
        <w:t>%），预算执行率</w:t>
      </w:r>
      <w:r>
        <w:rPr>
          <w:rFonts w:cs="仿宋" w:asciiTheme="minorEastAsia" w:hAnsiTheme="minorEastAsia"/>
          <w:sz w:val="28"/>
          <w:szCs w:val="28"/>
        </w:rPr>
        <w:t>99.41</w:t>
      </w:r>
      <w:r>
        <w:rPr>
          <w:rFonts w:hint="eastAsia" w:cs="仿宋" w:asciiTheme="minorEastAsia" w:hAnsiTheme="minorEastAsia"/>
          <w:sz w:val="28"/>
          <w:szCs w:val="28"/>
        </w:rPr>
        <w:t>%。</w:t>
      </w:r>
    </w:p>
    <w:p>
      <w:pPr>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重点火险区综合治理三期项目：年初预算0元，用结余结转资金拨付</w:t>
      </w:r>
      <w:r>
        <w:rPr>
          <w:rFonts w:cs="仿宋" w:asciiTheme="minorEastAsia" w:hAnsiTheme="minorEastAsia"/>
          <w:sz w:val="28"/>
          <w:szCs w:val="28"/>
        </w:rPr>
        <w:t>52960</w:t>
      </w:r>
      <w:r>
        <w:rPr>
          <w:rFonts w:hint="eastAsia" w:cs="仿宋" w:asciiTheme="minorEastAsia" w:hAnsiTheme="minorEastAsia"/>
          <w:sz w:val="28"/>
          <w:szCs w:val="28"/>
        </w:rPr>
        <w:t>元，调整后的预算数</w:t>
      </w:r>
      <w:r>
        <w:rPr>
          <w:rFonts w:cs="仿宋" w:asciiTheme="minorEastAsia" w:hAnsiTheme="minorEastAsia"/>
          <w:sz w:val="28"/>
          <w:szCs w:val="28"/>
        </w:rPr>
        <w:t>52960</w:t>
      </w:r>
      <w:r>
        <w:rPr>
          <w:rFonts w:hint="eastAsia" w:cs="仿宋" w:asciiTheme="minorEastAsia" w:hAnsiTheme="minorEastAsia"/>
          <w:sz w:val="28"/>
          <w:szCs w:val="28"/>
        </w:rPr>
        <w:t>元，决算支出</w:t>
      </w:r>
      <w:r>
        <w:rPr>
          <w:rFonts w:cs="仿宋" w:asciiTheme="minorEastAsia" w:hAnsiTheme="minorEastAsia"/>
          <w:sz w:val="28"/>
          <w:szCs w:val="28"/>
        </w:rPr>
        <w:t>52960</w:t>
      </w:r>
      <w:r>
        <w:rPr>
          <w:rFonts w:hint="eastAsia" w:cs="仿宋" w:asciiTheme="minorEastAsia" w:hAnsiTheme="minorEastAsia"/>
          <w:sz w:val="28"/>
          <w:szCs w:val="28"/>
        </w:rPr>
        <w:t>元，占项目性专项的</w:t>
      </w:r>
      <w:r>
        <w:rPr>
          <w:rFonts w:cs="仿宋" w:asciiTheme="minorEastAsia" w:hAnsiTheme="minorEastAsia"/>
          <w:sz w:val="28"/>
          <w:szCs w:val="28"/>
        </w:rPr>
        <w:t>0.62</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年3月底，占比</w:t>
      </w:r>
      <w:r>
        <w:rPr>
          <w:rFonts w:cs="仿宋" w:asciiTheme="minorEastAsia" w:hAnsiTheme="minorEastAsia"/>
          <w:sz w:val="28"/>
          <w:szCs w:val="28"/>
        </w:rPr>
        <w:t>0.47</w:t>
      </w:r>
      <w:r>
        <w:rPr>
          <w:rFonts w:hint="eastAsia" w:cs="仿宋" w:asciiTheme="minorEastAsia" w:hAnsiTheme="minorEastAsia"/>
          <w:sz w:val="28"/>
          <w:szCs w:val="28"/>
        </w:rPr>
        <w:t>%），预算执行率</w:t>
      </w:r>
      <w:r>
        <w:rPr>
          <w:rFonts w:cs="仿宋" w:asciiTheme="minorEastAsia" w:hAnsiTheme="minorEastAsia"/>
          <w:sz w:val="28"/>
          <w:szCs w:val="28"/>
        </w:rPr>
        <w:t>100.00</w:t>
      </w:r>
      <w:r>
        <w:rPr>
          <w:rFonts w:hint="eastAsia" w:cs="仿宋" w:asciiTheme="minorEastAsia" w:hAnsiTheme="minorEastAsia"/>
          <w:sz w:val="28"/>
          <w:szCs w:val="28"/>
        </w:rPr>
        <w:t>%。</w:t>
      </w:r>
    </w:p>
    <w:p>
      <w:pPr>
        <w:spacing w:line="580" w:lineRule="exact"/>
        <w:ind w:firstLine="690"/>
        <w:rPr>
          <w:rFonts w:cs="仿宋" w:asciiTheme="minorEastAsia" w:hAnsiTheme="minorEastAsia"/>
          <w:sz w:val="28"/>
          <w:szCs w:val="28"/>
        </w:rPr>
      </w:pPr>
      <w:r>
        <w:rPr>
          <w:rFonts w:hint="eastAsia" w:cs="仿宋" w:asciiTheme="minorEastAsia" w:hAnsiTheme="minorEastAsia"/>
          <w:sz w:val="28"/>
          <w:szCs w:val="28"/>
        </w:rPr>
        <w:t>自然保护区建设项目：年初预算0元，用结余结转资金拨付</w:t>
      </w:r>
      <w:r>
        <w:rPr>
          <w:rFonts w:cs="仿宋" w:asciiTheme="minorEastAsia" w:hAnsiTheme="minorEastAsia"/>
          <w:sz w:val="28"/>
          <w:szCs w:val="28"/>
        </w:rPr>
        <w:t>892</w:t>
      </w:r>
      <w:r>
        <w:rPr>
          <w:rFonts w:hint="eastAsia" w:cs="仿宋" w:asciiTheme="minorEastAsia" w:hAnsiTheme="minorEastAsia"/>
          <w:sz w:val="28"/>
          <w:szCs w:val="28"/>
        </w:rPr>
        <w:t>元，调整后的预算数</w:t>
      </w:r>
      <w:r>
        <w:rPr>
          <w:rFonts w:cs="仿宋" w:asciiTheme="minorEastAsia" w:hAnsiTheme="minorEastAsia"/>
          <w:sz w:val="28"/>
          <w:szCs w:val="28"/>
        </w:rPr>
        <w:t>892</w:t>
      </w:r>
      <w:r>
        <w:rPr>
          <w:rFonts w:hint="eastAsia" w:cs="仿宋" w:asciiTheme="minorEastAsia" w:hAnsiTheme="minorEastAsia"/>
          <w:sz w:val="28"/>
          <w:szCs w:val="28"/>
        </w:rPr>
        <w:t>元，决算支出</w:t>
      </w:r>
      <w:r>
        <w:rPr>
          <w:rFonts w:cs="仿宋" w:asciiTheme="minorEastAsia" w:hAnsiTheme="minorEastAsia"/>
          <w:sz w:val="28"/>
          <w:szCs w:val="28"/>
        </w:rPr>
        <w:t>892</w:t>
      </w:r>
      <w:r>
        <w:rPr>
          <w:rFonts w:hint="eastAsia" w:cs="仿宋" w:asciiTheme="minorEastAsia" w:hAnsiTheme="minorEastAsia"/>
          <w:sz w:val="28"/>
          <w:szCs w:val="28"/>
        </w:rPr>
        <w:t>元，占项目性专项的</w:t>
      </w:r>
      <w:r>
        <w:rPr>
          <w:rFonts w:cs="仿宋" w:asciiTheme="minorEastAsia" w:hAnsiTheme="minorEastAsia"/>
          <w:sz w:val="28"/>
          <w:szCs w:val="28"/>
        </w:rPr>
        <w:t>0.01</w:t>
      </w:r>
      <w:r>
        <w:rPr>
          <w:rFonts w:hint="eastAsia" w:cs="仿宋" w:asciiTheme="minorEastAsia" w:hAnsiTheme="minorEastAsia"/>
          <w:sz w:val="28"/>
          <w:szCs w:val="28"/>
        </w:rPr>
        <w:t>%，预算执行率</w:t>
      </w:r>
      <w:r>
        <w:rPr>
          <w:rFonts w:cs="仿宋" w:asciiTheme="minorEastAsia" w:hAnsiTheme="minorEastAsia"/>
          <w:sz w:val="28"/>
          <w:szCs w:val="28"/>
        </w:rPr>
        <w:t>100.00</w:t>
      </w:r>
      <w:r>
        <w:rPr>
          <w:rFonts w:hint="eastAsia" w:cs="仿宋" w:asciiTheme="minorEastAsia" w:hAnsiTheme="minorEastAsia"/>
          <w:sz w:val="28"/>
          <w:szCs w:val="28"/>
        </w:rPr>
        <w:t>%。截止2</w:t>
      </w:r>
      <w:r>
        <w:rPr>
          <w:rFonts w:cs="仿宋" w:asciiTheme="minorEastAsia" w:hAnsiTheme="minorEastAsia"/>
          <w:sz w:val="28"/>
          <w:szCs w:val="28"/>
        </w:rPr>
        <w:t>022</w:t>
      </w:r>
      <w:r>
        <w:rPr>
          <w:rFonts w:hint="eastAsia" w:cs="仿宋" w:asciiTheme="minorEastAsia" w:hAnsiTheme="minorEastAsia"/>
          <w:sz w:val="28"/>
          <w:szCs w:val="28"/>
        </w:rPr>
        <w:t>年3月底，用结余结转资金拨付3</w:t>
      </w:r>
      <w:r>
        <w:rPr>
          <w:rFonts w:cs="仿宋" w:asciiTheme="minorEastAsia" w:hAnsiTheme="minorEastAsia"/>
          <w:sz w:val="28"/>
          <w:szCs w:val="28"/>
        </w:rPr>
        <w:t>00892</w:t>
      </w:r>
      <w:r>
        <w:rPr>
          <w:rFonts w:hint="eastAsia" w:cs="仿宋" w:asciiTheme="minorEastAsia" w:hAnsiTheme="minorEastAsia"/>
          <w:sz w:val="28"/>
          <w:szCs w:val="28"/>
        </w:rPr>
        <w:t>元，实际支出3</w:t>
      </w:r>
      <w:r>
        <w:rPr>
          <w:rFonts w:cs="仿宋" w:asciiTheme="minorEastAsia" w:hAnsiTheme="minorEastAsia"/>
          <w:sz w:val="28"/>
          <w:szCs w:val="28"/>
        </w:rPr>
        <w:t>00892</w:t>
      </w:r>
      <w:r>
        <w:rPr>
          <w:rFonts w:hint="eastAsia" w:cs="仿宋" w:asciiTheme="minorEastAsia" w:hAnsiTheme="minorEastAsia"/>
          <w:sz w:val="28"/>
          <w:szCs w:val="28"/>
        </w:rPr>
        <w:t>元，占项目性专项的2</w:t>
      </w:r>
      <w:r>
        <w:rPr>
          <w:rFonts w:cs="仿宋" w:asciiTheme="minorEastAsia" w:hAnsiTheme="minorEastAsia"/>
          <w:sz w:val="28"/>
          <w:szCs w:val="28"/>
        </w:rPr>
        <w:t>.67</w:t>
      </w:r>
      <w:r>
        <w:rPr>
          <w:rFonts w:hint="eastAsia" w:cs="仿宋" w:asciiTheme="minorEastAsia" w:hAnsiTheme="minorEastAsia"/>
          <w:sz w:val="28"/>
          <w:szCs w:val="28"/>
        </w:rPr>
        <w:t>%，预算执行率1</w:t>
      </w:r>
      <w:r>
        <w:rPr>
          <w:rFonts w:cs="仿宋" w:asciiTheme="minorEastAsia" w:hAnsiTheme="minorEastAsia"/>
          <w:sz w:val="28"/>
          <w:szCs w:val="28"/>
        </w:rPr>
        <w:t>00</w:t>
      </w:r>
      <w:r>
        <w:rPr>
          <w:rFonts w:hint="eastAsia" w:cs="仿宋" w:asciiTheme="minorEastAsia" w:hAnsiTheme="minorEastAsia"/>
          <w:sz w:val="28"/>
          <w:szCs w:val="28"/>
        </w:rPr>
        <w:t>%。</w:t>
      </w:r>
    </w:p>
    <w:p>
      <w:pPr>
        <w:spacing w:line="580" w:lineRule="exact"/>
        <w:ind w:firstLine="690"/>
        <w:rPr>
          <w:rFonts w:cs="仿宋" w:asciiTheme="minorEastAsia" w:hAnsiTheme="minorEastAsia"/>
          <w:b/>
          <w:sz w:val="28"/>
          <w:szCs w:val="28"/>
        </w:rPr>
      </w:pPr>
      <w:r>
        <w:rPr>
          <w:rFonts w:hint="eastAsia" w:cs="仿宋" w:asciiTheme="minorEastAsia" w:hAnsiTheme="minorEastAsia"/>
          <w:sz w:val="28"/>
          <w:szCs w:val="28"/>
        </w:rPr>
        <w:t>精准扶贫：年初预算0元，用结余结转资金拨付</w:t>
      </w:r>
      <w:r>
        <w:rPr>
          <w:rFonts w:cs="仿宋" w:asciiTheme="minorEastAsia" w:hAnsiTheme="minorEastAsia"/>
          <w:sz w:val="28"/>
          <w:szCs w:val="28"/>
        </w:rPr>
        <w:t>193326</w:t>
      </w:r>
      <w:r>
        <w:rPr>
          <w:rFonts w:hint="eastAsia" w:cs="仿宋" w:asciiTheme="minorEastAsia" w:hAnsiTheme="minorEastAsia"/>
          <w:sz w:val="28"/>
          <w:szCs w:val="28"/>
        </w:rPr>
        <w:t>元，调整后的预算数</w:t>
      </w:r>
      <w:r>
        <w:rPr>
          <w:rFonts w:cs="仿宋" w:asciiTheme="minorEastAsia" w:hAnsiTheme="minorEastAsia"/>
          <w:sz w:val="28"/>
          <w:szCs w:val="28"/>
        </w:rPr>
        <w:t>193326</w:t>
      </w:r>
      <w:r>
        <w:rPr>
          <w:rFonts w:hint="eastAsia" w:cs="仿宋" w:asciiTheme="minorEastAsia" w:hAnsiTheme="minorEastAsia"/>
          <w:sz w:val="28"/>
          <w:szCs w:val="28"/>
        </w:rPr>
        <w:t>元，决算支出</w:t>
      </w:r>
      <w:r>
        <w:rPr>
          <w:rFonts w:cs="仿宋" w:asciiTheme="minorEastAsia" w:hAnsiTheme="minorEastAsia"/>
          <w:sz w:val="28"/>
          <w:szCs w:val="28"/>
        </w:rPr>
        <w:t>193326</w:t>
      </w:r>
      <w:r>
        <w:rPr>
          <w:rFonts w:hint="eastAsia" w:cs="仿宋" w:asciiTheme="minorEastAsia" w:hAnsiTheme="minorEastAsia"/>
          <w:sz w:val="28"/>
          <w:szCs w:val="28"/>
        </w:rPr>
        <w:t>元，剔除本年拨付上年资金8</w:t>
      </w:r>
      <w:r>
        <w:rPr>
          <w:rFonts w:cs="仿宋" w:asciiTheme="minorEastAsia" w:hAnsiTheme="minorEastAsia"/>
          <w:sz w:val="28"/>
          <w:szCs w:val="28"/>
        </w:rPr>
        <w:t>7814</w:t>
      </w:r>
      <w:r>
        <w:rPr>
          <w:rFonts w:hint="eastAsia" w:cs="仿宋" w:asciiTheme="minorEastAsia" w:hAnsiTheme="minorEastAsia"/>
          <w:sz w:val="28"/>
          <w:szCs w:val="28"/>
        </w:rPr>
        <w:t>元，实际支出1</w:t>
      </w:r>
      <w:r>
        <w:rPr>
          <w:rFonts w:cs="仿宋" w:asciiTheme="minorEastAsia" w:hAnsiTheme="minorEastAsia"/>
          <w:sz w:val="28"/>
          <w:szCs w:val="28"/>
        </w:rPr>
        <w:t>05512</w:t>
      </w:r>
      <w:r>
        <w:rPr>
          <w:rFonts w:hint="eastAsia" w:cs="仿宋" w:asciiTheme="minorEastAsia" w:hAnsiTheme="minorEastAsia"/>
          <w:sz w:val="28"/>
          <w:szCs w:val="28"/>
        </w:rPr>
        <w:t>元，占项目性专项的</w:t>
      </w:r>
      <w:r>
        <w:rPr>
          <w:rFonts w:cs="仿宋" w:asciiTheme="minorEastAsia" w:hAnsiTheme="minorEastAsia"/>
          <w:sz w:val="28"/>
          <w:szCs w:val="28"/>
        </w:rPr>
        <w:t>1.24</w:t>
      </w:r>
      <w:r>
        <w:rPr>
          <w:rFonts w:hint="eastAsia" w:cs="仿宋" w:asciiTheme="minorEastAsia" w:hAnsiTheme="minorEastAsia"/>
          <w:sz w:val="28"/>
          <w:szCs w:val="28"/>
        </w:rPr>
        <w:t>%，预算执行率</w:t>
      </w:r>
      <w:r>
        <w:rPr>
          <w:rFonts w:cs="仿宋" w:asciiTheme="minorEastAsia" w:hAnsiTheme="minorEastAsia"/>
          <w:sz w:val="28"/>
          <w:szCs w:val="28"/>
        </w:rPr>
        <w:t>54.58</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年3月底，实际支出1</w:t>
      </w:r>
      <w:r>
        <w:rPr>
          <w:rFonts w:cs="仿宋" w:asciiTheme="minorEastAsia" w:hAnsiTheme="minorEastAsia"/>
          <w:sz w:val="28"/>
          <w:szCs w:val="28"/>
        </w:rPr>
        <w:t>59232</w:t>
      </w:r>
      <w:r>
        <w:rPr>
          <w:rFonts w:hint="eastAsia" w:cs="仿宋" w:asciiTheme="minorEastAsia" w:hAnsiTheme="minorEastAsia"/>
          <w:sz w:val="28"/>
          <w:szCs w:val="28"/>
        </w:rPr>
        <w:t>元，占项目性专项的1</w:t>
      </w:r>
      <w:r>
        <w:rPr>
          <w:rFonts w:cs="仿宋" w:asciiTheme="minorEastAsia" w:hAnsiTheme="minorEastAsia"/>
          <w:sz w:val="28"/>
          <w:szCs w:val="28"/>
        </w:rPr>
        <w:t>.41</w:t>
      </w:r>
      <w:r>
        <w:rPr>
          <w:rFonts w:hint="eastAsia" w:cs="仿宋" w:asciiTheme="minorEastAsia" w:hAnsiTheme="minorEastAsia"/>
          <w:sz w:val="28"/>
          <w:szCs w:val="28"/>
        </w:rPr>
        <w:t>%，预算执行率8</w:t>
      </w:r>
      <w:r>
        <w:rPr>
          <w:rFonts w:cs="仿宋" w:asciiTheme="minorEastAsia" w:hAnsiTheme="minorEastAsia"/>
          <w:sz w:val="28"/>
          <w:szCs w:val="28"/>
        </w:rPr>
        <w:t>2.36</w:t>
      </w:r>
      <w:r>
        <w:rPr>
          <w:rFonts w:hint="eastAsia" w:cs="仿宋" w:asciiTheme="minorEastAsia" w:hAnsiTheme="minorEastAsia"/>
          <w:sz w:val="28"/>
          <w:szCs w:val="28"/>
        </w:rPr>
        <w:t>%。</w:t>
      </w:r>
    </w:p>
    <w:p>
      <w:pPr>
        <w:spacing w:line="580" w:lineRule="exact"/>
        <w:ind w:firstLine="690"/>
        <w:rPr>
          <w:rFonts w:cs="仿宋" w:asciiTheme="minorEastAsia" w:hAnsiTheme="minorEastAsia"/>
          <w:sz w:val="28"/>
          <w:szCs w:val="28"/>
        </w:rPr>
      </w:pPr>
      <w:r>
        <w:rPr>
          <w:rFonts w:hint="eastAsia" w:cs="仿宋" w:asciiTheme="minorEastAsia" w:hAnsiTheme="minorEastAsia"/>
          <w:sz w:val="28"/>
          <w:szCs w:val="28"/>
        </w:rPr>
        <w:t>党建专项：年初预算0元，用结余结转资金拨付</w:t>
      </w:r>
      <w:r>
        <w:rPr>
          <w:rFonts w:cs="仿宋" w:asciiTheme="minorEastAsia" w:hAnsiTheme="minorEastAsia"/>
          <w:sz w:val="28"/>
          <w:szCs w:val="28"/>
        </w:rPr>
        <w:t>98497</w:t>
      </w:r>
      <w:r>
        <w:rPr>
          <w:rFonts w:hint="eastAsia" w:cs="仿宋" w:asciiTheme="minorEastAsia" w:hAnsiTheme="minorEastAsia"/>
          <w:sz w:val="28"/>
          <w:szCs w:val="28"/>
        </w:rPr>
        <w:t>元，调整后的预算数</w:t>
      </w:r>
      <w:r>
        <w:rPr>
          <w:rFonts w:cs="仿宋" w:asciiTheme="minorEastAsia" w:hAnsiTheme="minorEastAsia"/>
          <w:sz w:val="28"/>
          <w:szCs w:val="28"/>
        </w:rPr>
        <w:t>98797</w:t>
      </w:r>
      <w:r>
        <w:rPr>
          <w:rFonts w:hint="eastAsia" w:cs="仿宋" w:asciiTheme="minorEastAsia" w:hAnsiTheme="minorEastAsia"/>
          <w:sz w:val="28"/>
          <w:szCs w:val="28"/>
        </w:rPr>
        <w:t>元，决算支出</w:t>
      </w:r>
      <w:r>
        <w:rPr>
          <w:rFonts w:cs="仿宋" w:asciiTheme="minorEastAsia" w:hAnsiTheme="minorEastAsia"/>
          <w:sz w:val="28"/>
          <w:szCs w:val="28"/>
        </w:rPr>
        <w:t>98497</w:t>
      </w:r>
      <w:r>
        <w:rPr>
          <w:rFonts w:hint="eastAsia" w:cs="仿宋" w:asciiTheme="minorEastAsia" w:hAnsiTheme="minorEastAsia"/>
          <w:sz w:val="28"/>
          <w:szCs w:val="28"/>
        </w:rPr>
        <w:t>元，剔除本年拨付上年资金</w:t>
      </w:r>
      <w:r>
        <w:rPr>
          <w:rFonts w:cs="仿宋" w:asciiTheme="minorEastAsia" w:hAnsiTheme="minorEastAsia"/>
          <w:sz w:val="28"/>
          <w:szCs w:val="28"/>
        </w:rPr>
        <w:t>12550</w:t>
      </w:r>
      <w:r>
        <w:rPr>
          <w:rFonts w:hint="eastAsia" w:cs="仿宋" w:asciiTheme="minorEastAsia" w:hAnsiTheme="minorEastAsia"/>
          <w:sz w:val="28"/>
          <w:szCs w:val="28"/>
        </w:rPr>
        <w:t>元，实际支出</w:t>
      </w:r>
      <w:r>
        <w:rPr>
          <w:rFonts w:cs="仿宋" w:asciiTheme="minorEastAsia" w:hAnsiTheme="minorEastAsia"/>
          <w:sz w:val="28"/>
          <w:szCs w:val="28"/>
        </w:rPr>
        <w:t>85947</w:t>
      </w:r>
      <w:r>
        <w:rPr>
          <w:rFonts w:hint="eastAsia" w:cs="仿宋" w:asciiTheme="minorEastAsia" w:hAnsiTheme="minorEastAsia"/>
          <w:sz w:val="28"/>
          <w:szCs w:val="28"/>
        </w:rPr>
        <w:t>元，占项目性专项的</w:t>
      </w:r>
      <w:r>
        <w:rPr>
          <w:rFonts w:cs="仿宋" w:asciiTheme="minorEastAsia" w:hAnsiTheme="minorEastAsia"/>
          <w:sz w:val="28"/>
          <w:szCs w:val="28"/>
        </w:rPr>
        <w:t>1.01</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年3月底，占比0</w:t>
      </w:r>
      <w:r>
        <w:rPr>
          <w:rFonts w:cs="仿宋" w:asciiTheme="minorEastAsia" w:hAnsiTheme="minorEastAsia"/>
          <w:sz w:val="28"/>
          <w:szCs w:val="28"/>
        </w:rPr>
        <w:t>.76</w:t>
      </w:r>
      <w:r>
        <w:rPr>
          <w:rFonts w:hint="eastAsia" w:cs="仿宋" w:asciiTheme="minorEastAsia" w:hAnsiTheme="minorEastAsia"/>
          <w:sz w:val="28"/>
          <w:szCs w:val="28"/>
        </w:rPr>
        <w:t>%），预算执行率</w:t>
      </w:r>
      <w:r>
        <w:rPr>
          <w:rFonts w:cs="仿宋" w:asciiTheme="minorEastAsia" w:hAnsiTheme="minorEastAsia"/>
          <w:sz w:val="28"/>
          <w:szCs w:val="28"/>
        </w:rPr>
        <w:t>87.26</w:t>
      </w:r>
      <w:r>
        <w:rPr>
          <w:rFonts w:hint="eastAsia" w:cs="仿宋" w:asciiTheme="minorEastAsia" w:hAnsiTheme="minorEastAsia"/>
          <w:sz w:val="28"/>
          <w:szCs w:val="28"/>
        </w:rPr>
        <w:t>%。</w:t>
      </w:r>
    </w:p>
    <w:p>
      <w:pPr>
        <w:spacing w:line="580" w:lineRule="exact"/>
        <w:ind w:firstLine="690"/>
        <w:rPr>
          <w:rFonts w:cs="仿宋" w:asciiTheme="minorEastAsia" w:hAnsiTheme="minorEastAsia"/>
          <w:sz w:val="28"/>
          <w:szCs w:val="28"/>
        </w:rPr>
      </w:pPr>
      <w:r>
        <w:rPr>
          <w:rFonts w:hint="eastAsia" w:cs="仿宋" w:asciiTheme="minorEastAsia" w:hAnsiTheme="minorEastAsia"/>
          <w:sz w:val="28"/>
          <w:szCs w:val="28"/>
        </w:rPr>
        <w:t>林业改革发展资金：年初预算0元，决算支出</w:t>
      </w:r>
      <w:r>
        <w:rPr>
          <w:rFonts w:cs="仿宋" w:asciiTheme="minorEastAsia" w:hAnsiTheme="minorEastAsia"/>
          <w:sz w:val="28"/>
          <w:szCs w:val="28"/>
        </w:rPr>
        <w:t>250000</w:t>
      </w:r>
      <w:r>
        <w:rPr>
          <w:rFonts w:hint="eastAsia" w:cs="仿宋" w:asciiTheme="minorEastAsia" w:hAnsiTheme="minorEastAsia"/>
          <w:sz w:val="28"/>
          <w:szCs w:val="28"/>
        </w:rPr>
        <w:t>元，系用结余结转资金拨付上年度资金。</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国家重点野生动植物保护：年初预算0元，年中中央财政下达资金3</w:t>
      </w:r>
      <w:r>
        <w:rPr>
          <w:rFonts w:cs="仿宋" w:asciiTheme="minorEastAsia" w:hAnsiTheme="minorEastAsia"/>
          <w:sz w:val="28"/>
          <w:szCs w:val="28"/>
        </w:rPr>
        <w:t>00000</w:t>
      </w:r>
      <w:r>
        <w:rPr>
          <w:rFonts w:hint="eastAsia" w:cs="仿宋" w:asciiTheme="minorEastAsia" w:hAnsiTheme="minorEastAsia"/>
          <w:sz w:val="28"/>
          <w:szCs w:val="28"/>
        </w:rPr>
        <w:t>元，调整后的预算数3</w:t>
      </w:r>
      <w:r>
        <w:rPr>
          <w:rFonts w:cs="仿宋" w:asciiTheme="minorEastAsia" w:hAnsiTheme="minorEastAsia"/>
          <w:sz w:val="28"/>
          <w:szCs w:val="28"/>
        </w:rPr>
        <w:t>00000</w:t>
      </w:r>
      <w:r>
        <w:rPr>
          <w:rFonts w:hint="eastAsia" w:cs="仿宋" w:asciiTheme="minorEastAsia" w:hAnsiTheme="minorEastAsia"/>
          <w:sz w:val="28"/>
          <w:szCs w:val="28"/>
        </w:rPr>
        <w:t>元，决算支出0元，占项目性支出的0</w:t>
      </w:r>
      <w:r>
        <w:rPr>
          <w:rFonts w:cs="仿宋" w:asciiTheme="minorEastAsia" w:hAnsiTheme="minorEastAsia"/>
          <w:sz w:val="28"/>
          <w:szCs w:val="28"/>
        </w:rPr>
        <w:t>.00</w:t>
      </w:r>
      <w:r>
        <w:rPr>
          <w:rFonts w:hint="eastAsia" w:cs="仿宋" w:asciiTheme="minorEastAsia" w:hAnsiTheme="minorEastAsia"/>
          <w:sz w:val="28"/>
          <w:szCs w:val="28"/>
        </w:rPr>
        <w:t>%，预算执行率0</w:t>
      </w:r>
      <w:r>
        <w:rPr>
          <w:rFonts w:cs="仿宋" w:asciiTheme="minorEastAsia" w:hAnsiTheme="minorEastAsia"/>
          <w:sz w:val="28"/>
          <w:szCs w:val="28"/>
        </w:rPr>
        <w:t>.00</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年3月底，本项目结余资金3</w:t>
      </w:r>
      <w:r>
        <w:rPr>
          <w:rFonts w:cs="仿宋" w:asciiTheme="minorEastAsia" w:hAnsiTheme="minorEastAsia"/>
          <w:sz w:val="28"/>
          <w:szCs w:val="28"/>
        </w:rPr>
        <w:t>00000</w:t>
      </w:r>
      <w:r>
        <w:rPr>
          <w:rFonts w:hint="eastAsia" w:cs="仿宋" w:asciiTheme="minorEastAsia" w:hAnsiTheme="minorEastAsia"/>
          <w:sz w:val="28"/>
          <w:szCs w:val="28"/>
        </w:rPr>
        <w:t>元，系资金调度困难，导致项目资金未及时拨付。</w:t>
      </w:r>
    </w:p>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2</w:t>
      </w:r>
      <w:r>
        <w:rPr>
          <w:rFonts w:cs="仿宋" w:asciiTheme="minorEastAsia" w:hAnsiTheme="minorEastAsia"/>
          <w:sz w:val="28"/>
          <w:szCs w:val="28"/>
        </w:rPr>
        <w:t>021</w:t>
      </w:r>
      <w:r>
        <w:rPr>
          <w:rFonts w:hint="eastAsia" w:cs="仿宋" w:asciiTheme="minorEastAsia" w:hAnsiTheme="minorEastAsia"/>
          <w:sz w:val="28"/>
          <w:szCs w:val="28"/>
        </w:rPr>
        <w:t>年第一批林业生态保护修复及发展资金（生态廊道建设）：年初预算0元，年中省级财政下达资金1</w:t>
      </w:r>
      <w:r>
        <w:rPr>
          <w:rFonts w:cs="仿宋" w:asciiTheme="minorEastAsia" w:hAnsiTheme="minorEastAsia"/>
          <w:sz w:val="28"/>
          <w:szCs w:val="28"/>
        </w:rPr>
        <w:t>800000</w:t>
      </w:r>
      <w:r>
        <w:rPr>
          <w:rFonts w:hint="eastAsia" w:cs="仿宋" w:asciiTheme="minorEastAsia" w:hAnsiTheme="minorEastAsia"/>
          <w:sz w:val="28"/>
          <w:szCs w:val="28"/>
        </w:rPr>
        <w:t>元，调整后的预算数1</w:t>
      </w:r>
      <w:r>
        <w:rPr>
          <w:rFonts w:cs="仿宋" w:asciiTheme="minorEastAsia" w:hAnsiTheme="minorEastAsia"/>
          <w:sz w:val="28"/>
          <w:szCs w:val="28"/>
        </w:rPr>
        <w:t>800000</w:t>
      </w:r>
      <w:r>
        <w:rPr>
          <w:rFonts w:hint="eastAsia" w:cs="仿宋" w:asciiTheme="minorEastAsia" w:hAnsiTheme="minorEastAsia"/>
          <w:sz w:val="28"/>
          <w:szCs w:val="28"/>
        </w:rPr>
        <w:t>元，决算数0元。占项目性支出的0</w:t>
      </w:r>
      <w:r>
        <w:rPr>
          <w:rFonts w:cs="仿宋" w:asciiTheme="minorEastAsia" w:hAnsiTheme="minorEastAsia"/>
          <w:sz w:val="28"/>
          <w:szCs w:val="28"/>
        </w:rPr>
        <w:t>.00</w:t>
      </w:r>
      <w:r>
        <w:rPr>
          <w:rFonts w:hint="eastAsia" w:cs="仿宋" w:asciiTheme="minorEastAsia" w:hAnsiTheme="minorEastAsia"/>
          <w:sz w:val="28"/>
          <w:szCs w:val="28"/>
        </w:rPr>
        <w:t>%，预算执行率0</w:t>
      </w:r>
      <w:r>
        <w:rPr>
          <w:rFonts w:cs="仿宋" w:asciiTheme="minorEastAsia" w:hAnsiTheme="minorEastAsia"/>
          <w:sz w:val="28"/>
          <w:szCs w:val="28"/>
        </w:rPr>
        <w:t>.00</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年3月底，本项目结余资金</w:t>
      </w:r>
      <w:r>
        <w:rPr>
          <w:rFonts w:cs="仿宋" w:asciiTheme="minorEastAsia" w:hAnsiTheme="minorEastAsia"/>
          <w:sz w:val="28"/>
          <w:szCs w:val="28"/>
        </w:rPr>
        <w:t>1800000</w:t>
      </w:r>
      <w:r>
        <w:rPr>
          <w:rFonts w:hint="eastAsia" w:cs="仿宋" w:asciiTheme="minorEastAsia" w:hAnsiTheme="minorEastAsia"/>
          <w:sz w:val="28"/>
          <w:szCs w:val="28"/>
        </w:rPr>
        <w:t>元，系资金调度困难，导致项目资金未及时拨付。</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2</w:t>
      </w:r>
      <w:r>
        <w:rPr>
          <w:rFonts w:cs="仿宋" w:asciiTheme="minorEastAsia" w:hAnsiTheme="minorEastAsia"/>
          <w:sz w:val="28"/>
          <w:szCs w:val="28"/>
        </w:rPr>
        <w:t>021</w:t>
      </w:r>
      <w:r>
        <w:rPr>
          <w:rFonts w:hint="eastAsia" w:cs="仿宋" w:asciiTheme="minorEastAsia" w:hAnsiTheme="minorEastAsia"/>
          <w:sz w:val="28"/>
          <w:szCs w:val="28"/>
        </w:rPr>
        <w:t>年第二批林业生态保护修复及发展资金（森林城市建设）：年初预算0元，年中省级财政下达资金</w:t>
      </w:r>
      <w:r>
        <w:rPr>
          <w:rFonts w:cs="仿宋" w:asciiTheme="minorEastAsia" w:hAnsiTheme="minorEastAsia"/>
          <w:sz w:val="28"/>
          <w:szCs w:val="28"/>
        </w:rPr>
        <w:t>200000</w:t>
      </w:r>
      <w:r>
        <w:rPr>
          <w:rFonts w:hint="eastAsia" w:cs="仿宋" w:asciiTheme="minorEastAsia" w:hAnsiTheme="minorEastAsia"/>
          <w:sz w:val="28"/>
          <w:szCs w:val="28"/>
        </w:rPr>
        <w:t>元，用结余结转资金拨付5</w:t>
      </w:r>
      <w:r>
        <w:rPr>
          <w:rFonts w:cs="仿宋" w:asciiTheme="minorEastAsia" w:hAnsiTheme="minorEastAsia"/>
          <w:sz w:val="28"/>
          <w:szCs w:val="28"/>
        </w:rPr>
        <w:t>556</w:t>
      </w:r>
      <w:r>
        <w:rPr>
          <w:rFonts w:hint="eastAsia" w:cs="仿宋" w:asciiTheme="minorEastAsia" w:hAnsiTheme="minorEastAsia"/>
          <w:sz w:val="28"/>
          <w:szCs w:val="28"/>
        </w:rPr>
        <w:t>元，调整后的预算数2</w:t>
      </w:r>
      <w:r>
        <w:rPr>
          <w:rFonts w:cs="仿宋" w:asciiTheme="minorEastAsia" w:hAnsiTheme="minorEastAsia"/>
          <w:sz w:val="28"/>
          <w:szCs w:val="28"/>
        </w:rPr>
        <w:t>05556</w:t>
      </w:r>
      <w:r>
        <w:rPr>
          <w:rFonts w:hint="eastAsia" w:cs="仿宋" w:asciiTheme="minorEastAsia" w:hAnsiTheme="minorEastAsia"/>
          <w:sz w:val="28"/>
          <w:szCs w:val="28"/>
        </w:rPr>
        <w:t>元，决算数2</w:t>
      </w:r>
      <w:r>
        <w:rPr>
          <w:rFonts w:cs="仿宋" w:asciiTheme="minorEastAsia" w:hAnsiTheme="minorEastAsia"/>
          <w:sz w:val="28"/>
          <w:szCs w:val="28"/>
        </w:rPr>
        <w:t>05556</w:t>
      </w:r>
      <w:r>
        <w:rPr>
          <w:rFonts w:hint="eastAsia" w:cs="仿宋" w:asciiTheme="minorEastAsia" w:hAnsiTheme="minorEastAsia"/>
          <w:sz w:val="28"/>
          <w:szCs w:val="28"/>
        </w:rPr>
        <w:t>元，占项目性支出的</w:t>
      </w:r>
      <w:r>
        <w:rPr>
          <w:rFonts w:cs="仿宋" w:asciiTheme="minorEastAsia" w:hAnsiTheme="minorEastAsia"/>
          <w:sz w:val="28"/>
          <w:szCs w:val="28"/>
        </w:rPr>
        <w:t>2.42</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年3月底，占比1</w:t>
      </w:r>
      <w:r>
        <w:rPr>
          <w:rFonts w:cs="仿宋" w:asciiTheme="minorEastAsia" w:hAnsiTheme="minorEastAsia"/>
          <w:sz w:val="28"/>
          <w:szCs w:val="28"/>
        </w:rPr>
        <w:t>.82</w:t>
      </w:r>
      <w:r>
        <w:rPr>
          <w:rFonts w:hint="eastAsia" w:cs="仿宋" w:asciiTheme="minorEastAsia" w:hAnsiTheme="minorEastAsia"/>
          <w:sz w:val="28"/>
          <w:szCs w:val="28"/>
        </w:rPr>
        <w:t>%），预算执行率1</w:t>
      </w:r>
      <w:r>
        <w:rPr>
          <w:rFonts w:cs="仿宋" w:asciiTheme="minorEastAsia" w:hAnsiTheme="minorEastAsia"/>
          <w:sz w:val="28"/>
          <w:szCs w:val="28"/>
        </w:rPr>
        <w:t>0</w:t>
      </w:r>
      <w:r>
        <w:rPr>
          <w:rFonts w:hint="eastAsia" w:cs="仿宋" w:asciiTheme="minorEastAsia" w:hAnsiTheme="minorEastAsia"/>
          <w:sz w:val="28"/>
          <w:szCs w:val="28"/>
        </w:rPr>
        <w:t>0</w:t>
      </w:r>
      <w:r>
        <w:rPr>
          <w:rFonts w:cs="仿宋" w:asciiTheme="minorEastAsia" w:hAnsiTheme="minorEastAsia"/>
          <w:sz w:val="28"/>
          <w:szCs w:val="28"/>
        </w:rPr>
        <w:t>.00</w:t>
      </w:r>
      <w:r>
        <w:rPr>
          <w:rFonts w:hint="eastAsia" w:cs="仿宋" w:asciiTheme="minorEastAsia" w:hAnsiTheme="minorEastAsia"/>
          <w:sz w:val="28"/>
          <w:szCs w:val="28"/>
        </w:rPr>
        <w:t>%。</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林区道路建设：年初预算0元，年中省级财政下达资金</w:t>
      </w:r>
      <w:r>
        <w:rPr>
          <w:rFonts w:cs="仿宋" w:asciiTheme="minorEastAsia" w:hAnsiTheme="minorEastAsia"/>
          <w:sz w:val="28"/>
          <w:szCs w:val="28"/>
        </w:rPr>
        <w:t>300000</w:t>
      </w:r>
      <w:r>
        <w:rPr>
          <w:rFonts w:hint="eastAsia" w:cs="仿宋" w:asciiTheme="minorEastAsia" w:hAnsiTheme="minorEastAsia"/>
          <w:sz w:val="28"/>
          <w:szCs w:val="28"/>
        </w:rPr>
        <w:t>元，调整后的预算数</w:t>
      </w:r>
      <w:r>
        <w:rPr>
          <w:rFonts w:cs="仿宋" w:asciiTheme="minorEastAsia" w:hAnsiTheme="minorEastAsia"/>
          <w:sz w:val="28"/>
          <w:szCs w:val="28"/>
        </w:rPr>
        <w:t>300000</w:t>
      </w:r>
      <w:r>
        <w:rPr>
          <w:rFonts w:hint="eastAsia" w:cs="仿宋" w:asciiTheme="minorEastAsia" w:hAnsiTheme="minorEastAsia"/>
          <w:sz w:val="28"/>
          <w:szCs w:val="28"/>
        </w:rPr>
        <w:t>元，决算支出</w:t>
      </w:r>
      <w:r>
        <w:rPr>
          <w:rFonts w:cs="仿宋" w:asciiTheme="minorEastAsia" w:hAnsiTheme="minorEastAsia"/>
          <w:sz w:val="28"/>
          <w:szCs w:val="28"/>
        </w:rPr>
        <w:t>276138</w:t>
      </w:r>
      <w:r>
        <w:rPr>
          <w:rFonts w:hint="eastAsia" w:cs="仿宋" w:asciiTheme="minorEastAsia" w:hAnsiTheme="minorEastAsia"/>
          <w:sz w:val="28"/>
          <w:szCs w:val="28"/>
        </w:rPr>
        <w:t>元，剔除本年拨付上年资金2</w:t>
      </w:r>
      <w:r>
        <w:rPr>
          <w:rFonts w:cs="仿宋" w:asciiTheme="minorEastAsia" w:hAnsiTheme="minorEastAsia"/>
          <w:sz w:val="28"/>
          <w:szCs w:val="28"/>
        </w:rPr>
        <w:t>76138</w:t>
      </w:r>
      <w:r>
        <w:rPr>
          <w:rFonts w:hint="eastAsia" w:cs="仿宋" w:asciiTheme="minorEastAsia" w:hAnsiTheme="minorEastAsia"/>
          <w:sz w:val="28"/>
          <w:szCs w:val="28"/>
        </w:rPr>
        <w:t>元，实际支出</w:t>
      </w:r>
      <w:r>
        <w:rPr>
          <w:rFonts w:cs="仿宋" w:asciiTheme="minorEastAsia" w:hAnsiTheme="minorEastAsia"/>
          <w:sz w:val="28"/>
          <w:szCs w:val="28"/>
        </w:rPr>
        <w:t>0</w:t>
      </w:r>
      <w:r>
        <w:rPr>
          <w:rFonts w:hint="eastAsia" w:cs="仿宋" w:asciiTheme="minorEastAsia" w:hAnsiTheme="minorEastAsia"/>
          <w:sz w:val="28"/>
          <w:szCs w:val="28"/>
        </w:rPr>
        <w:t>元，占项目性专项的</w:t>
      </w:r>
      <w:r>
        <w:rPr>
          <w:rFonts w:cs="仿宋" w:asciiTheme="minorEastAsia" w:hAnsiTheme="minorEastAsia"/>
          <w:sz w:val="28"/>
          <w:szCs w:val="28"/>
        </w:rPr>
        <w:t>0.00</w:t>
      </w:r>
      <w:r>
        <w:rPr>
          <w:rFonts w:hint="eastAsia" w:cs="仿宋" w:asciiTheme="minorEastAsia" w:hAnsiTheme="minorEastAsia"/>
          <w:sz w:val="28"/>
          <w:szCs w:val="28"/>
        </w:rPr>
        <w:t>%，预算执行率</w:t>
      </w:r>
      <w:r>
        <w:rPr>
          <w:rFonts w:cs="仿宋" w:asciiTheme="minorEastAsia" w:hAnsiTheme="minorEastAsia"/>
          <w:sz w:val="28"/>
          <w:szCs w:val="28"/>
        </w:rPr>
        <w:t>0.00</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年3月底，本项目结余资金</w:t>
      </w:r>
      <w:r>
        <w:rPr>
          <w:rFonts w:cs="仿宋" w:asciiTheme="minorEastAsia" w:hAnsiTheme="minorEastAsia"/>
          <w:sz w:val="28"/>
          <w:szCs w:val="28"/>
        </w:rPr>
        <w:t>300000</w:t>
      </w:r>
      <w:r>
        <w:rPr>
          <w:rFonts w:hint="eastAsia" w:cs="仿宋" w:asciiTheme="minorEastAsia" w:hAnsiTheme="minorEastAsia"/>
          <w:sz w:val="28"/>
          <w:szCs w:val="28"/>
        </w:rPr>
        <w:t>元，系资金调度困难，导致项目资金未及时拨付。</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基层林业站建设和木材战略储备基地建设：年初预算0元，年中中央财政下达资金</w:t>
      </w:r>
      <w:r>
        <w:rPr>
          <w:rFonts w:cs="仿宋" w:asciiTheme="minorEastAsia" w:hAnsiTheme="minorEastAsia"/>
          <w:sz w:val="28"/>
          <w:szCs w:val="28"/>
        </w:rPr>
        <w:t>1100000</w:t>
      </w:r>
      <w:r>
        <w:rPr>
          <w:rFonts w:hint="eastAsia" w:cs="仿宋" w:asciiTheme="minorEastAsia" w:hAnsiTheme="minorEastAsia"/>
          <w:sz w:val="28"/>
          <w:szCs w:val="28"/>
        </w:rPr>
        <w:t>元，调整后的预算数</w:t>
      </w:r>
      <w:r>
        <w:rPr>
          <w:rFonts w:cs="仿宋" w:asciiTheme="minorEastAsia" w:hAnsiTheme="minorEastAsia"/>
          <w:sz w:val="28"/>
          <w:szCs w:val="28"/>
        </w:rPr>
        <w:t>1100000</w:t>
      </w:r>
      <w:r>
        <w:rPr>
          <w:rFonts w:hint="eastAsia" w:cs="仿宋" w:asciiTheme="minorEastAsia" w:hAnsiTheme="minorEastAsia"/>
          <w:sz w:val="28"/>
          <w:szCs w:val="28"/>
        </w:rPr>
        <w:t>元，决算支出</w:t>
      </w:r>
      <w:r>
        <w:rPr>
          <w:rFonts w:cs="仿宋" w:asciiTheme="minorEastAsia" w:hAnsiTheme="minorEastAsia"/>
          <w:sz w:val="28"/>
          <w:szCs w:val="28"/>
        </w:rPr>
        <w:t>0</w:t>
      </w:r>
      <w:r>
        <w:rPr>
          <w:rFonts w:hint="eastAsia" w:cs="仿宋" w:asciiTheme="minorEastAsia" w:hAnsiTheme="minorEastAsia"/>
          <w:sz w:val="28"/>
          <w:szCs w:val="28"/>
        </w:rPr>
        <w:t>元，占项目性专项的</w:t>
      </w:r>
      <w:r>
        <w:rPr>
          <w:rFonts w:cs="仿宋" w:asciiTheme="minorEastAsia" w:hAnsiTheme="minorEastAsia"/>
          <w:sz w:val="28"/>
          <w:szCs w:val="28"/>
        </w:rPr>
        <w:t>0.00</w:t>
      </w:r>
      <w:r>
        <w:rPr>
          <w:rFonts w:hint="eastAsia" w:cs="仿宋" w:asciiTheme="minorEastAsia" w:hAnsiTheme="minorEastAsia"/>
          <w:sz w:val="28"/>
          <w:szCs w:val="28"/>
        </w:rPr>
        <w:t>%，预算执行率</w:t>
      </w:r>
      <w:r>
        <w:rPr>
          <w:rFonts w:cs="仿宋" w:asciiTheme="minorEastAsia" w:hAnsiTheme="minorEastAsia"/>
          <w:sz w:val="28"/>
          <w:szCs w:val="28"/>
        </w:rPr>
        <w:t>0.00</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年3月底，本项目结余资金</w:t>
      </w:r>
      <w:r>
        <w:rPr>
          <w:rFonts w:cs="仿宋" w:asciiTheme="minorEastAsia" w:hAnsiTheme="minorEastAsia"/>
          <w:sz w:val="28"/>
          <w:szCs w:val="28"/>
        </w:rPr>
        <w:t>1100000</w:t>
      </w:r>
      <w:r>
        <w:rPr>
          <w:rFonts w:hint="eastAsia" w:cs="仿宋" w:asciiTheme="minorEastAsia" w:hAnsiTheme="minorEastAsia"/>
          <w:sz w:val="28"/>
          <w:szCs w:val="28"/>
        </w:rPr>
        <w:t>元，系资金调度困难，导致项目资金未及时拨付。</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武陵山区生物多样性保护：年初预算0元，年中中央财政下达资金</w:t>
      </w:r>
      <w:r>
        <w:rPr>
          <w:rFonts w:cs="仿宋" w:asciiTheme="minorEastAsia" w:hAnsiTheme="minorEastAsia"/>
          <w:sz w:val="28"/>
          <w:szCs w:val="28"/>
        </w:rPr>
        <w:t>8720000</w:t>
      </w:r>
      <w:r>
        <w:rPr>
          <w:rFonts w:hint="eastAsia" w:cs="仿宋" w:asciiTheme="minorEastAsia" w:hAnsiTheme="minorEastAsia"/>
          <w:sz w:val="28"/>
          <w:szCs w:val="28"/>
        </w:rPr>
        <w:t>元，调整后的预算数</w:t>
      </w:r>
      <w:r>
        <w:rPr>
          <w:rFonts w:cs="仿宋" w:asciiTheme="minorEastAsia" w:hAnsiTheme="minorEastAsia"/>
          <w:sz w:val="28"/>
          <w:szCs w:val="28"/>
        </w:rPr>
        <w:t>8720000</w:t>
      </w:r>
      <w:r>
        <w:rPr>
          <w:rFonts w:hint="eastAsia" w:cs="仿宋" w:asciiTheme="minorEastAsia" w:hAnsiTheme="minorEastAsia"/>
          <w:sz w:val="28"/>
          <w:szCs w:val="28"/>
        </w:rPr>
        <w:t>元，决算支出</w:t>
      </w:r>
      <w:r>
        <w:rPr>
          <w:rFonts w:cs="仿宋" w:asciiTheme="minorEastAsia" w:hAnsiTheme="minorEastAsia"/>
          <w:sz w:val="28"/>
          <w:szCs w:val="28"/>
        </w:rPr>
        <w:t>0</w:t>
      </w:r>
      <w:r>
        <w:rPr>
          <w:rFonts w:hint="eastAsia" w:cs="仿宋" w:asciiTheme="minorEastAsia" w:hAnsiTheme="minorEastAsia"/>
          <w:sz w:val="28"/>
          <w:szCs w:val="28"/>
        </w:rPr>
        <w:t>元，占项目性专项的</w:t>
      </w:r>
      <w:r>
        <w:rPr>
          <w:rFonts w:cs="仿宋" w:asciiTheme="minorEastAsia" w:hAnsiTheme="minorEastAsia"/>
          <w:sz w:val="28"/>
          <w:szCs w:val="28"/>
        </w:rPr>
        <w:t>0.00</w:t>
      </w:r>
      <w:r>
        <w:rPr>
          <w:rFonts w:hint="eastAsia" w:cs="仿宋" w:asciiTheme="minorEastAsia" w:hAnsiTheme="minorEastAsia"/>
          <w:sz w:val="28"/>
          <w:szCs w:val="28"/>
        </w:rPr>
        <w:t>%，预算执行率</w:t>
      </w:r>
      <w:r>
        <w:rPr>
          <w:rFonts w:cs="仿宋" w:asciiTheme="minorEastAsia" w:hAnsiTheme="minorEastAsia"/>
          <w:sz w:val="28"/>
          <w:szCs w:val="28"/>
        </w:rPr>
        <w:t>0.00</w:t>
      </w:r>
      <w:r>
        <w:rPr>
          <w:rFonts w:hint="eastAsia" w:cs="仿宋" w:asciiTheme="minorEastAsia" w:hAnsiTheme="minorEastAsia"/>
          <w:sz w:val="28"/>
          <w:szCs w:val="28"/>
        </w:rPr>
        <w:t>%。截至2</w:t>
      </w:r>
      <w:r>
        <w:rPr>
          <w:rFonts w:cs="仿宋" w:asciiTheme="minorEastAsia" w:hAnsiTheme="minorEastAsia"/>
          <w:sz w:val="28"/>
          <w:szCs w:val="28"/>
        </w:rPr>
        <w:t>022</w:t>
      </w:r>
      <w:r>
        <w:rPr>
          <w:rFonts w:hint="eastAsia" w:cs="仿宋" w:asciiTheme="minorEastAsia" w:hAnsiTheme="minorEastAsia"/>
          <w:sz w:val="28"/>
          <w:szCs w:val="28"/>
        </w:rPr>
        <w:t>年3月底，本项目结余资金</w:t>
      </w:r>
      <w:r>
        <w:rPr>
          <w:rFonts w:cs="仿宋" w:asciiTheme="minorEastAsia" w:hAnsiTheme="minorEastAsia"/>
          <w:sz w:val="28"/>
          <w:szCs w:val="28"/>
        </w:rPr>
        <w:t>8720000</w:t>
      </w:r>
      <w:r>
        <w:rPr>
          <w:rFonts w:hint="eastAsia" w:cs="仿宋" w:asciiTheme="minorEastAsia" w:hAnsiTheme="minorEastAsia"/>
          <w:sz w:val="28"/>
          <w:szCs w:val="28"/>
        </w:rPr>
        <w:t>元，系资金调度困难，导致项目资金未及时拨付。</w:t>
      </w:r>
    </w:p>
    <w:p>
      <w:pPr>
        <w:pStyle w:val="43"/>
        <w:ind w:left="420" w:right="420"/>
        <w:rPr>
          <w:rFonts w:asciiTheme="minorEastAsia" w:hAnsiTheme="minorEastAsia" w:eastAsiaTheme="minorEastAsia"/>
          <w:sz w:val="28"/>
          <w:szCs w:val="28"/>
        </w:rPr>
      </w:pPr>
      <w:r>
        <w:rPr>
          <w:rFonts w:hint="eastAsia" w:asciiTheme="minorEastAsia" w:hAnsiTheme="minorEastAsia" w:eastAsiaTheme="minorEastAsia"/>
          <w:sz w:val="28"/>
          <w:szCs w:val="28"/>
        </w:rPr>
        <w:t>3</w:t>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“三公”经费使用管理情况</w:t>
      </w:r>
    </w:p>
    <w:p>
      <w:pPr>
        <w:snapToGrid w:val="0"/>
        <w:spacing w:line="580" w:lineRule="exact"/>
        <w:ind w:firstLine="640"/>
        <w:rPr>
          <w:rFonts w:cs="仿宋" w:asciiTheme="minorEastAsia" w:hAnsiTheme="minorEastAsia"/>
          <w:sz w:val="28"/>
          <w:szCs w:val="28"/>
        </w:rPr>
      </w:pPr>
      <w:r>
        <w:rPr>
          <w:rFonts w:hint="eastAsia" w:cs="仿宋" w:asciiTheme="minorEastAsia" w:hAnsiTheme="minorEastAsia"/>
          <w:sz w:val="28"/>
          <w:szCs w:val="28"/>
        </w:rPr>
        <w:t>（1）“三公”经费预算执行情况</w:t>
      </w:r>
    </w:p>
    <w:p>
      <w:pPr>
        <w:snapToGrid w:val="0"/>
        <w:spacing w:line="580" w:lineRule="exact"/>
        <w:ind w:right="1120" w:firstLine="640"/>
        <w:rPr>
          <w:rFonts w:cs="仿宋" w:asciiTheme="minorEastAsia" w:hAnsiTheme="minorEastAsia"/>
          <w:sz w:val="24"/>
          <w:szCs w:val="24"/>
        </w:rPr>
      </w:pPr>
      <w:r>
        <w:rPr>
          <w:rFonts w:hint="eastAsia" w:cs="仿宋" w:asciiTheme="minorEastAsia" w:hAnsiTheme="minorEastAsia"/>
          <w:sz w:val="28"/>
          <w:szCs w:val="28"/>
        </w:rPr>
        <w:t xml:space="preserve">   </w:t>
      </w:r>
      <w:r>
        <w:rPr>
          <w:rFonts w:hint="eastAsia" w:cs="仿宋" w:asciiTheme="minorEastAsia" w:hAnsiTheme="minorEastAsia"/>
          <w:sz w:val="24"/>
          <w:szCs w:val="24"/>
        </w:rPr>
        <w:t xml:space="preserve">                                         单位：元、%</w:t>
      </w:r>
    </w:p>
    <w:tbl>
      <w:tblPr>
        <w:tblStyle w:val="20"/>
        <w:tblW w:w="808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2"/>
        <w:gridCol w:w="1275"/>
        <w:gridCol w:w="1418"/>
        <w:gridCol w:w="1559"/>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2552" w:type="dxa"/>
            <w:shd w:val="clear" w:color="auto" w:fill="auto"/>
            <w:vAlign w:val="center"/>
          </w:tcPr>
          <w:p>
            <w:pPr>
              <w:snapToGrid w:val="0"/>
              <w:spacing w:line="380" w:lineRule="exact"/>
              <w:ind w:left="210" w:leftChars="100"/>
              <w:jc w:val="center"/>
              <w:rPr>
                <w:rFonts w:ascii="宋体" w:hAnsi="宋体" w:cs="仿宋"/>
                <w:sz w:val="24"/>
                <w:szCs w:val="24"/>
              </w:rPr>
            </w:pPr>
            <w:r>
              <w:rPr>
                <w:rFonts w:hint="eastAsia" w:ascii="宋体" w:hAnsi="宋体" w:cs="仿宋"/>
                <w:sz w:val="24"/>
                <w:szCs w:val="24"/>
              </w:rPr>
              <w:t>费用项目</w:t>
            </w:r>
          </w:p>
        </w:tc>
        <w:tc>
          <w:tcPr>
            <w:tcW w:w="1275" w:type="dxa"/>
            <w:shd w:val="clear" w:color="auto" w:fill="auto"/>
            <w:vAlign w:val="center"/>
          </w:tcPr>
          <w:p>
            <w:pPr>
              <w:snapToGrid w:val="0"/>
              <w:spacing w:line="380" w:lineRule="exact"/>
              <w:jc w:val="center"/>
              <w:rPr>
                <w:rFonts w:ascii="宋体" w:hAnsi="宋体" w:cs="仿宋"/>
                <w:sz w:val="24"/>
                <w:szCs w:val="24"/>
              </w:rPr>
            </w:pPr>
            <w:r>
              <w:rPr>
                <w:rFonts w:hint="eastAsia" w:ascii="宋体" w:hAnsi="宋体" w:cs="仿宋"/>
                <w:sz w:val="24"/>
                <w:szCs w:val="24"/>
              </w:rPr>
              <w:t>预算数</w:t>
            </w:r>
          </w:p>
        </w:tc>
        <w:tc>
          <w:tcPr>
            <w:tcW w:w="1418" w:type="dxa"/>
            <w:shd w:val="clear" w:color="auto" w:fill="auto"/>
            <w:vAlign w:val="center"/>
          </w:tcPr>
          <w:p>
            <w:pPr>
              <w:snapToGrid w:val="0"/>
              <w:spacing w:line="380" w:lineRule="exact"/>
              <w:jc w:val="center"/>
              <w:rPr>
                <w:rFonts w:ascii="宋体" w:hAnsi="宋体" w:cs="仿宋"/>
                <w:sz w:val="24"/>
                <w:szCs w:val="24"/>
              </w:rPr>
            </w:pPr>
            <w:r>
              <w:rPr>
                <w:rFonts w:hint="eastAsia" w:ascii="宋体" w:hAnsi="宋体" w:cs="仿宋"/>
                <w:sz w:val="24"/>
                <w:szCs w:val="24"/>
              </w:rPr>
              <w:t>决算数</w:t>
            </w:r>
          </w:p>
        </w:tc>
        <w:tc>
          <w:tcPr>
            <w:tcW w:w="1559" w:type="dxa"/>
            <w:shd w:val="clear" w:color="auto" w:fill="auto"/>
          </w:tcPr>
          <w:p>
            <w:pPr>
              <w:snapToGrid w:val="0"/>
              <w:spacing w:line="380" w:lineRule="exact"/>
              <w:jc w:val="center"/>
              <w:rPr>
                <w:rFonts w:ascii="宋体" w:hAnsi="宋体" w:cs="仿宋"/>
                <w:sz w:val="24"/>
                <w:szCs w:val="24"/>
              </w:rPr>
            </w:pPr>
            <w:r>
              <w:rPr>
                <w:rFonts w:hint="eastAsia" w:ascii="宋体" w:hAnsi="宋体" w:cs="仿宋"/>
                <w:sz w:val="24"/>
                <w:szCs w:val="24"/>
              </w:rPr>
              <w:t>增减额</w:t>
            </w:r>
          </w:p>
        </w:tc>
        <w:tc>
          <w:tcPr>
            <w:tcW w:w="1276" w:type="dxa"/>
            <w:shd w:val="clear" w:color="auto" w:fill="auto"/>
            <w:vAlign w:val="center"/>
          </w:tcPr>
          <w:p>
            <w:pPr>
              <w:snapToGrid w:val="0"/>
              <w:spacing w:line="380" w:lineRule="exact"/>
              <w:jc w:val="center"/>
              <w:rPr>
                <w:rFonts w:ascii="宋体" w:hAnsi="宋体" w:cs="仿宋"/>
                <w:sz w:val="24"/>
                <w:szCs w:val="24"/>
              </w:rPr>
            </w:pPr>
            <w:r>
              <w:rPr>
                <w:rFonts w:hint="eastAsia" w:ascii="宋体" w:hAnsi="宋体" w:cs="仿宋"/>
                <w:sz w:val="24"/>
                <w:szCs w:val="24"/>
              </w:rPr>
              <w:t>控制率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52" w:type="dxa"/>
            <w:shd w:val="clear" w:color="auto" w:fill="auto"/>
            <w:vAlign w:val="center"/>
          </w:tcPr>
          <w:p>
            <w:pPr>
              <w:snapToGrid w:val="0"/>
              <w:spacing w:line="380" w:lineRule="exact"/>
              <w:rPr>
                <w:rFonts w:ascii="宋体" w:hAnsi="宋体" w:cs="仿宋"/>
                <w:sz w:val="24"/>
                <w:szCs w:val="24"/>
              </w:rPr>
            </w:pPr>
            <w:r>
              <w:rPr>
                <w:rFonts w:hint="eastAsia" w:ascii="宋体" w:hAnsi="宋体" w:cs="仿宋"/>
                <w:sz w:val="24"/>
                <w:szCs w:val="24"/>
              </w:rPr>
              <w:t>因公出国（境）费用</w:t>
            </w:r>
          </w:p>
        </w:tc>
        <w:tc>
          <w:tcPr>
            <w:tcW w:w="1275"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0</w:t>
            </w:r>
          </w:p>
        </w:tc>
        <w:tc>
          <w:tcPr>
            <w:tcW w:w="1418"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0</w:t>
            </w:r>
          </w:p>
        </w:tc>
        <w:tc>
          <w:tcPr>
            <w:tcW w:w="1559"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0</w:t>
            </w:r>
          </w:p>
        </w:tc>
        <w:tc>
          <w:tcPr>
            <w:tcW w:w="1276"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52" w:type="dxa"/>
            <w:shd w:val="clear" w:color="auto" w:fill="auto"/>
            <w:vAlign w:val="center"/>
          </w:tcPr>
          <w:p>
            <w:pPr>
              <w:snapToGrid w:val="0"/>
              <w:spacing w:line="380" w:lineRule="exact"/>
              <w:rPr>
                <w:rFonts w:ascii="宋体" w:hAnsi="宋体" w:cs="仿宋"/>
                <w:sz w:val="24"/>
                <w:szCs w:val="24"/>
              </w:rPr>
            </w:pPr>
            <w:r>
              <w:rPr>
                <w:rFonts w:hint="eastAsia" w:ascii="宋体" w:hAnsi="宋体" w:cs="仿宋"/>
                <w:sz w:val="24"/>
                <w:szCs w:val="24"/>
              </w:rPr>
              <w:t>公务接待费</w:t>
            </w:r>
          </w:p>
        </w:tc>
        <w:tc>
          <w:tcPr>
            <w:tcW w:w="1275"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6</w:t>
            </w:r>
            <w:r>
              <w:rPr>
                <w:rFonts w:ascii="宋体" w:hAnsi="宋体" w:cs="仿宋"/>
                <w:sz w:val="24"/>
                <w:szCs w:val="24"/>
              </w:rPr>
              <w:t>0000</w:t>
            </w:r>
          </w:p>
        </w:tc>
        <w:tc>
          <w:tcPr>
            <w:tcW w:w="1418"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4</w:t>
            </w:r>
            <w:r>
              <w:rPr>
                <w:rFonts w:ascii="宋体" w:hAnsi="宋体" w:cs="仿宋"/>
                <w:sz w:val="24"/>
                <w:szCs w:val="24"/>
              </w:rPr>
              <w:t>5644</w:t>
            </w:r>
          </w:p>
        </w:tc>
        <w:tc>
          <w:tcPr>
            <w:tcW w:w="1559"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1</w:t>
            </w:r>
            <w:r>
              <w:rPr>
                <w:rFonts w:ascii="宋体" w:hAnsi="宋体" w:cs="仿宋"/>
                <w:sz w:val="24"/>
                <w:szCs w:val="24"/>
              </w:rPr>
              <w:t>4356</w:t>
            </w:r>
          </w:p>
        </w:tc>
        <w:tc>
          <w:tcPr>
            <w:tcW w:w="1276"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7</w:t>
            </w:r>
            <w:r>
              <w:rPr>
                <w:rFonts w:ascii="宋体" w:hAnsi="宋体" w:cs="仿宋"/>
                <w:sz w:val="24"/>
                <w:szCs w:val="24"/>
              </w:rPr>
              <w:t>6.07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52" w:type="dxa"/>
            <w:shd w:val="clear" w:color="auto" w:fill="auto"/>
            <w:vAlign w:val="center"/>
          </w:tcPr>
          <w:p>
            <w:pPr>
              <w:snapToGrid w:val="0"/>
              <w:spacing w:line="380" w:lineRule="exact"/>
              <w:rPr>
                <w:rFonts w:ascii="宋体" w:hAnsi="宋体" w:cs="仿宋"/>
                <w:sz w:val="24"/>
                <w:szCs w:val="24"/>
              </w:rPr>
            </w:pPr>
            <w:r>
              <w:rPr>
                <w:rFonts w:hint="eastAsia" w:ascii="宋体" w:hAnsi="宋体" w:cs="仿宋"/>
                <w:sz w:val="24"/>
                <w:szCs w:val="24"/>
              </w:rPr>
              <w:t>公务用车费</w:t>
            </w:r>
          </w:p>
        </w:tc>
        <w:tc>
          <w:tcPr>
            <w:tcW w:w="1275"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9</w:t>
            </w:r>
            <w:r>
              <w:rPr>
                <w:rFonts w:ascii="宋体" w:hAnsi="宋体" w:cs="仿宋"/>
                <w:sz w:val="24"/>
                <w:szCs w:val="24"/>
              </w:rPr>
              <w:t>6000</w:t>
            </w:r>
          </w:p>
        </w:tc>
        <w:tc>
          <w:tcPr>
            <w:tcW w:w="1418"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6</w:t>
            </w:r>
            <w:r>
              <w:rPr>
                <w:rFonts w:ascii="宋体" w:hAnsi="宋体" w:cs="仿宋"/>
                <w:sz w:val="24"/>
                <w:szCs w:val="24"/>
              </w:rPr>
              <w:t>4532</w:t>
            </w:r>
          </w:p>
        </w:tc>
        <w:tc>
          <w:tcPr>
            <w:tcW w:w="1559"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3</w:t>
            </w:r>
            <w:r>
              <w:rPr>
                <w:rFonts w:ascii="宋体" w:hAnsi="宋体" w:cs="仿宋"/>
                <w:sz w:val="24"/>
                <w:szCs w:val="24"/>
              </w:rPr>
              <w:t>1468</w:t>
            </w:r>
          </w:p>
        </w:tc>
        <w:tc>
          <w:tcPr>
            <w:tcW w:w="1276"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6</w:t>
            </w:r>
            <w:r>
              <w:rPr>
                <w:rFonts w:ascii="宋体" w:hAnsi="宋体" w:cs="仿宋"/>
                <w:sz w:val="24"/>
                <w:szCs w:val="24"/>
              </w:rPr>
              <w:t>7.22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52" w:type="dxa"/>
            <w:shd w:val="clear" w:color="auto" w:fill="auto"/>
            <w:vAlign w:val="center"/>
          </w:tcPr>
          <w:p>
            <w:pPr>
              <w:snapToGrid w:val="0"/>
              <w:spacing w:line="380" w:lineRule="exact"/>
              <w:jc w:val="center"/>
              <w:rPr>
                <w:rFonts w:ascii="宋体" w:hAnsi="宋体" w:cs="仿宋"/>
                <w:sz w:val="24"/>
                <w:szCs w:val="24"/>
              </w:rPr>
            </w:pPr>
            <w:r>
              <w:rPr>
                <w:rFonts w:hint="eastAsia" w:ascii="宋体" w:hAnsi="宋体" w:cs="仿宋"/>
                <w:sz w:val="24"/>
                <w:szCs w:val="24"/>
              </w:rPr>
              <w:t>合计</w:t>
            </w:r>
          </w:p>
        </w:tc>
        <w:tc>
          <w:tcPr>
            <w:tcW w:w="1275"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1</w:t>
            </w:r>
            <w:r>
              <w:rPr>
                <w:rFonts w:ascii="宋体" w:hAnsi="宋体" w:cs="仿宋"/>
                <w:sz w:val="24"/>
                <w:szCs w:val="24"/>
              </w:rPr>
              <w:t>56000</w:t>
            </w:r>
          </w:p>
        </w:tc>
        <w:tc>
          <w:tcPr>
            <w:tcW w:w="1418"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1</w:t>
            </w:r>
            <w:r>
              <w:rPr>
                <w:rFonts w:ascii="宋体" w:hAnsi="宋体" w:cs="仿宋"/>
                <w:sz w:val="24"/>
                <w:szCs w:val="24"/>
              </w:rPr>
              <w:t>10177</w:t>
            </w:r>
          </w:p>
        </w:tc>
        <w:tc>
          <w:tcPr>
            <w:tcW w:w="1559"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4</w:t>
            </w:r>
            <w:r>
              <w:rPr>
                <w:rFonts w:ascii="宋体" w:hAnsi="宋体" w:cs="仿宋"/>
                <w:sz w:val="24"/>
                <w:szCs w:val="24"/>
              </w:rPr>
              <w:t>5823</w:t>
            </w:r>
          </w:p>
        </w:tc>
        <w:tc>
          <w:tcPr>
            <w:tcW w:w="1276"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7</w:t>
            </w:r>
            <w:r>
              <w:rPr>
                <w:rFonts w:ascii="宋体" w:hAnsi="宋体" w:cs="仿宋"/>
                <w:sz w:val="24"/>
                <w:szCs w:val="24"/>
              </w:rPr>
              <w:t>0.63</w:t>
            </w:r>
          </w:p>
        </w:tc>
      </w:tr>
    </w:tbl>
    <w:p>
      <w:pPr>
        <w:snapToGrid w:val="0"/>
        <w:spacing w:line="580" w:lineRule="exact"/>
        <w:ind w:firstLine="560" w:firstLineChars="200"/>
        <w:rPr>
          <w:rFonts w:ascii="宋体" w:hAnsi="宋体" w:cs="仿宋"/>
          <w:sz w:val="28"/>
          <w:szCs w:val="28"/>
        </w:rPr>
      </w:pPr>
      <w:r>
        <w:rPr>
          <w:rFonts w:hint="eastAsia" w:ascii="宋体" w:hAnsi="宋体" w:cs="仿宋"/>
          <w:sz w:val="28"/>
          <w:szCs w:val="28"/>
        </w:rPr>
        <w:t>我单位2</w:t>
      </w:r>
      <w:r>
        <w:rPr>
          <w:rFonts w:ascii="宋体" w:hAnsi="宋体" w:cs="仿宋"/>
          <w:sz w:val="28"/>
          <w:szCs w:val="28"/>
        </w:rPr>
        <w:t>021</w:t>
      </w:r>
      <w:r>
        <w:rPr>
          <w:rFonts w:hint="eastAsia" w:ascii="宋体" w:hAnsi="宋体" w:cs="仿宋"/>
          <w:sz w:val="28"/>
          <w:szCs w:val="28"/>
        </w:rPr>
        <w:t>年“三公”经费预算数1</w:t>
      </w:r>
      <w:r>
        <w:rPr>
          <w:rFonts w:ascii="宋体" w:hAnsi="宋体" w:cs="仿宋"/>
          <w:sz w:val="28"/>
          <w:szCs w:val="28"/>
        </w:rPr>
        <w:t>56000</w:t>
      </w:r>
      <w:r>
        <w:rPr>
          <w:rFonts w:hint="eastAsia" w:ascii="宋体" w:hAnsi="宋体" w:cs="仿宋"/>
          <w:sz w:val="28"/>
          <w:szCs w:val="28"/>
        </w:rPr>
        <w:t>元，决算数1</w:t>
      </w:r>
      <w:r>
        <w:rPr>
          <w:rFonts w:ascii="宋体" w:hAnsi="宋体" w:cs="仿宋"/>
          <w:sz w:val="28"/>
          <w:szCs w:val="28"/>
        </w:rPr>
        <w:t>10177</w:t>
      </w:r>
      <w:r>
        <w:rPr>
          <w:rFonts w:hint="eastAsia" w:ascii="宋体" w:hAnsi="宋体" w:cs="仿宋"/>
          <w:sz w:val="28"/>
          <w:szCs w:val="28"/>
        </w:rPr>
        <w:t>元，结余4</w:t>
      </w:r>
      <w:r>
        <w:rPr>
          <w:rFonts w:ascii="宋体" w:hAnsi="宋体" w:cs="仿宋"/>
          <w:sz w:val="28"/>
          <w:szCs w:val="28"/>
        </w:rPr>
        <w:t>5823</w:t>
      </w:r>
      <w:r>
        <w:rPr>
          <w:rFonts w:hint="eastAsia" w:ascii="宋体" w:hAnsi="宋体" w:cs="仿宋"/>
          <w:sz w:val="28"/>
          <w:szCs w:val="28"/>
        </w:rPr>
        <w:t>元，控制率7</w:t>
      </w:r>
      <w:r>
        <w:rPr>
          <w:rFonts w:ascii="宋体" w:hAnsi="宋体" w:cs="仿宋"/>
          <w:sz w:val="28"/>
          <w:szCs w:val="28"/>
        </w:rPr>
        <w:t>0.63</w:t>
      </w:r>
      <w:r>
        <w:rPr>
          <w:rFonts w:hint="eastAsia" w:ascii="宋体" w:hAnsi="宋体" w:cs="仿宋"/>
          <w:sz w:val="28"/>
          <w:szCs w:val="28"/>
        </w:rPr>
        <w:t>%，其中公务接待费预算数</w:t>
      </w:r>
      <w:r>
        <w:rPr>
          <w:rFonts w:ascii="宋体" w:hAnsi="宋体" w:cs="仿宋"/>
          <w:sz w:val="28"/>
          <w:szCs w:val="28"/>
        </w:rPr>
        <w:t>60000</w:t>
      </w:r>
      <w:r>
        <w:rPr>
          <w:rFonts w:hint="eastAsia" w:ascii="宋体" w:hAnsi="宋体" w:cs="仿宋"/>
          <w:sz w:val="28"/>
          <w:szCs w:val="28"/>
        </w:rPr>
        <w:t>元，决算数</w:t>
      </w:r>
      <w:r>
        <w:rPr>
          <w:rFonts w:ascii="宋体" w:hAnsi="宋体" w:cs="仿宋"/>
          <w:sz w:val="28"/>
          <w:szCs w:val="28"/>
        </w:rPr>
        <w:t>45644</w:t>
      </w:r>
      <w:r>
        <w:rPr>
          <w:rFonts w:hint="eastAsia" w:ascii="宋体" w:hAnsi="宋体" w:cs="仿宋"/>
          <w:sz w:val="28"/>
          <w:szCs w:val="28"/>
        </w:rPr>
        <w:t>元，节约</w:t>
      </w:r>
      <w:r>
        <w:rPr>
          <w:rFonts w:ascii="宋体" w:hAnsi="宋体" w:cs="仿宋"/>
          <w:sz w:val="28"/>
          <w:szCs w:val="28"/>
        </w:rPr>
        <w:t>14356</w:t>
      </w:r>
      <w:r>
        <w:rPr>
          <w:rFonts w:hint="eastAsia" w:ascii="宋体" w:hAnsi="宋体" w:cs="仿宋"/>
          <w:sz w:val="28"/>
          <w:szCs w:val="28"/>
        </w:rPr>
        <w:t>元，控制率7</w:t>
      </w:r>
      <w:r>
        <w:rPr>
          <w:rFonts w:ascii="宋体" w:hAnsi="宋体" w:cs="仿宋"/>
          <w:sz w:val="28"/>
          <w:szCs w:val="28"/>
        </w:rPr>
        <w:t>6.07</w:t>
      </w:r>
      <w:r>
        <w:rPr>
          <w:rFonts w:hint="eastAsia" w:ascii="宋体" w:hAnsi="宋体" w:cs="仿宋"/>
          <w:sz w:val="28"/>
          <w:szCs w:val="28"/>
        </w:rPr>
        <w:t>%；公务用车费预算数</w:t>
      </w:r>
      <w:r>
        <w:rPr>
          <w:rFonts w:ascii="宋体" w:hAnsi="宋体" w:cs="仿宋"/>
          <w:sz w:val="28"/>
          <w:szCs w:val="28"/>
        </w:rPr>
        <w:t>96000</w:t>
      </w:r>
      <w:r>
        <w:rPr>
          <w:rFonts w:hint="eastAsia" w:ascii="宋体" w:hAnsi="宋体" w:cs="仿宋"/>
          <w:sz w:val="28"/>
          <w:szCs w:val="28"/>
        </w:rPr>
        <w:t>元，决算数</w:t>
      </w:r>
      <w:r>
        <w:rPr>
          <w:rFonts w:ascii="宋体" w:hAnsi="宋体" w:cs="仿宋"/>
          <w:sz w:val="28"/>
          <w:szCs w:val="28"/>
        </w:rPr>
        <w:t>64532</w:t>
      </w:r>
      <w:r>
        <w:rPr>
          <w:rFonts w:hint="eastAsia" w:ascii="宋体" w:hAnsi="宋体" w:cs="仿宋"/>
          <w:sz w:val="28"/>
          <w:szCs w:val="28"/>
        </w:rPr>
        <w:t>元，节约3</w:t>
      </w:r>
      <w:r>
        <w:rPr>
          <w:rFonts w:ascii="宋体" w:hAnsi="宋体" w:cs="仿宋"/>
          <w:sz w:val="28"/>
          <w:szCs w:val="28"/>
        </w:rPr>
        <w:t>1468</w:t>
      </w:r>
      <w:r>
        <w:rPr>
          <w:rFonts w:hint="eastAsia" w:ascii="宋体" w:hAnsi="宋体" w:cs="仿宋"/>
          <w:sz w:val="28"/>
          <w:szCs w:val="28"/>
        </w:rPr>
        <w:t>元，控制率6</w:t>
      </w:r>
      <w:r>
        <w:rPr>
          <w:rFonts w:ascii="宋体" w:hAnsi="宋体" w:cs="仿宋"/>
          <w:sz w:val="28"/>
          <w:szCs w:val="28"/>
        </w:rPr>
        <w:t>7.22</w:t>
      </w:r>
      <w:r>
        <w:rPr>
          <w:rFonts w:hint="eastAsia" w:ascii="宋体" w:hAnsi="宋体" w:cs="仿宋"/>
          <w:sz w:val="28"/>
          <w:szCs w:val="28"/>
        </w:rPr>
        <w:t>%。“三公”经费总体控制较好。</w:t>
      </w:r>
    </w:p>
    <w:p>
      <w:pPr>
        <w:snapToGrid w:val="0"/>
        <w:spacing w:line="580" w:lineRule="exact"/>
        <w:ind w:firstLine="640"/>
        <w:rPr>
          <w:rFonts w:ascii="宋体" w:hAnsi="宋体" w:cs="仿宋"/>
          <w:sz w:val="28"/>
          <w:szCs w:val="28"/>
        </w:rPr>
      </w:pPr>
      <w:r>
        <w:rPr>
          <w:rFonts w:hint="eastAsia" w:ascii="宋体" w:hAnsi="宋体" w:cs="仿宋"/>
          <w:sz w:val="28"/>
          <w:szCs w:val="28"/>
        </w:rPr>
        <w:t>（2）“三公”经费与上年对比情况</w:t>
      </w:r>
    </w:p>
    <w:p>
      <w:pPr>
        <w:snapToGrid w:val="0"/>
        <w:spacing w:line="580" w:lineRule="exact"/>
        <w:ind w:right="1120" w:firstLine="640"/>
        <w:jc w:val="right"/>
        <w:rPr>
          <w:rFonts w:cs="仿宋" w:asciiTheme="minorEastAsia" w:hAnsiTheme="minorEastAsia"/>
          <w:sz w:val="24"/>
          <w:szCs w:val="24"/>
        </w:rPr>
      </w:pPr>
      <w:r>
        <w:rPr>
          <w:rFonts w:hint="eastAsia" w:ascii="宋体" w:hAnsi="宋体" w:cs="仿宋"/>
          <w:sz w:val="28"/>
          <w:szCs w:val="28"/>
        </w:rPr>
        <w:t xml:space="preserve">                 </w:t>
      </w:r>
      <w:r>
        <w:rPr>
          <w:rFonts w:hint="eastAsia" w:cs="仿宋" w:asciiTheme="minorEastAsia" w:hAnsiTheme="minorEastAsia"/>
          <w:sz w:val="24"/>
          <w:szCs w:val="24"/>
        </w:rPr>
        <w:t>单位：元、%</w:t>
      </w:r>
    </w:p>
    <w:tbl>
      <w:tblPr>
        <w:tblStyle w:val="20"/>
        <w:tblW w:w="808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1559"/>
        <w:gridCol w:w="1559"/>
        <w:gridCol w:w="1418"/>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shd w:val="clear" w:color="auto" w:fill="auto"/>
          </w:tcPr>
          <w:p>
            <w:pPr>
              <w:snapToGrid w:val="0"/>
              <w:spacing w:line="380" w:lineRule="exact"/>
              <w:jc w:val="center"/>
              <w:rPr>
                <w:rFonts w:ascii="宋体" w:hAnsi="宋体" w:cs="仿宋"/>
                <w:sz w:val="24"/>
                <w:szCs w:val="24"/>
              </w:rPr>
            </w:pPr>
            <w:r>
              <w:rPr>
                <w:rFonts w:hint="eastAsia" w:ascii="宋体" w:hAnsi="宋体" w:cs="仿宋"/>
                <w:sz w:val="24"/>
                <w:szCs w:val="24"/>
              </w:rPr>
              <w:t>费用项目</w:t>
            </w:r>
          </w:p>
        </w:tc>
        <w:tc>
          <w:tcPr>
            <w:tcW w:w="1559" w:type="dxa"/>
            <w:shd w:val="clear" w:color="auto" w:fill="auto"/>
          </w:tcPr>
          <w:p>
            <w:pPr>
              <w:snapToGrid w:val="0"/>
              <w:spacing w:line="380" w:lineRule="exact"/>
              <w:jc w:val="center"/>
              <w:rPr>
                <w:rFonts w:ascii="宋体" w:hAnsi="宋体" w:cs="仿宋"/>
                <w:sz w:val="24"/>
                <w:szCs w:val="24"/>
              </w:rPr>
            </w:pPr>
            <w:r>
              <w:rPr>
                <w:rFonts w:hint="eastAsia" w:ascii="宋体" w:hAnsi="宋体" w:cs="仿宋"/>
                <w:sz w:val="24"/>
                <w:szCs w:val="24"/>
              </w:rPr>
              <w:t>上年决算数</w:t>
            </w:r>
          </w:p>
        </w:tc>
        <w:tc>
          <w:tcPr>
            <w:tcW w:w="1559" w:type="dxa"/>
            <w:shd w:val="clear" w:color="auto" w:fill="auto"/>
          </w:tcPr>
          <w:p>
            <w:pPr>
              <w:snapToGrid w:val="0"/>
              <w:spacing w:line="380" w:lineRule="exact"/>
              <w:jc w:val="center"/>
              <w:rPr>
                <w:rFonts w:ascii="宋体" w:hAnsi="宋体" w:cs="仿宋"/>
                <w:sz w:val="24"/>
                <w:szCs w:val="24"/>
              </w:rPr>
            </w:pPr>
            <w:r>
              <w:rPr>
                <w:rFonts w:hint="eastAsia" w:ascii="宋体" w:hAnsi="宋体" w:cs="仿宋"/>
                <w:sz w:val="24"/>
                <w:szCs w:val="24"/>
              </w:rPr>
              <w:t>本年决算数</w:t>
            </w:r>
          </w:p>
        </w:tc>
        <w:tc>
          <w:tcPr>
            <w:tcW w:w="1418" w:type="dxa"/>
            <w:shd w:val="clear" w:color="auto" w:fill="auto"/>
          </w:tcPr>
          <w:p>
            <w:pPr>
              <w:snapToGrid w:val="0"/>
              <w:spacing w:line="380" w:lineRule="exact"/>
              <w:jc w:val="center"/>
              <w:rPr>
                <w:rFonts w:ascii="宋体" w:hAnsi="宋体" w:cs="仿宋"/>
                <w:sz w:val="24"/>
                <w:szCs w:val="24"/>
              </w:rPr>
            </w:pPr>
            <w:r>
              <w:rPr>
                <w:rFonts w:hint="eastAsia" w:ascii="宋体" w:hAnsi="宋体" w:cs="仿宋"/>
                <w:sz w:val="24"/>
                <w:szCs w:val="24"/>
              </w:rPr>
              <w:t>变动额</w:t>
            </w:r>
          </w:p>
        </w:tc>
        <w:tc>
          <w:tcPr>
            <w:tcW w:w="1701" w:type="dxa"/>
            <w:shd w:val="clear" w:color="auto" w:fill="auto"/>
          </w:tcPr>
          <w:p>
            <w:pPr>
              <w:snapToGrid w:val="0"/>
              <w:spacing w:line="380" w:lineRule="exact"/>
              <w:jc w:val="center"/>
              <w:rPr>
                <w:rFonts w:ascii="宋体" w:hAnsi="宋体" w:cs="仿宋"/>
                <w:sz w:val="24"/>
                <w:szCs w:val="24"/>
              </w:rPr>
            </w:pPr>
            <w:r>
              <w:rPr>
                <w:rFonts w:hint="eastAsia" w:ascii="宋体" w:hAnsi="宋体" w:cs="仿宋"/>
                <w:sz w:val="24"/>
                <w:szCs w:val="24"/>
              </w:rPr>
              <w:t>变动率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shd w:val="clear" w:color="auto" w:fill="auto"/>
          </w:tcPr>
          <w:p>
            <w:pPr>
              <w:snapToGrid w:val="0"/>
              <w:spacing w:line="380" w:lineRule="exact"/>
              <w:jc w:val="center"/>
              <w:rPr>
                <w:rFonts w:ascii="宋体" w:hAnsi="宋体" w:cs="仿宋"/>
                <w:sz w:val="24"/>
                <w:szCs w:val="24"/>
              </w:rPr>
            </w:pPr>
            <w:r>
              <w:rPr>
                <w:rFonts w:hint="eastAsia" w:ascii="宋体" w:hAnsi="宋体" w:cs="仿宋"/>
                <w:sz w:val="24"/>
                <w:szCs w:val="24"/>
              </w:rPr>
              <w:t>公务接待费</w:t>
            </w:r>
          </w:p>
        </w:tc>
        <w:tc>
          <w:tcPr>
            <w:tcW w:w="1559" w:type="dxa"/>
            <w:shd w:val="clear" w:color="auto" w:fill="auto"/>
            <w:vAlign w:val="center"/>
          </w:tcPr>
          <w:p>
            <w:pPr>
              <w:snapToGrid w:val="0"/>
              <w:spacing w:line="380" w:lineRule="exact"/>
              <w:jc w:val="right"/>
              <w:rPr>
                <w:rFonts w:ascii="宋体" w:hAnsi="宋体" w:cs="仿宋"/>
                <w:sz w:val="24"/>
                <w:szCs w:val="24"/>
              </w:rPr>
            </w:pPr>
            <w:r>
              <w:rPr>
                <w:rFonts w:ascii="宋体" w:hAnsi="宋体" w:cs="仿宋"/>
                <w:sz w:val="24"/>
                <w:szCs w:val="24"/>
              </w:rPr>
              <w:t>35073</w:t>
            </w:r>
          </w:p>
        </w:tc>
        <w:tc>
          <w:tcPr>
            <w:tcW w:w="1559"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4</w:t>
            </w:r>
            <w:r>
              <w:rPr>
                <w:rFonts w:ascii="宋体" w:hAnsi="宋体" w:cs="仿宋"/>
                <w:sz w:val="24"/>
                <w:szCs w:val="24"/>
              </w:rPr>
              <w:t>5644</w:t>
            </w:r>
          </w:p>
        </w:tc>
        <w:tc>
          <w:tcPr>
            <w:tcW w:w="1418"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1</w:t>
            </w:r>
            <w:r>
              <w:rPr>
                <w:rFonts w:ascii="宋体" w:hAnsi="宋体" w:cs="仿宋"/>
                <w:sz w:val="24"/>
                <w:szCs w:val="24"/>
              </w:rPr>
              <w:t>0571</w:t>
            </w:r>
          </w:p>
        </w:tc>
        <w:tc>
          <w:tcPr>
            <w:tcW w:w="1701"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3</w:t>
            </w:r>
            <w:r>
              <w:rPr>
                <w:rFonts w:ascii="宋体" w:hAnsi="宋体" w:cs="仿宋"/>
                <w:sz w:val="24"/>
                <w:szCs w:val="24"/>
              </w:rPr>
              <w:t>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shd w:val="clear" w:color="auto" w:fill="auto"/>
          </w:tcPr>
          <w:p>
            <w:pPr>
              <w:snapToGrid w:val="0"/>
              <w:spacing w:line="380" w:lineRule="exact"/>
              <w:jc w:val="center"/>
              <w:rPr>
                <w:rFonts w:ascii="宋体" w:hAnsi="宋体" w:cs="仿宋"/>
                <w:sz w:val="24"/>
                <w:szCs w:val="24"/>
              </w:rPr>
            </w:pPr>
            <w:r>
              <w:rPr>
                <w:rFonts w:hint="eastAsia" w:ascii="宋体" w:hAnsi="宋体" w:cs="仿宋"/>
                <w:sz w:val="24"/>
                <w:szCs w:val="24"/>
              </w:rPr>
              <w:t>公务用车费</w:t>
            </w:r>
          </w:p>
        </w:tc>
        <w:tc>
          <w:tcPr>
            <w:tcW w:w="1559"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7</w:t>
            </w:r>
            <w:r>
              <w:rPr>
                <w:rFonts w:ascii="宋体" w:hAnsi="宋体" w:cs="仿宋"/>
                <w:sz w:val="24"/>
                <w:szCs w:val="24"/>
              </w:rPr>
              <w:t>5418</w:t>
            </w:r>
          </w:p>
        </w:tc>
        <w:tc>
          <w:tcPr>
            <w:tcW w:w="1559"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6</w:t>
            </w:r>
            <w:r>
              <w:rPr>
                <w:rFonts w:ascii="宋体" w:hAnsi="宋体" w:cs="仿宋"/>
                <w:sz w:val="24"/>
                <w:szCs w:val="24"/>
              </w:rPr>
              <w:t>4532</w:t>
            </w:r>
          </w:p>
        </w:tc>
        <w:tc>
          <w:tcPr>
            <w:tcW w:w="1418"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w:t>
            </w:r>
            <w:r>
              <w:rPr>
                <w:rFonts w:ascii="宋体" w:hAnsi="宋体" w:cs="仿宋"/>
                <w:sz w:val="24"/>
                <w:szCs w:val="24"/>
              </w:rPr>
              <w:t>10866</w:t>
            </w:r>
          </w:p>
        </w:tc>
        <w:tc>
          <w:tcPr>
            <w:tcW w:w="1701"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w:t>
            </w:r>
            <w:r>
              <w:rPr>
                <w:rFonts w:ascii="宋体" w:hAnsi="宋体" w:cs="仿宋"/>
                <w:sz w:val="24"/>
                <w:szCs w:val="24"/>
              </w:rPr>
              <w:t>14.43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843" w:type="dxa"/>
            <w:shd w:val="clear" w:color="auto" w:fill="auto"/>
          </w:tcPr>
          <w:p>
            <w:pPr>
              <w:snapToGrid w:val="0"/>
              <w:spacing w:line="380" w:lineRule="exact"/>
              <w:jc w:val="center"/>
              <w:rPr>
                <w:rFonts w:ascii="宋体" w:hAnsi="宋体" w:cs="仿宋"/>
                <w:sz w:val="24"/>
                <w:szCs w:val="24"/>
              </w:rPr>
            </w:pPr>
            <w:r>
              <w:rPr>
                <w:rFonts w:hint="eastAsia" w:ascii="宋体" w:hAnsi="宋体" w:cs="仿宋"/>
                <w:sz w:val="24"/>
                <w:szCs w:val="24"/>
              </w:rPr>
              <w:t>合计</w:t>
            </w:r>
          </w:p>
        </w:tc>
        <w:tc>
          <w:tcPr>
            <w:tcW w:w="1559"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1</w:t>
            </w:r>
            <w:r>
              <w:rPr>
                <w:rFonts w:ascii="宋体" w:hAnsi="宋体" w:cs="仿宋"/>
                <w:sz w:val="24"/>
                <w:szCs w:val="24"/>
              </w:rPr>
              <w:t>10491</w:t>
            </w:r>
          </w:p>
        </w:tc>
        <w:tc>
          <w:tcPr>
            <w:tcW w:w="1559"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1</w:t>
            </w:r>
            <w:r>
              <w:rPr>
                <w:rFonts w:ascii="宋体" w:hAnsi="宋体" w:cs="仿宋"/>
                <w:sz w:val="24"/>
                <w:szCs w:val="24"/>
              </w:rPr>
              <w:t>10177</w:t>
            </w:r>
          </w:p>
        </w:tc>
        <w:tc>
          <w:tcPr>
            <w:tcW w:w="1418"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w:t>
            </w:r>
            <w:r>
              <w:rPr>
                <w:rFonts w:ascii="宋体" w:hAnsi="宋体" w:cs="仿宋"/>
                <w:sz w:val="24"/>
                <w:szCs w:val="24"/>
              </w:rPr>
              <w:t>314</w:t>
            </w:r>
          </w:p>
        </w:tc>
        <w:tc>
          <w:tcPr>
            <w:tcW w:w="1701" w:type="dxa"/>
            <w:shd w:val="clear" w:color="auto" w:fill="auto"/>
            <w:vAlign w:val="center"/>
          </w:tcPr>
          <w:p>
            <w:pPr>
              <w:snapToGrid w:val="0"/>
              <w:spacing w:line="380" w:lineRule="exact"/>
              <w:jc w:val="right"/>
              <w:rPr>
                <w:rFonts w:ascii="宋体" w:hAnsi="宋体" w:cs="仿宋"/>
                <w:sz w:val="24"/>
                <w:szCs w:val="24"/>
              </w:rPr>
            </w:pPr>
            <w:r>
              <w:rPr>
                <w:rFonts w:hint="eastAsia" w:ascii="宋体" w:hAnsi="宋体" w:cs="仿宋"/>
                <w:sz w:val="24"/>
                <w:szCs w:val="24"/>
              </w:rPr>
              <w:t>-</w:t>
            </w:r>
            <w:r>
              <w:rPr>
                <w:rFonts w:ascii="宋体" w:hAnsi="宋体" w:cs="仿宋"/>
                <w:sz w:val="24"/>
                <w:szCs w:val="24"/>
              </w:rPr>
              <w:t>0.28</w:t>
            </w:r>
          </w:p>
        </w:tc>
      </w:tr>
    </w:tbl>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本年“三公”经费较上年减少，减少金额3</w:t>
      </w:r>
      <w:r>
        <w:rPr>
          <w:rFonts w:cs="仿宋" w:asciiTheme="minorEastAsia" w:hAnsiTheme="minorEastAsia"/>
          <w:sz w:val="28"/>
          <w:szCs w:val="28"/>
        </w:rPr>
        <w:t>14</w:t>
      </w:r>
      <w:r>
        <w:rPr>
          <w:rFonts w:hint="eastAsia" w:cs="仿宋" w:asciiTheme="minorEastAsia" w:hAnsiTheme="minorEastAsia"/>
          <w:sz w:val="28"/>
          <w:szCs w:val="28"/>
        </w:rPr>
        <w:t>元，变动率-</w:t>
      </w:r>
      <w:r>
        <w:rPr>
          <w:rFonts w:cs="仿宋" w:asciiTheme="minorEastAsia" w:hAnsiTheme="minorEastAsia"/>
          <w:sz w:val="28"/>
          <w:szCs w:val="28"/>
        </w:rPr>
        <w:t>0.28</w:t>
      </w:r>
      <w:r>
        <w:rPr>
          <w:rFonts w:hint="eastAsia" w:cs="仿宋" w:asciiTheme="minorEastAsia" w:hAnsiTheme="minorEastAsia"/>
          <w:sz w:val="28"/>
          <w:szCs w:val="28"/>
        </w:rPr>
        <w:t>%，其中：公务接待费较上年增加，增加金额1</w:t>
      </w:r>
      <w:r>
        <w:rPr>
          <w:rFonts w:cs="仿宋" w:asciiTheme="minorEastAsia" w:hAnsiTheme="minorEastAsia"/>
          <w:sz w:val="28"/>
          <w:szCs w:val="28"/>
        </w:rPr>
        <w:t>0571</w:t>
      </w:r>
      <w:r>
        <w:rPr>
          <w:rFonts w:hint="eastAsia" w:cs="仿宋" w:asciiTheme="minorEastAsia" w:hAnsiTheme="minorEastAsia"/>
          <w:sz w:val="28"/>
          <w:szCs w:val="28"/>
        </w:rPr>
        <w:t>元，变动率3</w:t>
      </w:r>
      <w:r>
        <w:rPr>
          <w:rFonts w:cs="仿宋" w:asciiTheme="minorEastAsia" w:hAnsiTheme="minorEastAsia"/>
          <w:sz w:val="28"/>
          <w:szCs w:val="28"/>
        </w:rPr>
        <w:t>0.14</w:t>
      </w:r>
      <w:r>
        <w:rPr>
          <w:rFonts w:hint="eastAsia" w:cs="仿宋" w:asciiTheme="minorEastAsia" w:hAnsiTheme="minorEastAsia"/>
          <w:sz w:val="28"/>
          <w:szCs w:val="28"/>
        </w:rPr>
        <w:t>%；公务用车费较上年减少，减少金额1</w:t>
      </w:r>
      <w:r>
        <w:rPr>
          <w:rFonts w:cs="仿宋" w:asciiTheme="minorEastAsia" w:hAnsiTheme="minorEastAsia"/>
          <w:sz w:val="28"/>
          <w:szCs w:val="28"/>
        </w:rPr>
        <w:t>0866</w:t>
      </w:r>
      <w:r>
        <w:rPr>
          <w:rFonts w:hint="eastAsia" w:cs="仿宋" w:asciiTheme="minorEastAsia" w:hAnsiTheme="minorEastAsia"/>
          <w:sz w:val="28"/>
          <w:szCs w:val="28"/>
        </w:rPr>
        <w:t>元，变动率-</w:t>
      </w:r>
      <w:r>
        <w:rPr>
          <w:rFonts w:cs="仿宋" w:asciiTheme="minorEastAsia" w:hAnsiTheme="minorEastAsia"/>
          <w:sz w:val="28"/>
          <w:szCs w:val="28"/>
        </w:rPr>
        <w:t>14.43</w:t>
      </w:r>
      <w:r>
        <w:rPr>
          <w:rFonts w:hint="eastAsia" w:cs="仿宋" w:asciiTheme="minorEastAsia" w:hAnsiTheme="minorEastAsia"/>
          <w:sz w:val="28"/>
          <w:szCs w:val="28"/>
        </w:rPr>
        <w:t>%。</w:t>
      </w:r>
    </w:p>
    <w:p>
      <w:pPr>
        <w:pStyle w:val="2"/>
        <w:ind w:left="420" w:right="420"/>
        <w:jc w:val="both"/>
        <w:rPr>
          <w:rFonts w:hint="default" w:asciiTheme="minorEastAsia" w:hAnsiTheme="minorEastAsia" w:eastAsiaTheme="minorEastAsia"/>
          <w:sz w:val="28"/>
          <w:szCs w:val="28"/>
        </w:rPr>
      </w:pPr>
      <w:r>
        <w:rPr>
          <w:rFonts w:asciiTheme="minorEastAsia" w:hAnsiTheme="minorEastAsia" w:eastAsiaTheme="minorEastAsia"/>
          <w:sz w:val="28"/>
          <w:szCs w:val="28"/>
        </w:rPr>
        <w:t>三、单位整体支出绩效情况</w:t>
      </w:r>
    </w:p>
    <w:p>
      <w:pPr>
        <w:widowControl/>
        <w:shd w:val="clear" w:color="auto" w:fill="FFFFFF"/>
        <w:spacing w:line="580" w:lineRule="exact"/>
        <w:ind w:firstLine="560"/>
        <w:rPr>
          <w:rFonts w:cs="宋体" w:asciiTheme="minorEastAsia" w:hAnsiTheme="minorEastAsia"/>
          <w:kern w:val="0"/>
          <w:sz w:val="28"/>
          <w:szCs w:val="28"/>
        </w:rPr>
      </w:pPr>
      <w:r>
        <w:rPr>
          <w:rFonts w:hint="eastAsia" w:cs="仿宋" w:asciiTheme="minorEastAsia" w:hAnsiTheme="minorEastAsia"/>
          <w:sz w:val="28"/>
          <w:szCs w:val="28"/>
        </w:rPr>
        <w:t>20</w:t>
      </w:r>
      <w:r>
        <w:rPr>
          <w:rFonts w:cs="仿宋" w:asciiTheme="minorEastAsia" w:hAnsiTheme="minorEastAsia"/>
          <w:sz w:val="28"/>
          <w:szCs w:val="28"/>
        </w:rPr>
        <w:t>21</w:t>
      </w:r>
      <w:r>
        <w:rPr>
          <w:rFonts w:hint="eastAsia" w:cs="仿宋" w:asciiTheme="minorEastAsia" w:hAnsiTheme="minorEastAsia"/>
          <w:sz w:val="28"/>
          <w:szCs w:val="28"/>
        </w:rPr>
        <w:t>年，我单位积极履职，强化管理，较好地完成了年度工作目标。通过加强预算收支管理，不断建立健全内部管理制度，完善内部管理流程，部门整体支出管理水平得到提升。根据部门整体支出绩效评价体系，我单位自评得分92.34分，评价等级为优。部门整体支出绩效情况如下：</w:t>
      </w:r>
    </w:p>
    <w:p>
      <w:pPr>
        <w:pStyle w:val="3"/>
        <w:numPr>
          <w:ilvl w:val="0"/>
          <w:numId w:val="4"/>
        </w:numPr>
        <w:ind w:left="840" w:right="420"/>
        <w:jc w:val="both"/>
        <w:rPr>
          <w:rFonts w:hint="default" w:asciiTheme="minorEastAsia" w:hAnsiTheme="minorEastAsia" w:eastAsiaTheme="minorEastAsia"/>
          <w:sz w:val="28"/>
          <w:szCs w:val="28"/>
        </w:rPr>
      </w:pPr>
      <w:r>
        <w:rPr>
          <w:rFonts w:asciiTheme="minorEastAsia" w:hAnsiTheme="minorEastAsia" w:eastAsiaTheme="minorEastAsia"/>
          <w:sz w:val="28"/>
          <w:szCs w:val="28"/>
        </w:rPr>
        <w:t>投入：</w:t>
      </w:r>
      <w:r>
        <w:rPr>
          <w:rFonts w:cs="仿宋" w:asciiTheme="minorEastAsia" w:hAnsiTheme="minorEastAsia" w:eastAsiaTheme="minorEastAsia"/>
          <w:b w:val="0"/>
          <w:sz w:val="28"/>
          <w:szCs w:val="28"/>
        </w:rPr>
        <w:t>指标分</w:t>
      </w:r>
      <w:r>
        <w:rPr>
          <w:rFonts w:cs="仿宋" w:asciiTheme="minorEastAsia" w:hAnsiTheme="minorEastAsia" w:eastAsiaTheme="minorEastAsia"/>
          <w:b w:val="0"/>
          <w:bCs/>
          <w:sz w:val="28"/>
          <w:szCs w:val="28"/>
        </w:rPr>
        <w:t>15分，自评分13.34</w:t>
      </w:r>
      <w:r>
        <w:rPr>
          <w:rFonts w:cs="仿宋" w:asciiTheme="minorEastAsia" w:hAnsiTheme="minorEastAsia" w:eastAsiaTheme="minorEastAsia"/>
          <w:b w:val="0"/>
          <w:sz w:val="28"/>
          <w:szCs w:val="28"/>
        </w:rPr>
        <w:t>分</w:t>
      </w:r>
      <w:r>
        <w:rPr>
          <w:rFonts w:cs="仿宋" w:asciiTheme="minorEastAsia" w:hAnsiTheme="minorEastAsia" w:eastAsiaTheme="minorEastAsia"/>
          <w:b w:val="0"/>
          <w:bCs/>
          <w:sz w:val="28"/>
          <w:szCs w:val="28"/>
        </w:rPr>
        <w:t>。</w:t>
      </w:r>
    </w:p>
    <w:p>
      <w:pPr>
        <w:numPr>
          <w:ilvl w:val="0"/>
          <w:numId w:val="5"/>
        </w:numPr>
        <w:adjustRightInd w:val="0"/>
        <w:snapToGrid w:val="0"/>
        <w:spacing w:line="580" w:lineRule="exact"/>
        <w:textAlignment w:val="baseline"/>
        <w:rPr>
          <w:rFonts w:cs="仿宋" w:asciiTheme="minorEastAsia" w:hAnsiTheme="minorEastAsia"/>
          <w:sz w:val="28"/>
          <w:szCs w:val="28"/>
        </w:rPr>
      </w:pPr>
      <w:r>
        <w:rPr>
          <w:rStyle w:val="45"/>
          <w:rFonts w:hint="eastAsia" w:asciiTheme="minorEastAsia" w:hAnsiTheme="minorEastAsia" w:eastAsiaTheme="minorEastAsia"/>
          <w:sz w:val="28"/>
          <w:szCs w:val="28"/>
        </w:rPr>
        <w:t>目标设定：</w:t>
      </w:r>
      <w:r>
        <w:rPr>
          <w:rFonts w:hint="eastAsia" w:cs="仿宋" w:asciiTheme="minorEastAsia" w:hAnsiTheme="minorEastAsia"/>
          <w:sz w:val="28"/>
          <w:szCs w:val="28"/>
        </w:rPr>
        <w:t>指标分</w:t>
      </w:r>
      <w:r>
        <w:rPr>
          <w:rFonts w:hint="eastAsia" w:cs="仿宋" w:asciiTheme="minorEastAsia" w:hAnsiTheme="minorEastAsia"/>
          <w:bCs/>
          <w:sz w:val="28"/>
          <w:szCs w:val="28"/>
        </w:rPr>
        <w:t>1</w:t>
      </w:r>
      <w:r>
        <w:rPr>
          <w:rFonts w:cs="仿宋" w:asciiTheme="minorEastAsia" w:hAnsiTheme="minorEastAsia"/>
          <w:bCs/>
          <w:sz w:val="28"/>
          <w:szCs w:val="28"/>
        </w:rPr>
        <w:t>0</w:t>
      </w:r>
      <w:r>
        <w:rPr>
          <w:rFonts w:hint="eastAsia" w:cs="仿宋" w:asciiTheme="minorEastAsia" w:hAnsiTheme="minorEastAsia"/>
          <w:bCs/>
          <w:sz w:val="28"/>
          <w:szCs w:val="28"/>
        </w:rPr>
        <w:t>分，自评分</w:t>
      </w:r>
      <w:r>
        <w:rPr>
          <w:rFonts w:cs="仿宋" w:asciiTheme="minorEastAsia" w:hAnsiTheme="minorEastAsia"/>
          <w:bCs/>
          <w:sz w:val="28"/>
          <w:szCs w:val="28"/>
        </w:rPr>
        <w:t>10</w:t>
      </w:r>
      <w:r>
        <w:rPr>
          <w:rFonts w:hint="eastAsia" w:cs="仿宋" w:asciiTheme="minorEastAsia" w:hAnsiTheme="minorEastAsia"/>
          <w:sz w:val="28"/>
          <w:szCs w:val="28"/>
        </w:rPr>
        <w:t>分。</w:t>
      </w:r>
    </w:p>
    <w:p>
      <w:pPr>
        <w:snapToGrid w:val="0"/>
        <w:spacing w:line="580" w:lineRule="exact"/>
        <w:ind w:firstLine="560" w:firstLineChars="200"/>
        <w:rPr>
          <w:rFonts w:cs="仿宋" w:asciiTheme="minorEastAsia" w:hAnsiTheme="minorEastAsia"/>
          <w:sz w:val="28"/>
          <w:szCs w:val="28"/>
        </w:rPr>
      </w:pPr>
      <w:r>
        <w:rPr>
          <w:rFonts w:cs="仿宋" w:asciiTheme="minorEastAsia" w:hAnsiTheme="minorEastAsia"/>
          <w:sz w:val="28"/>
          <w:szCs w:val="28"/>
        </w:rPr>
        <w:fldChar w:fldCharType="begin"/>
      </w:r>
      <w:r>
        <w:rPr>
          <w:rFonts w:hint="eastAsia" w:cs="仿宋" w:asciiTheme="minorEastAsia" w:hAnsiTheme="minorEastAsia"/>
          <w:sz w:val="28"/>
          <w:szCs w:val="28"/>
        </w:rPr>
        <w:instrText xml:space="preserve">= 1 \* GB2</w:instrText>
      </w:r>
      <w:r>
        <w:rPr>
          <w:rFonts w:cs="仿宋" w:asciiTheme="minorEastAsia" w:hAnsiTheme="minorEastAsia"/>
          <w:sz w:val="28"/>
          <w:szCs w:val="28"/>
        </w:rPr>
        <w:fldChar w:fldCharType="separate"/>
      </w:r>
      <w:r>
        <w:rPr>
          <w:rFonts w:hint="eastAsia" w:cs="仿宋" w:asciiTheme="minorEastAsia" w:hAnsiTheme="minorEastAsia"/>
          <w:sz w:val="28"/>
          <w:szCs w:val="28"/>
        </w:rPr>
        <w:t>⑴</w:t>
      </w:r>
      <w:r>
        <w:rPr>
          <w:rFonts w:cs="仿宋" w:asciiTheme="minorEastAsia" w:hAnsiTheme="minorEastAsia"/>
          <w:sz w:val="28"/>
          <w:szCs w:val="28"/>
        </w:rPr>
        <w:fldChar w:fldCharType="end"/>
      </w:r>
      <w:r>
        <w:rPr>
          <w:rFonts w:hint="eastAsia" w:cs="仿宋" w:asciiTheme="minorEastAsia" w:hAnsiTheme="minorEastAsia"/>
          <w:sz w:val="28"/>
          <w:szCs w:val="28"/>
        </w:rPr>
        <w:t>绩效目标合理，指标分5分，自评分5分。</w:t>
      </w:r>
    </w:p>
    <w:p>
      <w:pPr>
        <w:snapToGrid w:val="0"/>
        <w:spacing w:line="580" w:lineRule="exact"/>
        <w:ind w:firstLine="560" w:firstLineChars="200"/>
        <w:rPr>
          <w:rFonts w:cs="仿宋" w:asciiTheme="minorEastAsia" w:hAnsiTheme="minorEastAsia"/>
          <w:sz w:val="28"/>
          <w:szCs w:val="28"/>
        </w:rPr>
      </w:pPr>
      <w:r>
        <w:rPr>
          <w:rFonts w:cs="仿宋" w:asciiTheme="minorEastAsia" w:hAnsiTheme="minorEastAsia"/>
          <w:sz w:val="28"/>
          <w:szCs w:val="28"/>
        </w:rPr>
        <w:fldChar w:fldCharType="begin"/>
      </w:r>
      <w:r>
        <w:rPr>
          <w:rFonts w:hint="eastAsia" w:cs="仿宋" w:asciiTheme="minorEastAsia" w:hAnsiTheme="minorEastAsia"/>
          <w:sz w:val="28"/>
          <w:szCs w:val="28"/>
        </w:rPr>
        <w:instrText xml:space="preserve">= 2 \* GB2</w:instrText>
      </w:r>
      <w:r>
        <w:rPr>
          <w:rFonts w:cs="仿宋" w:asciiTheme="minorEastAsia" w:hAnsiTheme="minorEastAsia"/>
          <w:sz w:val="28"/>
          <w:szCs w:val="28"/>
        </w:rPr>
        <w:fldChar w:fldCharType="separate"/>
      </w:r>
      <w:r>
        <w:rPr>
          <w:rFonts w:hint="eastAsia" w:cs="仿宋" w:asciiTheme="minorEastAsia" w:hAnsiTheme="minorEastAsia"/>
          <w:sz w:val="28"/>
          <w:szCs w:val="28"/>
        </w:rPr>
        <w:t>⑵</w:t>
      </w:r>
      <w:r>
        <w:rPr>
          <w:rFonts w:cs="仿宋" w:asciiTheme="minorEastAsia" w:hAnsiTheme="minorEastAsia"/>
          <w:sz w:val="28"/>
          <w:szCs w:val="28"/>
        </w:rPr>
        <w:fldChar w:fldCharType="end"/>
      </w:r>
      <w:r>
        <w:rPr>
          <w:rFonts w:hint="eastAsia" w:cs="仿宋" w:asciiTheme="minorEastAsia" w:hAnsiTheme="minorEastAsia"/>
          <w:sz w:val="28"/>
          <w:szCs w:val="28"/>
        </w:rPr>
        <w:t>绩效指标合理，指标分5分，自评分5分。</w:t>
      </w:r>
    </w:p>
    <w:p>
      <w:pPr>
        <w:numPr>
          <w:ilvl w:val="0"/>
          <w:numId w:val="5"/>
        </w:numPr>
        <w:adjustRightInd w:val="0"/>
        <w:spacing w:line="580" w:lineRule="exact"/>
        <w:textAlignment w:val="baseline"/>
        <w:rPr>
          <w:rFonts w:asciiTheme="minorEastAsia" w:hAnsiTheme="minorEastAsia"/>
          <w:sz w:val="28"/>
          <w:szCs w:val="28"/>
        </w:rPr>
      </w:pPr>
      <w:r>
        <w:rPr>
          <w:rStyle w:val="45"/>
          <w:rFonts w:hint="eastAsia" w:asciiTheme="minorEastAsia" w:hAnsiTheme="minorEastAsia" w:eastAsiaTheme="minorEastAsia"/>
          <w:sz w:val="28"/>
          <w:szCs w:val="28"/>
        </w:rPr>
        <w:t xml:space="preserve"> 预算配置：</w:t>
      </w:r>
      <w:r>
        <w:rPr>
          <w:rFonts w:hint="eastAsia" w:asciiTheme="minorEastAsia" w:hAnsiTheme="minorEastAsia"/>
          <w:sz w:val="28"/>
          <w:szCs w:val="28"/>
        </w:rPr>
        <w:t>本年预算配置较好，指标分5分，自评3.34分。</w:t>
      </w:r>
    </w:p>
    <w:p>
      <w:pPr>
        <w:snapToGrid w:val="0"/>
        <w:spacing w:line="580" w:lineRule="exact"/>
        <w:ind w:firstLine="560" w:firstLineChars="200"/>
        <w:rPr>
          <w:rFonts w:cs="仿宋" w:asciiTheme="minorEastAsia" w:hAnsiTheme="minorEastAsia"/>
          <w:sz w:val="28"/>
          <w:szCs w:val="28"/>
        </w:rPr>
      </w:pPr>
      <w:r>
        <w:rPr>
          <w:rFonts w:cs="仿宋" w:asciiTheme="minorEastAsia" w:hAnsiTheme="minorEastAsia"/>
          <w:sz w:val="28"/>
          <w:szCs w:val="28"/>
        </w:rPr>
        <w:fldChar w:fldCharType="begin"/>
      </w:r>
      <w:r>
        <w:rPr>
          <w:rFonts w:hint="eastAsia" w:cs="仿宋" w:asciiTheme="minorEastAsia" w:hAnsiTheme="minorEastAsia"/>
          <w:sz w:val="28"/>
          <w:szCs w:val="28"/>
        </w:rPr>
        <w:instrText xml:space="preserve">= 1 \* GB2</w:instrText>
      </w:r>
      <w:r>
        <w:rPr>
          <w:rFonts w:cs="仿宋" w:asciiTheme="minorEastAsia" w:hAnsiTheme="minorEastAsia"/>
          <w:sz w:val="28"/>
          <w:szCs w:val="28"/>
        </w:rPr>
        <w:fldChar w:fldCharType="separate"/>
      </w:r>
      <w:r>
        <w:rPr>
          <w:rFonts w:hint="eastAsia" w:cs="仿宋" w:asciiTheme="minorEastAsia" w:hAnsiTheme="minorEastAsia"/>
          <w:sz w:val="28"/>
          <w:szCs w:val="28"/>
        </w:rPr>
        <w:t>⑴</w:t>
      </w:r>
      <w:r>
        <w:rPr>
          <w:rFonts w:cs="仿宋" w:asciiTheme="minorEastAsia" w:hAnsiTheme="minorEastAsia"/>
          <w:sz w:val="28"/>
          <w:szCs w:val="28"/>
        </w:rPr>
        <w:fldChar w:fldCharType="end"/>
      </w:r>
      <w:r>
        <w:rPr>
          <w:rFonts w:hint="eastAsia" w:cs="仿宋" w:asciiTheme="minorEastAsia" w:hAnsiTheme="minorEastAsia"/>
          <w:sz w:val="28"/>
          <w:szCs w:val="28"/>
        </w:rPr>
        <w:t>在职人员控制率</w:t>
      </w:r>
    </w:p>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55/43*100=127.91%＞0，指标分1分，自评分0分。</w:t>
      </w:r>
    </w:p>
    <w:p>
      <w:pPr>
        <w:snapToGrid w:val="0"/>
        <w:spacing w:line="580" w:lineRule="exact"/>
        <w:ind w:firstLine="560" w:firstLineChars="200"/>
        <w:rPr>
          <w:rFonts w:cs="仿宋" w:asciiTheme="minorEastAsia" w:hAnsiTheme="minorEastAsia"/>
          <w:sz w:val="28"/>
          <w:szCs w:val="28"/>
        </w:rPr>
      </w:pPr>
      <w:r>
        <w:rPr>
          <w:rFonts w:cs="仿宋" w:asciiTheme="minorEastAsia" w:hAnsiTheme="minorEastAsia"/>
          <w:sz w:val="28"/>
          <w:szCs w:val="28"/>
        </w:rPr>
        <w:fldChar w:fldCharType="begin"/>
      </w:r>
      <w:r>
        <w:rPr>
          <w:rFonts w:hint="eastAsia" w:cs="仿宋" w:asciiTheme="minorEastAsia" w:hAnsiTheme="minorEastAsia"/>
          <w:sz w:val="28"/>
          <w:szCs w:val="28"/>
        </w:rPr>
        <w:instrText xml:space="preserve">= 2 \* GB2</w:instrText>
      </w:r>
      <w:r>
        <w:rPr>
          <w:rFonts w:cs="仿宋" w:asciiTheme="minorEastAsia" w:hAnsiTheme="minorEastAsia"/>
          <w:sz w:val="28"/>
          <w:szCs w:val="28"/>
        </w:rPr>
        <w:fldChar w:fldCharType="separate"/>
      </w:r>
      <w:r>
        <w:rPr>
          <w:rFonts w:hint="eastAsia" w:cs="仿宋" w:asciiTheme="minorEastAsia" w:hAnsiTheme="minorEastAsia"/>
          <w:sz w:val="28"/>
          <w:szCs w:val="28"/>
        </w:rPr>
        <w:t>⑵</w:t>
      </w:r>
      <w:r>
        <w:rPr>
          <w:rFonts w:cs="仿宋" w:asciiTheme="minorEastAsia" w:hAnsiTheme="minorEastAsia"/>
          <w:sz w:val="28"/>
          <w:szCs w:val="28"/>
        </w:rPr>
        <w:fldChar w:fldCharType="end"/>
      </w:r>
      <w:r>
        <w:rPr>
          <w:rFonts w:hint="eastAsia" w:cs="仿宋" w:asciiTheme="minorEastAsia" w:hAnsiTheme="minorEastAsia"/>
          <w:sz w:val="28"/>
          <w:szCs w:val="28"/>
        </w:rPr>
        <w:t>“三公”经费变动率</w:t>
      </w:r>
    </w:p>
    <w:p>
      <w:pPr>
        <w:snapToGrid w:val="0"/>
        <w:spacing w:line="580" w:lineRule="exact"/>
        <w:ind w:firstLine="280" w:firstLineChars="100"/>
        <w:rPr>
          <w:rFonts w:cs="仿宋" w:asciiTheme="minorEastAsia" w:hAnsiTheme="minorEastAsia"/>
          <w:sz w:val="28"/>
          <w:szCs w:val="28"/>
        </w:rPr>
      </w:pPr>
      <w:r>
        <w:rPr>
          <w:rFonts w:hint="eastAsia" w:cs="仿宋" w:asciiTheme="minorEastAsia" w:hAnsiTheme="minorEastAsia"/>
          <w:sz w:val="28"/>
          <w:szCs w:val="28"/>
        </w:rPr>
        <w:t>（1</w:t>
      </w:r>
      <w:r>
        <w:rPr>
          <w:rFonts w:cs="仿宋" w:asciiTheme="minorEastAsia" w:hAnsiTheme="minorEastAsia"/>
          <w:sz w:val="28"/>
          <w:szCs w:val="28"/>
        </w:rPr>
        <w:t>10177</w:t>
      </w:r>
      <w:r>
        <w:rPr>
          <w:rFonts w:hint="eastAsia" w:cs="仿宋" w:asciiTheme="minorEastAsia" w:hAnsiTheme="minorEastAsia"/>
          <w:sz w:val="28"/>
          <w:szCs w:val="28"/>
        </w:rPr>
        <w:t>元-1</w:t>
      </w:r>
      <w:r>
        <w:rPr>
          <w:rFonts w:cs="仿宋" w:asciiTheme="minorEastAsia" w:hAnsiTheme="minorEastAsia"/>
          <w:sz w:val="28"/>
          <w:szCs w:val="28"/>
        </w:rPr>
        <w:t>10491</w:t>
      </w:r>
      <w:r>
        <w:rPr>
          <w:rFonts w:hint="eastAsia" w:cs="仿宋" w:asciiTheme="minorEastAsia" w:hAnsiTheme="minorEastAsia"/>
          <w:sz w:val="28"/>
          <w:szCs w:val="28"/>
        </w:rPr>
        <w:t>）/110491*100=-0.28%＜0，指标分1分，自评分1分。</w:t>
      </w:r>
    </w:p>
    <w:p>
      <w:pPr>
        <w:snapToGrid w:val="0"/>
        <w:spacing w:line="580" w:lineRule="exact"/>
        <w:ind w:left="394" w:leftChars="188"/>
        <w:rPr>
          <w:rFonts w:cs="仿宋" w:asciiTheme="minorEastAsia" w:hAnsiTheme="minorEastAsia"/>
          <w:sz w:val="28"/>
          <w:szCs w:val="28"/>
        </w:rPr>
      </w:pPr>
      <w:r>
        <w:rPr>
          <w:rFonts w:cs="仿宋" w:asciiTheme="minorEastAsia" w:hAnsiTheme="minorEastAsia"/>
          <w:sz w:val="28"/>
          <w:szCs w:val="28"/>
        </w:rPr>
        <w:fldChar w:fldCharType="begin"/>
      </w:r>
      <w:r>
        <w:rPr>
          <w:rFonts w:hint="eastAsia" w:cs="仿宋" w:asciiTheme="minorEastAsia" w:hAnsiTheme="minorEastAsia"/>
          <w:sz w:val="28"/>
          <w:szCs w:val="28"/>
        </w:rPr>
        <w:instrText xml:space="preserve">= 3 \* GB2</w:instrText>
      </w:r>
      <w:r>
        <w:rPr>
          <w:rFonts w:cs="仿宋" w:asciiTheme="minorEastAsia" w:hAnsiTheme="minorEastAsia"/>
          <w:sz w:val="28"/>
          <w:szCs w:val="28"/>
        </w:rPr>
        <w:fldChar w:fldCharType="separate"/>
      </w:r>
      <w:r>
        <w:rPr>
          <w:rFonts w:hint="eastAsia" w:cs="仿宋" w:asciiTheme="minorEastAsia" w:hAnsiTheme="minorEastAsia"/>
          <w:sz w:val="28"/>
          <w:szCs w:val="28"/>
        </w:rPr>
        <w:t>⑶</w:t>
      </w:r>
      <w:r>
        <w:rPr>
          <w:rFonts w:cs="仿宋" w:asciiTheme="minorEastAsia" w:hAnsiTheme="minorEastAsia"/>
          <w:sz w:val="28"/>
          <w:szCs w:val="28"/>
        </w:rPr>
        <w:fldChar w:fldCharType="end"/>
      </w:r>
      <w:r>
        <w:rPr>
          <w:rFonts w:hint="eastAsia" w:cs="仿宋" w:asciiTheme="minorEastAsia" w:hAnsiTheme="minorEastAsia"/>
          <w:sz w:val="28"/>
          <w:szCs w:val="28"/>
        </w:rPr>
        <w:t>重点支出安排率</w:t>
      </w:r>
    </w:p>
    <w:p>
      <w:pPr>
        <w:snapToGrid w:val="0"/>
        <w:spacing w:line="580" w:lineRule="exact"/>
        <w:ind w:firstLine="280" w:firstLineChars="100"/>
        <w:rPr>
          <w:rFonts w:cs="仿宋" w:asciiTheme="minorEastAsia" w:hAnsiTheme="minorEastAsia"/>
          <w:sz w:val="28"/>
          <w:szCs w:val="28"/>
        </w:rPr>
      </w:pPr>
      <w:r>
        <w:rPr>
          <w:rFonts w:hint="eastAsia" w:cs="仿宋" w:asciiTheme="minorEastAsia" w:hAnsiTheme="minorEastAsia"/>
          <w:sz w:val="28"/>
          <w:szCs w:val="28"/>
        </w:rPr>
        <w:t>（38058+136098+1515253+1725917-1280177+27823+299079+953922）/（3780000+300000+300000）*3=77.99%*3=2.34，指标分3分，自评分2.34分。</w:t>
      </w:r>
    </w:p>
    <w:p>
      <w:pPr>
        <w:pStyle w:val="3"/>
        <w:ind w:left="420" w:right="420"/>
        <w:jc w:val="both"/>
        <w:rPr>
          <w:rFonts w:hint="default" w:asciiTheme="minorEastAsia" w:hAnsiTheme="minorEastAsia" w:eastAsiaTheme="minorEastAsia"/>
          <w:sz w:val="28"/>
          <w:szCs w:val="28"/>
        </w:rPr>
      </w:pPr>
      <w:r>
        <w:rPr>
          <w:rFonts w:asciiTheme="minorEastAsia" w:hAnsiTheme="minorEastAsia" w:eastAsiaTheme="minorEastAsia"/>
          <w:sz w:val="28"/>
          <w:szCs w:val="28"/>
        </w:rPr>
        <w:t>（二）过程：</w:t>
      </w:r>
      <w:r>
        <w:rPr>
          <w:rFonts w:asciiTheme="minorEastAsia" w:hAnsiTheme="minorEastAsia" w:eastAsiaTheme="minorEastAsia"/>
          <w:b w:val="0"/>
          <w:sz w:val="28"/>
          <w:szCs w:val="28"/>
        </w:rPr>
        <w:t>指标分15分，自评分11分。</w:t>
      </w:r>
    </w:p>
    <w:p>
      <w:pPr>
        <w:snapToGrid w:val="0"/>
        <w:spacing w:line="580" w:lineRule="exact"/>
        <w:rPr>
          <w:rFonts w:cs="仿宋" w:asciiTheme="minorEastAsia" w:hAnsiTheme="minorEastAsia"/>
          <w:sz w:val="28"/>
          <w:szCs w:val="28"/>
        </w:rPr>
      </w:pPr>
      <w:r>
        <w:rPr>
          <w:rStyle w:val="45"/>
          <w:rFonts w:hint="eastAsia" w:asciiTheme="minorEastAsia" w:hAnsiTheme="minorEastAsia" w:eastAsiaTheme="minorEastAsia"/>
          <w:sz w:val="28"/>
          <w:szCs w:val="28"/>
        </w:rPr>
        <w:t>1.  预算执行：</w:t>
      </w:r>
      <w:r>
        <w:rPr>
          <w:rFonts w:hint="eastAsia" w:cs="仿宋" w:asciiTheme="minorEastAsia" w:hAnsiTheme="minorEastAsia"/>
          <w:sz w:val="28"/>
          <w:szCs w:val="28"/>
        </w:rPr>
        <w:t>整体支出控制在预算总额内，“三公”经费总体控制较好，指标分8分，自评分4分。</w:t>
      </w:r>
    </w:p>
    <w:p>
      <w:pPr>
        <w:snapToGrid w:val="0"/>
        <w:spacing w:line="580" w:lineRule="exact"/>
        <w:ind w:firstLine="560" w:firstLineChars="200"/>
        <w:rPr>
          <w:rFonts w:cs="仿宋" w:asciiTheme="minorEastAsia" w:hAnsiTheme="minorEastAsia"/>
          <w:sz w:val="28"/>
          <w:szCs w:val="28"/>
        </w:rPr>
      </w:pPr>
      <w:r>
        <w:rPr>
          <w:rFonts w:cs="仿宋" w:asciiTheme="minorEastAsia" w:hAnsiTheme="minorEastAsia"/>
          <w:sz w:val="28"/>
          <w:szCs w:val="28"/>
        </w:rPr>
        <w:fldChar w:fldCharType="begin"/>
      </w:r>
      <w:r>
        <w:rPr>
          <w:rFonts w:hint="eastAsia" w:cs="仿宋" w:asciiTheme="minorEastAsia" w:hAnsiTheme="minorEastAsia"/>
          <w:sz w:val="28"/>
          <w:szCs w:val="28"/>
        </w:rPr>
        <w:instrText xml:space="preserve">= 1 \* GB2</w:instrText>
      </w:r>
      <w:r>
        <w:rPr>
          <w:rFonts w:cs="仿宋" w:asciiTheme="minorEastAsia" w:hAnsiTheme="minorEastAsia"/>
          <w:sz w:val="28"/>
          <w:szCs w:val="28"/>
        </w:rPr>
        <w:fldChar w:fldCharType="separate"/>
      </w:r>
      <w:r>
        <w:rPr>
          <w:rFonts w:hint="eastAsia" w:cs="仿宋" w:asciiTheme="minorEastAsia" w:hAnsiTheme="minorEastAsia"/>
          <w:sz w:val="28"/>
          <w:szCs w:val="28"/>
        </w:rPr>
        <w:t>⑴</w:t>
      </w:r>
      <w:r>
        <w:rPr>
          <w:rFonts w:cs="仿宋" w:asciiTheme="minorEastAsia" w:hAnsiTheme="minorEastAsia"/>
          <w:sz w:val="28"/>
          <w:szCs w:val="28"/>
        </w:rPr>
        <w:fldChar w:fldCharType="end"/>
      </w:r>
      <w:r>
        <w:rPr>
          <w:rFonts w:hint="eastAsia" w:cs="仿宋" w:asciiTheme="minorEastAsia" w:hAnsiTheme="minorEastAsia"/>
          <w:sz w:val="28"/>
          <w:szCs w:val="28"/>
        </w:rPr>
        <w:t>预算执行率</w:t>
      </w:r>
    </w:p>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22282125/</w:t>
      </w:r>
      <w:r>
        <w:rPr>
          <w:rFonts w:cs="仿宋" w:asciiTheme="minorEastAsia" w:hAnsiTheme="minorEastAsia"/>
          <w:sz w:val="28"/>
          <w:szCs w:val="28"/>
        </w:rPr>
        <w:t>56610585</w:t>
      </w:r>
      <w:r>
        <w:rPr>
          <w:rFonts w:hint="eastAsia" w:cs="仿宋" w:asciiTheme="minorEastAsia" w:hAnsiTheme="minorEastAsia"/>
          <w:sz w:val="28"/>
          <w:szCs w:val="28"/>
        </w:rPr>
        <w:t>*100=39.36%＜80%，指标分1分，自评分</w:t>
      </w:r>
      <w:r>
        <w:rPr>
          <w:rFonts w:cs="仿宋" w:asciiTheme="minorEastAsia" w:hAnsiTheme="minorEastAsia"/>
          <w:sz w:val="28"/>
          <w:szCs w:val="28"/>
        </w:rPr>
        <w:t>0</w:t>
      </w:r>
      <w:r>
        <w:rPr>
          <w:rFonts w:hint="eastAsia" w:cs="仿宋" w:asciiTheme="minorEastAsia" w:hAnsiTheme="minorEastAsia"/>
          <w:sz w:val="28"/>
          <w:szCs w:val="28"/>
        </w:rPr>
        <w:t>分。</w:t>
      </w:r>
    </w:p>
    <w:p>
      <w:pPr>
        <w:snapToGrid w:val="0"/>
        <w:spacing w:line="580" w:lineRule="exact"/>
        <w:ind w:firstLine="560" w:firstLineChars="200"/>
        <w:rPr>
          <w:rFonts w:cs="仿宋" w:asciiTheme="minorEastAsia" w:hAnsiTheme="minorEastAsia"/>
          <w:sz w:val="28"/>
          <w:szCs w:val="28"/>
        </w:rPr>
      </w:pPr>
      <w:r>
        <w:rPr>
          <w:rFonts w:cs="仿宋" w:asciiTheme="minorEastAsia" w:hAnsiTheme="minorEastAsia"/>
          <w:sz w:val="28"/>
          <w:szCs w:val="28"/>
        </w:rPr>
        <w:fldChar w:fldCharType="begin"/>
      </w:r>
      <w:r>
        <w:rPr>
          <w:rFonts w:hint="eastAsia" w:cs="仿宋" w:asciiTheme="minorEastAsia" w:hAnsiTheme="minorEastAsia"/>
          <w:sz w:val="28"/>
          <w:szCs w:val="28"/>
        </w:rPr>
        <w:instrText xml:space="preserve">= 2 \* GB2</w:instrText>
      </w:r>
      <w:r>
        <w:rPr>
          <w:rFonts w:cs="仿宋" w:asciiTheme="minorEastAsia" w:hAnsiTheme="minorEastAsia"/>
          <w:sz w:val="28"/>
          <w:szCs w:val="28"/>
        </w:rPr>
        <w:fldChar w:fldCharType="separate"/>
      </w:r>
      <w:r>
        <w:rPr>
          <w:rFonts w:hint="eastAsia" w:cs="仿宋" w:asciiTheme="minorEastAsia" w:hAnsiTheme="minorEastAsia"/>
          <w:sz w:val="28"/>
          <w:szCs w:val="28"/>
        </w:rPr>
        <w:t>⑵</w:t>
      </w:r>
      <w:r>
        <w:rPr>
          <w:rFonts w:cs="仿宋" w:asciiTheme="minorEastAsia" w:hAnsiTheme="minorEastAsia"/>
          <w:sz w:val="28"/>
          <w:szCs w:val="28"/>
        </w:rPr>
        <w:fldChar w:fldCharType="end"/>
      </w:r>
      <w:r>
        <w:rPr>
          <w:rFonts w:hint="eastAsia" w:cs="仿宋" w:asciiTheme="minorEastAsia" w:hAnsiTheme="minorEastAsia"/>
          <w:sz w:val="28"/>
          <w:szCs w:val="28"/>
        </w:rPr>
        <w:t>预算调整率</w:t>
      </w:r>
    </w:p>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所有追加资金均为落实国家政策或市委市政府临时交办任务而产生的调整，预算调整率为0，指标分1分，自评分</w:t>
      </w:r>
      <w:r>
        <w:rPr>
          <w:rFonts w:cs="仿宋" w:asciiTheme="minorEastAsia" w:hAnsiTheme="minorEastAsia"/>
          <w:sz w:val="28"/>
          <w:szCs w:val="28"/>
        </w:rPr>
        <w:t>1</w:t>
      </w:r>
      <w:r>
        <w:rPr>
          <w:rFonts w:hint="eastAsia" w:cs="仿宋" w:asciiTheme="minorEastAsia" w:hAnsiTheme="minorEastAsia"/>
          <w:sz w:val="28"/>
          <w:szCs w:val="28"/>
        </w:rPr>
        <w:t>分。</w:t>
      </w:r>
    </w:p>
    <w:p>
      <w:pPr>
        <w:snapToGrid w:val="0"/>
        <w:spacing w:line="580" w:lineRule="exact"/>
        <w:ind w:firstLine="560" w:firstLineChars="200"/>
        <w:rPr>
          <w:rFonts w:cs="仿宋" w:asciiTheme="minorEastAsia" w:hAnsiTheme="minorEastAsia"/>
          <w:sz w:val="28"/>
          <w:szCs w:val="28"/>
        </w:rPr>
      </w:pPr>
      <w:r>
        <w:rPr>
          <w:rFonts w:cs="仿宋" w:asciiTheme="minorEastAsia" w:hAnsiTheme="minorEastAsia"/>
          <w:sz w:val="28"/>
          <w:szCs w:val="28"/>
        </w:rPr>
        <w:fldChar w:fldCharType="begin"/>
      </w:r>
      <w:r>
        <w:rPr>
          <w:rFonts w:hint="eastAsia" w:cs="仿宋" w:asciiTheme="minorEastAsia" w:hAnsiTheme="minorEastAsia"/>
          <w:sz w:val="28"/>
          <w:szCs w:val="28"/>
        </w:rPr>
        <w:instrText xml:space="preserve">= 3 \* GB2</w:instrText>
      </w:r>
      <w:r>
        <w:rPr>
          <w:rFonts w:cs="仿宋" w:asciiTheme="minorEastAsia" w:hAnsiTheme="minorEastAsia"/>
          <w:sz w:val="28"/>
          <w:szCs w:val="28"/>
        </w:rPr>
        <w:fldChar w:fldCharType="separate"/>
      </w:r>
      <w:r>
        <w:rPr>
          <w:rFonts w:hint="eastAsia" w:cs="仿宋" w:asciiTheme="minorEastAsia" w:hAnsiTheme="minorEastAsia"/>
          <w:sz w:val="28"/>
          <w:szCs w:val="28"/>
        </w:rPr>
        <w:t>⑶</w:t>
      </w:r>
      <w:r>
        <w:rPr>
          <w:rFonts w:cs="仿宋" w:asciiTheme="minorEastAsia" w:hAnsiTheme="minorEastAsia"/>
          <w:sz w:val="28"/>
          <w:szCs w:val="28"/>
        </w:rPr>
        <w:fldChar w:fldCharType="end"/>
      </w:r>
      <w:r>
        <w:rPr>
          <w:rFonts w:hint="eastAsia" w:cs="仿宋" w:asciiTheme="minorEastAsia" w:hAnsiTheme="minorEastAsia"/>
          <w:sz w:val="28"/>
          <w:szCs w:val="28"/>
        </w:rPr>
        <w:t>支付进度率</w:t>
      </w:r>
    </w:p>
    <w:p>
      <w:pPr>
        <w:snapToGrid w:val="0"/>
        <w:spacing w:line="580" w:lineRule="exact"/>
        <w:ind w:firstLine="560" w:firstLineChars="200"/>
        <w:rPr>
          <w:rFonts w:cs="仿宋" w:asciiTheme="minorEastAsia" w:hAnsiTheme="minorEastAsia"/>
          <w:sz w:val="28"/>
          <w:szCs w:val="28"/>
        </w:rPr>
      </w:pPr>
      <w:r>
        <w:rPr>
          <w:rFonts w:cs="仿宋" w:asciiTheme="minorEastAsia" w:hAnsiTheme="minorEastAsia"/>
          <w:sz w:val="28"/>
          <w:szCs w:val="28"/>
        </w:rPr>
        <w:t>支付进度率</w:t>
      </w:r>
      <w:r>
        <w:rPr>
          <w:rFonts w:hint="eastAsia" w:cs="仿宋" w:asciiTheme="minorEastAsia" w:hAnsiTheme="minorEastAsia"/>
          <w:sz w:val="28"/>
          <w:szCs w:val="28"/>
        </w:rPr>
        <w:t>=</w:t>
      </w:r>
      <w:r>
        <w:rPr>
          <w:rFonts w:cs="仿宋" w:asciiTheme="minorEastAsia" w:hAnsiTheme="minorEastAsia"/>
          <w:sz w:val="28"/>
          <w:szCs w:val="28"/>
        </w:rPr>
        <w:t xml:space="preserve"> 39.</w:t>
      </w:r>
      <w:r>
        <w:rPr>
          <w:rFonts w:hint="eastAsia" w:cs="仿宋" w:asciiTheme="minorEastAsia" w:hAnsiTheme="minorEastAsia"/>
          <w:sz w:val="28"/>
          <w:szCs w:val="28"/>
        </w:rPr>
        <w:t>36%/</w:t>
      </w:r>
      <w:r>
        <w:rPr>
          <w:rFonts w:cs="仿宋" w:asciiTheme="minorEastAsia" w:hAnsiTheme="minorEastAsia"/>
          <w:sz w:val="28"/>
          <w:szCs w:val="28"/>
        </w:rPr>
        <w:t xml:space="preserve"> 100</w:t>
      </w:r>
      <w:r>
        <w:rPr>
          <w:rFonts w:hint="eastAsia" w:cs="仿宋" w:asciiTheme="minorEastAsia" w:hAnsiTheme="minorEastAsia"/>
          <w:sz w:val="28"/>
          <w:szCs w:val="28"/>
        </w:rPr>
        <w:t>%*100%=39.36%≠100%，指标分1分，自评分</w:t>
      </w:r>
      <w:r>
        <w:rPr>
          <w:rFonts w:cs="仿宋" w:asciiTheme="minorEastAsia" w:hAnsiTheme="minorEastAsia"/>
          <w:sz w:val="28"/>
          <w:szCs w:val="28"/>
        </w:rPr>
        <w:t>0</w:t>
      </w:r>
      <w:r>
        <w:rPr>
          <w:rFonts w:hint="eastAsia" w:cs="仿宋" w:asciiTheme="minorEastAsia" w:hAnsiTheme="minorEastAsia"/>
          <w:sz w:val="28"/>
          <w:szCs w:val="28"/>
        </w:rPr>
        <w:t>分。</w:t>
      </w:r>
    </w:p>
    <w:p>
      <w:pPr>
        <w:snapToGrid w:val="0"/>
        <w:spacing w:line="580" w:lineRule="exact"/>
        <w:ind w:firstLine="560" w:firstLineChars="200"/>
        <w:rPr>
          <w:rFonts w:cs="仿宋" w:asciiTheme="minorEastAsia" w:hAnsiTheme="minorEastAsia"/>
          <w:sz w:val="28"/>
          <w:szCs w:val="28"/>
        </w:rPr>
      </w:pPr>
      <w:r>
        <w:rPr>
          <w:rFonts w:cs="仿宋" w:asciiTheme="minorEastAsia" w:hAnsiTheme="minorEastAsia"/>
          <w:sz w:val="28"/>
          <w:szCs w:val="28"/>
        </w:rPr>
        <w:fldChar w:fldCharType="begin"/>
      </w:r>
      <w:r>
        <w:rPr>
          <w:rFonts w:hint="eastAsia" w:cs="仿宋" w:asciiTheme="minorEastAsia" w:hAnsiTheme="minorEastAsia"/>
          <w:sz w:val="28"/>
          <w:szCs w:val="28"/>
        </w:rPr>
        <w:instrText xml:space="preserve">= 4 \* GB2</w:instrText>
      </w:r>
      <w:r>
        <w:rPr>
          <w:rFonts w:cs="仿宋" w:asciiTheme="minorEastAsia" w:hAnsiTheme="minorEastAsia"/>
          <w:sz w:val="28"/>
          <w:szCs w:val="28"/>
        </w:rPr>
        <w:fldChar w:fldCharType="separate"/>
      </w:r>
      <w:r>
        <w:rPr>
          <w:rFonts w:hint="eastAsia" w:cs="仿宋" w:asciiTheme="minorEastAsia" w:hAnsiTheme="minorEastAsia"/>
          <w:sz w:val="28"/>
          <w:szCs w:val="28"/>
        </w:rPr>
        <w:t>⑷</w:t>
      </w:r>
      <w:r>
        <w:rPr>
          <w:rFonts w:cs="仿宋" w:asciiTheme="minorEastAsia" w:hAnsiTheme="minorEastAsia"/>
          <w:sz w:val="28"/>
          <w:szCs w:val="28"/>
        </w:rPr>
        <w:fldChar w:fldCharType="end"/>
      </w:r>
      <w:r>
        <w:rPr>
          <w:rFonts w:hint="eastAsia" w:cs="仿宋" w:asciiTheme="minorEastAsia" w:hAnsiTheme="minorEastAsia"/>
          <w:sz w:val="28"/>
          <w:szCs w:val="28"/>
        </w:rPr>
        <w:t>结转结余率</w:t>
      </w:r>
    </w:p>
    <w:p>
      <w:pPr>
        <w:snapToGrid w:val="0"/>
        <w:spacing w:line="580" w:lineRule="exact"/>
        <w:ind w:firstLine="560" w:firstLineChars="200"/>
        <w:rPr>
          <w:rFonts w:cs="仿宋" w:asciiTheme="minorEastAsia" w:hAnsiTheme="minorEastAsia"/>
          <w:sz w:val="28"/>
          <w:szCs w:val="28"/>
        </w:rPr>
      </w:pPr>
      <w:r>
        <w:rPr>
          <w:rFonts w:cs="仿宋" w:asciiTheme="minorEastAsia" w:hAnsiTheme="minorEastAsia"/>
          <w:sz w:val="28"/>
          <w:szCs w:val="28"/>
        </w:rPr>
        <w:t>3550464</w:t>
      </w:r>
      <w:r>
        <w:rPr>
          <w:rFonts w:hint="eastAsia" w:cs="仿宋" w:asciiTheme="minorEastAsia" w:hAnsiTheme="minorEastAsia"/>
          <w:sz w:val="28"/>
          <w:szCs w:val="28"/>
        </w:rPr>
        <w:t>/</w:t>
      </w:r>
      <w:r>
        <w:rPr>
          <w:rFonts w:cs="仿宋" w:asciiTheme="minorEastAsia" w:hAnsiTheme="minorEastAsia"/>
          <w:sz w:val="28"/>
          <w:szCs w:val="28"/>
        </w:rPr>
        <w:t xml:space="preserve"> 43512448</w:t>
      </w:r>
      <w:r>
        <w:rPr>
          <w:rFonts w:hint="eastAsia" w:cs="仿宋" w:asciiTheme="minorEastAsia" w:hAnsiTheme="minorEastAsia"/>
          <w:sz w:val="28"/>
          <w:szCs w:val="28"/>
        </w:rPr>
        <w:t>*100=8.16%＜20%，指标分1分，自评分</w:t>
      </w:r>
      <w:r>
        <w:rPr>
          <w:rFonts w:cs="仿宋" w:asciiTheme="minorEastAsia" w:hAnsiTheme="minorEastAsia"/>
          <w:sz w:val="28"/>
          <w:szCs w:val="28"/>
        </w:rPr>
        <w:t>1</w:t>
      </w:r>
      <w:r>
        <w:rPr>
          <w:rFonts w:hint="eastAsia" w:cs="仿宋" w:asciiTheme="minorEastAsia" w:hAnsiTheme="minorEastAsia"/>
          <w:sz w:val="28"/>
          <w:szCs w:val="28"/>
        </w:rPr>
        <w:t>分。</w:t>
      </w:r>
    </w:p>
    <w:p>
      <w:pPr>
        <w:snapToGrid w:val="0"/>
        <w:spacing w:line="580" w:lineRule="exact"/>
        <w:ind w:firstLine="560" w:firstLineChars="200"/>
        <w:rPr>
          <w:rFonts w:cs="仿宋" w:asciiTheme="minorEastAsia" w:hAnsiTheme="minorEastAsia"/>
          <w:sz w:val="28"/>
          <w:szCs w:val="28"/>
        </w:rPr>
      </w:pPr>
      <w:r>
        <w:rPr>
          <w:rFonts w:cs="仿宋" w:asciiTheme="minorEastAsia" w:hAnsiTheme="minorEastAsia"/>
          <w:sz w:val="28"/>
          <w:szCs w:val="28"/>
        </w:rPr>
        <w:fldChar w:fldCharType="begin"/>
      </w:r>
      <w:r>
        <w:rPr>
          <w:rFonts w:hint="eastAsia" w:cs="仿宋" w:asciiTheme="minorEastAsia" w:hAnsiTheme="minorEastAsia"/>
          <w:sz w:val="28"/>
          <w:szCs w:val="28"/>
        </w:rPr>
        <w:instrText xml:space="preserve">= 5 \* GB2</w:instrText>
      </w:r>
      <w:r>
        <w:rPr>
          <w:rFonts w:cs="仿宋" w:asciiTheme="minorEastAsia" w:hAnsiTheme="minorEastAsia"/>
          <w:sz w:val="28"/>
          <w:szCs w:val="28"/>
        </w:rPr>
        <w:fldChar w:fldCharType="separate"/>
      </w:r>
      <w:r>
        <w:rPr>
          <w:rFonts w:hint="eastAsia" w:cs="仿宋" w:asciiTheme="minorEastAsia" w:hAnsiTheme="minorEastAsia"/>
          <w:sz w:val="28"/>
          <w:szCs w:val="28"/>
        </w:rPr>
        <w:t>⑸</w:t>
      </w:r>
      <w:r>
        <w:rPr>
          <w:rFonts w:cs="仿宋" w:asciiTheme="minorEastAsia" w:hAnsiTheme="minorEastAsia"/>
          <w:sz w:val="28"/>
          <w:szCs w:val="28"/>
        </w:rPr>
        <w:fldChar w:fldCharType="end"/>
      </w:r>
      <w:r>
        <w:rPr>
          <w:rFonts w:hint="eastAsia" w:cs="仿宋" w:asciiTheme="minorEastAsia" w:hAnsiTheme="minorEastAsia"/>
          <w:sz w:val="28"/>
          <w:szCs w:val="28"/>
        </w:rPr>
        <w:t>结转结余变动率</w:t>
      </w:r>
    </w:p>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（3</w:t>
      </w:r>
      <w:r>
        <w:rPr>
          <w:rFonts w:cs="仿宋" w:asciiTheme="minorEastAsia" w:hAnsiTheme="minorEastAsia"/>
          <w:sz w:val="28"/>
          <w:szCs w:val="28"/>
        </w:rPr>
        <w:t>550464</w:t>
      </w:r>
      <w:r>
        <w:rPr>
          <w:rFonts w:hint="eastAsia" w:cs="仿宋" w:asciiTheme="minorEastAsia" w:hAnsiTheme="minorEastAsia"/>
          <w:sz w:val="28"/>
          <w:szCs w:val="28"/>
        </w:rPr>
        <w:t>-5</w:t>
      </w:r>
      <w:r>
        <w:rPr>
          <w:rFonts w:cs="仿宋" w:asciiTheme="minorEastAsia" w:hAnsiTheme="minorEastAsia"/>
          <w:sz w:val="28"/>
          <w:szCs w:val="28"/>
        </w:rPr>
        <w:t>217210</w:t>
      </w:r>
      <w:r>
        <w:rPr>
          <w:rFonts w:hint="eastAsia" w:cs="仿宋" w:asciiTheme="minorEastAsia" w:hAnsiTheme="minorEastAsia"/>
          <w:sz w:val="28"/>
          <w:szCs w:val="28"/>
        </w:rPr>
        <w:t>）/5217210*100=-</w:t>
      </w:r>
      <w:r>
        <w:rPr>
          <w:rFonts w:cs="仿宋" w:asciiTheme="minorEastAsia" w:hAnsiTheme="minorEastAsia"/>
          <w:sz w:val="28"/>
          <w:szCs w:val="28"/>
        </w:rPr>
        <w:t>31.95</w:t>
      </w:r>
      <w:r>
        <w:rPr>
          <w:rFonts w:hint="eastAsia" w:cs="仿宋" w:asciiTheme="minorEastAsia" w:hAnsiTheme="minorEastAsia"/>
          <w:sz w:val="28"/>
          <w:szCs w:val="28"/>
        </w:rPr>
        <w:t>%＜0，指标分1分，自评分1分。</w:t>
      </w:r>
    </w:p>
    <w:p>
      <w:pPr>
        <w:snapToGrid w:val="0"/>
        <w:spacing w:line="580" w:lineRule="exact"/>
        <w:ind w:firstLine="560" w:firstLineChars="200"/>
        <w:rPr>
          <w:rFonts w:cs="仿宋" w:asciiTheme="minorEastAsia" w:hAnsiTheme="minorEastAsia"/>
          <w:sz w:val="28"/>
          <w:szCs w:val="28"/>
        </w:rPr>
      </w:pPr>
      <w:r>
        <w:rPr>
          <w:rFonts w:cs="仿宋" w:asciiTheme="minorEastAsia" w:hAnsiTheme="minorEastAsia"/>
          <w:sz w:val="28"/>
          <w:szCs w:val="28"/>
        </w:rPr>
        <w:fldChar w:fldCharType="begin"/>
      </w:r>
      <w:r>
        <w:rPr>
          <w:rFonts w:hint="eastAsia" w:cs="仿宋" w:asciiTheme="minorEastAsia" w:hAnsiTheme="minorEastAsia"/>
          <w:sz w:val="28"/>
          <w:szCs w:val="28"/>
        </w:rPr>
        <w:instrText xml:space="preserve">= 6 \* GB2</w:instrText>
      </w:r>
      <w:r>
        <w:rPr>
          <w:rFonts w:cs="仿宋" w:asciiTheme="minorEastAsia" w:hAnsiTheme="minorEastAsia"/>
          <w:sz w:val="28"/>
          <w:szCs w:val="28"/>
        </w:rPr>
        <w:fldChar w:fldCharType="separate"/>
      </w:r>
      <w:r>
        <w:rPr>
          <w:rFonts w:hint="eastAsia" w:cs="仿宋" w:asciiTheme="minorEastAsia" w:hAnsiTheme="minorEastAsia"/>
          <w:sz w:val="28"/>
          <w:szCs w:val="28"/>
        </w:rPr>
        <w:t>⑹</w:t>
      </w:r>
      <w:r>
        <w:rPr>
          <w:rFonts w:cs="仿宋" w:asciiTheme="minorEastAsia" w:hAnsiTheme="minorEastAsia"/>
          <w:sz w:val="28"/>
          <w:szCs w:val="28"/>
        </w:rPr>
        <w:fldChar w:fldCharType="end"/>
      </w:r>
      <w:r>
        <w:rPr>
          <w:rFonts w:hint="eastAsia" w:cs="仿宋" w:asciiTheme="minorEastAsia" w:hAnsiTheme="minorEastAsia"/>
          <w:sz w:val="28"/>
          <w:szCs w:val="28"/>
        </w:rPr>
        <w:t>公用经费控制率</w:t>
      </w:r>
    </w:p>
    <w:p>
      <w:pPr>
        <w:snapToGrid w:val="0"/>
        <w:spacing w:line="580" w:lineRule="exact"/>
        <w:ind w:firstLine="560" w:firstLineChars="200"/>
        <w:rPr>
          <w:rFonts w:cs="仿宋" w:asciiTheme="minorEastAsia" w:hAnsiTheme="minorEastAsia"/>
          <w:sz w:val="28"/>
          <w:szCs w:val="28"/>
        </w:rPr>
      </w:pPr>
      <w:r>
        <w:rPr>
          <w:rFonts w:cs="仿宋" w:asciiTheme="minorEastAsia" w:hAnsiTheme="minorEastAsia"/>
          <w:sz w:val="28"/>
          <w:szCs w:val="28"/>
        </w:rPr>
        <w:t>1609694</w:t>
      </w:r>
      <w:r>
        <w:rPr>
          <w:rFonts w:hint="eastAsia" w:cs="仿宋" w:asciiTheme="minorEastAsia" w:hAnsiTheme="minorEastAsia"/>
          <w:sz w:val="28"/>
          <w:szCs w:val="28"/>
        </w:rPr>
        <w:t>/</w:t>
      </w:r>
      <w:r>
        <w:rPr>
          <w:rFonts w:cs="仿宋" w:asciiTheme="minorEastAsia" w:hAnsiTheme="minorEastAsia"/>
          <w:sz w:val="28"/>
          <w:szCs w:val="28"/>
        </w:rPr>
        <w:t>1321525</w:t>
      </w:r>
      <w:r>
        <w:rPr>
          <w:rFonts w:hint="eastAsia" w:cs="仿宋" w:asciiTheme="minorEastAsia" w:hAnsiTheme="minorEastAsia"/>
          <w:sz w:val="28"/>
          <w:szCs w:val="28"/>
        </w:rPr>
        <w:t>*100=121.81%＞100%，指标分1分，自评分0分。</w:t>
      </w:r>
    </w:p>
    <w:p>
      <w:pPr>
        <w:snapToGrid w:val="0"/>
        <w:spacing w:line="580" w:lineRule="exact"/>
        <w:ind w:firstLine="560" w:firstLineChars="200"/>
        <w:rPr>
          <w:rFonts w:cs="仿宋" w:asciiTheme="minorEastAsia" w:hAnsiTheme="minorEastAsia"/>
          <w:sz w:val="28"/>
          <w:szCs w:val="28"/>
        </w:rPr>
      </w:pPr>
      <w:r>
        <w:rPr>
          <w:rFonts w:cs="仿宋" w:asciiTheme="minorEastAsia" w:hAnsiTheme="minorEastAsia"/>
          <w:sz w:val="28"/>
          <w:szCs w:val="28"/>
        </w:rPr>
        <w:fldChar w:fldCharType="begin"/>
      </w:r>
      <w:r>
        <w:rPr>
          <w:rFonts w:hint="eastAsia" w:cs="仿宋" w:asciiTheme="minorEastAsia" w:hAnsiTheme="minorEastAsia"/>
          <w:sz w:val="28"/>
          <w:szCs w:val="28"/>
        </w:rPr>
        <w:instrText xml:space="preserve">= 7 \* GB2</w:instrText>
      </w:r>
      <w:r>
        <w:rPr>
          <w:rFonts w:cs="仿宋" w:asciiTheme="minorEastAsia" w:hAnsiTheme="minorEastAsia"/>
          <w:sz w:val="28"/>
          <w:szCs w:val="28"/>
        </w:rPr>
        <w:fldChar w:fldCharType="separate"/>
      </w:r>
      <w:r>
        <w:rPr>
          <w:rFonts w:hint="eastAsia" w:cs="仿宋" w:asciiTheme="minorEastAsia" w:hAnsiTheme="minorEastAsia"/>
          <w:sz w:val="28"/>
          <w:szCs w:val="28"/>
        </w:rPr>
        <w:t>⑺</w:t>
      </w:r>
      <w:r>
        <w:rPr>
          <w:rFonts w:cs="仿宋" w:asciiTheme="minorEastAsia" w:hAnsiTheme="minorEastAsia"/>
          <w:sz w:val="28"/>
          <w:szCs w:val="28"/>
        </w:rPr>
        <w:fldChar w:fldCharType="end"/>
      </w:r>
      <w:r>
        <w:rPr>
          <w:rFonts w:hint="eastAsia" w:cs="仿宋" w:asciiTheme="minorEastAsia" w:hAnsiTheme="minorEastAsia"/>
          <w:sz w:val="28"/>
          <w:szCs w:val="28"/>
        </w:rPr>
        <w:t>“三公”经费控制率</w:t>
      </w:r>
    </w:p>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1</w:t>
      </w:r>
      <w:r>
        <w:rPr>
          <w:rFonts w:cs="仿宋" w:asciiTheme="minorEastAsia" w:hAnsiTheme="minorEastAsia"/>
          <w:sz w:val="28"/>
          <w:szCs w:val="28"/>
        </w:rPr>
        <w:t>10177</w:t>
      </w:r>
      <w:r>
        <w:rPr>
          <w:rFonts w:hint="eastAsia" w:cs="仿宋" w:asciiTheme="minorEastAsia" w:hAnsiTheme="minorEastAsia"/>
          <w:sz w:val="28"/>
          <w:szCs w:val="28"/>
        </w:rPr>
        <w:t>/1</w:t>
      </w:r>
      <w:r>
        <w:rPr>
          <w:rFonts w:cs="仿宋" w:asciiTheme="minorEastAsia" w:hAnsiTheme="minorEastAsia"/>
          <w:sz w:val="28"/>
          <w:szCs w:val="28"/>
        </w:rPr>
        <w:t>56000</w:t>
      </w:r>
      <w:r>
        <w:rPr>
          <w:rFonts w:hint="eastAsia" w:cs="仿宋" w:asciiTheme="minorEastAsia" w:hAnsiTheme="minorEastAsia"/>
          <w:sz w:val="28"/>
          <w:szCs w:val="28"/>
        </w:rPr>
        <w:t>*100=70.63%＜100%，指标分1分，自评分1分。</w:t>
      </w:r>
    </w:p>
    <w:p>
      <w:pPr>
        <w:snapToGrid w:val="0"/>
        <w:spacing w:line="580" w:lineRule="exact"/>
        <w:ind w:firstLine="588"/>
        <w:rPr>
          <w:rFonts w:cs="仿宋" w:asciiTheme="minorEastAsia" w:hAnsiTheme="minorEastAsia"/>
          <w:sz w:val="28"/>
          <w:szCs w:val="28"/>
        </w:rPr>
      </w:pPr>
      <w:r>
        <w:rPr>
          <w:rFonts w:cs="仿宋" w:asciiTheme="minorEastAsia" w:hAnsiTheme="minorEastAsia"/>
          <w:sz w:val="28"/>
          <w:szCs w:val="28"/>
        </w:rPr>
        <w:fldChar w:fldCharType="begin"/>
      </w:r>
      <w:r>
        <w:rPr>
          <w:rFonts w:hint="eastAsia" w:cs="仿宋" w:asciiTheme="minorEastAsia" w:hAnsiTheme="minorEastAsia"/>
          <w:sz w:val="28"/>
          <w:szCs w:val="28"/>
        </w:rPr>
        <w:instrText xml:space="preserve">= 8 \* GB2</w:instrText>
      </w:r>
      <w:r>
        <w:rPr>
          <w:rFonts w:cs="仿宋" w:asciiTheme="minorEastAsia" w:hAnsiTheme="minorEastAsia"/>
          <w:sz w:val="28"/>
          <w:szCs w:val="28"/>
        </w:rPr>
        <w:fldChar w:fldCharType="separate"/>
      </w:r>
      <w:r>
        <w:rPr>
          <w:rFonts w:hint="eastAsia" w:cs="仿宋" w:asciiTheme="minorEastAsia" w:hAnsiTheme="minorEastAsia"/>
          <w:sz w:val="28"/>
          <w:szCs w:val="28"/>
        </w:rPr>
        <w:t>⑻</w:t>
      </w:r>
      <w:r>
        <w:rPr>
          <w:rFonts w:cs="仿宋" w:asciiTheme="minorEastAsia" w:hAnsiTheme="minorEastAsia"/>
          <w:sz w:val="28"/>
          <w:szCs w:val="28"/>
        </w:rPr>
        <w:fldChar w:fldCharType="end"/>
      </w:r>
      <w:r>
        <w:rPr>
          <w:rFonts w:hint="eastAsia" w:cs="仿宋" w:asciiTheme="minorEastAsia" w:hAnsiTheme="minorEastAsia"/>
          <w:sz w:val="28"/>
          <w:szCs w:val="28"/>
        </w:rPr>
        <w:t>政府采购执行率</w:t>
      </w:r>
    </w:p>
    <w:p>
      <w:pPr>
        <w:snapToGrid w:val="0"/>
        <w:spacing w:line="580" w:lineRule="exact"/>
        <w:ind w:firstLine="588"/>
        <w:rPr>
          <w:rFonts w:cs="仿宋" w:asciiTheme="minorEastAsia" w:hAnsiTheme="minorEastAsia"/>
          <w:sz w:val="28"/>
          <w:szCs w:val="28"/>
        </w:rPr>
      </w:pPr>
      <w:r>
        <w:rPr>
          <w:rFonts w:cs="仿宋" w:asciiTheme="minorEastAsia" w:hAnsiTheme="minorEastAsia"/>
          <w:sz w:val="28"/>
          <w:szCs w:val="28"/>
        </w:rPr>
        <w:t>354692</w:t>
      </w:r>
      <w:r>
        <w:rPr>
          <w:rFonts w:hint="eastAsia" w:cs="仿宋" w:asciiTheme="minorEastAsia" w:hAnsiTheme="minorEastAsia"/>
          <w:sz w:val="28"/>
          <w:szCs w:val="28"/>
        </w:rPr>
        <w:t>/3</w:t>
      </w:r>
      <w:r>
        <w:rPr>
          <w:rFonts w:cs="仿宋" w:asciiTheme="minorEastAsia" w:hAnsiTheme="minorEastAsia"/>
          <w:sz w:val="28"/>
          <w:szCs w:val="28"/>
        </w:rPr>
        <w:t>18000</w:t>
      </w:r>
      <w:r>
        <w:rPr>
          <w:rFonts w:hint="eastAsia" w:cs="仿宋" w:asciiTheme="minorEastAsia" w:hAnsiTheme="minorEastAsia"/>
          <w:sz w:val="28"/>
          <w:szCs w:val="28"/>
        </w:rPr>
        <w:t>*100=</w:t>
      </w:r>
      <w:r>
        <w:rPr>
          <w:rFonts w:cs="仿宋" w:asciiTheme="minorEastAsia" w:hAnsiTheme="minorEastAsia"/>
          <w:sz w:val="28"/>
          <w:szCs w:val="28"/>
        </w:rPr>
        <w:t>111.54</w:t>
      </w:r>
      <w:r>
        <w:rPr>
          <w:rFonts w:hint="eastAsia" w:cs="仿宋" w:asciiTheme="minorEastAsia" w:hAnsiTheme="minorEastAsia"/>
          <w:sz w:val="28"/>
          <w:szCs w:val="28"/>
        </w:rPr>
        <w:t>%≠100%，指标分1分，自评分</w:t>
      </w:r>
      <w:r>
        <w:rPr>
          <w:rFonts w:cs="仿宋" w:asciiTheme="minorEastAsia" w:hAnsiTheme="minorEastAsia"/>
          <w:sz w:val="28"/>
          <w:szCs w:val="28"/>
        </w:rPr>
        <w:t>0</w:t>
      </w:r>
      <w:r>
        <w:rPr>
          <w:rFonts w:hint="eastAsia" w:cs="仿宋" w:asciiTheme="minorEastAsia" w:hAnsiTheme="minorEastAsia"/>
          <w:sz w:val="28"/>
          <w:szCs w:val="28"/>
        </w:rPr>
        <w:t>分。</w:t>
      </w:r>
    </w:p>
    <w:p>
      <w:pPr>
        <w:snapToGrid w:val="0"/>
        <w:spacing w:line="580" w:lineRule="exact"/>
        <w:ind w:firstLine="560" w:firstLineChars="200"/>
        <w:rPr>
          <w:rFonts w:cs="仿宋" w:asciiTheme="minorEastAsia" w:hAnsiTheme="minorEastAsia"/>
          <w:sz w:val="28"/>
          <w:szCs w:val="28"/>
        </w:rPr>
      </w:pPr>
      <w:r>
        <w:rPr>
          <w:rStyle w:val="45"/>
          <w:rFonts w:asciiTheme="minorEastAsia" w:hAnsiTheme="minorEastAsia" w:eastAsiaTheme="minorEastAsia"/>
          <w:sz w:val="28"/>
          <w:szCs w:val="28"/>
        </w:rPr>
        <w:t>2.</w:t>
      </w:r>
      <w:r>
        <w:rPr>
          <w:rStyle w:val="45"/>
          <w:rFonts w:hint="eastAsia" w:asciiTheme="minorEastAsia" w:hAnsiTheme="minorEastAsia" w:eastAsiaTheme="minorEastAsia"/>
          <w:sz w:val="28"/>
          <w:szCs w:val="28"/>
        </w:rPr>
        <w:t xml:space="preserve">  预算管理：</w:t>
      </w:r>
      <w:r>
        <w:rPr>
          <w:rFonts w:hint="eastAsia" w:cs="仿宋" w:asciiTheme="minorEastAsia" w:hAnsiTheme="minorEastAsia"/>
          <w:sz w:val="28"/>
          <w:szCs w:val="28"/>
        </w:rPr>
        <w:t>指标分</w:t>
      </w:r>
      <w:r>
        <w:rPr>
          <w:rFonts w:cs="仿宋" w:asciiTheme="minorEastAsia" w:hAnsiTheme="minorEastAsia"/>
          <w:sz w:val="28"/>
          <w:szCs w:val="28"/>
        </w:rPr>
        <w:t>4</w:t>
      </w:r>
      <w:r>
        <w:rPr>
          <w:rFonts w:hint="eastAsia" w:cs="仿宋" w:asciiTheme="minorEastAsia" w:hAnsiTheme="minorEastAsia"/>
          <w:sz w:val="28"/>
          <w:szCs w:val="28"/>
        </w:rPr>
        <w:t>分，自评分</w:t>
      </w:r>
      <w:r>
        <w:rPr>
          <w:rFonts w:cs="仿宋" w:asciiTheme="minorEastAsia" w:hAnsiTheme="minorEastAsia"/>
          <w:sz w:val="28"/>
          <w:szCs w:val="28"/>
        </w:rPr>
        <w:t>4</w:t>
      </w:r>
      <w:r>
        <w:rPr>
          <w:rFonts w:hint="eastAsia" w:cs="仿宋" w:asciiTheme="minorEastAsia" w:hAnsiTheme="minorEastAsia"/>
          <w:sz w:val="28"/>
          <w:szCs w:val="28"/>
        </w:rPr>
        <w:t>分。</w:t>
      </w:r>
    </w:p>
    <w:p>
      <w:pPr>
        <w:snapToGrid w:val="0"/>
        <w:spacing w:line="580" w:lineRule="exact"/>
        <w:ind w:firstLine="588"/>
        <w:rPr>
          <w:rFonts w:cs="仿宋" w:asciiTheme="minorEastAsia" w:hAnsiTheme="minorEastAsia"/>
          <w:sz w:val="28"/>
          <w:szCs w:val="28"/>
        </w:rPr>
      </w:pPr>
      <w:r>
        <w:rPr>
          <w:rFonts w:cs="仿宋" w:asciiTheme="minorEastAsia" w:hAnsiTheme="minorEastAsia"/>
          <w:sz w:val="28"/>
          <w:szCs w:val="28"/>
        </w:rPr>
        <w:fldChar w:fldCharType="begin"/>
      </w:r>
      <w:r>
        <w:rPr>
          <w:rFonts w:hint="eastAsia" w:cs="仿宋" w:asciiTheme="minorEastAsia" w:hAnsiTheme="minorEastAsia"/>
          <w:sz w:val="28"/>
          <w:szCs w:val="28"/>
        </w:rPr>
        <w:instrText xml:space="preserve">= 1 \* GB2</w:instrText>
      </w:r>
      <w:r>
        <w:rPr>
          <w:rFonts w:cs="仿宋" w:asciiTheme="minorEastAsia" w:hAnsiTheme="minorEastAsia"/>
          <w:sz w:val="28"/>
          <w:szCs w:val="28"/>
        </w:rPr>
        <w:fldChar w:fldCharType="separate"/>
      </w:r>
      <w:r>
        <w:rPr>
          <w:rFonts w:hint="eastAsia" w:cs="仿宋" w:asciiTheme="minorEastAsia" w:hAnsiTheme="minorEastAsia"/>
          <w:sz w:val="28"/>
          <w:szCs w:val="28"/>
        </w:rPr>
        <w:t>⑴</w:t>
      </w:r>
      <w:r>
        <w:rPr>
          <w:rFonts w:cs="仿宋" w:asciiTheme="minorEastAsia" w:hAnsiTheme="minorEastAsia"/>
          <w:sz w:val="28"/>
          <w:szCs w:val="28"/>
        </w:rPr>
        <w:fldChar w:fldCharType="end"/>
      </w:r>
      <w:r>
        <w:rPr>
          <w:rFonts w:hint="eastAsia" w:cs="仿宋" w:asciiTheme="minorEastAsia" w:hAnsiTheme="minorEastAsia"/>
          <w:sz w:val="28"/>
          <w:szCs w:val="28"/>
        </w:rPr>
        <w:t>管理制度健全，指标分1分，自评分1分。</w:t>
      </w:r>
    </w:p>
    <w:p>
      <w:pPr>
        <w:snapToGrid w:val="0"/>
        <w:spacing w:line="580" w:lineRule="exact"/>
        <w:ind w:firstLine="588"/>
        <w:rPr>
          <w:rFonts w:cs="仿宋" w:asciiTheme="minorEastAsia" w:hAnsiTheme="minorEastAsia"/>
          <w:sz w:val="28"/>
          <w:szCs w:val="28"/>
        </w:rPr>
      </w:pPr>
      <w:r>
        <w:rPr>
          <w:rFonts w:cs="仿宋" w:asciiTheme="minorEastAsia" w:hAnsiTheme="minorEastAsia"/>
          <w:sz w:val="28"/>
          <w:szCs w:val="28"/>
        </w:rPr>
        <w:fldChar w:fldCharType="begin"/>
      </w:r>
      <w:r>
        <w:rPr>
          <w:rFonts w:hint="eastAsia" w:cs="仿宋" w:asciiTheme="minorEastAsia" w:hAnsiTheme="minorEastAsia"/>
          <w:sz w:val="28"/>
          <w:szCs w:val="28"/>
        </w:rPr>
        <w:instrText xml:space="preserve">= 2 \* GB2</w:instrText>
      </w:r>
      <w:r>
        <w:rPr>
          <w:rFonts w:cs="仿宋" w:asciiTheme="minorEastAsia" w:hAnsiTheme="minorEastAsia"/>
          <w:sz w:val="28"/>
          <w:szCs w:val="28"/>
        </w:rPr>
        <w:fldChar w:fldCharType="separate"/>
      </w:r>
      <w:r>
        <w:rPr>
          <w:rFonts w:hint="eastAsia" w:cs="仿宋" w:asciiTheme="minorEastAsia" w:hAnsiTheme="minorEastAsia"/>
          <w:sz w:val="28"/>
          <w:szCs w:val="28"/>
        </w:rPr>
        <w:t>⑵</w:t>
      </w:r>
      <w:r>
        <w:rPr>
          <w:rFonts w:cs="仿宋" w:asciiTheme="minorEastAsia" w:hAnsiTheme="minorEastAsia"/>
          <w:sz w:val="28"/>
          <w:szCs w:val="28"/>
        </w:rPr>
        <w:fldChar w:fldCharType="end"/>
      </w:r>
      <w:r>
        <w:rPr>
          <w:rFonts w:hint="eastAsia" w:cs="仿宋" w:asciiTheme="minorEastAsia" w:hAnsiTheme="minorEastAsia"/>
          <w:sz w:val="28"/>
          <w:szCs w:val="28"/>
        </w:rPr>
        <w:t>资金使用合规，指标分1分，自评分1分。</w:t>
      </w:r>
    </w:p>
    <w:p>
      <w:pPr>
        <w:snapToGrid w:val="0"/>
        <w:spacing w:line="580" w:lineRule="exact"/>
        <w:ind w:firstLine="588"/>
        <w:rPr>
          <w:rFonts w:cs="仿宋" w:asciiTheme="minorEastAsia" w:hAnsiTheme="minorEastAsia"/>
          <w:sz w:val="28"/>
          <w:szCs w:val="28"/>
        </w:rPr>
      </w:pPr>
      <w:r>
        <w:rPr>
          <w:rFonts w:cs="仿宋" w:asciiTheme="minorEastAsia" w:hAnsiTheme="minorEastAsia"/>
          <w:sz w:val="28"/>
          <w:szCs w:val="28"/>
        </w:rPr>
        <w:fldChar w:fldCharType="begin"/>
      </w:r>
      <w:r>
        <w:rPr>
          <w:rFonts w:hint="eastAsia" w:cs="仿宋" w:asciiTheme="minorEastAsia" w:hAnsiTheme="minorEastAsia"/>
          <w:sz w:val="28"/>
          <w:szCs w:val="28"/>
        </w:rPr>
        <w:instrText xml:space="preserve">= 3 \* GB2</w:instrText>
      </w:r>
      <w:r>
        <w:rPr>
          <w:rFonts w:cs="仿宋" w:asciiTheme="minorEastAsia" w:hAnsiTheme="minorEastAsia"/>
          <w:sz w:val="28"/>
          <w:szCs w:val="28"/>
        </w:rPr>
        <w:fldChar w:fldCharType="separate"/>
      </w:r>
      <w:r>
        <w:rPr>
          <w:rFonts w:hint="eastAsia" w:cs="仿宋" w:asciiTheme="minorEastAsia" w:hAnsiTheme="minorEastAsia"/>
          <w:sz w:val="28"/>
          <w:szCs w:val="28"/>
        </w:rPr>
        <w:t>⑶</w:t>
      </w:r>
      <w:r>
        <w:rPr>
          <w:rFonts w:cs="仿宋" w:asciiTheme="minorEastAsia" w:hAnsiTheme="minorEastAsia"/>
          <w:sz w:val="28"/>
          <w:szCs w:val="28"/>
        </w:rPr>
        <w:fldChar w:fldCharType="end"/>
      </w:r>
      <w:r>
        <w:rPr>
          <w:rFonts w:hint="eastAsia" w:cs="仿宋" w:asciiTheme="minorEastAsia" w:hAnsiTheme="minorEastAsia"/>
          <w:sz w:val="28"/>
          <w:szCs w:val="28"/>
        </w:rPr>
        <w:t>预算信息按市财政要求在部门门户网站及财政预决算公开平台公开；决算信息已按要求报送，因市级财政尚未批复我单位2</w:t>
      </w:r>
      <w:r>
        <w:rPr>
          <w:rFonts w:cs="仿宋" w:asciiTheme="minorEastAsia" w:hAnsiTheme="minorEastAsia"/>
          <w:sz w:val="28"/>
          <w:szCs w:val="28"/>
        </w:rPr>
        <w:t>021</w:t>
      </w:r>
      <w:r>
        <w:rPr>
          <w:rFonts w:hint="eastAsia" w:cs="仿宋" w:asciiTheme="minorEastAsia" w:hAnsiTheme="minorEastAsia"/>
          <w:sz w:val="28"/>
          <w:szCs w:val="28"/>
        </w:rPr>
        <w:t>年度部门决算，2</w:t>
      </w:r>
      <w:r>
        <w:rPr>
          <w:rFonts w:cs="仿宋" w:asciiTheme="minorEastAsia" w:hAnsiTheme="minorEastAsia"/>
          <w:sz w:val="28"/>
          <w:szCs w:val="28"/>
        </w:rPr>
        <w:t>021</w:t>
      </w:r>
      <w:r>
        <w:rPr>
          <w:rFonts w:hint="eastAsia" w:cs="仿宋" w:asciiTheme="minorEastAsia" w:hAnsiTheme="minorEastAsia"/>
          <w:sz w:val="28"/>
          <w:szCs w:val="28"/>
        </w:rPr>
        <w:t>年部门决算信息暂未公开。指标分1分，自评分1分。</w:t>
      </w:r>
    </w:p>
    <w:p>
      <w:pPr>
        <w:snapToGrid w:val="0"/>
        <w:spacing w:line="580" w:lineRule="exact"/>
        <w:ind w:firstLine="588"/>
        <w:rPr>
          <w:rFonts w:cs="仿宋" w:asciiTheme="minorEastAsia" w:hAnsiTheme="minorEastAsia"/>
          <w:sz w:val="28"/>
          <w:szCs w:val="28"/>
        </w:rPr>
      </w:pPr>
      <w:r>
        <w:rPr>
          <w:rFonts w:cs="仿宋" w:asciiTheme="minorEastAsia" w:hAnsiTheme="minorEastAsia"/>
          <w:sz w:val="28"/>
          <w:szCs w:val="28"/>
        </w:rPr>
        <w:fldChar w:fldCharType="begin"/>
      </w:r>
      <w:r>
        <w:rPr>
          <w:rFonts w:hint="eastAsia" w:cs="仿宋" w:asciiTheme="minorEastAsia" w:hAnsiTheme="minorEastAsia"/>
          <w:sz w:val="28"/>
          <w:szCs w:val="28"/>
        </w:rPr>
        <w:instrText xml:space="preserve">= 4 \* GB2</w:instrText>
      </w:r>
      <w:r>
        <w:rPr>
          <w:rFonts w:cs="仿宋" w:asciiTheme="minorEastAsia" w:hAnsiTheme="minorEastAsia"/>
          <w:sz w:val="28"/>
          <w:szCs w:val="28"/>
        </w:rPr>
        <w:fldChar w:fldCharType="separate"/>
      </w:r>
      <w:r>
        <w:rPr>
          <w:rFonts w:hint="eastAsia" w:cs="仿宋" w:asciiTheme="minorEastAsia" w:hAnsiTheme="minorEastAsia"/>
          <w:sz w:val="28"/>
          <w:szCs w:val="28"/>
        </w:rPr>
        <w:t>⑷</w:t>
      </w:r>
      <w:r>
        <w:rPr>
          <w:rFonts w:cs="仿宋" w:asciiTheme="minorEastAsia" w:hAnsiTheme="minorEastAsia"/>
          <w:sz w:val="28"/>
          <w:szCs w:val="28"/>
        </w:rPr>
        <w:fldChar w:fldCharType="end"/>
      </w:r>
      <w:r>
        <w:rPr>
          <w:rFonts w:hint="eastAsia" w:cs="仿宋" w:asciiTheme="minorEastAsia" w:hAnsiTheme="minorEastAsia"/>
          <w:sz w:val="28"/>
          <w:szCs w:val="28"/>
        </w:rPr>
        <w:t>基础信息完善，指标分1分。自评分1分。</w:t>
      </w:r>
    </w:p>
    <w:p>
      <w:pPr>
        <w:numPr>
          <w:ilvl w:val="0"/>
          <w:numId w:val="5"/>
        </w:numPr>
        <w:adjustRightInd w:val="0"/>
        <w:snapToGrid w:val="0"/>
        <w:spacing w:line="580" w:lineRule="exact"/>
        <w:textAlignment w:val="baseline"/>
        <w:rPr>
          <w:rFonts w:cs="仿宋" w:asciiTheme="minorEastAsia" w:hAnsiTheme="minorEastAsia"/>
          <w:sz w:val="28"/>
          <w:szCs w:val="28"/>
        </w:rPr>
      </w:pPr>
      <w:r>
        <w:rPr>
          <w:rStyle w:val="45"/>
          <w:rFonts w:hint="eastAsia" w:asciiTheme="minorEastAsia" w:hAnsiTheme="minorEastAsia" w:eastAsiaTheme="minorEastAsia"/>
          <w:sz w:val="28"/>
          <w:szCs w:val="28"/>
        </w:rPr>
        <w:t>资产管理：</w:t>
      </w:r>
      <w:r>
        <w:rPr>
          <w:rFonts w:hint="eastAsia" w:cs="仿宋" w:asciiTheme="minorEastAsia" w:hAnsiTheme="minorEastAsia"/>
          <w:sz w:val="28"/>
          <w:szCs w:val="28"/>
        </w:rPr>
        <w:t>总体控制较好，指标分</w:t>
      </w:r>
      <w:r>
        <w:rPr>
          <w:rFonts w:cs="仿宋" w:asciiTheme="minorEastAsia" w:hAnsiTheme="minorEastAsia"/>
          <w:sz w:val="28"/>
          <w:szCs w:val="28"/>
        </w:rPr>
        <w:t>3</w:t>
      </w:r>
      <w:r>
        <w:rPr>
          <w:rFonts w:hint="eastAsia" w:cs="仿宋" w:asciiTheme="minorEastAsia" w:hAnsiTheme="minorEastAsia"/>
          <w:sz w:val="28"/>
          <w:szCs w:val="28"/>
        </w:rPr>
        <w:t>分，自评分</w:t>
      </w:r>
      <w:r>
        <w:rPr>
          <w:rFonts w:cs="仿宋" w:asciiTheme="minorEastAsia" w:hAnsiTheme="minorEastAsia"/>
          <w:sz w:val="28"/>
          <w:szCs w:val="28"/>
        </w:rPr>
        <w:t>3</w:t>
      </w:r>
      <w:r>
        <w:rPr>
          <w:rFonts w:hint="eastAsia" w:cs="仿宋" w:asciiTheme="minorEastAsia" w:hAnsiTheme="minorEastAsia"/>
          <w:sz w:val="28"/>
          <w:szCs w:val="28"/>
        </w:rPr>
        <w:t>分。</w:t>
      </w:r>
    </w:p>
    <w:p>
      <w:pPr>
        <w:snapToGrid w:val="0"/>
        <w:spacing w:line="580" w:lineRule="exact"/>
        <w:ind w:firstLine="560" w:firstLineChars="200"/>
        <w:rPr>
          <w:rFonts w:cs="仿宋" w:asciiTheme="minorEastAsia" w:hAnsiTheme="minorEastAsia"/>
          <w:sz w:val="28"/>
          <w:szCs w:val="28"/>
        </w:rPr>
      </w:pPr>
      <w:r>
        <w:rPr>
          <w:rFonts w:cs="仿宋" w:asciiTheme="minorEastAsia" w:hAnsiTheme="minorEastAsia"/>
          <w:sz w:val="28"/>
          <w:szCs w:val="28"/>
        </w:rPr>
        <w:fldChar w:fldCharType="begin"/>
      </w:r>
      <w:r>
        <w:rPr>
          <w:rFonts w:hint="eastAsia" w:cs="仿宋" w:asciiTheme="minorEastAsia" w:hAnsiTheme="minorEastAsia"/>
          <w:sz w:val="28"/>
          <w:szCs w:val="28"/>
        </w:rPr>
        <w:instrText xml:space="preserve">= 1 \* GB2</w:instrText>
      </w:r>
      <w:r>
        <w:rPr>
          <w:rFonts w:cs="仿宋" w:asciiTheme="minorEastAsia" w:hAnsiTheme="minorEastAsia"/>
          <w:sz w:val="28"/>
          <w:szCs w:val="28"/>
        </w:rPr>
        <w:fldChar w:fldCharType="separate"/>
      </w:r>
      <w:r>
        <w:rPr>
          <w:rFonts w:hint="eastAsia" w:cs="仿宋" w:asciiTheme="minorEastAsia" w:hAnsiTheme="minorEastAsia"/>
          <w:sz w:val="28"/>
          <w:szCs w:val="28"/>
        </w:rPr>
        <w:t>⑴</w:t>
      </w:r>
      <w:r>
        <w:rPr>
          <w:rFonts w:cs="仿宋" w:asciiTheme="minorEastAsia" w:hAnsiTheme="minorEastAsia"/>
          <w:sz w:val="28"/>
          <w:szCs w:val="28"/>
        </w:rPr>
        <w:fldChar w:fldCharType="end"/>
      </w:r>
      <w:r>
        <w:rPr>
          <w:rFonts w:hint="eastAsia" w:cs="仿宋" w:asciiTheme="minorEastAsia" w:hAnsiTheme="minorEastAsia"/>
          <w:sz w:val="28"/>
          <w:szCs w:val="28"/>
        </w:rPr>
        <w:t>资产管理制度健全，指标分1分，自评分1分。</w:t>
      </w:r>
    </w:p>
    <w:p>
      <w:pPr>
        <w:pStyle w:val="3"/>
        <w:ind w:left="420" w:right="420"/>
        <w:jc w:val="both"/>
        <w:rPr>
          <w:rFonts w:hint="default" w:cs="仿宋" w:asciiTheme="minorEastAsia" w:hAnsiTheme="minorEastAsia" w:eastAsiaTheme="minorEastAsia"/>
          <w:sz w:val="28"/>
          <w:szCs w:val="28"/>
        </w:rPr>
      </w:pPr>
      <w:r>
        <w:rPr>
          <w:rFonts w:cs="仿宋" w:asciiTheme="minorEastAsia" w:hAnsiTheme="minorEastAsia" w:eastAsiaTheme="minorEastAsia"/>
          <w:sz w:val="28"/>
          <w:szCs w:val="28"/>
        </w:rPr>
        <w:fldChar w:fldCharType="begin"/>
      </w:r>
      <w:r>
        <w:rPr>
          <w:rFonts w:cs="仿宋" w:asciiTheme="minorEastAsia" w:hAnsiTheme="minorEastAsia" w:eastAsiaTheme="minorEastAsia"/>
          <w:sz w:val="28"/>
          <w:szCs w:val="28"/>
        </w:rPr>
        <w:instrText xml:space="preserve"> = 2 \* GB2 </w:instrText>
      </w:r>
      <w:r>
        <w:rPr>
          <w:rFonts w:cs="仿宋" w:asciiTheme="minorEastAsia" w:hAnsiTheme="minorEastAsia" w:eastAsiaTheme="minorEastAsia"/>
          <w:sz w:val="28"/>
          <w:szCs w:val="28"/>
        </w:rPr>
        <w:fldChar w:fldCharType="separate"/>
      </w:r>
      <w:r>
        <w:rPr>
          <w:rFonts w:cs="仿宋" w:asciiTheme="minorEastAsia" w:hAnsiTheme="minorEastAsia" w:eastAsiaTheme="minorEastAsia"/>
          <w:sz w:val="28"/>
          <w:szCs w:val="28"/>
        </w:rPr>
        <w:t>⑵</w:t>
      </w:r>
      <w:r>
        <w:rPr>
          <w:rFonts w:cs="仿宋" w:asciiTheme="minorEastAsia" w:hAnsiTheme="minorEastAsia" w:eastAsiaTheme="minorEastAsia"/>
          <w:sz w:val="28"/>
          <w:szCs w:val="28"/>
        </w:rPr>
        <w:fldChar w:fldCharType="end"/>
      </w:r>
      <w:r>
        <w:rPr>
          <w:rFonts w:cs="仿宋" w:asciiTheme="minorEastAsia" w:hAnsiTheme="minorEastAsia" w:eastAsiaTheme="minorEastAsia"/>
          <w:sz w:val="28"/>
          <w:szCs w:val="28"/>
        </w:rPr>
        <w:t>资产管理安全，指标分1分，自评分1分。</w:t>
      </w:r>
    </w:p>
    <w:p>
      <w:pPr>
        <w:snapToGrid w:val="0"/>
        <w:spacing w:line="580" w:lineRule="exact"/>
        <w:ind w:firstLine="560" w:firstLineChars="200"/>
        <w:rPr>
          <w:rFonts w:cs="仿宋" w:asciiTheme="minorEastAsia" w:hAnsiTheme="minorEastAsia"/>
          <w:sz w:val="28"/>
          <w:szCs w:val="28"/>
        </w:rPr>
      </w:pPr>
      <w:r>
        <w:rPr>
          <w:rFonts w:cs="仿宋" w:asciiTheme="minorEastAsia" w:hAnsiTheme="minorEastAsia"/>
          <w:sz w:val="28"/>
          <w:szCs w:val="28"/>
        </w:rPr>
        <w:fldChar w:fldCharType="begin"/>
      </w:r>
      <w:r>
        <w:rPr>
          <w:rFonts w:hint="eastAsia" w:cs="仿宋" w:asciiTheme="minorEastAsia" w:hAnsiTheme="minorEastAsia"/>
          <w:sz w:val="28"/>
          <w:szCs w:val="28"/>
        </w:rPr>
        <w:instrText xml:space="preserve">= 3 \* GB2</w:instrText>
      </w:r>
      <w:r>
        <w:rPr>
          <w:rFonts w:cs="仿宋" w:asciiTheme="minorEastAsia" w:hAnsiTheme="minorEastAsia"/>
          <w:sz w:val="28"/>
          <w:szCs w:val="28"/>
        </w:rPr>
        <w:fldChar w:fldCharType="separate"/>
      </w:r>
      <w:r>
        <w:rPr>
          <w:rFonts w:hint="eastAsia" w:cs="仿宋" w:asciiTheme="minorEastAsia" w:hAnsiTheme="minorEastAsia"/>
          <w:sz w:val="28"/>
          <w:szCs w:val="28"/>
        </w:rPr>
        <w:t>⑶</w:t>
      </w:r>
      <w:r>
        <w:rPr>
          <w:rFonts w:cs="仿宋" w:asciiTheme="minorEastAsia" w:hAnsiTheme="minorEastAsia"/>
          <w:sz w:val="28"/>
          <w:szCs w:val="28"/>
        </w:rPr>
        <w:fldChar w:fldCharType="end"/>
      </w:r>
      <w:r>
        <w:rPr>
          <w:rFonts w:hint="eastAsia" w:cs="仿宋" w:asciiTheme="minorEastAsia" w:hAnsiTheme="minorEastAsia"/>
          <w:sz w:val="28"/>
          <w:szCs w:val="28"/>
        </w:rPr>
        <w:t>固定资产利用率1</w:t>
      </w:r>
      <w:r>
        <w:rPr>
          <w:rFonts w:cs="仿宋" w:asciiTheme="minorEastAsia" w:hAnsiTheme="minorEastAsia"/>
          <w:sz w:val="28"/>
          <w:szCs w:val="28"/>
        </w:rPr>
        <w:t>00</w:t>
      </w:r>
      <w:r>
        <w:rPr>
          <w:rFonts w:hint="eastAsia" w:cs="仿宋" w:asciiTheme="minorEastAsia" w:hAnsiTheme="minorEastAsia"/>
          <w:sz w:val="28"/>
          <w:szCs w:val="28"/>
        </w:rPr>
        <w:t>%，指标分1分，自评分1分。</w:t>
      </w:r>
    </w:p>
    <w:p>
      <w:pPr>
        <w:pStyle w:val="3"/>
        <w:ind w:left="420" w:right="420"/>
        <w:jc w:val="both"/>
        <w:rPr>
          <w:rFonts w:hint="default" w:asciiTheme="minorEastAsia" w:hAnsiTheme="minorEastAsia" w:eastAsiaTheme="minorEastAsia"/>
          <w:sz w:val="28"/>
          <w:szCs w:val="28"/>
        </w:rPr>
      </w:pPr>
      <w:r>
        <w:rPr>
          <w:rFonts w:asciiTheme="minorEastAsia" w:hAnsiTheme="minorEastAsia" w:eastAsiaTheme="minorEastAsia"/>
          <w:sz w:val="28"/>
          <w:szCs w:val="28"/>
        </w:rPr>
        <w:t>（三）产出（职责履行）：</w:t>
      </w:r>
      <w:r>
        <w:rPr>
          <w:rFonts w:cs="仿宋" w:asciiTheme="minorEastAsia" w:hAnsiTheme="minorEastAsia" w:eastAsiaTheme="minorEastAsia"/>
          <w:b w:val="0"/>
          <w:kern w:val="2"/>
          <w:sz w:val="28"/>
          <w:szCs w:val="28"/>
        </w:rPr>
        <w:t>指标分30分，自评分28分。</w:t>
      </w:r>
    </w:p>
    <w:p>
      <w:pPr>
        <w:pStyle w:val="3"/>
        <w:numPr>
          <w:ilvl w:val="0"/>
          <w:numId w:val="6"/>
        </w:numPr>
        <w:ind w:leftChars="0" w:right="420"/>
        <w:jc w:val="both"/>
        <w:rPr>
          <w:rFonts w:hint="default" w:asciiTheme="minorEastAsia" w:hAnsiTheme="minorEastAsia" w:eastAsiaTheme="minorEastAsia"/>
          <w:sz w:val="28"/>
          <w:szCs w:val="28"/>
        </w:rPr>
      </w:pPr>
      <w:r>
        <w:rPr>
          <w:rFonts w:asciiTheme="minorEastAsia" w:hAnsiTheme="minorEastAsia" w:eastAsiaTheme="minorEastAsia"/>
          <w:sz w:val="28"/>
          <w:szCs w:val="28"/>
        </w:rPr>
        <w:t>实际完成率</w:t>
      </w:r>
    </w:p>
    <w:p>
      <w:pPr>
        <w:spacing w:line="580" w:lineRule="exact"/>
        <w:ind w:left="567"/>
        <w:jc w:val="distribute"/>
        <w:rPr>
          <w:rFonts w:hint="eastAsia" w:asciiTheme="minorEastAsia" w:hAnsiTheme="minorEastAsia"/>
          <w:sz w:val="28"/>
          <w:szCs w:val="28"/>
        </w:rPr>
      </w:pPr>
      <w:r>
        <w:rPr>
          <w:rFonts w:hint="eastAsia" w:asciiTheme="minorEastAsia" w:hAnsiTheme="minorEastAsia"/>
          <w:sz w:val="28"/>
          <w:szCs w:val="28"/>
        </w:rPr>
        <w:t>2</w:t>
      </w:r>
      <w:r>
        <w:rPr>
          <w:rFonts w:asciiTheme="minorEastAsia" w:hAnsiTheme="minorEastAsia"/>
          <w:sz w:val="28"/>
          <w:szCs w:val="28"/>
        </w:rPr>
        <w:t>021</w:t>
      </w:r>
      <w:r>
        <w:rPr>
          <w:rFonts w:hint="eastAsia" w:asciiTheme="minorEastAsia" w:hAnsiTheme="minorEastAsia"/>
          <w:sz w:val="28"/>
          <w:szCs w:val="28"/>
        </w:rPr>
        <w:t>年，森林公安局和行政执法股全年共查处盗伐、滥伐案件</w:t>
      </w:r>
    </w:p>
    <w:p>
      <w:pPr>
        <w:spacing w:line="580" w:lineRule="exact"/>
        <w:rPr>
          <w:rFonts w:asciiTheme="minorEastAsia" w:hAnsiTheme="minorEastAsia"/>
          <w:sz w:val="28"/>
          <w:szCs w:val="28"/>
        </w:rPr>
      </w:pPr>
      <w:r>
        <w:rPr>
          <w:rFonts w:hint="eastAsia" w:asciiTheme="minorEastAsia" w:hAnsiTheme="minorEastAsia"/>
          <w:sz w:val="28"/>
          <w:szCs w:val="28"/>
        </w:rPr>
        <w:t>1起，查处森林火灾案件0起，办理开山采砂等擅自改变林地用途案件24起，查处非法狩猎案件</w:t>
      </w:r>
      <w:r>
        <w:rPr>
          <w:rFonts w:asciiTheme="minorEastAsia" w:hAnsiTheme="minorEastAsia"/>
          <w:sz w:val="28"/>
          <w:szCs w:val="28"/>
        </w:rPr>
        <w:t>4</w:t>
      </w:r>
      <w:r>
        <w:rPr>
          <w:rFonts w:hint="eastAsia" w:asciiTheme="minorEastAsia" w:hAnsiTheme="minorEastAsia"/>
          <w:sz w:val="28"/>
          <w:szCs w:val="28"/>
        </w:rPr>
        <w:t>起，治安巡逻每月超4次，全年培训学习超4次。根据省林业局的要求，如期完成了森林督查及资源数据库更新。有效管护森林1</w:t>
      </w:r>
      <w:r>
        <w:rPr>
          <w:rFonts w:asciiTheme="minorEastAsia" w:hAnsiTheme="minorEastAsia"/>
          <w:sz w:val="28"/>
          <w:szCs w:val="28"/>
        </w:rPr>
        <w:t>39</w:t>
      </w:r>
      <w:r>
        <w:rPr>
          <w:rFonts w:hint="eastAsia" w:asciiTheme="minorEastAsia" w:hAnsiTheme="minorEastAsia"/>
          <w:sz w:val="28"/>
          <w:szCs w:val="28"/>
        </w:rPr>
        <w:t>万多亩。按计划和政府采购程序，购置了森林防火物资，防扑火队伍培训3</w:t>
      </w:r>
      <w:r>
        <w:rPr>
          <w:rFonts w:asciiTheme="minorEastAsia" w:hAnsiTheme="minorEastAsia"/>
          <w:sz w:val="28"/>
          <w:szCs w:val="28"/>
        </w:rPr>
        <w:t>00</w:t>
      </w:r>
      <w:r>
        <w:rPr>
          <w:rFonts w:hint="eastAsia" w:asciiTheme="minorEastAsia" w:hAnsiTheme="minorEastAsia"/>
          <w:sz w:val="28"/>
          <w:szCs w:val="28"/>
        </w:rPr>
        <w:t>人次，发放森林防火宣传资料3万份，出动65台次宣传车进行森林防火宣传，对护林员G</w:t>
      </w:r>
      <w:r>
        <w:rPr>
          <w:rFonts w:asciiTheme="minorEastAsia" w:hAnsiTheme="minorEastAsia"/>
          <w:sz w:val="28"/>
          <w:szCs w:val="28"/>
        </w:rPr>
        <w:t>PS</w:t>
      </w:r>
      <w:r>
        <w:rPr>
          <w:rFonts w:hint="eastAsia" w:asciiTheme="minorEastAsia" w:hAnsiTheme="minorEastAsia"/>
          <w:sz w:val="28"/>
          <w:szCs w:val="28"/>
        </w:rPr>
        <w:t>系统进行了有效维护（但资金尚未拨付）。根据上级主管部门要求，对全市1</w:t>
      </w:r>
      <w:r>
        <w:rPr>
          <w:rFonts w:asciiTheme="minorEastAsia" w:hAnsiTheme="minorEastAsia"/>
          <w:sz w:val="28"/>
          <w:szCs w:val="28"/>
        </w:rPr>
        <w:t>39</w:t>
      </w:r>
      <w:r>
        <w:rPr>
          <w:rFonts w:hint="eastAsia" w:asciiTheme="minorEastAsia" w:hAnsiTheme="minorEastAsia"/>
          <w:sz w:val="28"/>
          <w:szCs w:val="28"/>
        </w:rPr>
        <w:t>万多亩林地进行了林业有害生物普查，监测率和普查率达到1</w:t>
      </w:r>
      <w:r>
        <w:rPr>
          <w:rFonts w:asciiTheme="minorEastAsia" w:hAnsiTheme="minorEastAsia"/>
          <w:sz w:val="28"/>
          <w:szCs w:val="28"/>
        </w:rPr>
        <w:t>00</w:t>
      </w:r>
      <w:r>
        <w:rPr>
          <w:rFonts w:hint="eastAsia" w:asciiTheme="minorEastAsia" w:hAnsiTheme="minorEastAsia"/>
          <w:sz w:val="28"/>
          <w:szCs w:val="28"/>
        </w:rPr>
        <w:t>%；通过有效宣传和积极预防，全市松材线虫病、黄脊竹蝗、马尾松毛虫、松褐天牛、银杏大蚕蛾等林业有害生物发生面积5.51万亩，防治面积5.51万亩，防治率100%，无公害防治率100%；对全市58万亩松林进行了春秋两次普查，监测普查率100%，全市有10多个乡镇和东台山国家森林公园感染了松材线虫病，发现松枯死木11148株，感病枯死松木率控制在3</w:t>
      </w:r>
      <w:r>
        <w:rPr>
          <w:rFonts w:hint="eastAsia" w:ascii="MS Gothic" w:hAnsi="MS Gothic" w:eastAsia="MS Gothic" w:cs="MS Gothic"/>
          <w:sz w:val="28"/>
          <w:szCs w:val="28"/>
        </w:rPr>
        <w:t>‱</w:t>
      </w:r>
      <w:r>
        <w:rPr>
          <w:rFonts w:hint="eastAsia" w:asciiTheme="minorEastAsia" w:hAnsiTheme="minorEastAsia"/>
          <w:sz w:val="28"/>
          <w:szCs w:val="28"/>
        </w:rPr>
        <w:t>以内。出动野生动物保护宣传车4</w:t>
      </w:r>
      <w:r>
        <w:rPr>
          <w:rFonts w:asciiTheme="minorEastAsia" w:hAnsiTheme="minorEastAsia"/>
          <w:sz w:val="28"/>
          <w:szCs w:val="28"/>
        </w:rPr>
        <w:t>0</w:t>
      </w:r>
      <w:r>
        <w:rPr>
          <w:rFonts w:hint="eastAsia" w:asciiTheme="minorEastAsia" w:hAnsiTheme="minorEastAsia"/>
          <w:sz w:val="28"/>
          <w:szCs w:val="28"/>
        </w:rPr>
        <w:t>台次，制作并张贴野生保护标语3条，发放野生动物保护宣传资料2万份，救助野生动物园15只。其中受伤野生动物12只，及时送救助站救助12只。实际完成率1</w:t>
      </w:r>
      <w:r>
        <w:rPr>
          <w:rFonts w:asciiTheme="minorEastAsia" w:hAnsiTheme="minorEastAsia"/>
          <w:sz w:val="28"/>
          <w:szCs w:val="28"/>
        </w:rPr>
        <w:t>00</w:t>
      </w:r>
      <w:r>
        <w:rPr>
          <w:rFonts w:hint="eastAsia" w:asciiTheme="minorEastAsia" w:hAnsiTheme="minorEastAsia"/>
          <w:sz w:val="28"/>
          <w:szCs w:val="28"/>
        </w:rPr>
        <w:t>%，指标分</w:t>
      </w:r>
      <w:r>
        <w:rPr>
          <w:rFonts w:asciiTheme="minorEastAsia" w:hAnsiTheme="minorEastAsia"/>
          <w:sz w:val="28"/>
          <w:szCs w:val="28"/>
        </w:rPr>
        <w:t>8</w:t>
      </w:r>
      <w:r>
        <w:rPr>
          <w:rFonts w:hint="eastAsia" w:asciiTheme="minorEastAsia" w:hAnsiTheme="minorEastAsia"/>
          <w:sz w:val="28"/>
          <w:szCs w:val="28"/>
        </w:rPr>
        <w:t>分，自评分7分。</w:t>
      </w:r>
    </w:p>
    <w:p>
      <w:pPr>
        <w:pStyle w:val="3"/>
        <w:ind w:left="132" w:leftChars="63" w:right="420" w:firstLine="280" w:firstLineChars="100"/>
        <w:jc w:val="both"/>
        <w:rPr>
          <w:rFonts w:hint="default" w:asciiTheme="minorEastAsia" w:hAnsiTheme="minorEastAsia" w:eastAsiaTheme="minorEastAsia"/>
          <w:sz w:val="28"/>
          <w:szCs w:val="28"/>
        </w:rPr>
      </w:pPr>
      <w:r>
        <w:rPr>
          <w:rFonts w:asciiTheme="minorEastAsia" w:hAnsiTheme="minorEastAsia" w:eastAsiaTheme="minorEastAsia"/>
          <w:sz w:val="28"/>
          <w:szCs w:val="28"/>
        </w:rPr>
        <w:t>2.  完成及时率</w:t>
      </w:r>
    </w:p>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上述项目大部分在2</w:t>
      </w:r>
      <w:r>
        <w:rPr>
          <w:rFonts w:cs="仿宋" w:asciiTheme="minorEastAsia" w:hAnsiTheme="minorEastAsia"/>
          <w:sz w:val="28"/>
          <w:szCs w:val="28"/>
        </w:rPr>
        <w:t>021</w:t>
      </w:r>
      <w:r>
        <w:rPr>
          <w:rFonts w:hint="eastAsia" w:cs="仿宋" w:asciiTheme="minorEastAsia" w:hAnsiTheme="minorEastAsia"/>
          <w:sz w:val="28"/>
          <w:szCs w:val="28"/>
        </w:rPr>
        <w:t>年1</w:t>
      </w:r>
      <w:r>
        <w:rPr>
          <w:rFonts w:cs="仿宋" w:asciiTheme="minorEastAsia" w:hAnsiTheme="minorEastAsia"/>
          <w:sz w:val="28"/>
          <w:szCs w:val="28"/>
        </w:rPr>
        <w:t>2</w:t>
      </w:r>
      <w:r>
        <w:rPr>
          <w:rFonts w:hint="eastAsia" w:cs="仿宋" w:asciiTheme="minorEastAsia" w:hAnsiTheme="minorEastAsia"/>
          <w:sz w:val="28"/>
          <w:szCs w:val="28"/>
        </w:rPr>
        <w:t>月前完成（项目建设进度），完成及时率90%，</w:t>
      </w:r>
      <w:r>
        <w:rPr>
          <w:rFonts w:hint="eastAsia" w:cs="仿宋" w:asciiTheme="minorEastAsia" w:hAnsiTheme="minorEastAsia"/>
          <w:bCs/>
          <w:sz w:val="28"/>
          <w:szCs w:val="28"/>
        </w:rPr>
        <w:t>因林业项目的特殊性及资金调度困难等因素影响，部分项目资金未在202</w:t>
      </w:r>
      <w:r>
        <w:rPr>
          <w:rFonts w:cs="仿宋" w:asciiTheme="minorEastAsia" w:hAnsiTheme="minorEastAsia"/>
          <w:bCs/>
          <w:sz w:val="28"/>
          <w:szCs w:val="28"/>
        </w:rPr>
        <w:t>2</w:t>
      </w:r>
      <w:r>
        <w:rPr>
          <w:rFonts w:hint="eastAsia" w:cs="仿宋" w:asciiTheme="minorEastAsia" w:hAnsiTheme="minorEastAsia"/>
          <w:bCs/>
          <w:sz w:val="28"/>
          <w:szCs w:val="28"/>
        </w:rPr>
        <w:t>年3月前拨付到位（资金拨付进度）。</w:t>
      </w:r>
      <w:r>
        <w:rPr>
          <w:rFonts w:hint="eastAsia" w:cs="仿宋" w:asciiTheme="minorEastAsia" w:hAnsiTheme="minorEastAsia"/>
          <w:sz w:val="28"/>
          <w:szCs w:val="28"/>
        </w:rPr>
        <w:t>指标分</w:t>
      </w:r>
      <w:r>
        <w:rPr>
          <w:rFonts w:cs="仿宋" w:asciiTheme="minorEastAsia" w:hAnsiTheme="minorEastAsia"/>
          <w:sz w:val="28"/>
          <w:szCs w:val="28"/>
        </w:rPr>
        <w:t>8</w:t>
      </w:r>
      <w:r>
        <w:rPr>
          <w:rFonts w:hint="eastAsia" w:cs="仿宋" w:asciiTheme="minorEastAsia" w:hAnsiTheme="minorEastAsia"/>
          <w:sz w:val="28"/>
          <w:szCs w:val="28"/>
        </w:rPr>
        <w:t>分，自评分7分。</w:t>
      </w:r>
    </w:p>
    <w:p>
      <w:pPr>
        <w:pStyle w:val="43"/>
        <w:numPr>
          <w:ilvl w:val="0"/>
          <w:numId w:val="6"/>
        </w:numPr>
        <w:ind w:leftChars="0" w:right="42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质量达标率</w:t>
      </w:r>
    </w:p>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森林公安和林业行政执法股规范执法，执法检查通过了上级验收并获得好评。森林督查及资源管理一张图更新通过了省级验收。森林资源管护率1</w:t>
      </w:r>
      <w:r>
        <w:rPr>
          <w:rFonts w:cs="仿宋" w:asciiTheme="minorEastAsia" w:hAnsiTheme="minorEastAsia"/>
          <w:sz w:val="28"/>
          <w:szCs w:val="28"/>
        </w:rPr>
        <w:t>00</w:t>
      </w:r>
      <w:r>
        <w:rPr>
          <w:rFonts w:hint="eastAsia" w:cs="仿宋" w:asciiTheme="minorEastAsia" w:hAnsiTheme="minorEastAsia"/>
          <w:sz w:val="28"/>
          <w:szCs w:val="28"/>
        </w:rPr>
        <w:t>%，森林火灾控制在0</w:t>
      </w:r>
      <w:r>
        <w:rPr>
          <w:rFonts w:cs="仿宋" w:asciiTheme="minorEastAsia" w:hAnsiTheme="minorEastAsia"/>
          <w:sz w:val="28"/>
          <w:szCs w:val="28"/>
        </w:rPr>
        <w:t>.9</w:t>
      </w:r>
      <w:r>
        <w:rPr>
          <w:rFonts w:hint="eastAsia" w:cs="Malgun Gothic Semilight" w:asciiTheme="minorEastAsia" w:hAnsiTheme="minorEastAsia"/>
          <w:sz w:val="28"/>
          <w:szCs w:val="28"/>
        </w:rPr>
        <w:t>‰</w:t>
      </w:r>
      <w:r>
        <w:rPr>
          <w:rFonts w:hint="eastAsia" w:cs="仿宋" w:asciiTheme="minorEastAsia" w:hAnsiTheme="minorEastAsia"/>
          <w:sz w:val="28"/>
          <w:szCs w:val="28"/>
        </w:rPr>
        <w:t>以下。林业有害生物测报准确率在9</w:t>
      </w:r>
      <w:r>
        <w:rPr>
          <w:rFonts w:cs="仿宋" w:asciiTheme="minorEastAsia" w:hAnsiTheme="minorEastAsia"/>
          <w:sz w:val="28"/>
          <w:szCs w:val="28"/>
        </w:rPr>
        <w:t>0</w:t>
      </w:r>
      <w:r>
        <w:rPr>
          <w:rFonts w:hint="eastAsia" w:cs="仿宋" w:asciiTheme="minorEastAsia" w:hAnsiTheme="minorEastAsia"/>
          <w:sz w:val="28"/>
          <w:szCs w:val="28"/>
        </w:rPr>
        <w:t>%以上，</w:t>
      </w:r>
      <w:r>
        <w:rPr>
          <w:rFonts w:hint="eastAsia" w:asciiTheme="minorEastAsia" w:hAnsiTheme="minorEastAsia"/>
          <w:sz w:val="28"/>
          <w:szCs w:val="28"/>
        </w:rPr>
        <w:t>全市林业有害生物成灾面积1380亩，成灾控制率控制在3.3‰以下</w:t>
      </w:r>
      <w:r>
        <w:rPr>
          <w:rFonts w:hint="eastAsia" w:cs="仿宋" w:asciiTheme="minorEastAsia" w:hAnsiTheme="minorEastAsia"/>
          <w:sz w:val="28"/>
          <w:szCs w:val="28"/>
        </w:rPr>
        <w:t>。受伤野生动物救灾率在100%。上述项目的质量均达标，指标分</w:t>
      </w:r>
      <w:r>
        <w:rPr>
          <w:rFonts w:cs="仿宋" w:asciiTheme="minorEastAsia" w:hAnsiTheme="minorEastAsia"/>
          <w:sz w:val="28"/>
          <w:szCs w:val="28"/>
        </w:rPr>
        <w:t>8</w:t>
      </w:r>
      <w:r>
        <w:rPr>
          <w:rFonts w:hint="eastAsia" w:cs="仿宋" w:asciiTheme="minorEastAsia" w:hAnsiTheme="minorEastAsia"/>
          <w:sz w:val="28"/>
          <w:szCs w:val="28"/>
        </w:rPr>
        <w:t>分，自评分</w:t>
      </w:r>
      <w:r>
        <w:rPr>
          <w:rFonts w:cs="仿宋" w:asciiTheme="minorEastAsia" w:hAnsiTheme="minorEastAsia"/>
          <w:sz w:val="28"/>
          <w:szCs w:val="28"/>
        </w:rPr>
        <w:t>8</w:t>
      </w:r>
      <w:r>
        <w:rPr>
          <w:rFonts w:hint="eastAsia" w:cs="仿宋" w:asciiTheme="minorEastAsia" w:hAnsiTheme="minorEastAsia"/>
          <w:sz w:val="28"/>
          <w:szCs w:val="28"/>
        </w:rPr>
        <w:t>分。</w:t>
      </w:r>
    </w:p>
    <w:p>
      <w:pPr>
        <w:pStyle w:val="43"/>
        <w:numPr>
          <w:ilvl w:val="0"/>
          <w:numId w:val="6"/>
        </w:numPr>
        <w:ind w:leftChars="0" w:right="42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重点工作办结率</w:t>
      </w:r>
    </w:p>
    <w:p>
      <w:pPr>
        <w:snapToGrid w:val="0"/>
        <w:spacing w:line="580" w:lineRule="exact"/>
        <w:ind w:firstLine="560" w:firstLineChars="200"/>
        <w:rPr>
          <w:rFonts w:cs="仿宋" w:asciiTheme="minorEastAsia" w:hAnsiTheme="minorEastAsia"/>
          <w:bCs/>
          <w:sz w:val="28"/>
          <w:szCs w:val="28"/>
        </w:rPr>
      </w:pPr>
      <w:r>
        <w:rPr>
          <w:rFonts w:hint="eastAsia" w:cs="仿宋" w:asciiTheme="minorEastAsia" w:hAnsiTheme="minorEastAsia"/>
          <w:bCs/>
          <w:sz w:val="28"/>
          <w:szCs w:val="28"/>
        </w:rPr>
        <w:t>20</w:t>
      </w:r>
      <w:r>
        <w:rPr>
          <w:rFonts w:cs="仿宋" w:asciiTheme="minorEastAsia" w:hAnsiTheme="minorEastAsia"/>
          <w:bCs/>
          <w:sz w:val="28"/>
          <w:szCs w:val="28"/>
        </w:rPr>
        <w:t>21</w:t>
      </w:r>
      <w:r>
        <w:rPr>
          <w:rFonts w:hint="eastAsia" w:cs="仿宋" w:asciiTheme="minorEastAsia" w:hAnsiTheme="minorEastAsia"/>
          <w:bCs/>
          <w:sz w:val="28"/>
          <w:szCs w:val="28"/>
        </w:rPr>
        <w:t>年，无论是资源保护、生态安全还是林业改革与服务工作深化、林业队伍建设等方面，都如期完成，重点工作办结率</w:t>
      </w:r>
      <w:r>
        <w:rPr>
          <w:rFonts w:hint="eastAsia" w:cs="仿宋" w:asciiTheme="minorEastAsia" w:hAnsiTheme="minorEastAsia"/>
          <w:sz w:val="28"/>
          <w:szCs w:val="28"/>
        </w:rPr>
        <w:t>1</w:t>
      </w:r>
      <w:r>
        <w:rPr>
          <w:rFonts w:cs="仿宋" w:asciiTheme="minorEastAsia" w:hAnsiTheme="minorEastAsia"/>
          <w:sz w:val="28"/>
          <w:szCs w:val="28"/>
        </w:rPr>
        <w:t>00</w:t>
      </w:r>
      <w:r>
        <w:rPr>
          <w:rFonts w:hint="eastAsia" w:cs="仿宋" w:asciiTheme="minorEastAsia" w:hAnsiTheme="minorEastAsia"/>
          <w:sz w:val="28"/>
          <w:szCs w:val="28"/>
        </w:rPr>
        <w:t>%，指标分</w:t>
      </w:r>
      <w:r>
        <w:rPr>
          <w:rFonts w:cs="仿宋" w:asciiTheme="minorEastAsia" w:hAnsiTheme="minorEastAsia"/>
          <w:sz w:val="28"/>
          <w:szCs w:val="28"/>
        </w:rPr>
        <w:t>6</w:t>
      </w:r>
      <w:r>
        <w:rPr>
          <w:rFonts w:hint="eastAsia" w:cs="仿宋" w:asciiTheme="minorEastAsia" w:hAnsiTheme="minorEastAsia"/>
          <w:sz w:val="28"/>
          <w:szCs w:val="28"/>
        </w:rPr>
        <w:t>分，自评分</w:t>
      </w:r>
      <w:r>
        <w:rPr>
          <w:rFonts w:cs="仿宋" w:asciiTheme="minorEastAsia" w:hAnsiTheme="minorEastAsia"/>
          <w:sz w:val="28"/>
          <w:szCs w:val="28"/>
        </w:rPr>
        <w:t>6</w:t>
      </w:r>
      <w:r>
        <w:rPr>
          <w:rFonts w:hint="eastAsia" w:cs="仿宋" w:asciiTheme="minorEastAsia" w:hAnsiTheme="minorEastAsia"/>
          <w:sz w:val="28"/>
          <w:szCs w:val="28"/>
        </w:rPr>
        <w:t>分。</w:t>
      </w:r>
    </w:p>
    <w:p>
      <w:pPr>
        <w:pStyle w:val="3"/>
        <w:ind w:left="420" w:right="420"/>
        <w:jc w:val="both"/>
        <w:rPr>
          <w:rFonts w:hint="default" w:asciiTheme="minorEastAsia" w:hAnsiTheme="minorEastAsia" w:eastAsiaTheme="minorEastAsia"/>
          <w:sz w:val="28"/>
          <w:szCs w:val="28"/>
        </w:rPr>
      </w:pPr>
      <w:r>
        <w:rPr>
          <w:rFonts w:asciiTheme="minorEastAsia" w:hAnsiTheme="minorEastAsia" w:eastAsiaTheme="minorEastAsia"/>
          <w:sz w:val="28"/>
          <w:szCs w:val="28"/>
        </w:rPr>
        <w:t>（四）效果（履职效益）</w:t>
      </w:r>
    </w:p>
    <w:p>
      <w:pPr>
        <w:spacing w:line="580" w:lineRule="exact"/>
        <w:ind w:firstLine="560" w:firstLineChars="200"/>
        <w:rPr>
          <w:rFonts w:cs="仿宋" w:asciiTheme="minorEastAsia" w:hAnsiTheme="minorEastAsia"/>
          <w:sz w:val="28"/>
          <w:szCs w:val="28"/>
        </w:rPr>
      </w:pPr>
      <w:r>
        <w:rPr>
          <w:rFonts w:cs="仿宋" w:asciiTheme="minorEastAsia" w:hAnsiTheme="minorEastAsia"/>
          <w:sz w:val="28"/>
          <w:szCs w:val="28"/>
        </w:rPr>
        <w:t>财政预算资金取得了较好的成效，指标分40分，自评分40分：</w:t>
      </w:r>
    </w:p>
    <w:p>
      <w:pPr>
        <w:numPr>
          <w:ilvl w:val="0"/>
          <w:numId w:val="7"/>
        </w:numPr>
        <w:adjustRightInd w:val="0"/>
        <w:spacing w:line="580" w:lineRule="exact"/>
        <w:textAlignment w:val="baseline"/>
        <w:rPr>
          <w:rFonts w:cs="仿宋" w:asciiTheme="minorEastAsia" w:hAnsiTheme="minorEastAsia"/>
          <w:b/>
          <w:sz w:val="28"/>
          <w:szCs w:val="28"/>
        </w:rPr>
      </w:pPr>
      <w:r>
        <w:rPr>
          <w:rFonts w:hint="eastAsia" w:cs="仿宋" w:asciiTheme="minorEastAsia" w:hAnsiTheme="minorEastAsia"/>
          <w:b/>
          <w:sz w:val="28"/>
          <w:szCs w:val="28"/>
        </w:rPr>
        <w:t>经济效益</w:t>
      </w:r>
    </w:p>
    <w:p>
      <w:pPr>
        <w:spacing w:line="580" w:lineRule="exact"/>
        <w:ind w:firstLine="560" w:firstLineChars="200"/>
        <w:rPr>
          <w:rFonts w:cs="仿宋" w:asciiTheme="minorEastAsia" w:hAnsiTheme="minorEastAsia"/>
          <w:sz w:val="28"/>
          <w:szCs w:val="28"/>
        </w:rPr>
      </w:pPr>
      <w:r>
        <w:rPr>
          <w:rFonts w:cs="仿宋" w:asciiTheme="minorEastAsia" w:hAnsiTheme="minorEastAsia"/>
          <w:sz w:val="28"/>
          <w:szCs w:val="28"/>
        </w:rPr>
        <w:t>2</w:t>
      </w:r>
      <w:r>
        <w:rPr>
          <w:rFonts w:hint="eastAsia" w:cs="仿宋" w:asciiTheme="minorEastAsia" w:hAnsiTheme="minorEastAsia"/>
          <w:sz w:val="28"/>
          <w:szCs w:val="28"/>
        </w:rPr>
        <w:t>0</w:t>
      </w:r>
      <w:r>
        <w:rPr>
          <w:rFonts w:cs="仿宋" w:asciiTheme="minorEastAsia" w:hAnsiTheme="minorEastAsia"/>
          <w:sz w:val="28"/>
          <w:szCs w:val="28"/>
        </w:rPr>
        <w:t>21</w:t>
      </w:r>
      <w:r>
        <w:rPr>
          <w:rFonts w:hint="eastAsia" w:cs="仿宋" w:asciiTheme="minorEastAsia" w:hAnsiTheme="minorEastAsia"/>
          <w:sz w:val="28"/>
          <w:szCs w:val="28"/>
        </w:rPr>
        <w:t>年，森林防火、森林护林员管护等项目的实施，全市未发生重特大毁林、生态环境等案件，同时拓宽了当地农民的增收渠道，农民实实在在增收增效，而且在上年的基础上增收了10多万元；林业有害生物防治项目的实施，</w:t>
      </w:r>
      <w:r>
        <w:rPr>
          <w:rFonts w:hint="eastAsia" w:cs="仿宋" w:asciiTheme="minorEastAsia" w:hAnsiTheme="minorEastAsia"/>
          <w:kern w:val="0"/>
          <w:sz w:val="28"/>
          <w:szCs w:val="28"/>
        </w:rPr>
        <w:t>有效遏制了松毛虫、竹蝗等病虫害蔓延，</w:t>
      </w:r>
      <w:r>
        <w:rPr>
          <w:rFonts w:hint="eastAsia" w:cs="仿宋" w:asciiTheme="minorEastAsia" w:hAnsiTheme="minorEastAsia"/>
          <w:sz w:val="28"/>
          <w:szCs w:val="28"/>
        </w:rPr>
        <w:t>挽回经济损失约1</w:t>
      </w:r>
      <w:r>
        <w:rPr>
          <w:rFonts w:cs="仿宋" w:asciiTheme="minorEastAsia" w:hAnsiTheme="minorEastAsia"/>
          <w:sz w:val="28"/>
          <w:szCs w:val="28"/>
        </w:rPr>
        <w:t>00</w:t>
      </w:r>
      <w:r>
        <w:rPr>
          <w:rFonts w:hint="eastAsia" w:cs="仿宋" w:asciiTheme="minorEastAsia" w:hAnsiTheme="minorEastAsia"/>
          <w:sz w:val="28"/>
          <w:szCs w:val="28"/>
        </w:rPr>
        <w:t>万元。指标分6分，自评分6分。</w:t>
      </w:r>
    </w:p>
    <w:p>
      <w:pPr>
        <w:pStyle w:val="43"/>
        <w:numPr>
          <w:ilvl w:val="0"/>
          <w:numId w:val="7"/>
        </w:numPr>
        <w:ind w:leftChars="0" w:right="420"/>
        <w:rPr>
          <w:rFonts w:asciiTheme="minorEastAsia" w:hAnsiTheme="minorEastAsia" w:eastAsiaTheme="minorEastAsia"/>
          <w:sz w:val="28"/>
          <w:szCs w:val="28"/>
        </w:rPr>
      </w:pPr>
      <w:r>
        <w:rPr>
          <w:rFonts w:hint="eastAsia" w:asciiTheme="minorEastAsia" w:hAnsiTheme="minorEastAsia" w:eastAsiaTheme="minorEastAsia"/>
          <w:sz w:val="28"/>
          <w:szCs w:val="28"/>
        </w:rPr>
        <w:t>社会效益</w:t>
      </w:r>
    </w:p>
    <w:p>
      <w:pPr>
        <w:spacing w:line="580" w:lineRule="exact"/>
        <w:ind w:firstLine="560" w:firstLineChars="200"/>
        <w:rPr>
          <w:rFonts w:cs="仿宋" w:asciiTheme="minorEastAsia" w:hAnsiTheme="minorEastAsia"/>
          <w:kern w:val="0"/>
          <w:sz w:val="28"/>
          <w:szCs w:val="28"/>
        </w:rPr>
      </w:pPr>
      <w:r>
        <w:rPr>
          <w:rFonts w:hint="eastAsia" w:cs="仿宋" w:asciiTheme="minorEastAsia" w:hAnsiTheme="minorEastAsia"/>
          <w:sz w:val="28"/>
          <w:szCs w:val="28"/>
        </w:rPr>
        <w:t>森林防火、森林护林员管护等项目的实施，提高</w:t>
      </w:r>
      <w:r>
        <w:rPr>
          <w:rFonts w:hint="eastAsia" w:cs="仿宋" w:asciiTheme="minorEastAsia" w:hAnsiTheme="minorEastAsia"/>
          <w:kern w:val="0"/>
          <w:sz w:val="28"/>
          <w:szCs w:val="28"/>
        </w:rPr>
        <w:t>了公众的森林防火保护意识，稳定了林地林权，维护了林区秩序，为成功创建省级、国家级森林城市奠定了夯实的基础；同时，当地劳动力得到了有效安置。通过出动宣传车、张贴宣传标语、发放宣传资料等方式宣传森林病虫害防治知识，引导群众认识和知晓森林病虫害基本知识和法律规定，增强了群众的森林保护意识和法治观念，通过森林病虫害的监测与防治，完善了林业有害生物监测预警体系，巩固了造林绿化成果，指标分</w:t>
      </w:r>
      <w:r>
        <w:rPr>
          <w:rFonts w:cs="仿宋" w:asciiTheme="minorEastAsia" w:hAnsiTheme="minorEastAsia"/>
          <w:kern w:val="0"/>
          <w:sz w:val="28"/>
          <w:szCs w:val="28"/>
        </w:rPr>
        <w:t>8</w:t>
      </w:r>
      <w:r>
        <w:rPr>
          <w:rFonts w:hint="eastAsia" w:cs="仿宋" w:asciiTheme="minorEastAsia" w:hAnsiTheme="minorEastAsia"/>
          <w:kern w:val="0"/>
          <w:sz w:val="28"/>
          <w:szCs w:val="28"/>
        </w:rPr>
        <w:t>分，自评分</w:t>
      </w:r>
      <w:r>
        <w:rPr>
          <w:rFonts w:cs="仿宋" w:asciiTheme="minorEastAsia" w:hAnsiTheme="minorEastAsia"/>
          <w:kern w:val="0"/>
          <w:sz w:val="28"/>
          <w:szCs w:val="28"/>
        </w:rPr>
        <w:t>8</w:t>
      </w:r>
      <w:r>
        <w:rPr>
          <w:rFonts w:hint="eastAsia" w:cs="仿宋" w:asciiTheme="minorEastAsia" w:hAnsiTheme="minorEastAsia"/>
          <w:kern w:val="0"/>
          <w:sz w:val="28"/>
          <w:szCs w:val="28"/>
        </w:rPr>
        <w:t>分。</w:t>
      </w:r>
    </w:p>
    <w:p>
      <w:pPr>
        <w:numPr>
          <w:ilvl w:val="0"/>
          <w:numId w:val="7"/>
        </w:numPr>
        <w:adjustRightInd w:val="0"/>
        <w:snapToGrid w:val="0"/>
        <w:spacing w:line="580" w:lineRule="exact"/>
        <w:textAlignment w:val="baseline"/>
        <w:rPr>
          <w:rFonts w:cs="仿宋" w:asciiTheme="minorEastAsia" w:hAnsiTheme="minorEastAsia"/>
          <w:b/>
          <w:sz w:val="28"/>
          <w:szCs w:val="28"/>
        </w:rPr>
      </w:pPr>
      <w:r>
        <w:rPr>
          <w:rFonts w:hint="eastAsia" w:cs="仿宋" w:asciiTheme="minorEastAsia" w:hAnsiTheme="minorEastAsia"/>
          <w:b/>
          <w:sz w:val="28"/>
          <w:szCs w:val="28"/>
        </w:rPr>
        <w:t>生态效益</w:t>
      </w:r>
    </w:p>
    <w:p>
      <w:pPr>
        <w:snapToGrid w:val="0"/>
        <w:spacing w:line="580" w:lineRule="exact"/>
        <w:ind w:firstLine="560" w:firstLineChars="200"/>
        <w:rPr>
          <w:rFonts w:cs="仿宋" w:asciiTheme="minorEastAsia" w:hAnsiTheme="minorEastAsia"/>
          <w:kern w:val="0"/>
          <w:sz w:val="28"/>
          <w:szCs w:val="28"/>
        </w:rPr>
      </w:pPr>
      <w:r>
        <w:rPr>
          <w:rFonts w:hint="eastAsia" w:cs="仿宋" w:asciiTheme="minorEastAsia" w:hAnsiTheme="minorEastAsia"/>
          <w:kern w:val="0"/>
          <w:sz w:val="28"/>
          <w:szCs w:val="28"/>
        </w:rPr>
        <w:t>通过年内各项目的实施，加强了森林资源保护，改善了森林生态环境，提高了森林抗害能力、森林覆盖率，野生动物保护数量也在逐年递增，推动了生态湘乡、民生湘乡的进程。指标分</w:t>
      </w:r>
      <w:r>
        <w:rPr>
          <w:rFonts w:cs="仿宋" w:asciiTheme="minorEastAsia" w:hAnsiTheme="minorEastAsia"/>
          <w:kern w:val="0"/>
          <w:sz w:val="28"/>
          <w:szCs w:val="28"/>
        </w:rPr>
        <w:t>2</w:t>
      </w:r>
      <w:r>
        <w:rPr>
          <w:rFonts w:hint="eastAsia" w:cs="仿宋" w:asciiTheme="minorEastAsia" w:hAnsiTheme="minorEastAsia"/>
          <w:kern w:val="0"/>
          <w:sz w:val="28"/>
          <w:szCs w:val="28"/>
        </w:rPr>
        <w:t>1分，自评分</w:t>
      </w:r>
      <w:r>
        <w:rPr>
          <w:rFonts w:cs="仿宋" w:asciiTheme="minorEastAsia" w:hAnsiTheme="minorEastAsia"/>
          <w:kern w:val="0"/>
          <w:sz w:val="28"/>
          <w:szCs w:val="28"/>
        </w:rPr>
        <w:t>2</w:t>
      </w:r>
      <w:r>
        <w:rPr>
          <w:rFonts w:hint="eastAsia" w:cs="仿宋" w:asciiTheme="minorEastAsia" w:hAnsiTheme="minorEastAsia"/>
          <w:kern w:val="0"/>
          <w:sz w:val="28"/>
          <w:szCs w:val="28"/>
        </w:rPr>
        <w:t>1分。</w:t>
      </w:r>
    </w:p>
    <w:p>
      <w:pPr>
        <w:pStyle w:val="43"/>
        <w:numPr>
          <w:ilvl w:val="0"/>
          <w:numId w:val="7"/>
        </w:numPr>
        <w:ind w:leftChars="0" w:right="420"/>
        <w:rPr>
          <w:rFonts w:asciiTheme="minorEastAsia" w:hAnsiTheme="minorEastAsia" w:eastAsiaTheme="minorEastAsia"/>
          <w:sz w:val="28"/>
          <w:szCs w:val="28"/>
        </w:rPr>
      </w:pPr>
      <w:r>
        <w:rPr>
          <w:rFonts w:hint="eastAsia" w:asciiTheme="minorEastAsia" w:hAnsiTheme="minorEastAsia" w:eastAsiaTheme="minorEastAsia"/>
          <w:sz w:val="28"/>
          <w:szCs w:val="28"/>
        </w:rPr>
        <w:t>社会公众或服务对象满意度</w:t>
      </w:r>
    </w:p>
    <w:p>
      <w:pPr>
        <w:spacing w:line="580" w:lineRule="exact"/>
        <w:ind w:firstLine="560" w:firstLineChars="200"/>
        <w:rPr>
          <w:rFonts w:cs="仿宋" w:asciiTheme="minorEastAsia" w:hAnsiTheme="minorEastAsia"/>
          <w:kern w:val="0"/>
          <w:sz w:val="28"/>
          <w:szCs w:val="28"/>
        </w:rPr>
      </w:pPr>
      <w:r>
        <w:rPr>
          <w:rFonts w:hint="eastAsia" w:cs="仿宋" w:asciiTheme="minorEastAsia" w:hAnsiTheme="minorEastAsia"/>
          <w:kern w:val="0"/>
          <w:sz w:val="28"/>
          <w:szCs w:val="28"/>
        </w:rPr>
        <w:t>我单位通过发放调查问卷的方式对2</w:t>
      </w:r>
      <w:r>
        <w:rPr>
          <w:rFonts w:cs="仿宋" w:asciiTheme="minorEastAsia" w:hAnsiTheme="minorEastAsia"/>
          <w:kern w:val="0"/>
          <w:sz w:val="28"/>
          <w:szCs w:val="28"/>
        </w:rPr>
        <w:t>021</w:t>
      </w:r>
      <w:r>
        <w:rPr>
          <w:rFonts w:hint="eastAsia" w:cs="仿宋" w:asciiTheme="minorEastAsia" w:hAnsiTheme="minorEastAsia"/>
          <w:kern w:val="0"/>
          <w:sz w:val="28"/>
          <w:szCs w:val="28"/>
        </w:rPr>
        <w:t>年的整体支出向辖区内的村民进行了满意度调查，发放调查问卷5</w:t>
      </w:r>
      <w:r>
        <w:rPr>
          <w:rFonts w:cs="仿宋" w:asciiTheme="minorEastAsia" w:hAnsiTheme="minorEastAsia"/>
          <w:kern w:val="0"/>
          <w:sz w:val="28"/>
          <w:szCs w:val="28"/>
        </w:rPr>
        <w:t>0</w:t>
      </w:r>
      <w:r>
        <w:rPr>
          <w:rFonts w:hint="eastAsia" w:cs="仿宋" w:asciiTheme="minorEastAsia" w:hAnsiTheme="minorEastAsia"/>
          <w:kern w:val="0"/>
          <w:sz w:val="28"/>
          <w:szCs w:val="28"/>
        </w:rPr>
        <w:t>份，收回问卷5</w:t>
      </w:r>
      <w:r>
        <w:rPr>
          <w:rFonts w:cs="仿宋" w:asciiTheme="minorEastAsia" w:hAnsiTheme="minorEastAsia"/>
          <w:kern w:val="0"/>
          <w:sz w:val="28"/>
          <w:szCs w:val="28"/>
        </w:rPr>
        <w:t>0</w:t>
      </w:r>
      <w:r>
        <w:rPr>
          <w:rFonts w:hint="eastAsia" w:cs="仿宋" w:asciiTheme="minorEastAsia" w:hAnsiTheme="minorEastAsia"/>
          <w:kern w:val="0"/>
          <w:sz w:val="28"/>
          <w:szCs w:val="28"/>
        </w:rPr>
        <w:t>份，整体满意度9</w:t>
      </w:r>
      <w:r>
        <w:rPr>
          <w:rFonts w:cs="仿宋" w:asciiTheme="minorEastAsia" w:hAnsiTheme="minorEastAsia"/>
          <w:kern w:val="0"/>
          <w:sz w:val="28"/>
          <w:szCs w:val="28"/>
        </w:rPr>
        <w:t>4</w:t>
      </w:r>
      <w:r>
        <w:rPr>
          <w:rFonts w:hint="eastAsia" w:cs="仿宋" w:asciiTheme="minorEastAsia" w:hAnsiTheme="minorEastAsia"/>
          <w:kern w:val="0"/>
          <w:sz w:val="28"/>
          <w:szCs w:val="28"/>
        </w:rPr>
        <w:t>%，达到了预期目标。指标分5分，自评分5分。</w:t>
      </w:r>
    </w:p>
    <w:p>
      <w:pPr>
        <w:pStyle w:val="2"/>
        <w:ind w:left="420" w:right="420"/>
        <w:jc w:val="both"/>
        <w:rPr>
          <w:rFonts w:hint="default" w:asciiTheme="minorEastAsia" w:hAnsiTheme="minorEastAsia" w:eastAsiaTheme="minorEastAsia"/>
          <w:sz w:val="28"/>
          <w:szCs w:val="28"/>
        </w:rPr>
      </w:pPr>
      <w:r>
        <w:rPr>
          <w:rFonts w:asciiTheme="minorEastAsia" w:hAnsiTheme="minorEastAsia" w:eastAsiaTheme="minorEastAsia"/>
          <w:sz w:val="28"/>
          <w:szCs w:val="28"/>
        </w:rPr>
        <w:t>四、存在的主要问题及原因分析</w:t>
      </w:r>
    </w:p>
    <w:p>
      <w:pPr>
        <w:pStyle w:val="3"/>
        <w:ind w:left="420" w:right="420"/>
        <w:jc w:val="both"/>
        <w:rPr>
          <w:rFonts w:hint="default" w:asciiTheme="minorEastAsia" w:hAnsiTheme="minorEastAsia" w:eastAsiaTheme="minorEastAsia"/>
          <w:sz w:val="28"/>
          <w:szCs w:val="28"/>
        </w:rPr>
      </w:pPr>
      <w:r>
        <w:rPr>
          <w:rFonts w:asciiTheme="minorEastAsia" w:hAnsiTheme="minorEastAsia" w:eastAsiaTheme="minorEastAsia"/>
          <w:sz w:val="28"/>
          <w:szCs w:val="28"/>
        </w:rPr>
        <w:t>（一）预算方面</w:t>
      </w:r>
    </w:p>
    <w:p>
      <w:pPr>
        <w:spacing w:line="580" w:lineRule="exact"/>
        <w:ind w:firstLine="560" w:firstLineChars="200"/>
        <w:rPr>
          <w:rFonts w:asciiTheme="minorEastAsia" w:hAnsiTheme="minorEastAsia"/>
          <w:sz w:val="28"/>
          <w:szCs w:val="28"/>
        </w:rPr>
      </w:pPr>
      <w:r>
        <w:rPr>
          <w:rFonts w:hint="eastAsia" w:asciiTheme="minorEastAsia" w:hAnsiTheme="minorEastAsia"/>
          <w:sz w:val="28"/>
          <w:szCs w:val="28"/>
        </w:rPr>
        <w:t>一是公用经费缺口大，财政预算严重不足，造成基本支出超支，一方面是公用经费定额标准偏低，预算资金难以保证正常运转，运行保障难度大；另一方面是诸如职工健康检查，老干部重阳、春节、住院慰问，文明卫生单位奖金，精准扶贫工作经费，党建工作经费等很多内容未获批入预算。二是专项支出工作经费缺口大，超9</w:t>
      </w:r>
      <w:r>
        <w:rPr>
          <w:rFonts w:asciiTheme="minorEastAsia" w:hAnsiTheme="minorEastAsia"/>
          <w:sz w:val="28"/>
          <w:szCs w:val="28"/>
        </w:rPr>
        <w:t>0</w:t>
      </w:r>
      <w:r>
        <w:rPr>
          <w:rFonts w:hint="eastAsia" w:asciiTheme="minorEastAsia" w:hAnsiTheme="minorEastAsia"/>
          <w:sz w:val="28"/>
          <w:szCs w:val="28"/>
        </w:rPr>
        <w:t>%的林业项目没有安排工作经费，专项业务费没有纳入预算，绝大部分需要自行承担，资金缺乏保障，不利于全市林业工作的推动与开展。</w:t>
      </w:r>
    </w:p>
    <w:p>
      <w:pPr>
        <w:pStyle w:val="3"/>
        <w:ind w:left="420" w:right="420"/>
        <w:jc w:val="both"/>
        <w:rPr>
          <w:rFonts w:hint="default" w:asciiTheme="minorEastAsia" w:hAnsiTheme="minorEastAsia" w:eastAsiaTheme="minorEastAsia"/>
          <w:sz w:val="28"/>
          <w:szCs w:val="28"/>
        </w:rPr>
      </w:pPr>
      <w:r>
        <w:rPr>
          <w:rFonts w:asciiTheme="minorEastAsia" w:hAnsiTheme="minorEastAsia" w:eastAsiaTheme="minorEastAsia"/>
          <w:sz w:val="28"/>
          <w:szCs w:val="28"/>
        </w:rPr>
        <w:t>（二）内部控制方面</w:t>
      </w:r>
    </w:p>
    <w:p>
      <w:pPr>
        <w:spacing w:line="580" w:lineRule="exact"/>
        <w:ind w:firstLine="636"/>
        <w:rPr>
          <w:rFonts w:cs="仿宋" w:asciiTheme="minorEastAsia" w:hAnsiTheme="minorEastAsia"/>
          <w:sz w:val="28"/>
          <w:szCs w:val="28"/>
        </w:rPr>
      </w:pPr>
      <w:r>
        <w:rPr>
          <w:rFonts w:hint="eastAsia" w:cs="仿宋" w:asciiTheme="minorEastAsia" w:hAnsiTheme="minorEastAsia"/>
          <w:sz w:val="28"/>
          <w:szCs w:val="28"/>
        </w:rPr>
        <w:t>未针对每一个项目制订完善的项目资金管理办法，同时由于年初申报对全年的具体情况预计不足，目标细化量化不够精准。</w:t>
      </w:r>
    </w:p>
    <w:p>
      <w:pPr>
        <w:pStyle w:val="3"/>
        <w:ind w:left="420" w:right="420"/>
        <w:jc w:val="both"/>
        <w:rPr>
          <w:rFonts w:hint="default" w:asciiTheme="minorEastAsia" w:hAnsiTheme="minorEastAsia" w:eastAsiaTheme="minorEastAsia"/>
          <w:sz w:val="28"/>
          <w:szCs w:val="28"/>
        </w:rPr>
      </w:pPr>
      <w:r>
        <w:rPr>
          <w:rFonts w:asciiTheme="minorEastAsia" w:hAnsiTheme="minorEastAsia" w:eastAsiaTheme="minorEastAsia"/>
          <w:sz w:val="28"/>
          <w:szCs w:val="28"/>
        </w:rPr>
        <w:t>（三）项目管理方面</w:t>
      </w:r>
    </w:p>
    <w:p>
      <w:pPr>
        <w:snapToGrid w:val="0"/>
        <w:spacing w:line="580" w:lineRule="exact"/>
        <w:ind w:firstLine="560" w:firstLineChars="200"/>
        <w:rPr>
          <w:rFonts w:cs="仿宋" w:asciiTheme="minorEastAsia" w:hAnsiTheme="minorEastAsia"/>
          <w:bCs/>
          <w:sz w:val="28"/>
          <w:szCs w:val="28"/>
        </w:rPr>
      </w:pPr>
      <w:r>
        <w:rPr>
          <w:rFonts w:hint="eastAsia" w:cs="仿宋" w:asciiTheme="minorEastAsia" w:hAnsiTheme="minorEastAsia"/>
          <w:sz w:val="28"/>
          <w:szCs w:val="28"/>
        </w:rPr>
        <w:t>因造林、抚育</w:t>
      </w:r>
      <w:bookmarkStart w:id="4" w:name="_Hlk39311367"/>
      <w:r>
        <w:rPr>
          <w:rFonts w:hint="eastAsia" w:cs="仿宋" w:asciiTheme="minorEastAsia" w:hAnsiTheme="minorEastAsia"/>
          <w:sz w:val="28"/>
          <w:szCs w:val="28"/>
        </w:rPr>
        <w:t>等补助标准过低</w:t>
      </w:r>
      <w:bookmarkEnd w:id="4"/>
      <w:r>
        <w:rPr>
          <w:rFonts w:hint="eastAsia" w:cs="仿宋" w:asciiTheme="minorEastAsia" w:hAnsiTheme="minorEastAsia"/>
          <w:sz w:val="28"/>
          <w:szCs w:val="28"/>
        </w:rPr>
        <w:t>，加之农村青壮年劳力大部分外出打工，留守农村的林农积极性难以调动，在一定程度上影响了项目的实施进度。</w:t>
      </w:r>
    </w:p>
    <w:p>
      <w:pPr>
        <w:pStyle w:val="3"/>
        <w:ind w:left="420" w:right="420"/>
        <w:jc w:val="both"/>
        <w:rPr>
          <w:rFonts w:hint="default" w:asciiTheme="minorEastAsia" w:hAnsiTheme="minorEastAsia" w:eastAsiaTheme="minorEastAsia"/>
          <w:sz w:val="28"/>
          <w:szCs w:val="28"/>
        </w:rPr>
      </w:pPr>
      <w:r>
        <w:rPr>
          <w:rFonts w:asciiTheme="minorEastAsia" w:hAnsiTheme="minorEastAsia" w:eastAsiaTheme="minorEastAsia"/>
          <w:sz w:val="28"/>
          <w:szCs w:val="28"/>
        </w:rPr>
        <w:t>（四）资金使用方面</w:t>
      </w:r>
    </w:p>
    <w:p>
      <w:pPr>
        <w:spacing w:line="580" w:lineRule="exact"/>
        <w:ind w:firstLine="636"/>
        <w:rPr>
          <w:rFonts w:cs="仿宋" w:asciiTheme="minorEastAsia" w:hAnsiTheme="minorEastAsia"/>
          <w:sz w:val="28"/>
          <w:szCs w:val="28"/>
        </w:rPr>
      </w:pPr>
      <w:r>
        <w:rPr>
          <w:rFonts w:hint="eastAsia" w:cs="仿宋" w:asciiTheme="minorEastAsia" w:hAnsiTheme="minorEastAsia"/>
          <w:sz w:val="28"/>
          <w:szCs w:val="28"/>
        </w:rPr>
        <w:t>一是林业项目采取完工验收后付款方式，导致项目资金无法在当年度拨付到位，影响该项目及部门整体支出绩效评价工作，如：森林资源管护工作年度考核在每年12月份进行，森林护林员管护费无法在会计年度内拨付到位；二是资金调度困难，不能及时兑现应付未付的项目款项。</w:t>
      </w:r>
    </w:p>
    <w:p>
      <w:pPr>
        <w:pStyle w:val="3"/>
        <w:ind w:left="420" w:right="420"/>
        <w:jc w:val="both"/>
        <w:rPr>
          <w:rFonts w:hint="default" w:asciiTheme="minorEastAsia" w:hAnsiTheme="minorEastAsia" w:eastAsiaTheme="minorEastAsia"/>
          <w:sz w:val="28"/>
          <w:szCs w:val="28"/>
        </w:rPr>
      </w:pPr>
      <w:r>
        <w:rPr>
          <w:rFonts w:asciiTheme="minorEastAsia" w:hAnsiTheme="minorEastAsia" w:eastAsiaTheme="minorEastAsia"/>
          <w:sz w:val="28"/>
          <w:szCs w:val="28"/>
        </w:rPr>
        <w:t>（五）预算指标方面</w:t>
      </w:r>
    </w:p>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因落实国家政策、各级政府部门临时交办的工作，导致项目资金难以一对一拨付，存在预算指标混用情况，如禁食野生动物人工繁育主体退出项目，当时上级要求养殖户的退养补偿必须在既定时限内拨付到位，然后再根据补偿情况申请省级财政下达资金，所以就指标混用。</w:t>
      </w:r>
    </w:p>
    <w:p>
      <w:pPr>
        <w:pStyle w:val="3"/>
        <w:ind w:left="420" w:right="420"/>
        <w:jc w:val="both"/>
        <w:rPr>
          <w:rFonts w:hint="default" w:asciiTheme="minorEastAsia" w:hAnsiTheme="minorEastAsia" w:eastAsiaTheme="minorEastAsia"/>
          <w:sz w:val="28"/>
          <w:szCs w:val="28"/>
        </w:rPr>
      </w:pPr>
      <w:r>
        <w:rPr>
          <w:rFonts w:asciiTheme="minorEastAsia" w:hAnsiTheme="minorEastAsia" w:eastAsiaTheme="minorEastAsia"/>
          <w:sz w:val="28"/>
          <w:szCs w:val="28"/>
        </w:rPr>
        <w:t>（六）绩效管理从业人员的专业素质方面</w:t>
      </w:r>
    </w:p>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因预算绩效管理工作开展时间短，专业性强，加之人员异动较为频繁，导致对预算绩效管理理解不充分，对预算绩效管理业务不太熟悉，绩效目标设置不科学，在一定程度上影响了绩效评价的质量。</w:t>
      </w:r>
    </w:p>
    <w:p>
      <w:pPr>
        <w:pStyle w:val="2"/>
        <w:ind w:left="420" w:right="420"/>
        <w:jc w:val="both"/>
        <w:rPr>
          <w:rFonts w:hint="default" w:asciiTheme="minorEastAsia" w:hAnsiTheme="minorEastAsia" w:eastAsiaTheme="minorEastAsia"/>
          <w:sz w:val="28"/>
          <w:szCs w:val="28"/>
        </w:rPr>
      </w:pPr>
      <w:r>
        <w:rPr>
          <w:rFonts w:asciiTheme="minorEastAsia" w:hAnsiTheme="minorEastAsia" w:eastAsiaTheme="minorEastAsia"/>
          <w:sz w:val="28"/>
          <w:szCs w:val="28"/>
        </w:rPr>
        <w:t>五、下一步改进措施及有关建议</w:t>
      </w:r>
      <w:bookmarkStart w:id="5" w:name="_Hlk39132393"/>
    </w:p>
    <w:bookmarkEnd w:id="5"/>
    <w:p>
      <w:pPr>
        <w:snapToGrid w:val="0"/>
        <w:spacing w:line="580" w:lineRule="exact"/>
        <w:ind w:firstLine="560" w:firstLineChars="200"/>
        <w:rPr>
          <w:rFonts w:cs="仿宋" w:asciiTheme="minorEastAsia" w:hAnsiTheme="minorEastAsia"/>
          <w:sz w:val="28"/>
          <w:szCs w:val="28"/>
        </w:rPr>
      </w:pPr>
      <w:bookmarkStart w:id="6" w:name="_Hlk39132409"/>
      <w:r>
        <w:rPr>
          <w:rFonts w:hint="eastAsia" w:cs="仿宋" w:asciiTheme="minorEastAsia" w:hAnsiTheme="minorEastAsia"/>
          <w:sz w:val="28"/>
          <w:szCs w:val="28"/>
        </w:rPr>
        <w:t>（一）提高认识，落实责任。作为预算管理部门，我单位应增强对绩效考核的重视程度，根据财政要求，组织力量开展好预算绩效管理工作，包括事前绩效评估、绩效目标管理、绩效运行跟踪监控、绩效自评、绩效评价运用及绩效整改等工作，提升绩效管理水平。</w:t>
      </w:r>
    </w:p>
    <w:bookmarkEnd w:id="6"/>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（二）建议本级财政增加预算拨款，提高公用经费定额标准，将单位的必要开支和重点林业专项工作经费列入财政预算，保证基本支出需求。</w:t>
      </w:r>
    </w:p>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（三）造林、抚育等项目补助标准偏低，林农的劳动积极性难以提高，建议财政部门进一步加大投入力度，确保项目按时间节点完工。</w:t>
      </w:r>
    </w:p>
    <w:p>
      <w:pPr>
        <w:snapToGrid w:val="0"/>
        <w:spacing w:line="5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（四）加强与财政部门的衔接，推进林业项目资金的使用管理，确保资金到位率和预算执行率。</w:t>
      </w:r>
    </w:p>
    <w:p>
      <w:pPr>
        <w:spacing w:line="580" w:lineRule="exact"/>
        <w:ind w:firstLine="560" w:firstLineChars="200"/>
        <w:rPr>
          <w:rFonts w:cs="黑体" w:asciiTheme="minorEastAsia" w:hAnsiTheme="minorEastAsia"/>
          <w:color w:val="000000"/>
          <w:kern w:val="0"/>
          <w:sz w:val="28"/>
          <w:szCs w:val="28"/>
        </w:rPr>
      </w:pPr>
      <w:r>
        <w:rPr>
          <w:rFonts w:hint="eastAsia" w:cs="仿宋" w:asciiTheme="minorEastAsia" w:hAnsiTheme="minorEastAsia"/>
          <w:sz w:val="28"/>
          <w:szCs w:val="28"/>
        </w:rPr>
        <w:t>（五）建议财政部门组织绩效管理从业人员开展预算绩效管理培训，努力提高从业人员业务意识、业务水平和业务能力，提升预算绩效评价质量，提高财政资源配置效率和使用效益。</w:t>
      </w:r>
    </w:p>
    <w:sectPr>
      <w:pgSz w:w="11906" w:h="16838"/>
      <w:pgMar w:top="1440" w:right="1800" w:bottom="1440"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等线 Light">
    <w:altName w:val="宋体"/>
    <w:panose1 w:val="02010600030101010101"/>
    <w:charset w:val="86"/>
    <w:family w:val="auto"/>
    <w:pitch w:val="default"/>
    <w:sig w:usb0="00000000" w:usb1="00000000" w:usb2="00000016" w:usb3="00000000" w:csb0="0004000F" w:csb1="00000000"/>
  </w:font>
  <w:font w:name="Cambria">
    <w:panose1 w:val="02040503050406030204"/>
    <w:charset w:val="00"/>
    <w:family w:val="roman"/>
    <w:pitch w:val="default"/>
    <w:sig w:usb0="A00002EF" w:usb1="4000004B" w:usb2="00000000" w:usb3="00000000" w:csb0="2000009F" w:csb1="00000000"/>
  </w:font>
  <w:font w:name="仿宋">
    <w:altName w:val="微软雅黑"/>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MS Gothic">
    <w:panose1 w:val="020B0609070205080204"/>
    <w:charset w:val="80"/>
    <w:family w:val="modern"/>
    <w:pitch w:val="default"/>
    <w:sig w:usb0="A00002BF" w:usb1="68C7FCFB" w:usb2="00000010" w:usb3="00000000" w:csb0="4002009F" w:csb1="DFD70000"/>
  </w:font>
  <w:font w:name="Malgun Gothic Semilight">
    <w:altName w:val="宋体"/>
    <w:panose1 w:val="020B0502040204020203"/>
    <w:charset w:val="86"/>
    <w:family w:val="swiss"/>
    <w:pitch w:val="default"/>
    <w:sig w:usb0="00000000" w:usb1="00000000" w:usb2="00000012" w:usb3="00000000" w:csb0="003E01BD" w:csb1="00000000"/>
  </w:font>
  <w:font w:name="微软雅黑">
    <w:panose1 w:val="020B0503020204020204"/>
    <w:charset w:val="86"/>
    <w:family w:val="auto"/>
    <w:pitch w:val="default"/>
    <w:sig w:usb0="80000287" w:usb1="2A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779AA"/>
    <w:multiLevelType w:val="multilevel"/>
    <w:tmpl w:val="065779AA"/>
    <w:lvl w:ilvl="0" w:tentative="0">
      <w:start w:val="1"/>
      <w:numFmt w:val="decimal"/>
      <w:pStyle w:val="46"/>
      <w:lvlText w:val="%1）"/>
      <w:lvlJc w:val="left"/>
      <w:pPr>
        <w:ind w:left="1022" w:hanging="420"/>
      </w:pPr>
      <w:rPr>
        <w:rFonts w:hint="eastAsia"/>
        <w:b w:val="0"/>
        <w:i w:val="0"/>
        <w:sz w:val="30"/>
      </w:rPr>
    </w:lvl>
    <w:lvl w:ilvl="1" w:tentative="0">
      <w:start w:val="1"/>
      <w:numFmt w:val="lowerLetter"/>
      <w:lvlText w:val="%2)"/>
      <w:lvlJc w:val="left"/>
      <w:pPr>
        <w:ind w:left="1442" w:hanging="420"/>
      </w:pPr>
    </w:lvl>
    <w:lvl w:ilvl="2" w:tentative="0">
      <w:start w:val="1"/>
      <w:numFmt w:val="lowerRoman"/>
      <w:lvlText w:val="%3."/>
      <w:lvlJc w:val="right"/>
      <w:pPr>
        <w:ind w:left="1862" w:hanging="420"/>
      </w:pPr>
    </w:lvl>
    <w:lvl w:ilvl="3" w:tentative="0">
      <w:start w:val="1"/>
      <w:numFmt w:val="decimal"/>
      <w:lvlText w:val="%4."/>
      <w:lvlJc w:val="left"/>
      <w:pPr>
        <w:ind w:left="2282" w:hanging="420"/>
      </w:pPr>
    </w:lvl>
    <w:lvl w:ilvl="4" w:tentative="0">
      <w:start w:val="1"/>
      <w:numFmt w:val="lowerLetter"/>
      <w:lvlText w:val="%5)"/>
      <w:lvlJc w:val="left"/>
      <w:pPr>
        <w:ind w:left="2702" w:hanging="420"/>
      </w:pPr>
    </w:lvl>
    <w:lvl w:ilvl="5" w:tentative="0">
      <w:start w:val="1"/>
      <w:numFmt w:val="lowerRoman"/>
      <w:lvlText w:val="%6."/>
      <w:lvlJc w:val="right"/>
      <w:pPr>
        <w:ind w:left="3122" w:hanging="420"/>
      </w:pPr>
    </w:lvl>
    <w:lvl w:ilvl="6" w:tentative="0">
      <w:start w:val="1"/>
      <w:numFmt w:val="decimal"/>
      <w:lvlText w:val="%7."/>
      <w:lvlJc w:val="left"/>
      <w:pPr>
        <w:ind w:left="3542" w:hanging="420"/>
      </w:pPr>
    </w:lvl>
    <w:lvl w:ilvl="7" w:tentative="0">
      <w:start w:val="1"/>
      <w:numFmt w:val="lowerLetter"/>
      <w:lvlText w:val="%8)"/>
      <w:lvlJc w:val="left"/>
      <w:pPr>
        <w:ind w:left="3962" w:hanging="420"/>
      </w:pPr>
    </w:lvl>
    <w:lvl w:ilvl="8" w:tentative="0">
      <w:start w:val="1"/>
      <w:numFmt w:val="lowerRoman"/>
      <w:lvlText w:val="%9."/>
      <w:lvlJc w:val="right"/>
      <w:pPr>
        <w:ind w:left="4382" w:hanging="420"/>
      </w:pPr>
    </w:lvl>
  </w:abstractNum>
  <w:abstractNum w:abstractNumId="1">
    <w:nsid w:val="1FD147FF"/>
    <w:multiLevelType w:val="multilevel"/>
    <w:tmpl w:val="1FD147FF"/>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319B3CFD"/>
    <w:multiLevelType w:val="multilevel"/>
    <w:tmpl w:val="319B3CFD"/>
    <w:lvl w:ilvl="0" w:tentative="0">
      <w:start w:val="1"/>
      <w:numFmt w:val="decimal"/>
      <w:lvlText w:val="%1."/>
      <w:lvlJc w:val="left"/>
      <w:pPr>
        <w:ind w:left="863" w:hanging="360"/>
      </w:pPr>
      <w:rPr>
        <w:rFonts w:hint="default"/>
      </w:rPr>
    </w:lvl>
    <w:lvl w:ilvl="1" w:tentative="0">
      <w:start w:val="1"/>
      <w:numFmt w:val="lowerLetter"/>
      <w:lvlText w:val="%2)"/>
      <w:lvlJc w:val="left"/>
      <w:pPr>
        <w:ind w:left="1343" w:hanging="420"/>
      </w:pPr>
    </w:lvl>
    <w:lvl w:ilvl="2" w:tentative="0">
      <w:start w:val="1"/>
      <w:numFmt w:val="lowerRoman"/>
      <w:lvlText w:val="%3."/>
      <w:lvlJc w:val="right"/>
      <w:pPr>
        <w:ind w:left="1763" w:hanging="420"/>
      </w:pPr>
    </w:lvl>
    <w:lvl w:ilvl="3" w:tentative="0">
      <w:start w:val="1"/>
      <w:numFmt w:val="decimal"/>
      <w:lvlText w:val="%4."/>
      <w:lvlJc w:val="left"/>
      <w:pPr>
        <w:ind w:left="2183" w:hanging="420"/>
      </w:pPr>
    </w:lvl>
    <w:lvl w:ilvl="4" w:tentative="0">
      <w:start w:val="1"/>
      <w:numFmt w:val="lowerLetter"/>
      <w:lvlText w:val="%5)"/>
      <w:lvlJc w:val="left"/>
      <w:pPr>
        <w:ind w:left="2603" w:hanging="420"/>
      </w:pPr>
    </w:lvl>
    <w:lvl w:ilvl="5" w:tentative="0">
      <w:start w:val="1"/>
      <w:numFmt w:val="lowerRoman"/>
      <w:lvlText w:val="%6."/>
      <w:lvlJc w:val="right"/>
      <w:pPr>
        <w:ind w:left="3023" w:hanging="420"/>
      </w:pPr>
    </w:lvl>
    <w:lvl w:ilvl="6" w:tentative="0">
      <w:start w:val="1"/>
      <w:numFmt w:val="decimal"/>
      <w:lvlText w:val="%7."/>
      <w:lvlJc w:val="left"/>
      <w:pPr>
        <w:ind w:left="3443" w:hanging="420"/>
      </w:pPr>
    </w:lvl>
    <w:lvl w:ilvl="7" w:tentative="0">
      <w:start w:val="1"/>
      <w:numFmt w:val="lowerLetter"/>
      <w:lvlText w:val="%8)"/>
      <w:lvlJc w:val="left"/>
      <w:pPr>
        <w:ind w:left="3863" w:hanging="420"/>
      </w:pPr>
    </w:lvl>
    <w:lvl w:ilvl="8" w:tentative="0">
      <w:start w:val="1"/>
      <w:numFmt w:val="lowerRoman"/>
      <w:lvlText w:val="%9."/>
      <w:lvlJc w:val="right"/>
      <w:pPr>
        <w:ind w:left="4283" w:hanging="420"/>
      </w:pPr>
    </w:lvl>
  </w:abstractNum>
  <w:abstractNum w:abstractNumId="3">
    <w:nsid w:val="34B71301"/>
    <w:multiLevelType w:val="multilevel"/>
    <w:tmpl w:val="34B71301"/>
    <w:lvl w:ilvl="0" w:tentative="0">
      <w:start w:val="1"/>
      <w:numFmt w:val="decimal"/>
      <w:lvlText w:val="%1."/>
      <w:lvlJc w:val="left"/>
      <w:pPr>
        <w:ind w:left="1265" w:hanging="624"/>
      </w:pPr>
      <w:rPr>
        <w:rFonts w:hint="default"/>
      </w:rPr>
    </w:lvl>
    <w:lvl w:ilvl="1" w:tentative="0">
      <w:start w:val="1"/>
      <w:numFmt w:val="lowerLetter"/>
      <w:lvlText w:val="%2)"/>
      <w:lvlJc w:val="left"/>
      <w:pPr>
        <w:ind w:left="1481" w:hanging="420"/>
      </w:pPr>
    </w:lvl>
    <w:lvl w:ilvl="2" w:tentative="0">
      <w:start w:val="1"/>
      <w:numFmt w:val="lowerRoman"/>
      <w:lvlText w:val="%3."/>
      <w:lvlJc w:val="right"/>
      <w:pPr>
        <w:ind w:left="1901" w:hanging="420"/>
      </w:pPr>
    </w:lvl>
    <w:lvl w:ilvl="3" w:tentative="0">
      <w:start w:val="1"/>
      <w:numFmt w:val="decimal"/>
      <w:lvlText w:val="%4."/>
      <w:lvlJc w:val="left"/>
      <w:pPr>
        <w:ind w:left="2321" w:hanging="420"/>
      </w:pPr>
    </w:lvl>
    <w:lvl w:ilvl="4" w:tentative="0">
      <w:start w:val="1"/>
      <w:numFmt w:val="lowerLetter"/>
      <w:lvlText w:val="%5)"/>
      <w:lvlJc w:val="left"/>
      <w:pPr>
        <w:ind w:left="2741" w:hanging="420"/>
      </w:pPr>
    </w:lvl>
    <w:lvl w:ilvl="5" w:tentative="0">
      <w:start w:val="1"/>
      <w:numFmt w:val="lowerRoman"/>
      <w:lvlText w:val="%6."/>
      <w:lvlJc w:val="right"/>
      <w:pPr>
        <w:ind w:left="3161" w:hanging="420"/>
      </w:pPr>
    </w:lvl>
    <w:lvl w:ilvl="6" w:tentative="0">
      <w:start w:val="1"/>
      <w:numFmt w:val="decimal"/>
      <w:lvlText w:val="%7."/>
      <w:lvlJc w:val="left"/>
      <w:pPr>
        <w:ind w:left="3581" w:hanging="420"/>
      </w:pPr>
    </w:lvl>
    <w:lvl w:ilvl="7" w:tentative="0">
      <w:start w:val="1"/>
      <w:numFmt w:val="lowerLetter"/>
      <w:lvlText w:val="%8)"/>
      <w:lvlJc w:val="left"/>
      <w:pPr>
        <w:ind w:left="4001" w:hanging="420"/>
      </w:pPr>
    </w:lvl>
    <w:lvl w:ilvl="8" w:tentative="0">
      <w:start w:val="1"/>
      <w:numFmt w:val="lowerRoman"/>
      <w:lvlText w:val="%9."/>
      <w:lvlJc w:val="right"/>
      <w:pPr>
        <w:ind w:left="4421" w:hanging="420"/>
      </w:pPr>
    </w:lvl>
  </w:abstractNum>
  <w:abstractNum w:abstractNumId="4">
    <w:nsid w:val="41E53448"/>
    <w:multiLevelType w:val="multilevel"/>
    <w:tmpl w:val="41E53448"/>
    <w:lvl w:ilvl="0" w:tentative="0">
      <w:start w:val="1"/>
      <w:numFmt w:val="chineseCountingThousand"/>
      <w:lvlText w:val="（%1）"/>
      <w:lvlJc w:val="left"/>
      <w:pPr>
        <w:ind w:left="1022" w:hanging="420"/>
      </w:pPr>
      <w:rPr>
        <w:rFonts w:hint="eastAsia"/>
        <w:b w:val="0"/>
        <w:i w:val="0"/>
        <w:sz w:val="30"/>
      </w:rPr>
    </w:lvl>
    <w:lvl w:ilvl="1" w:tentative="0">
      <w:start w:val="1"/>
      <w:numFmt w:val="lowerLetter"/>
      <w:lvlText w:val="%2)"/>
      <w:lvlJc w:val="left"/>
      <w:pPr>
        <w:ind w:left="1442" w:hanging="420"/>
      </w:pPr>
    </w:lvl>
    <w:lvl w:ilvl="2" w:tentative="0">
      <w:start w:val="1"/>
      <w:numFmt w:val="lowerRoman"/>
      <w:lvlText w:val="%3."/>
      <w:lvlJc w:val="right"/>
      <w:pPr>
        <w:ind w:left="1862" w:hanging="420"/>
      </w:pPr>
    </w:lvl>
    <w:lvl w:ilvl="3" w:tentative="0">
      <w:start w:val="1"/>
      <w:numFmt w:val="decimal"/>
      <w:lvlText w:val="%4."/>
      <w:lvlJc w:val="left"/>
      <w:pPr>
        <w:ind w:left="2282" w:hanging="420"/>
      </w:pPr>
    </w:lvl>
    <w:lvl w:ilvl="4" w:tentative="0">
      <w:start w:val="1"/>
      <w:numFmt w:val="lowerLetter"/>
      <w:lvlText w:val="%5)"/>
      <w:lvlJc w:val="left"/>
      <w:pPr>
        <w:ind w:left="2702" w:hanging="420"/>
      </w:pPr>
    </w:lvl>
    <w:lvl w:ilvl="5" w:tentative="0">
      <w:start w:val="1"/>
      <w:numFmt w:val="lowerRoman"/>
      <w:lvlText w:val="%6."/>
      <w:lvlJc w:val="right"/>
      <w:pPr>
        <w:ind w:left="3122" w:hanging="420"/>
      </w:pPr>
    </w:lvl>
    <w:lvl w:ilvl="6" w:tentative="0">
      <w:start w:val="1"/>
      <w:numFmt w:val="decimal"/>
      <w:lvlText w:val="%7."/>
      <w:lvlJc w:val="left"/>
      <w:pPr>
        <w:ind w:left="3542" w:hanging="420"/>
      </w:pPr>
    </w:lvl>
    <w:lvl w:ilvl="7" w:tentative="0">
      <w:start w:val="1"/>
      <w:numFmt w:val="lowerLetter"/>
      <w:lvlText w:val="%8)"/>
      <w:lvlJc w:val="left"/>
      <w:pPr>
        <w:ind w:left="3962" w:hanging="420"/>
      </w:pPr>
    </w:lvl>
    <w:lvl w:ilvl="8" w:tentative="0">
      <w:start w:val="1"/>
      <w:numFmt w:val="lowerRoman"/>
      <w:lvlText w:val="%9."/>
      <w:lvlJc w:val="right"/>
      <w:pPr>
        <w:ind w:left="4382" w:hanging="420"/>
      </w:pPr>
    </w:lvl>
  </w:abstractNum>
  <w:abstractNum w:abstractNumId="5">
    <w:nsid w:val="4FAA009C"/>
    <w:multiLevelType w:val="multilevel"/>
    <w:tmpl w:val="4FAA009C"/>
    <w:lvl w:ilvl="0" w:tentative="0">
      <w:start w:val="1"/>
      <w:numFmt w:val="decimal"/>
      <w:pStyle w:val="44"/>
      <w:lvlText w:val="（%1）"/>
      <w:lvlJc w:val="left"/>
      <w:pPr>
        <w:ind w:left="420" w:hanging="420"/>
      </w:pPr>
      <w:rPr>
        <w:rFonts w:hint="eastAsia"/>
        <w:b w:val="0"/>
        <w:i w:val="0"/>
        <w:sz w:val="3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16C71D3"/>
    <w:multiLevelType w:val="multilevel"/>
    <w:tmpl w:val="516C71D3"/>
    <w:lvl w:ilvl="0" w:tentative="0">
      <w:start w:val="1"/>
      <w:numFmt w:val="decimal"/>
      <w:lvlText w:val="%1."/>
      <w:lvlJc w:val="left"/>
      <w:pPr>
        <w:ind w:left="1068" w:hanging="360"/>
      </w:pPr>
      <w:rPr>
        <w:rFonts w:hint="default"/>
        <w:b/>
      </w:rPr>
    </w:lvl>
    <w:lvl w:ilvl="1" w:tentative="0">
      <w:start w:val="1"/>
      <w:numFmt w:val="lowerLetter"/>
      <w:lvlText w:val="%2)"/>
      <w:lvlJc w:val="left"/>
      <w:pPr>
        <w:ind w:left="1442" w:hanging="420"/>
      </w:pPr>
    </w:lvl>
    <w:lvl w:ilvl="2" w:tentative="0">
      <w:start w:val="1"/>
      <w:numFmt w:val="lowerRoman"/>
      <w:lvlText w:val="%3."/>
      <w:lvlJc w:val="right"/>
      <w:pPr>
        <w:ind w:left="1862" w:hanging="420"/>
      </w:pPr>
    </w:lvl>
    <w:lvl w:ilvl="3" w:tentative="0">
      <w:start w:val="1"/>
      <w:numFmt w:val="decimal"/>
      <w:lvlText w:val="%4."/>
      <w:lvlJc w:val="left"/>
      <w:pPr>
        <w:ind w:left="2282" w:hanging="420"/>
      </w:pPr>
    </w:lvl>
    <w:lvl w:ilvl="4" w:tentative="0">
      <w:start w:val="1"/>
      <w:numFmt w:val="lowerLetter"/>
      <w:lvlText w:val="%5)"/>
      <w:lvlJc w:val="left"/>
      <w:pPr>
        <w:ind w:left="2702" w:hanging="420"/>
      </w:pPr>
    </w:lvl>
    <w:lvl w:ilvl="5" w:tentative="0">
      <w:start w:val="1"/>
      <w:numFmt w:val="lowerRoman"/>
      <w:lvlText w:val="%6."/>
      <w:lvlJc w:val="right"/>
      <w:pPr>
        <w:ind w:left="3122" w:hanging="420"/>
      </w:pPr>
    </w:lvl>
    <w:lvl w:ilvl="6" w:tentative="0">
      <w:start w:val="1"/>
      <w:numFmt w:val="decimal"/>
      <w:lvlText w:val="%7."/>
      <w:lvlJc w:val="left"/>
      <w:pPr>
        <w:ind w:left="3542" w:hanging="420"/>
      </w:pPr>
    </w:lvl>
    <w:lvl w:ilvl="7" w:tentative="0">
      <w:start w:val="1"/>
      <w:numFmt w:val="lowerLetter"/>
      <w:lvlText w:val="%8)"/>
      <w:lvlJc w:val="left"/>
      <w:pPr>
        <w:ind w:left="3962" w:hanging="420"/>
      </w:pPr>
    </w:lvl>
    <w:lvl w:ilvl="8" w:tentative="0">
      <w:start w:val="1"/>
      <w:numFmt w:val="lowerRoman"/>
      <w:lvlText w:val="%9."/>
      <w:lvlJc w:val="right"/>
      <w:pPr>
        <w:ind w:left="4382" w:hanging="420"/>
      </w:pPr>
    </w:lvl>
  </w:abstractNum>
  <w:num w:numId="1">
    <w:abstractNumId w:val="5"/>
  </w:num>
  <w:num w:numId="2">
    <w:abstractNumId w:val="0"/>
  </w:num>
  <w:num w:numId="3">
    <w:abstractNumId w:val="1"/>
  </w:num>
  <w:num w:numId="4">
    <w:abstractNumId w:val="4"/>
  </w:num>
  <w:num w:numId="5">
    <w:abstractNumId w:val="6"/>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I3ODNkNTM5YmQ3M2Q0MWM4MjgyNTNiMzI5MjdjOWEifQ=="/>
  </w:docVars>
  <w:rsids>
    <w:rsidRoot w:val="004506F9"/>
    <w:rsid w:val="0002229B"/>
    <w:rsid w:val="000273BD"/>
    <w:rsid w:val="000415B7"/>
    <w:rsid w:val="00041E3F"/>
    <w:rsid w:val="00055DAA"/>
    <w:rsid w:val="00061F7B"/>
    <w:rsid w:val="000658A3"/>
    <w:rsid w:val="00074155"/>
    <w:rsid w:val="000873EF"/>
    <w:rsid w:val="000A3F69"/>
    <w:rsid w:val="000C2011"/>
    <w:rsid w:val="000C485B"/>
    <w:rsid w:val="00103957"/>
    <w:rsid w:val="00124A1F"/>
    <w:rsid w:val="00152C6D"/>
    <w:rsid w:val="00162D39"/>
    <w:rsid w:val="001678BD"/>
    <w:rsid w:val="00182373"/>
    <w:rsid w:val="001A67DB"/>
    <w:rsid w:val="001C3C29"/>
    <w:rsid w:val="001D51E5"/>
    <w:rsid w:val="001E080D"/>
    <w:rsid w:val="001E53D0"/>
    <w:rsid w:val="001F0C3B"/>
    <w:rsid w:val="00200D5A"/>
    <w:rsid w:val="00202C14"/>
    <w:rsid w:val="00202C82"/>
    <w:rsid w:val="00214427"/>
    <w:rsid w:val="00226CB7"/>
    <w:rsid w:val="00234DA8"/>
    <w:rsid w:val="00264552"/>
    <w:rsid w:val="00264EF9"/>
    <w:rsid w:val="00265724"/>
    <w:rsid w:val="0027426B"/>
    <w:rsid w:val="00276BC1"/>
    <w:rsid w:val="002A3793"/>
    <w:rsid w:val="002E0A30"/>
    <w:rsid w:val="00300D26"/>
    <w:rsid w:val="003130C4"/>
    <w:rsid w:val="00316C4B"/>
    <w:rsid w:val="003207D2"/>
    <w:rsid w:val="0032192B"/>
    <w:rsid w:val="00323DF3"/>
    <w:rsid w:val="003432AF"/>
    <w:rsid w:val="003479BD"/>
    <w:rsid w:val="0037197D"/>
    <w:rsid w:val="003739DD"/>
    <w:rsid w:val="003768D5"/>
    <w:rsid w:val="00376E6F"/>
    <w:rsid w:val="003B1DA1"/>
    <w:rsid w:val="003C4197"/>
    <w:rsid w:val="003C47E6"/>
    <w:rsid w:val="003C4FC2"/>
    <w:rsid w:val="003E2331"/>
    <w:rsid w:val="00416E61"/>
    <w:rsid w:val="0042790C"/>
    <w:rsid w:val="004506F9"/>
    <w:rsid w:val="004717A2"/>
    <w:rsid w:val="00473DF3"/>
    <w:rsid w:val="00487911"/>
    <w:rsid w:val="00491741"/>
    <w:rsid w:val="004A1B97"/>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3D36"/>
    <w:rsid w:val="005D40D2"/>
    <w:rsid w:val="005D4D55"/>
    <w:rsid w:val="005E2CFB"/>
    <w:rsid w:val="005F09CA"/>
    <w:rsid w:val="005F2103"/>
    <w:rsid w:val="005F3D1C"/>
    <w:rsid w:val="0062378F"/>
    <w:rsid w:val="00641842"/>
    <w:rsid w:val="00651EEC"/>
    <w:rsid w:val="00684E4B"/>
    <w:rsid w:val="00686673"/>
    <w:rsid w:val="00691E8C"/>
    <w:rsid w:val="006A22AB"/>
    <w:rsid w:val="006A22C4"/>
    <w:rsid w:val="006A348B"/>
    <w:rsid w:val="006A351B"/>
    <w:rsid w:val="006B0422"/>
    <w:rsid w:val="006B78E2"/>
    <w:rsid w:val="006C1B53"/>
    <w:rsid w:val="006D7730"/>
    <w:rsid w:val="006E5284"/>
    <w:rsid w:val="006F3EB5"/>
    <w:rsid w:val="00702E34"/>
    <w:rsid w:val="00704395"/>
    <w:rsid w:val="00710FE7"/>
    <w:rsid w:val="00717621"/>
    <w:rsid w:val="00720FF1"/>
    <w:rsid w:val="00727A53"/>
    <w:rsid w:val="00761550"/>
    <w:rsid w:val="00787B42"/>
    <w:rsid w:val="007B2A1A"/>
    <w:rsid w:val="007C4539"/>
    <w:rsid w:val="007F3657"/>
    <w:rsid w:val="00812ED5"/>
    <w:rsid w:val="00814B64"/>
    <w:rsid w:val="008276C1"/>
    <w:rsid w:val="008277D9"/>
    <w:rsid w:val="0084478C"/>
    <w:rsid w:val="00847427"/>
    <w:rsid w:val="008549B2"/>
    <w:rsid w:val="0086638C"/>
    <w:rsid w:val="00874D13"/>
    <w:rsid w:val="0089223F"/>
    <w:rsid w:val="008A3E8D"/>
    <w:rsid w:val="008E2E01"/>
    <w:rsid w:val="009237C4"/>
    <w:rsid w:val="00944C48"/>
    <w:rsid w:val="00950252"/>
    <w:rsid w:val="00967F5D"/>
    <w:rsid w:val="009A0F95"/>
    <w:rsid w:val="009B3ADF"/>
    <w:rsid w:val="009C12D2"/>
    <w:rsid w:val="009C3B52"/>
    <w:rsid w:val="009E6817"/>
    <w:rsid w:val="009E6E9A"/>
    <w:rsid w:val="00A01D2B"/>
    <w:rsid w:val="00A16F12"/>
    <w:rsid w:val="00A42218"/>
    <w:rsid w:val="00A51009"/>
    <w:rsid w:val="00A70249"/>
    <w:rsid w:val="00A70B02"/>
    <w:rsid w:val="00A71D9F"/>
    <w:rsid w:val="00A92E9F"/>
    <w:rsid w:val="00AB5582"/>
    <w:rsid w:val="00B32E5A"/>
    <w:rsid w:val="00B33BEA"/>
    <w:rsid w:val="00B57C9F"/>
    <w:rsid w:val="00B63572"/>
    <w:rsid w:val="00B845B3"/>
    <w:rsid w:val="00B85D8B"/>
    <w:rsid w:val="00B87467"/>
    <w:rsid w:val="00BB4A40"/>
    <w:rsid w:val="00BD6C3E"/>
    <w:rsid w:val="00BE3674"/>
    <w:rsid w:val="00C10681"/>
    <w:rsid w:val="00C160EC"/>
    <w:rsid w:val="00C3049A"/>
    <w:rsid w:val="00C31B1E"/>
    <w:rsid w:val="00C51157"/>
    <w:rsid w:val="00C77645"/>
    <w:rsid w:val="00CE04C3"/>
    <w:rsid w:val="00CE4795"/>
    <w:rsid w:val="00CE76A0"/>
    <w:rsid w:val="00D05621"/>
    <w:rsid w:val="00D148C6"/>
    <w:rsid w:val="00D17A8A"/>
    <w:rsid w:val="00D23CCA"/>
    <w:rsid w:val="00D415BA"/>
    <w:rsid w:val="00D63780"/>
    <w:rsid w:val="00D644EE"/>
    <w:rsid w:val="00D75489"/>
    <w:rsid w:val="00DD06FF"/>
    <w:rsid w:val="00DD5FE9"/>
    <w:rsid w:val="00E00C7A"/>
    <w:rsid w:val="00E209CF"/>
    <w:rsid w:val="00E37D6C"/>
    <w:rsid w:val="00E55B68"/>
    <w:rsid w:val="00E67BE6"/>
    <w:rsid w:val="00E8683C"/>
    <w:rsid w:val="00EA2B72"/>
    <w:rsid w:val="00ED704C"/>
    <w:rsid w:val="00F25FAC"/>
    <w:rsid w:val="00F74360"/>
    <w:rsid w:val="00FB462F"/>
    <w:rsid w:val="00FE16FA"/>
    <w:rsid w:val="00FE328A"/>
    <w:rsid w:val="00FE6269"/>
    <w:rsid w:val="00FF5CD6"/>
    <w:rsid w:val="026C0F4A"/>
    <w:rsid w:val="04027E12"/>
    <w:rsid w:val="07061FBC"/>
    <w:rsid w:val="086311FD"/>
    <w:rsid w:val="08F06EFA"/>
    <w:rsid w:val="0C4F5D28"/>
    <w:rsid w:val="12BF52A5"/>
    <w:rsid w:val="16307931"/>
    <w:rsid w:val="167C50DC"/>
    <w:rsid w:val="1A620F76"/>
    <w:rsid w:val="1B5D344A"/>
    <w:rsid w:val="1BA620FA"/>
    <w:rsid w:val="1C4050AC"/>
    <w:rsid w:val="1DFF4697"/>
    <w:rsid w:val="2009725F"/>
    <w:rsid w:val="20B7064F"/>
    <w:rsid w:val="237567DD"/>
    <w:rsid w:val="284D4517"/>
    <w:rsid w:val="29DA1856"/>
    <w:rsid w:val="2BE008D4"/>
    <w:rsid w:val="2CDA1CEA"/>
    <w:rsid w:val="2EC8141E"/>
    <w:rsid w:val="30300076"/>
    <w:rsid w:val="30FE4B21"/>
    <w:rsid w:val="32FA6DB8"/>
    <w:rsid w:val="34E131E9"/>
    <w:rsid w:val="3D0A493A"/>
    <w:rsid w:val="3DC51DEE"/>
    <w:rsid w:val="3FC73B02"/>
    <w:rsid w:val="42853FE2"/>
    <w:rsid w:val="42EA6BEE"/>
    <w:rsid w:val="42F8308E"/>
    <w:rsid w:val="443D48BA"/>
    <w:rsid w:val="49DE53AC"/>
    <w:rsid w:val="50C74DA3"/>
    <w:rsid w:val="5672428F"/>
    <w:rsid w:val="5D6E2183"/>
    <w:rsid w:val="629E09DD"/>
    <w:rsid w:val="66382819"/>
    <w:rsid w:val="67305669"/>
    <w:rsid w:val="6BBD662C"/>
    <w:rsid w:val="6C34725B"/>
    <w:rsid w:val="72207585"/>
    <w:rsid w:val="72FB3794"/>
    <w:rsid w:val="73BE06CB"/>
    <w:rsid w:val="78E0394C"/>
    <w:rsid w:val="7A871201"/>
    <w:rsid w:val="7B2E0E3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7"/>
    <w:qFormat/>
    <w:uiPriority w:val="0"/>
    <w:pPr>
      <w:adjustRightInd w:val="0"/>
      <w:spacing w:line="580" w:lineRule="exact"/>
      <w:ind w:left="200" w:leftChars="200" w:right="200" w:rightChars="200"/>
      <w:jc w:val="left"/>
      <w:textAlignment w:val="baseline"/>
      <w:outlineLvl w:val="0"/>
    </w:pPr>
    <w:rPr>
      <w:rFonts w:hint="eastAsia" w:ascii="宋体" w:hAnsi="宋体" w:eastAsia="宋体" w:cs="Times New Roman"/>
      <w:b/>
      <w:kern w:val="44"/>
      <w:sz w:val="30"/>
      <w:szCs w:val="48"/>
    </w:rPr>
  </w:style>
  <w:style w:type="paragraph" w:styleId="3">
    <w:name w:val="heading 2"/>
    <w:basedOn w:val="1"/>
    <w:next w:val="1"/>
    <w:link w:val="28"/>
    <w:qFormat/>
    <w:uiPriority w:val="0"/>
    <w:pPr>
      <w:adjustRightInd w:val="0"/>
      <w:spacing w:line="580" w:lineRule="exact"/>
      <w:ind w:left="200" w:leftChars="200" w:right="200" w:rightChars="200"/>
      <w:jc w:val="left"/>
      <w:textAlignment w:val="baseline"/>
      <w:outlineLvl w:val="1"/>
    </w:pPr>
    <w:rPr>
      <w:rFonts w:hint="eastAsia" w:ascii="宋体" w:hAnsi="宋体" w:eastAsia="宋体" w:cs="Times New Roman"/>
      <w:b/>
      <w:kern w:val="0"/>
      <w:sz w:val="30"/>
      <w:szCs w:val="36"/>
    </w:rPr>
  </w:style>
  <w:style w:type="paragraph" w:styleId="4">
    <w:name w:val="heading 3"/>
    <w:basedOn w:val="1"/>
    <w:next w:val="1"/>
    <w:link w:val="38"/>
    <w:semiHidden/>
    <w:unhideWhenUsed/>
    <w:qFormat/>
    <w:uiPriority w:val="0"/>
    <w:pPr>
      <w:keepNext/>
      <w:keepLines/>
      <w:adjustRightInd w:val="0"/>
      <w:spacing w:before="260" w:after="260" w:line="416" w:lineRule="atLeast"/>
      <w:textAlignment w:val="baseline"/>
      <w:outlineLvl w:val="2"/>
    </w:pPr>
    <w:rPr>
      <w:rFonts w:ascii="Times New Roman" w:hAnsi="Times New Roman" w:eastAsia="宋体" w:cs="Times New Roman"/>
      <w:b/>
      <w:bCs/>
      <w:sz w:val="32"/>
      <w:szCs w:val="32"/>
    </w:rPr>
  </w:style>
  <w:style w:type="paragraph" w:styleId="5">
    <w:name w:val="heading 4"/>
    <w:basedOn w:val="1"/>
    <w:next w:val="1"/>
    <w:link w:val="47"/>
    <w:semiHidden/>
    <w:unhideWhenUsed/>
    <w:qFormat/>
    <w:uiPriority w:val="0"/>
    <w:pPr>
      <w:keepNext/>
      <w:keepLines/>
      <w:adjustRightInd w:val="0"/>
      <w:spacing w:before="280" w:after="290" w:line="376" w:lineRule="atLeast"/>
      <w:textAlignment w:val="baseline"/>
      <w:outlineLvl w:val="3"/>
    </w:pPr>
    <w:rPr>
      <w:rFonts w:ascii="等线 Light" w:hAnsi="等线 Light" w:eastAsia="等线 Light" w:cs="Times New Roman"/>
      <w:b/>
      <w:bCs/>
      <w:sz w:val="28"/>
      <w:szCs w:val="28"/>
    </w:rPr>
  </w:style>
  <w:style w:type="paragraph" w:styleId="6">
    <w:name w:val="heading 5"/>
    <w:basedOn w:val="1"/>
    <w:next w:val="1"/>
    <w:link w:val="50"/>
    <w:semiHidden/>
    <w:unhideWhenUsed/>
    <w:qFormat/>
    <w:uiPriority w:val="0"/>
    <w:pPr>
      <w:keepNext/>
      <w:keepLines/>
      <w:adjustRightInd w:val="0"/>
      <w:spacing w:before="280" w:after="290" w:line="376" w:lineRule="atLeast"/>
      <w:textAlignment w:val="baseline"/>
      <w:outlineLvl w:val="4"/>
    </w:pPr>
    <w:rPr>
      <w:rFonts w:ascii="Times New Roman" w:hAnsi="Times New Roman" w:eastAsia="宋体" w:cs="Times New Roman"/>
      <w:b/>
      <w:bCs/>
      <w:sz w:val="28"/>
      <w:szCs w:val="28"/>
    </w:rPr>
  </w:style>
  <w:style w:type="character" w:default="1" w:styleId="17">
    <w:name w:val="Default Paragraph Font"/>
    <w:semiHidden/>
    <w:unhideWhenUsed/>
    <w:qFormat/>
    <w:uiPriority w:val="1"/>
  </w:style>
  <w:style w:type="table" w:default="1" w:styleId="20">
    <w:name w:val="Normal Table"/>
    <w:semiHidden/>
    <w:unhideWhenUsed/>
    <w:uiPriority w:val="99"/>
    <w:tblPr>
      <w:tblLayout w:type="fixed"/>
      <w:tblCellMar>
        <w:top w:w="0" w:type="dxa"/>
        <w:left w:w="108" w:type="dxa"/>
        <w:bottom w:w="0" w:type="dxa"/>
        <w:right w:w="108" w:type="dxa"/>
      </w:tblCellMar>
    </w:tblPr>
  </w:style>
  <w:style w:type="paragraph" w:styleId="7">
    <w:name w:val="annotation subject"/>
    <w:basedOn w:val="8"/>
    <w:next w:val="8"/>
    <w:link w:val="42"/>
    <w:uiPriority w:val="0"/>
    <w:rPr>
      <w:b/>
      <w:bCs/>
    </w:rPr>
  </w:style>
  <w:style w:type="paragraph" w:styleId="8">
    <w:name w:val="annotation text"/>
    <w:basedOn w:val="1"/>
    <w:link w:val="40"/>
    <w:uiPriority w:val="0"/>
    <w:pPr>
      <w:adjustRightInd w:val="0"/>
      <w:spacing w:line="360" w:lineRule="atLeast"/>
      <w:jc w:val="left"/>
      <w:textAlignment w:val="baseline"/>
    </w:pPr>
    <w:rPr>
      <w:rFonts w:ascii="Times New Roman" w:hAnsi="Times New Roman" w:eastAsia="宋体" w:cs="Times New Roman"/>
      <w:sz w:val="32"/>
      <w:szCs w:val="32"/>
    </w:rPr>
  </w:style>
  <w:style w:type="paragraph" w:styleId="9">
    <w:name w:val="Body Text"/>
    <w:basedOn w:val="1"/>
    <w:link w:val="32"/>
    <w:qFormat/>
    <w:uiPriority w:val="0"/>
    <w:pPr>
      <w:adjustRightInd w:val="0"/>
      <w:spacing w:line="360" w:lineRule="atLeast"/>
      <w:textAlignment w:val="baseline"/>
    </w:pPr>
    <w:rPr>
      <w:rFonts w:ascii="Times New Roman" w:hAnsi="Times New Roman" w:eastAsia="宋体" w:cs="Times New Roman"/>
      <w:sz w:val="44"/>
      <w:szCs w:val="32"/>
    </w:rPr>
  </w:style>
  <w:style w:type="paragraph" w:styleId="10">
    <w:name w:val="Date"/>
    <w:basedOn w:val="1"/>
    <w:next w:val="1"/>
    <w:link w:val="37"/>
    <w:qFormat/>
    <w:uiPriority w:val="0"/>
    <w:pPr>
      <w:adjustRightInd w:val="0"/>
      <w:spacing w:line="360" w:lineRule="atLeast"/>
      <w:ind w:left="100" w:leftChars="2500"/>
      <w:textAlignment w:val="baseline"/>
    </w:pPr>
    <w:rPr>
      <w:rFonts w:ascii="Times New Roman" w:hAnsi="Times New Roman" w:eastAsia="宋体" w:cs="Times New Roman"/>
      <w:sz w:val="32"/>
      <w:szCs w:val="32"/>
    </w:rPr>
  </w:style>
  <w:style w:type="paragraph" w:styleId="11">
    <w:name w:val="Balloon Text"/>
    <w:basedOn w:val="1"/>
    <w:link w:val="26"/>
    <w:unhideWhenUsed/>
    <w:uiPriority w:val="0"/>
    <w:rPr>
      <w:sz w:val="18"/>
      <w:szCs w:val="18"/>
    </w:rPr>
  </w:style>
  <w:style w:type="paragraph" w:styleId="12">
    <w:name w:val="footer"/>
    <w:basedOn w:val="1"/>
    <w:link w:val="23"/>
    <w:unhideWhenUsed/>
    <w:qFormat/>
    <w:uiPriority w:val="99"/>
    <w:pPr>
      <w:tabs>
        <w:tab w:val="center" w:pos="4153"/>
        <w:tab w:val="right" w:pos="8306"/>
      </w:tabs>
      <w:snapToGrid w:val="0"/>
      <w:jc w:val="left"/>
    </w:pPr>
    <w:rPr>
      <w:sz w:val="18"/>
      <w:szCs w:val="18"/>
    </w:rPr>
  </w:style>
  <w:style w:type="paragraph" w:styleId="13">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link w:val="52"/>
    <w:uiPriority w:val="0"/>
    <w:pPr>
      <w:adjustRightInd w:val="0"/>
      <w:spacing w:line="580" w:lineRule="exact"/>
      <w:ind w:left="200" w:leftChars="200" w:right="200" w:rightChars="200"/>
      <w:jc w:val="center"/>
      <w:textAlignment w:val="baseline"/>
      <w:outlineLvl w:val="3"/>
    </w:pPr>
    <w:rPr>
      <w:rFonts w:ascii="Cambria" w:hAnsi="Cambria" w:eastAsia="宋体" w:cs="Times New Roman"/>
      <w:b/>
      <w:bCs/>
      <w:kern w:val="28"/>
      <w:sz w:val="30"/>
      <w:szCs w:val="32"/>
    </w:rPr>
  </w:style>
  <w:style w:type="paragraph" w:styleId="15">
    <w:name w:val="Normal (Web)"/>
    <w:basedOn w:val="1"/>
    <w:uiPriority w:val="0"/>
    <w:pPr>
      <w:adjustRightInd w:val="0"/>
      <w:spacing w:before="100" w:beforeAutospacing="1" w:after="100" w:afterAutospacing="1" w:line="360" w:lineRule="atLeast"/>
      <w:jc w:val="left"/>
      <w:textAlignment w:val="baseline"/>
    </w:pPr>
    <w:rPr>
      <w:rFonts w:ascii="Times New Roman" w:hAnsi="Times New Roman" w:eastAsia="宋体" w:cs="Times New Roman"/>
      <w:kern w:val="0"/>
      <w:sz w:val="24"/>
      <w:szCs w:val="32"/>
    </w:rPr>
  </w:style>
  <w:style w:type="paragraph" w:styleId="16">
    <w:name w:val="Title"/>
    <w:basedOn w:val="1"/>
    <w:next w:val="1"/>
    <w:link w:val="49"/>
    <w:qFormat/>
    <w:uiPriority w:val="0"/>
    <w:pPr>
      <w:adjustRightInd w:val="0"/>
      <w:spacing w:line="560" w:lineRule="exact"/>
      <w:jc w:val="center"/>
      <w:textAlignment w:val="baseline"/>
      <w:outlineLvl w:val="0"/>
    </w:pPr>
    <w:rPr>
      <w:rFonts w:ascii="Cambria" w:hAnsi="Cambria" w:eastAsia="黑体" w:cs="Times New Roman"/>
      <w:bCs/>
      <w:sz w:val="44"/>
      <w:szCs w:val="32"/>
    </w:rPr>
  </w:style>
  <w:style w:type="character" w:styleId="18">
    <w:name w:val="Hyperlink"/>
    <w:uiPriority w:val="0"/>
    <w:rPr>
      <w:color w:val="0000FF"/>
      <w:u w:val="single"/>
    </w:rPr>
  </w:style>
  <w:style w:type="character" w:styleId="19">
    <w:name w:val="annotation reference"/>
    <w:uiPriority w:val="0"/>
    <w:rPr>
      <w:sz w:val="21"/>
      <w:szCs w:val="21"/>
    </w:rPr>
  </w:style>
  <w:style w:type="table" w:styleId="21">
    <w:name w:val="Table Grid"/>
    <w:basedOn w:val="20"/>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2">
    <w:name w:val="页眉 Char"/>
    <w:basedOn w:val="17"/>
    <w:link w:val="13"/>
    <w:qFormat/>
    <w:uiPriority w:val="99"/>
    <w:rPr>
      <w:sz w:val="18"/>
      <w:szCs w:val="18"/>
    </w:rPr>
  </w:style>
  <w:style w:type="character" w:customStyle="1" w:styleId="23">
    <w:name w:val="页脚 Char"/>
    <w:basedOn w:val="17"/>
    <w:link w:val="12"/>
    <w:uiPriority w:val="99"/>
    <w:rPr>
      <w:sz w:val="18"/>
      <w:szCs w:val="18"/>
    </w:rPr>
  </w:style>
  <w:style w:type="paragraph" w:customStyle="1" w:styleId="24">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25">
    <w:name w:val="List Paragraph"/>
    <w:basedOn w:val="1"/>
    <w:qFormat/>
    <w:uiPriority w:val="34"/>
    <w:pPr>
      <w:ind w:firstLine="420" w:firstLineChars="200"/>
    </w:pPr>
  </w:style>
  <w:style w:type="character" w:customStyle="1" w:styleId="26">
    <w:name w:val="批注框文本 Char"/>
    <w:basedOn w:val="17"/>
    <w:link w:val="11"/>
    <w:semiHidden/>
    <w:qFormat/>
    <w:uiPriority w:val="99"/>
    <w:rPr>
      <w:sz w:val="18"/>
      <w:szCs w:val="18"/>
    </w:rPr>
  </w:style>
  <w:style w:type="character" w:customStyle="1" w:styleId="27">
    <w:name w:val="标题 1 Char"/>
    <w:basedOn w:val="17"/>
    <w:link w:val="2"/>
    <w:qFormat/>
    <w:uiPriority w:val="0"/>
    <w:rPr>
      <w:rFonts w:ascii="宋体" w:hAnsi="宋体" w:eastAsia="宋体" w:cs="Times New Roman"/>
      <w:b/>
      <w:kern w:val="44"/>
      <w:sz w:val="30"/>
      <w:szCs w:val="48"/>
    </w:rPr>
  </w:style>
  <w:style w:type="character" w:customStyle="1" w:styleId="28">
    <w:name w:val="标题 2 Char"/>
    <w:basedOn w:val="17"/>
    <w:link w:val="3"/>
    <w:qFormat/>
    <w:uiPriority w:val="0"/>
    <w:rPr>
      <w:rFonts w:ascii="宋体" w:hAnsi="宋体" w:eastAsia="宋体" w:cs="Times New Roman"/>
      <w:b/>
      <w:kern w:val="0"/>
      <w:sz w:val="30"/>
      <w:szCs w:val="36"/>
    </w:rPr>
  </w:style>
  <w:style w:type="character" w:customStyle="1" w:styleId="29">
    <w:name w:val="标题 3 Char"/>
    <w:basedOn w:val="17"/>
    <w:semiHidden/>
    <w:qFormat/>
    <w:uiPriority w:val="9"/>
    <w:rPr>
      <w:b/>
      <w:bCs/>
      <w:sz w:val="32"/>
      <w:szCs w:val="32"/>
    </w:rPr>
  </w:style>
  <w:style w:type="character" w:customStyle="1" w:styleId="30">
    <w:name w:val="标题 4 Char"/>
    <w:basedOn w:val="17"/>
    <w:semiHidden/>
    <w:qFormat/>
    <w:uiPriority w:val="9"/>
    <w:rPr>
      <w:rFonts w:asciiTheme="majorHAnsi" w:hAnsiTheme="majorHAnsi" w:eastAsiaTheme="majorEastAsia" w:cstheme="majorBidi"/>
      <w:b/>
      <w:bCs/>
      <w:sz w:val="28"/>
      <w:szCs w:val="28"/>
    </w:rPr>
  </w:style>
  <w:style w:type="character" w:customStyle="1" w:styleId="31">
    <w:name w:val="标题 5 Char"/>
    <w:basedOn w:val="17"/>
    <w:semiHidden/>
    <w:uiPriority w:val="9"/>
    <w:rPr>
      <w:b/>
      <w:bCs/>
      <w:sz w:val="28"/>
      <w:szCs w:val="28"/>
    </w:rPr>
  </w:style>
  <w:style w:type="character" w:customStyle="1" w:styleId="32">
    <w:name w:val="正文文本 Char"/>
    <w:basedOn w:val="17"/>
    <w:link w:val="9"/>
    <w:qFormat/>
    <w:uiPriority w:val="0"/>
    <w:rPr>
      <w:rFonts w:ascii="Times New Roman" w:hAnsi="Times New Roman" w:eastAsia="宋体" w:cs="Times New Roman"/>
      <w:sz w:val="44"/>
      <w:szCs w:val="32"/>
    </w:rPr>
  </w:style>
  <w:style w:type="character" w:customStyle="1" w:styleId="33">
    <w:name w:val="页脚 字符"/>
    <w:qFormat/>
    <w:uiPriority w:val="99"/>
    <w:rPr>
      <w:kern w:val="2"/>
      <w:sz w:val="18"/>
      <w:szCs w:val="32"/>
    </w:rPr>
  </w:style>
  <w:style w:type="character" w:customStyle="1" w:styleId="34">
    <w:name w:val="页眉 字符"/>
    <w:qFormat/>
    <w:uiPriority w:val="99"/>
    <w:rPr>
      <w:kern w:val="2"/>
      <w:sz w:val="18"/>
      <w:szCs w:val="32"/>
    </w:rPr>
  </w:style>
  <w:style w:type="character" w:customStyle="1" w:styleId="35">
    <w:name w:val="批注框文本 字符"/>
    <w:qFormat/>
    <w:uiPriority w:val="0"/>
    <w:rPr>
      <w:kern w:val="2"/>
      <w:sz w:val="18"/>
      <w:szCs w:val="18"/>
    </w:rPr>
  </w:style>
  <w:style w:type="character" w:customStyle="1" w:styleId="36">
    <w:name w:val="日期 Char"/>
    <w:basedOn w:val="17"/>
    <w:semiHidden/>
    <w:qFormat/>
    <w:uiPriority w:val="99"/>
  </w:style>
  <w:style w:type="character" w:customStyle="1" w:styleId="37">
    <w:name w:val="日期 Char1"/>
    <w:link w:val="10"/>
    <w:uiPriority w:val="0"/>
    <w:rPr>
      <w:rFonts w:ascii="Times New Roman" w:hAnsi="Times New Roman" w:eastAsia="宋体" w:cs="Times New Roman"/>
      <w:sz w:val="32"/>
      <w:szCs w:val="32"/>
    </w:rPr>
  </w:style>
  <w:style w:type="character" w:customStyle="1" w:styleId="38">
    <w:name w:val="标题 3 Char1"/>
    <w:link w:val="4"/>
    <w:semiHidden/>
    <w:uiPriority w:val="0"/>
    <w:rPr>
      <w:rFonts w:ascii="Times New Roman" w:hAnsi="Times New Roman" w:eastAsia="宋体" w:cs="Times New Roman"/>
      <w:b/>
      <w:bCs/>
      <w:sz w:val="32"/>
      <w:szCs w:val="32"/>
    </w:rPr>
  </w:style>
  <w:style w:type="character" w:customStyle="1" w:styleId="39">
    <w:name w:val="批注文字 Char"/>
    <w:basedOn w:val="17"/>
    <w:semiHidden/>
    <w:uiPriority w:val="99"/>
  </w:style>
  <w:style w:type="character" w:customStyle="1" w:styleId="40">
    <w:name w:val="批注文字 Char1"/>
    <w:link w:val="8"/>
    <w:uiPriority w:val="0"/>
    <w:rPr>
      <w:rFonts w:ascii="Times New Roman" w:hAnsi="Times New Roman" w:eastAsia="宋体" w:cs="Times New Roman"/>
      <w:sz w:val="32"/>
      <w:szCs w:val="32"/>
    </w:rPr>
  </w:style>
  <w:style w:type="character" w:customStyle="1" w:styleId="41">
    <w:name w:val="批注主题 Char"/>
    <w:basedOn w:val="39"/>
    <w:semiHidden/>
    <w:uiPriority w:val="99"/>
    <w:rPr>
      <w:b/>
      <w:bCs/>
    </w:rPr>
  </w:style>
  <w:style w:type="character" w:customStyle="1" w:styleId="42">
    <w:name w:val="批注主题 Char1"/>
    <w:link w:val="7"/>
    <w:uiPriority w:val="0"/>
    <w:rPr>
      <w:rFonts w:ascii="Times New Roman" w:hAnsi="Times New Roman" w:eastAsia="宋体" w:cs="Times New Roman"/>
      <w:b/>
      <w:bCs/>
      <w:sz w:val="32"/>
      <w:szCs w:val="32"/>
    </w:rPr>
  </w:style>
  <w:style w:type="paragraph" w:customStyle="1" w:styleId="43">
    <w:name w:val="标题3"/>
    <w:basedOn w:val="4"/>
    <w:link w:val="45"/>
    <w:qFormat/>
    <w:uiPriority w:val="0"/>
    <w:pPr>
      <w:snapToGrid w:val="0"/>
      <w:spacing w:before="0" w:after="0" w:line="580" w:lineRule="exact"/>
      <w:ind w:left="200" w:leftChars="200" w:right="200" w:rightChars="200"/>
    </w:pPr>
    <w:rPr>
      <w:rFonts w:cs="仿宋"/>
      <w:bCs w:val="0"/>
      <w:sz w:val="30"/>
      <w:szCs w:val="30"/>
    </w:rPr>
  </w:style>
  <w:style w:type="paragraph" w:customStyle="1" w:styleId="44">
    <w:name w:val="标题4"/>
    <w:basedOn w:val="5"/>
    <w:link w:val="48"/>
    <w:uiPriority w:val="0"/>
    <w:pPr>
      <w:numPr>
        <w:ilvl w:val="0"/>
        <w:numId w:val="1"/>
      </w:numPr>
      <w:snapToGrid w:val="0"/>
      <w:spacing w:before="0" w:after="0" w:line="580" w:lineRule="exact"/>
      <w:ind w:left="640" w:leftChars="200" w:right="640" w:rightChars="200" w:firstLine="0"/>
    </w:pPr>
    <w:rPr>
      <w:rFonts w:ascii="Times New Roman" w:hAnsi="Times New Roman" w:eastAsia="宋体" w:cs="仿宋"/>
      <w:bCs w:val="0"/>
      <w:sz w:val="30"/>
      <w:szCs w:val="30"/>
    </w:rPr>
  </w:style>
  <w:style w:type="character" w:customStyle="1" w:styleId="45">
    <w:name w:val="标题3 字符"/>
    <w:link w:val="43"/>
    <w:uiPriority w:val="0"/>
    <w:rPr>
      <w:rFonts w:ascii="Times New Roman" w:hAnsi="Times New Roman" w:eastAsia="宋体" w:cs="仿宋"/>
      <w:b/>
      <w:sz w:val="30"/>
      <w:szCs w:val="30"/>
    </w:rPr>
  </w:style>
  <w:style w:type="paragraph" w:customStyle="1" w:styleId="46">
    <w:name w:val="标题5"/>
    <w:basedOn w:val="6"/>
    <w:link w:val="51"/>
    <w:uiPriority w:val="0"/>
    <w:pPr>
      <w:numPr>
        <w:ilvl w:val="0"/>
        <w:numId w:val="2"/>
      </w:numPr>
      <w:snapToGrid w:val="0"/>
      <w:spacing w:before="0" w:after="0" w:line="312" w:lineRule="auto"/>
    </w:pPr>
    <w:rPr>
      <w:rFonts w:cs="仿宋"/>
      <w:b w:val="0"/>
      <w:sz w:val="30"/>
      <w:szCs w:val="30"/>
    </w:rPr>
  </w:style>
  <w:style w:type="character" w:customStyle="1" w:styleId="47">
    <w:name w:val="标题 4 Char1"/>
    <w:link w:val="5"/>
    <w:semiHidden/>
    <w:qFormat/>
    <w:uiPriority w:val="0"/>
    <w:rPr>
      <w:rFonts w:ascii="等线 Light" w:hAnsi="等线 Light" w:eastAsia="等线 Light" w:cs="Times New Roman"/>
      <w:b/>
      <w:bCs/>
      <w:sz w:val="28"/>
      <w:szCs w:val="28"/>
    </w:rPr>
  </w:style>
  <w:style w:type="character" w:customStyle="1" w:styleId="48">
    <w:name w:val="标题4 Char"/>
    <w:link w:val="44"/>
    <w:uiPriority w:val="0"/>
    <w:rPr>
      <w:rFonts w:ascii="Times New Roman" w:hAnsi="Times New Roman" w:eastAsia="宋体" w:cs="仿宋"/>
      <w:b/>
      <w:sz w:val="30"/>
      <w:szCs w:val="30"/>
    </w:rPr>
  </w:style>
  <w:style w:type="character" w:customStyle="1" w:styleId="49">
    <w:name w:val="标题 Char"/>
    <w:basedOn w:val="17"/>
    <w:link w:val="16"/>
    <w:qFormat/>
    <w:uiPriority w:val="0"/>
    <w:rPr>
      <w:rFonts w:ascii="Cambria" w:hAnsi="Cambria" w:eastAsia="黑体" w:cs="Times New Roman"/>
      <w:bCs/>
      <w:sz w:val="44"/>
      <w:szCs w:val="32"/>
    </w:rPr>
  </w:style>
  <w:style w:type="character" w:customStyle="1" w:styleId="50">
    <w:name w:val="标题 5 Char1"/>
    <w:link w:val="6"/>
    <w:semiHidden/>
    <w:uiPriority w:val="0"/>
    <w:rPr>
      <w:rFonts w:ascii="Times New Roman" w:hAnsi="Times New Roman" w:eastAsia="宋体" w:cs="Times New Roman"/>
      <w:b/>
      <w:bCs/>
      <w:sz w:val="28"/>
      <w:szCs w:val="28"/>
    </w:rPr>
  </w:style>
  <w:style w:type="character" w:customStyle="1" w:styleId="51">
    <w:name w:val="标题5 字符"/>
    <w:link w:val="46"/>
    <w:uiPriority w:val="0"/>
    <w:rPr>
      <w:rFonts w:ascii="Times New Roman" w:hAnsi="Times New Roman" w:eastAsia="宋体" w:cs="仿宋"/>
      <w:bCs/>
      <w:sz w:val="30"/>
      <w:szCs w:val="30"/>
    </w:rPr>
  </w:style>
  <w:style w:type="character" w:customStyle="1" w:styleId="52">
    <w:name w:val="副标题 Char"/>
    <w:basedOn w:val="17"/>
    <w:link w:val="14"/>
    <w:uiPriority w:val="0"/>
    <w:rPr>
      <w:rFonts w:ascii="Cambria" w:hAnsi="Cambria" w:eastAsia="宋体" w:cs="Times New Roman"/>
      <w:b/>
      <w:bCs/>
      <w:kern w:val="28"/>
      <w:sz w:val="30"/>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2B74A6-99B1-4323-95C7-CF220CF73E7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57</Pages>
  <Words>4732</Words>
  <Characters>26973</Characters>
  <Lines>224</Lines>
  <Paragraphs>63</Paragraphs>
  <TotalTime>367</TotalTime>
  <ScaleCrop>false</ScaleCrop>
  <LinksUpToDate>false</LinksUpToDate>
  <CharactersWithSpaces>31642</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Administrator</cp:lastModifiedBy>
  <cp:lastPrinted>2022-07-27T12:55:00Z</cp:lastPrinted>
  <dcterms:modified xsi:type="dcterms:W3CDTF">2022-09-02T08:17:51Z</dcterms:modified>
  <cp:revision>113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58A4C30DE94549118AE624E9A31CC397</vt:lpwstr>
  </property>
</Properties>
</file>