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黑体" w:hAnsi="黑体" w:eastAsia="黑体" w:cs="黑体"/>
          <w:kern w:val="0"/>
          <w:sz w:val="44"/>
          <w:szCs w:val="44"/>
          <w:lang w:eastAsia="zh-CN"/>
        </w:rPr>
      </w:pPr>
      <w:r>
        <w:rPr>
          <w:rFonts w:hint="eastAsia" w:ascii="Arial" w:hAnsi="Arial" w:eastAsia="黑体" w:cs="Arial"/>
          <w:b w:val="0"/>
          <w:bCs w:val="0"/>
          <w:kern w:val="0"/>
          <w:sz w:val="44"/>
          <w:szCs w:val="44"/>
          <w:lang w:val="en-US" w:eastAsia="zh-CN"/>
        </w:rPr>
        <w:t>2022</w:t>
      </w:r>
      <w:r>
        <w:rPr>
          <w:rFonts w:hint="eastAsia" w:ascii="黑体" w:hAnsi="黑体" w:eastAsia="黑体" w:cs="黑体"/>
          <w:kern w:val="0"/>
          <w:sz w:val="44"/>
          <w:szCs w:val="44"/>
        </w:rPr>
        <w:t>年</w:t>
      </w:r>
      <w:r>
        <w:rPr>
          <w:rFonts w:hint="eastAsia" w:ascii="黑体" w:hAnsi="黑体" w:eastAsia="黑体" w:cs="黑体"/>
          <w:kern w:val="0"/>
          <w:sz w:val="44"/>
          <w:szCs w:val="44"/>
          <w:lang w:eastAsia="zh-CN"/>
        </w:rPr>
        <w:t>住建局机关</w:t>
      </w:r>
      <w:r>
        <w:rPr>
          <w:rFonts w:hint="eastAsia" w:ascii="黑体" w:hAnsi="黑体" w:eastAsia="黑体" w:cs="黑体"/>
          <w:kern w:val="0"/>
          <w:sz w:val="44"/>
          <w:szCs w:val="44"/>
        </w:rPr>
        <w:t>部门预算公开</w:t>
      </w:r>
      <w:r>
        <w:rPr>
          <w:rFonts w:hint="eastAsia" w:ascii="黑体" w:hAnsi="黑体" w:eastAsia="黑体" w:cs="黑体"/>
          <w:kern w:val="0"/>
          <w:sz w:val="44"/>
          <w:szCs w:val="44"/>
          <w:lang w:eastAsia="zh-CN"/>
        </w:rPr>
        <w:t>说明</w:t>
      </w:r>
    </w:p>
    <w:p>
      <w:pPr>
        <w:jc w:val="both"/>
        <w:rPr>
          <w:rFonts w:ascii="宋体" w:hAnsi="宋体" w:eastAsia="宋体" w:cs="宋体"/>
          <w:b/>
          <w:bCs/>
          <w:sz w:val="44"/>
          <w:szCs w:val="44"/>
        </w:rPr>
      </w:pPr>
    </w:p>
    <w:p>
      <w:pPr>
        <w:jc w:val="center"/>
        <w:rPr>
          <w:rFonts w:ascii="宋体" w:hAnsi="宋体" w:eastAsia="宋体" w:cs="宋体"/>
          <w:sz w:val="44"/>
          <w:szCs w:val="44"/>
        </w:rPr>
      </w:pPr>
      <w:r>
        <w:rPr>
          <w:rFonts w:ascii="宋体" w:hAnsi="宋体" w:eastAsia="宋体" w:cs="宋体"/>
          <w:b/>
          <w:bCs/>
          <w:sz w:val="44"/>
          <w:szCs w:val="44"/>
        </w:rPr>
        <w:t>目</w:t>
      </w:r>
      <w:r>
        <w:rPr>
          <w:rFonts w:hint="eastAsia" w:ascii="宋体" w:hAnsi="宋体" w:eastAsia="宋体" w:cs="宋体"/>
          <w:b/>
          <w:bCs/>
          <w:sz w:val="44"/>
          <w:szCs w:val="44"/>
          <w:lang w:val="en-US" w:eastAsia="zh-CN"/>
        </w:rPr>
        <w:t xml:space="preserve">  </w:t>
      </w:r>
      <w:r>
        <w:rPr>
          <w:rFonts w:ascii="宋体" w:hAnsi="宋体" w:eastAsia="宋体" w:cs="宋体"/>
          <w:b/>
          <w:bCs/>
          <w:sz w:val="44"/>
          <w:szCs w:val="44"/>
        </w:rPr>
        <w:t>录</w:t>
      </w:r>
      <w:r>
        <w:rPr>
          <w:rFonts w:ascii="宋体" w:hAnsi="宋体" w:eastAsia="宋体" w:cs="宋体"/>
          <w:b/>
          <w:bCs/>
          <w:sz w:val="44"/>
          <w:szCs w:val="44"/>
        </w:rPr>
        <w:br w:type="textWrapping"/>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hint="eastAsia" w:ascii="宋体" w:hAnsi="宋体" w:cs="宋体"/>
          <w:b/>
          <w:bCs/>
          <w:sz w:val="32"/>
          <w:szCs w:val="32"/>
          <w:lang w:val="en-US" w:eastAsia="zh-CN"/>
        </w:rPr>
        <w:t xml:space="preserve"> 2022</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部门预算说明</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部门基本概况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部门预算单位构成</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部门收支总体情况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一般公共预算拨款支出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政府性基金预算支出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其他重要事项的情况说明</w:t>
      </w:r>
    </w:p>
    <w:p>
      <w:pPr>
        <w:widowControl/>
        <w:numPr>
          <w:ilvl w:val="0"/>
          <w:numId w:val="2"/>
        </w:numPr>
        <w:spacing w:line="600" w:lineRule="exact"/>
        <w:jc w:val="left"/>
        <w:rPr>
          <w:rFonts w:ascii="宋体" w:hAnsi="宋体" w:eastAsia="宋体" w:cs="宋体"/>
          <w:b/>
          <w:bCs/>
          <w:sz w:val="32"/>
          <w:szCs w:val="32"/>
        </w:rPr>
      </w:pPr>
      <w:r>
        <w:rPr>
          <w:rFonts w:hint="eastAsia" w:asciiTheme="minorEastAsia" w:hAnsiTheme="minorEastAsia" w:eastAsiaTheme="minorEastAsia" w:cstheme="minorEastAsia"/>
          <w:b w:val="0"/>
          <w:bCs/>
          <w:kern w:val="0"/>
          <w:sz w:val="32"/>
          <w:szCs w:val="32"/>
        </w:rPr>
        <w:t>名词解释</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ascii="宋体" w:hAnsi="宋体" w:eastAsia="宋体" w:cs="宋体"/>
          <w:b/>
          <w:bCs/>
          <w:sz w:val="32"/>
          <w:szCs w:val="32"/>
        </w:rPr>
        <w:t xml:space="preserve">第二部分 </w:t>
      </w:r>
      <w:r>
        <w:rPr>
          <w:rFonts w:hint="eastAsia" w:ascii="宋体" w:hAnsi="宋体" w:cs="宋体"/>
          <w:b/>
          <w:bCs/>
          <w:sz w:val="32"/>
          <w:szCs w:val="32"/>
          <w:lang w:val="en-US" w:eastAsia="zh-CN"/>
        </w:rPr>
        <w:t xml:space="preserve"> 2022</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eastAsia="宋体" w:cs="宋体"/>
          <w:sz w:val="32"/>
          <w:szCs w:val="32"/>
          <w:lang w:val="en-US" w:eastAsia="zh-CN"/>
        </w:rPr>
      </w:pPr>
      <w:r>
        <w:rPr>
          <w:rFonts w:hint="eastAsia" w:ascii="宋体" w:hAnsi="宋体" w:cs="宋体"/>
          <w:sz w:val="32"/>
          <w:szCs w:val="32"/>
          <w:lang w:val="en-US" w:eastAsia="zh-CN"/>
        </w:rPr>
        <w:t>1</w:t>
      </w:r>
      <w:r>
        <w:rPr>
          <w:rFonts w:ascii="宋体" w:hAnsi="宋体" w:eastAsia="宋体" w:cs="宋体"/>
          <w:sz w:val="32"/>
          <w:szCs w:val="32"/>
        </w:rPr>
        <w:t>、</w:t>
      </w:r>
      <w:r>
        <w:rPr>
          <w:rFonts w:hint="eastAsia" w:ascii="宋体" w:hAnsi="宋体" w:cs="宋体"/>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eastAsia="zh-CN"/>
        </w:rPr>
      </w:pPr>
      <w:r>
        <w:rPr>
          <w:rFonts w:hint="eastAsia" w:ascii="宋体" w:hAnsi="宋体" w:cs="宋体"/>
          <w:sz w:val="32"/>
          <w:szCs w:val="32"/>
          <w:lang w:val="en-US" w:eastAsia="zh-CN"/>
        </w:rPr>
        <w:t>2</w:t>
      </w:r>
      <w:r>
        <w:rPr>
          <w:rFonts w:hint="eastAsia" w:ascii="宋体" w:hAnsi="宋体" w:cs="宋体"/>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cs="宋体"/>
          <w:sz w:val="32"/>
          <w:szCs w:val="32"/>
          <w:lang w:val="en-US" w:eastAsia="zh-CN"/>
        </w:rPr>
      </w:pPr>
      <w:r>
        <w:rPr>
          <w:rFonts w:hint="eastAsia" w:ascii="宋体" w:hAnsi="宋体" w:cs="宋体"/>
          <w:sz w:val="32"/>
          <w:szCs w:val="32"/>
          <w:lang w:val="en-US" w:eastAsia="zh-CN"/>
        </w:rPr>
        <w:t>7、一般公共预算支出表（功能分类）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8、一般公共预算支出表（政府预算支出经济分类）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9、一般公共预算支出表（部门预算支出经济分类）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10、部门政府性基金预算支出表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11、公共财政拨款“三公”经费及会议费预算表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12、项目支出明细表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13、政府采购预算表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14、非税收入表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15、非税收入安排的支出表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16、政府采购服务预算表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eastAsia="宋体"/>
          <w:sz w:val="32"/>
          <w:szCs w:val="32"/>
          <w:lang w:val="en-US" w:eastAsia="zh-CN"/>
        </w:rPr>
      </w:pPr>
      <w:r>
        <w:rPr>
          <w:rFonts w:hint="eastAsia" w:ascii="宋体" w:hAnsi="宋体" w:cs="宋体"/>
          <w:sz w:val="32"/>
          <w:szCs w:val="32"/>
          <w:lang w:val="en-US" w:eastAsia="zh-CN"/>
        </w:rPr>
        <w:t>17、部门整体支出绩效目标申报表</w:t>
      </w:r>
      <w:r>
        <w:rPr>
          <w:rFonts w:ascii="宋体" w:hAnsi="宋体" w:eastAsia="宋体" w:cs="宋体"/>
          <w:sz w:val="32"/>
          <w:szCs w:val="32"/>
        </w:rPr>
        <w:br w:type="textWrapping"/>
      </w:r>
      <w:r>
        <w:rPr>
          <w:rFonts w:hint="eastAsia" w:ascii="宋体" w:hAnsi="宋体" w:cs="宋体"/>
          <w:sz w:val="32"/>
          <w:szCs w:val="32"/>
          <w:lang w:val="en-US" w:eastAsia="zh-CN"/>
        </w:rPr>
        <w:t>18、项目支出绩效目标申报表</w:t>
      </w:r>
    </w:p>
    <w:p>
      <w:pPr>
        <w:widowControl/>
        <w:spacing w:line="600" w:lineRule="exact"/>
        <w:rPr>
          <w:rFonts w:eastAsia="仿宋_GB2312"/>
          <w:b/>
          <w:bCs w:val="0"/>
          <w:kern w:val="0"/>
          <w:sz w:val="32"/>
          <w:szCs w:val="32"/>
        </w:rPr>
      </w:pPr>
      <w:r>
        <w:rPr>
          <w:rFonts w:eastAsia="仿宋_GB2312"/>
          <w:b/>
          <w:bCs w:val="0"/>
          <w:kern w:val="0"/>
          <w:sz w:val="32"/>
          <w:szCs w:val="32"/>
        </w:rPr>
        <w:t>注：以上部门预算报表中，空表表示本部门无相关收支情况。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widowControl/>
        <w:spacing w:line="600" w:lineRule="exact"/>
        <w:jc w:val="center"/>
        <w:rPr>
          <w:rFonts w:eastAsia="方正小标宋_GBK"/>
          <w:bCs/>
          <w:kern w:val="0"/>
          <w:sz w:val="36"/>
          <w:szCs w:val="36"/>
        </w:rPr>
      </w:pPr>
      <w:r>
        <w:rPr>
          <w:rFonts w:eastAsia="方正小标宋_GBK"/>
          <w:bCs/>
          <w:kern w:val="0"/>
          <w:sz w:val="36"/>
          <w:szCs w:val="36"/>
        </w:rPr>
        <w:t>第一部分 部门预算说明</w:t>
      </w:r>
    </w:p>
    <w:p>
      <w:pPr>
        <w:widowControl/>
        <w:numPr>
          <w:ilvl w:val="0"/>
          <w:numId w:val="0"/>
        </w:numPr>
        <w:spacing w:line="600" w:lineRule="exact"/>
        <w:jc w:val="left"/>
        <w:rPr>
          <w:rFonts w:eastAsia="黑体"/>
          <w:bCs/>
          <w:kern w:val="0"/>
          <w:sz w:val="32"/>
          <w:szCs w:val="32"/>
        </w:rPr>
      </w:pPr>
    </w:p>
    <w:p>
      <w:pPr>
        <w:widowControl/>
        <w:numPr>
          <w:ilvl w:val="0"/>
          <w:numId w:val="0"/>
        </w:numPr>
        <w:spacing w:line="600" w:lineRule="exact"/>
        <w:jc w:val="left"/>
        <w:rPr>
          <w:rFonts w:eastAsia="黑体"/>
          <w:bCs/>
          <w:kern w:val="0"/>
          <w:sz w:val="32"/>
          <w:szCs w:val="32"/>
        </w:rPr>
      </w:pPr>
      <w:r>
        <w:rPr>
          <w:rFonts w:hint="eastAsia" w:eastAsia="黑体"/>
          <w:bCs/>
          <w:kern w:val="0"/>
          <w:sz w:val="32"/>
          <w:szCs w:val="32"/>
          <w:lang w:eastAsia="zh-CN"/>
        </w:rPr>
        <w:t>一、</w:t>
      </w:r>
      <w:r>
        <w:rPr>
          <w:rFonts w:eastAsia="黑体"/>
          <w:bCs/>
          <w:kern w:val="0"/>
          <w:sz w:val="32"/>
          <w:szCs w:val="32"/>
        </w:rPr>
        <w:t>部门基本概况</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（一）职能职责。</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2.加快建立全市多主体供给、多渠道保障、租购并举的住房制度，拟订全市住房建设规划并指导实施，培育和完善房产市场。</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8.承担全市建设工程勘察设计、建筑设计市场管理的工作。负责全市建设工程勘察、设计及建筑装饰设计等行业资质管理工作；负责各类建设项目初步设计审批；指导、检查全市勘察设计行业的工作。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11.承担推进全市建筑节能与建设科技进步的工作。拟订全市建筑节能政策建议及组织实施；制定建设行业科技发展规划；组织重大科技项目攻关和新技术开发利用；管理行业科技成果。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12.负责指导全市城建档案的管理指导监督、管理全市建设工程竣工档案工作；审查、认证、验收工程竣工档案，负责城市建设档案的收集、整理及城建档案信息的开发、利用。</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16.贯彻执行国家、省、湘潭市关于人民防空工作的方针政策和法律法规，组织拟订全市人民防空工作的基本战备方案，组织编制全市人民防空建设中长期发展规划和年度工作计划，经批准后组织实施。</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17.制定和组织实施城市防空袭方案和各项保障方案、群众防空组织（人民防空专业队）建设和训练、防空防灾演习演练、疏散体系建设，协助军事部门组织指导城市防卫建设。</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18.战时组织开展城市人民防空袭斗争，组织指挥人民防空疏散和隐蔽，依法组织实施灯火管制和发放防空袭警报，配合要地防空和城市防卫作战，组织有关部门恢复生产和生活秩序，消除空袭后果。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19.组织管理人民防空通信警报和信息化建设。对人民防空通信警报网和信息化建设实施计划、技术和质量管理，负责保障全市人民防空通信警报畅通。负责对全市人民防空无线电进行管理。</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20.会同有关部门组织开展人民防空宣传教育工作，普及人民防空知识和技能。</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21.管理人民防空经费和资产，负责编制市本级人民防空经费预决算，并对使用情况实施监督检查。</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22.承担市人民政府赋予的应急救援任务，利用人防设施和人民防空专业队伍为应急救援服务。</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23.指导相关行业协会的工作。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24.负责国有土地上房屋征收管理行政职能。</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25.负责全市建设工程消防设计审查验收工作。</w:t>
      </w:r>
    </w:p>
    <w:p>
      <w:pPr>
        <w:widowControl/>
        <w:numPr>
          <w:ilvl w:val="0"/>
          <w:numId w:val="0"/>
        </w:num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26.负责全市在建工程项目起重机械设备监管工作。</w:t>
      </w:r>
    </w:p>
    <w:p>
      <w:pPr>
        <w:widowControl/>
        <w:numPr>
          <w:ilvl w:val="0"/>
          <w:numId w:val="0"/>
        </w:numPr>
        <w:spacing w:line="600" w:lineRule="exact"/>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27.承办上级交办的其他事项。</w:t>
      </w:r>
    </w:p>
    <w:p>
      <w:pPr>
        <w:widowControl/>
        <w:spacing w:line="600" w:lineRule="exact"/>
        <w:ind w:firstLine="320" w:firstLineChars="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（二）机构设置。</w:t>
      </w:r>
    </w:p>
    <w:p>
      <w:pPr>
        <w:widowControl/>
        <w:spacing w:line="60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本单位在职人员10</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人，退休人员100人。有公车2辆。本单位拥有国有资产</w:t>
      </w:r>
      <w:r>
        <w:rPr>
          <w:rFonts w:hint="eastAsia" w:ascii="仿宋_GB2312" w:hAnsi="仿宋_GB2312" w:eastAsia="仿宋_GB2312" w:cs="仿宋_GB2312"/>
          <w:color w:val="auto"/>
          <w:sz w:val="32"/>
          <w:szCs w:val="32"/>
          <w:highlight w:val="none"/>
          <w:lang w:val="en-US" w:eastAsia="zh-CN"/>
        </w:rPr>
        <w:t>4388.81</w:t>
      </w:r>
      <w:r>
        <w:rPr>
          <w:rFonts w:hint="eastAsia" w:ascii="仿宋_GB2312" w:hAnsi="仿宋_GB2312" w:eastAsia="仿宋_GB2312" w:cs="仿宋_GB2312"/>
          <w:color w:val="auto"/>
          <w:sz w:val="32"/>
          <w:szCs w:val="32"/>
          <w:highlight w:val="none"/>
        </w:rPr>
        <w:t>万元，其中办公楼面积</w:t>
      </w:r>
      <w:r>
        <w:rPr>
          <w:rFonts w:hint="eastAsia" w:ascii="仿宋_GB2312" w:hAnsi="仿宋_GB2312" w:eastAsia="仿宋_GB2312" w:cs="仿宋_GB2312"/>
          <w:color w:val="auto"/>
          <w:sz w:val="32"/>
          <w:szCs w:val="32"/>
          <w:highlight w:val="none"/>
          <w:lang w:val="en-US" w:eastAsia="zh-CN"/>
        </w:rPr>
        <w:t>9717.94</w:t>
      </w:r>
      <w:r>
        <w:rPr>
          <w:rFonts w:hint="eastAsia" w:ascii="仿宋_GB2312" w:hAnsi="仿宋_GB2312" w:eastAsia="仿宋_GB2312" w:cs="仿宋_GB2312"/>
          <w:color w:val="auto"/>
          <w:sz w:val="32"/>
          <w:szCs w:val="32"/>
          <w:highlight w:val="none"/>
        </w:rPr>
        <w:t>平方米。</w:t>
      </w:r>
    </w:p>
    <w:p>
      <w:pPr>
        <w:widowControl/>
        <w:spacing w:line="600" w:lineRule="exact"/>
        <w:ind w:firstLine="640" w:firstLineChars="200"/>
        <w:jc w:val="left"/>
        <w:rPr>
          <w:rFonts w:eastAsia="黑体"/>
          <w:kern w:val="0"/>
          <w:sz w:val="32"/>
          <w:szCs w:val="32"/>
        </w:rPr>
      </w:pPr>
      <w:r>
        <w:rPr>
          <w:rFonts w:hint="eastAsia" w:eastAsia="黑体"/>
          <w:bCs/>
          <w:kern w:val="0"/>
          <w:sz w:val="32"/>
          <w:szCs w:val="32"/>
          <w:lang w:eastAsia="zh-CN"/>
        </w:rPr>
        <w:t>二、</w:t>
      </w:r>
      <w:r>
        <w:rPr>
          <w:rFonts w:eastAsia="黑体"/>
          <w:kern w:val="0"/>
          <w:sz w:val="32"/>
          <w:szCs w:val="32"/>
        </w:rPr>
        <w:t>部门预算单位构成</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湘乡市住房和城乡建设局机关</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eastAsia="zh-CN"/>
        </w:rPr>
        <w:t>预算</w:t>
      </w:r>
      <w:r>
        <w:rPr>
          <w:rFonts w:hint="eastAsia" w:ascii="仿宋_GB2312" w:hAnsi="仿宋_GB2312" w:eastAsia="仿宋_GB2312" w:cs="仿宋_GB2312"/>
          <w:sz w:val="32"/>
          <w:szCs w:val="32"/>
        </w:rPr>
        <w:t>只有本级，没有其他预算单位，因此本部门预算仅含本级预算。</w:t>
      </w:r>
    </w:p>
    <w:p>
      <w:pPr>
        <w:widowControl/>
        <w:numPr>
          <w:ilvl w:val="0"/>
          <w:numId w:val="0"/>
        </w:numPr>
        <w:spacing w:line="600" w:lineRule="exact"/>
        <w:ind w:firstLine="640" w:firstLineChars="200"/>
        <w:jc w:val="left"/>
        <w:rPr>
          <w:rFonts w:hint="eastAsia" w:eastAsia="黑体"/>
          <w:bCs/>
          <w:kern w:val="0"/>
          <w:sz w:val="32"/>
          <w:szCs w:val="32"/>
          <w:lang w:eastAsia="zh-CN"/>
        </w:rPr>
      </w:pPr>
      <w:r>
        <w:rPr>
          <w:rFonts w:hint="eastAsia" w:eastAsia="黑体"/>
          <w:bCs/>
          <w:kern w:val="0"/>
          <w:sz w:val="32"/>
          <w:szCs w:val="32"/>
          <w:lang w:eastAsia="zh-CN"/>
        </w:rPr>
        <w:t>三、</w:t>
      </w:r>
      <w:r>
        <w:rPr>
          <w:rFonts w:eastAsia="黑体"/>
          <w:bCs/>
          <w:kern w:val="0"/>
          <w:sz w:val="32"/>
          <w:szCs w:val="32"/>
        </w:rPr>
        <w:t>部门收支</w:t>
      </w:r>
      <w:r>
        <w:rPr>
          <w:rFonts w:hint="eastAsia" w:eastAsia="黑体"/>
          <w:bCs/>
          <w:kern w:val="0"/>
          <w:sz w:val="32"/>
          <w:szCs w:val="32"/>
          <w:lang w:eastAsia="zh-CN"/>
        </w:rPr>
        <w:t>预算</w:t>
      </w:r>
      <w:r>
        <w:rPr>
          <w:rFonts w:eastAsia="黑体"/>
          <w:bCs/>
          <w:kern w:val="0"/>
          <w:sz w:val="32"/>
          <w:szCs w:val="32"/>
        </w:rPr>
        <w:t>总体情况</w:t>
      </w:r>
      <w:r>
        <w:rPr>
          <w:rFonts w:hint="eastAsia" w:eastAsia="黑体"/>
          <w:bCs/>
          <w:kern w:val="0"/>
          <w:sz w:val="32"/>
          <w:szCs w:val="32"/>
          <w:lang w:eastAsia="zh-CN"/>
        </w:rPr>
        <w:t>说明</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（一）收入预算</w:t>
      </w:r>
      <w:r>
        <w:rPr>
          <w:rFonts w:hint="eastAsia" w:ascii="仿宋_GB2312" w:hAnsi="仿宋_GB2312" w:eastAsia="仿宋_GB2312" w:cs="仿宋_GB2312"/>
          <w:sz w:val="32"/>
          <w:szCs w:val="32"/>
        </w:rPr>
        <w:t>：包括一般公共预算、政府性基金、国有资本经营预算等财政拨款收入，以及经营收入、事业收入等单位资金。</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年本部门收入预算</w:t>
      </w:r>
      <w:r>
        <w:rPr>
          <w:rFonts w:hint="eastAsia" w:ascii="仿宋_GB2312" w:hAnsi="仿宋_GB2312" w:eastAsia="仿宋_GB2312" w:cs="仿宋_GB2312"/>
          <w:sz w:val="32"/>
          <w:szCs w:val="32"/>
          <w:u w:val="single"/>
          <w:lang w:val="en-US" w:eastAsia="zh-CN"/>
        </w:rPr>
        <w:t>1501.48</w:t>
      </w:r>
      <w:r>
        <w:rPr>
          <w:rFonts w:hint="eastAsia" w:ascii="仿宋_GB2312" w:hAnsi="仿宋_GB2312" w:eastAsia="仿宋_GB2312" w:cs="仿宋_GB2312"/>
          <w:sz w:val="32"/>
          <w:szCs w:val="32"/>
        </w:rPr>
        <w:t>万元，其中，一般公共预算拨款</w:t>
      </w:r>
      <w:r>
        <w:rPr>
          <w:rFonts w:hint="eastAsia" w:ascii="仿宋_GB2312" w:hAnsi="仿宋_GB2312" w:eastAsia="仿宋_GB2312" w:cs="仿宋_GB2312"/>
          <w:sz w:val="32"/>
          <w:szCs w:val="32"/>
          <w:u w:val="single"/>
          <w:lang w:val="en-US" w:eastAsia="zh-CN"/>
        </w:rPr>
        <w:t>1501.48</w:t>
      </w:r>
      <w:r>
        <w:rPr>
          <w:rFonts w:hint="eastAsia" w:ascii="仿宋_GB2312" w:hAnsi="仿宋_GB2312" w:eastAsia="仿宋_GB2312" w:cs="仿宋_GB2312"/>
          <w:sz w:val="32"/>
          <w:szCs w:val="32"/>
        </w:rPr>
        <w:t>万元，政府性基金预算拨款</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万元，国有资本经营预算拨款</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万元，纳入专户管理的非税收入</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万元。收入较去年减少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76.39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纳入预算的人员减少以及项目支出减少</w:t>
      </w:r>
      <w:r>
        <w:rPr>
          <w:rFonts w:hint="eastAsia" w:ascii="仿宋_GB2312" w:hAnsi="仿宋_GB2312" w:eastAsia="仿宋_GB2312" w:cs="仿宋_GB2312"/>
          <w:sz w:val="32"/>
          <w:szCs w:val="32"/>
        </w:rPr>
        <w:t>。</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（二）支出预算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年本部门支出预算</w:t>
      </w:r>
      <w:r>
        <w:rPr>
          <w:rFonts w:hint="eastAsia" w:ascii="仿宋_GB2312" w:hAnsi="仿宋_GB2312" w:eastAsia="仿宋_GB2312" w:cs="仿宋_GB2312"/>
          <w:sz w:val="32"/>
          <w:szCs w:val="32"/>
          <w:u w:val="single"/>
          <w:lang w:val="en-US" w:eastAsia="zh-CN"/>
        </w:rPr>
        <w:t>1501.48</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eastAsia="zh-CN"/>
        </w:rPr>
        <w:t>社会保障和就业支出</w:t>
      </w:r>
      <w:r>
        <w:rPr>
          <w:rFonts w:hint="eastAsia" w:ascii="仿宋_GB2312" w:hAnsi="仿宋_GB2312" w:eastAsia="仿宋_GB2312" w:cs="仿宋_GB2312"/>
          <w:sz w:val="32"/>
          <w:szCs w:val="32"/>
          <w:u w:val="single"/>
          <w:lang w:val="en-US" w:eastAsia="zh-CN"/>
        </w:rPr>
        <w:t>118.89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卫生健康支出</w:t>
      </w:r>
      <w:r>
        <w:rPr>
          <w:rFonts w:hint="eastAsia" w:ascii="仿宋_GB2312" w:hAnsi="仿宋_GB2312" w:eastAsia="仿宋_GB2312" w:cs="仿宋_GB2312"/>
          <w:sz w:val="32"/>
          <w:szCs w:val="32"/>
          <w:u w:val="single"/>
          <w:lang w:val="en-US" w:eastAsia="zh-CN"/>
        </w:rPr>
        <w:t>58.87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城乡社区支出</w:t>
      </w:r>
      <w:r>
        <w:rPr>
          <w:rFonts w:hint="eastAsia" w:ascii="仿宋_GB2312" w:hAnsi="仿宋_GB2312" w:eastAsia="仿宋_GB2312" w:cs="仿宋_GB2312"/>
          <w:sz w:val="32"/>
          <w:szCs w:val="32"/>
          <w:u w:val="single"/>
          <w:lang w:val="en-US" w:eastAsia="zh-CN"/>
        </w:rPr>
        <w:t>1224.63</w:t>
      </w:r>
      <w:r>
        <w:rPr>
          <w:rFonts w:hint="eastAsia" w:ascii="仿宋_GB2312" w:hAnsi="仿宋_GB2312" w:eastAsia="仿宋_GB2312" w:cs="仿宋_GB2312"/>
          <w:sz w:val="32"/>
          <w:szCs w:val="32"/>
        </w:rPr>
        <w:t>万元。支出较去年减少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76.39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纳入预算的人员支出和项目支出减少</w:t>
      </w:r>
      <w:r>
        <w:rPr>
          <w:rFonts w:hint="eastAsia" w:ascii="仿宋_GB2312" w:hAnsi="仿宋_GB2312" w:eastAsia="仿宋_GB2312" w:cs="仿宋_GB2312"/>
          <w:sz w:val="32"/>
          <w:szCs w:val="32"/>
        </w:rPr>
        <w:t>。</w:t>
      </w:r>
    </w:p>
    <w:p>
      <w:pPr>
        <w:widowControl/>
        <w:spacing w:line="600" w:lineRule="exact"/>
        <w:ind w:firstLine="640" w:firstLineChars="200"/>
        <w:jc w:val="left"/>
        <w:rPr>
          <w:rFonts w:eastAsia="黑体"/>
          <w:sz w:val="32"/>
          <w:szCs w:val="32"/>
        </w:rPr>
      </w:pPr>
      <w:r>
        <w:rPr>
          <w:rFonts w:eastAsia="黑体"/>
          <w:sz w:val="32"/>
          <w:szCs w:val="32"/>
        </w:rPr>
        <w:t>四、一般公共预算拨款支出</w:t>
      </w:r>
    </w:p>
    <w:p>
      <w:pPr>
        <w:widowControl/>
        <w:spacing w:line="600" w:lineRule="exact"/>
        <w:ind w:firstLine="660"/>
        <w:jc w:val="left"/>
        <w:rPr>
          <w:rFonts w:eastAsia="黑体"/>
          <w:sz w:val="32"/>
          <w:szCs w:val="32"/>
        </w:rPr>
      </w:pPr>
      <w:r>
        <w:rPr>
          <w:rFonts w:hint="eastAsia" w:eastAsia="仿宋_GB2312"/>
          <w:sz w:val="32"/>
          <w:szCs w:val="32"/>
          <w:lang w:val="en-US" w:eastAsia="zh-CN"/>
        </w:rPr>
        <w:t>2022</w:t>
      </w:r>
      <w:r>
        <w:rPr>
          <w:rFonts w:eastAsia="仿宋_GB2312"/>
          <w:sz w:val="32"/>
          <w:szCs w:val="32"/>
        </w:rPr>
        <w:t>年本部门一般公共预算拨款支出预算</w:t>
      </w:r>
      <w:r>
        <w:rPr>
          <w:rFonts w:hint="eastAsia" w:eastAsia="仿宋_GB2312"/>
          <w:sz w:val="32"/>
          <w:szCs w:val="32"/>
          <w:u w:val="single"/>
          <w:lang w:val="en-US" w:eastAsia="zh-CN"/>
        </w:rPr>
        <w:t>1501.48</w:t>
      </w:r>
      <w:r>
        <w:rPr>
          <w:rFonts w:eastAsia="仿宋_GB2312"/>
          <w:sz w:val="32"/>
          <w:szCs w:val="32"/>
        </w:rPr>
        <w:t>万元，具体安排情况如下：</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（一）基本支出：</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年本部门基本支出预算数</w:t>
      </w:r>
      <w:r>
        <w:rPr>
          <w:rFonts w:hint="eastAsia" w:ascii="仿宋_GB2312" w:hAnsi="仿宋_GB2312" w:eastAsia="仿宋_GB2312" w:cs="仿宋_GB2312"/>
          <w:sz w:val="32"/>
          <w:szCs w:val="32"/>
          <w:u w:val="single"/>
          <w:lang w:val="en-US" w:eastAsia="zh-CN"/>
        </w:rPr>
        <w:t>1343.48</w:t>
      </w:r>
      <w:r>
        <w:rPr>
          <w:rFonts w:hint="eastAsia" w:ascii="仿宋_GB2312" w:hAnsi="仿宋_GB2312" w:eastAsia="仿宋_GB2312" w:cs="仿宋_GB2312"/>
          <w:sz w:val="32"/>
          <w:szCs w:val="32"/>
        </w:rPr>
        <w:t>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43"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32"/>
          <w:szCs w:val="32"/>
        </w:rPr>
        <w:t>（二）项目支出：</w:t>
      </w:r>
      <w:r>
        <w:rPr>
          <w:rFonts w:hint="eastAsia" w:ascii="仿宋_GB2312" w:hAnsi="仿宋_GB2312" w:eastAsia="仿宋_GB2312" w:cs="仿宋_GB2312"/>
          <w:b w:val="0"/>
          <w:bCs/>
          <w:sz w:val="32"/>
          <w:szCs w:val="32"/>
        </w:rPr>
        <w:t>2</w:t>
      </w:r>
      <w:r>
        <w:rPr>
          <w:rFonts w:hint="eastAsia" w:ascii="仿宋_GB2312" w:hAnsi="仿宋_GB2312" w:eastAsia="仿宋_GB2312" w:cs="仿宋_GB2312"/>
          <w:sz w:val="32"/>
          <w:szCs w:val="32"/>
        </w:rPr>
        <w:t>022年本部门项目支出预算158万元，主要是部门为完成特定行政工作任务或事业发展目标而发生的支出，包括有关事业发展专项、专项业务费、基本建设支出等，其中：按项目管理的商品和服务支出158万元，主要用于非税收入税金成本支出8万元、截污干管日常清淤25万元、危房技术鉴定20万元、解决房屋落实政策历史遗留问题经费支出10万元、物业管理工作经费支出30万元、信息系统运维费支出25万元、住建项目前期经费支出等方面支出40万元</w:t>
      </w:r>
      <w:r>
        <w:rPr>
          <w:rFonts w:hint="eastAsia" w:ascii="仿宋_GB2312" w:hAnsi="仿宋_GB2312" w:eastAsia="仿宋_GB2312" w:cs="仿宋_GB2312"/>
          <w:sz w:val="32"/>
          <w:szCs w:val="32"/>
          <w:lang w:eastAsia="zh-CN"/>
        </w:rPr>
        <w:t>。</w:t>
      </w:r>
    </w:p>
    <w:p>
      <w:pPr>
        <w:widowControl/>
        <w:spacing w:line="600" w:lineRule="exact"/>
        <w:jc w:val="left"/>
        <w:rPr>
          <w:rFonts w:hint="default" w:eastAsia="黑体"/>
          <w:sz w:val="32"/>
          <w:szCs w:val="32"/>
          <w:lang w:val="en-US" w:eastAsia="zh-CN"/>
        </w:rPr>
      </w:pPr>
      <w:r>
        <w:rPr>
          <w:rFonts w:hint="eastAsia" w:eastAsia="黑体"/>
          <w:sz w:val="32"/>
          <w:szCs w:val="32"/>
          <w:lang w:val="en-US" w:eastAsia="zh-CN"/>
        </w:rPr>
        <w:t>五、政府性基金预算支出</w:t>
      </w:r>
    </w:p>
    <w:p>
      <w:pPr>
        <w:widowControl/>
        <w:spacing w:line="60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年本部门无政府性基金安排的支出</w:t>
      </w:r>
      <w:r>
        <w:rPr>
          <w:rFonts w:hint="eastAsia" w:ascii="仿宋_GB2312" w:hAnsi="仿宋_GB2312" w:eastAsia="仿宋_GB2312" w:cs="仿宋_GB2312"/>
          <w:sz w:val="32"/>
          <w:szCs w:val="32"/>
          <w:lang w:eastAsia="zh-CN"/>
        </w:rPr>
        <w:t>。</w:t>
      </w:r>
    </w:p>
    <w:p>
      <w:pPr>
        <w:widowControl/>
        <w:spacing w:line="600" w:lineRule="exact"/>
        <w:jc w:val="left"/>
        <w:rPr>
          <w:rFonts w:eastAsia="黑体"/>
          <w:sz w:val="32"/>
          <w:szCs w:val="32"/>
        </w:rPr>
      </w:pPr>
      <w:r>
        <w:rPr>
          <w:rFonts w:eastAsia="黑体"/>
          <w:sz w:val="32"/>
          <w:szCs w:val="32"/>
        </w:rPr>
        <w:t>六、其他重要事项的情况说明</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（一）机关运行经费：</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年本部门机关本级的机关运行经费</w:t>
      </w:r>
      <w:r>
        <w:rPr>
          <w:rFonts w:hint="eastAsia" w:ascii="仿宋_GB2312" w:hAnsi="仿宋_GB2312" w:eastAsia="仿宋_GB2312" w:cs="仿宋_GB2312"/>
          <w:sz w:val="32"/>
          <w:szCs w:val="32"/>
          <w:u w:val="single"/>
          <w:lang w:val="en-US" w:eastAsia="zh-CN"/>
        </w:rPr>
        <w:t>105</w:t>
      </w:r>
      <w:r>
        <w:rPr>
          <w:rFonts w:hint="eastAsia" w:ascii="仿宋_GB2312" w:hAnsi="仿宋_GB2312" w:eastAsia="仿宋_GB2312" w:cs="仿宋_GB2312"/>
          <w:sz w:val="32"/>
          <w:szCs w:val="32"/>
        </w:rPr>
        <w:t>万元，比上年预算减少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3.67</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纳入预算的人员减少</w:t>
      </w:r>
      <w:r>
        <w:rPr>
          <w:rFonts w:hint="eastAsia" w:ascii="仿宋_GB2312" w:hAnsi="仿宋_GB2312" w:eastAsia="仿宋_GB2312" w:cs="仿宋_GB2312"/>
          <w:sz w:val="32"/>
          <w:szCs w:val="32"/>
        </w:rPr>
        <w:t>。</w:t>
      </w:r>
    </w:p>
    <w:p>
      <w:pPr>
        <w:widowControl/>
        <w:spacing w:line="60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（二）“三公”经费预算：</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年本部门机关本级“三公”经费预算数为</w:t>
      </w:r>
      <w:r>
        <w:rPr>
          <w:rFonts w:hint="eastAsia" w:ascii="仿宋_GB2312" w:hAnsi="仿宋_GB2312" w:eastAsia="仿宋_GB2312" w:cs="仿宋_GB2312"/>
          <w:sz w:val="32"/>
          <w:szCs w:val="32"/>
          <w:u w:val="single"/>
          <w:lang w:val="en-US" w:eastAsia="zh-CN"/>
        </w:rPr>
        <w:t>14.5</w:t>
      </w:r>
      <w:r>
        <w:rPr>
          <w:rFonts w:hint="eastAsia" w:ascii="仿宋_GB2312" w:hAnsi="仿宋_GB2312" w:eastAsia="仿宋_GB2312" w:cs="仿宋_GB2312"/>
          <w:sz w:val="32"/>
          <w:szCs w:val="32"/>
        </w:rPr>
        <w:t>万元，其中，公务接待费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2.9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万元，公务用车购置及运行费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11.6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万元（其中，公务用车购置费 万元，公务用车运行费 万元），因公出国（境）费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年“三公”经费预算较</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年减少</w:t>
      </w:r>
      <w:r>
        <w:rPr>
          <w:rFonts w:hint="eastAsia" w:ascii="仿宋_GB2312" w:hAnsi="仿宋_GB2312" w:eastAsia="仿宋_GB2312" w:cs="仿宋_GB2312"/>
          <w:sz w:val="32"/>
          <w:szCs w:val="32"/>
          <w:u w:val="single"/>
          <w:lang w:val="en-US" w:eastAsia="zh-CN"/>
        </w:rPr>
        <w:t>25.1</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公务接待和公务用车预算减少</w:t>
      </w:r>
      <w:r>
        <w:rPr>
          <w:rFonts w:hint="eastAsia" w:ascii="仿宋_GB2312" w:hAnsi="仿宋_GB2312" w:eastAsia="仿宋_GB2312" w:cs="仿宋_GB2312"/>
          <w:sz w:val="32"/>
          <w:szCs w:val="32"/>
        </w:rPr>
        <w:t>。</w:t>
      </w:r>
    </w:p>
    <w:p>
      <w:pPr>
        <w:widowControl/>
        <w:spacing w:line="600" w:lineRule="exact"/>
        <w:ind w:firstLine="660"/>
        <w:rPr>
          <w:rFonts w:hint="eastAsia" w:ascii="仿宋_GB2312" w:hAnsi="仿宋_GB2312" w:eastAsia="仿宋_GB2312" w:cs="仿宋_GB2312"/>
          <w:kern w:val="0"/>
          <w:sz w:val="32"/>
          <w:szCs w:val="32"/>
        </w:rPr>
      </w:pPr>
      <w:r>
        <w:rPr>
          <w:rFonts w:hint="eastAsia" w:ascii="仿宋_GB2312" w:hAnsi="仿宋_GB2312" w:eastAsia="仿宋_GB2312" w:cs="仿宋_GB2312"/>
          <w:b/>
          <w:sz w:val="32"/>
          <w:szCs w:val="32"/>
        </w:rPr>
        <w:t>（三）一般性支出情况：</w:t>
      </w:r>
      <w:r>
        <w:rPr>
          <w:rFonts w:hint="eastAsia" w:ascii="仿宋_GB2312" w:hAnsi="仿宋_GB2312" w:eastAsia="仿宋_GB2312" w:cs="仿宋_GB2312"/>
          <w:kern w:val="0"/>
          <w:sz w:val="32"/>
          <w:szCs w:val="32"/>
          <w:lang w:val="en-US" w:eastAsia="zh-CN"/>
        </w:rPr>
        <w:t>2022</w:t>
      </w:r>
      <w:r>
        <w:rPr>
          <w:rFonts w:hint="eastAsia" w:ascii="仿宋_GB2312" w:hAnsi="仿宋_GB2312" w:eastAsia="仿宋_GB2312" w:cs="仿宋_GB2312"/>
          <w:kern w:val="0"/>
          <w:sz w:val="32"/>
          <w:szCs w:val="32"/>
        </w:rPr>
        <w:t>年本部门会议费预算</w:t>
      </w:r>
      <w:r>
        <w:rPr>
          <w:rFonts w:hint="eastAsia" w:ascii="仿宋_GB2312" w:hAnsi="仿宋_GB2312" w:eastAsia="仿宋_GB2312" w:cs="仿宋_GB2312"/>
          <w:sz w:val="32"/>
          <w:szCs w:val="32"/>
          <w:u w:val="single"/>
          <w:lang w:val="en-US" w:eastAsia="zh-CN"/>
        </w:rPr>
        <w:t>8.6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万元，拟召开</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农村危房改造、物业管理等</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会议，人数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1229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人，内容</w:t>
      </w:r>
      <w:r>
        <w:rPr>
          <w:rFonts w:hint="eastAsia" w:ascii="仿宋_GB2312" w:hAnsi="仿宋_GB2312" w:eastAsia="仿宋_GB2312" w:cs="仿宋_GB2312"/>
          <w:kern w:val="0"/>
          <w:sz w:val="32"/>
          <w:szCs w:val="32"/>
          <w:u w:val="single"/>
        </w:rPr>
        <w:t>为</w:t>
      </w:r>
      <w:r>
        <w:rPr>
          <w:rFonts w:hint="eastAsia" w:ascii="仿宋_GB2312" w:hAnsi="仿宋_GB2312" w:eastAsia="仿宋_GB2312" w:cs="仿宋_GB2312"/>
          <w:kern w:val="0"/>
          <w:sz w:val="32"/>
          <w:szCs w:val="32"/>
          <w:u w:val="single"/>
          <w:lang w:eastAsia="zh-CN"/>
        </w:rPr>
        <w:t>农村危房改造会议、全市物业管理会议</w:t>
      </w:r>
      <w:r>
        <w:rPr>
          <w:rFonts w:hint="eastAsia" w:ascii="仿宋_GB2312" w:hAnsi="仿宋_GB2312" w:eastAsia="仿宋_GB2312" w:cs="仿宋_GB2312"/>
          <w:kern w:val="0"/>
          <w:sz w:val="32"/>
          <w:szCs w:val="32"/>
        </w:rPr>
        <w:t>；培训费预算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7.1</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万元，拟开展</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农村房屋普查、建筑工匠</w:t>
      </w:r>
      <w:r>
        <w:rPr>
          <w:rFonts w:hint="eastAsia" w:ascii="仿宋_GB2312" w:hAnsi="仿宋_GB2312" w:eastAsia="仿宋_GB2312" w:cs="仿宋_GB2312"/>
          <w:kern w:val="0"/>
          <w:sz w:val="32"/>
          <w:szCs w:val="32"/>
        </w:rPr>
        <w:t>培训，人数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1015</w:t>
      </w:r>
      <w:r>
        <w:rPr>
          <w:rFonts w:hint="eastAsia" w:ascii="仿宋_GB2312" w:hAnsi="仿宋_GB2312" w:eastAsia="仿宋_GB2312" w:cs="仿宋_GB2312"/>
          <w:kern w:val="0"/>
          <w:sz w:val="32"/>
          <w:szCs w:val="32"/>
        </w:rPr>
        <w:t>人，内容为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农村房屋普查培训、建筑工匠培训</w:t>
      </w:r>
      <w:r>
        <w:rPr>
          <w:rFonts w:hint="eastAsia" w:ascii="仿宋_GB2312" w:hAnsi="仿宋_GB2312" w:eastAsia="仿宋_GB2312" w:cs="仿宋_GB2312"/>
          <w:kern w:val="0"/>
          <w:sz w:val="32"/>
          <w:szCs w:val="32"/>
        </w:rPr>
        <w:t>。</w:t>
      </w:r>
    </w:p>
    <w:p>
      <w:pPr>
        <w:widowControl/>
        <w:spacing w:line="60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（四）政府采购情况：</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年本部门政府采购预算总额</w:t>
      </w:r>
      <w:r>
        <w:rPr>
          <w:rFonts w:hint="eastAsia" w:ascii="仿宋_GB2312" w:hAnsi="仿宋_GB2312" w:eastAsia="仿宋_GB2312" w:cs="仿宋_GB2312"/>
          <w:sz w:val="32"/>
          <w:szCs w:val="32"/>
          <w:lang w:val="en-US" w:eastAsia="zh-CN"/>
        </w:rPr>
        <w:t>53.3</w:t>
      </w:r>
      <w:r>
        <w:rPr>
          <w:rFonts w:hint="eastAsia" w:ascii="仿宋_GB2312" w:hAnsi="仿宋_GB2312" w:eastAsia="仿宋_GB2312" w:cs="仿宋_GB2312"/>
          <w:sz w:val="32"/>
          <w:szCs w:val="32"/>
        </w:rPr>
        <w:t>万元，其中，货物类采购预算</w:t>
      </w:r>
      <w:r>
        <w:rPr>
          <w:rFonts w:hint="eastAsia" w:ascii="仿宋_GB2312" w:hAnsi="仿宋_GB2312" w:eastAsia="仿宋_GB2312" w:cs="仿宋_GB2312"/>
          <w:sz w:val="32"/>
          <w:szCs w:val="32"/>
          <w:u w:val="single"/>
          <w:lang w:val="en-US" w:eastAsia="zh-CN"/>
        </w:rPr>
        <w:t>53.3</w:t>
      </w:r>
      <w:r>
        <w:rPr>
          <w:rFonts w:hint="eastAsia" w:ascii="仿宋_GB2312" w:hAnsi="仿宋_GB2312" w:eastAsia="仿宋_GB2312" w:cs="仿宋_GB2312"/>
          <w:sz w:val="32"/>
          <w:szCs w:val="32"/>
        </w:rPr>
        <w:t>万元；工程类采购预算</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万元；服务类采购预算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万元。</w:t>
      </w:r>
    </w:p>
    <w:p>
      <w:pPr>
        <w:widowControl/>
        <w:numPr>
          <w:ilvl w:val="0"/>
          <w:numId w:val="0"/>
        </w:numPr>
        <w:spacing w:line="600" w:lineRule="exact"/>
        <w:ind w:firstLine="643" w:firstLineChars="2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（五）政府购买服务情况说明</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年本部门政府</w:t>
      </w:r>
      <w:r>
        <w:rPr>
          <w:rFonts w:hint="eastAsia" w:ascii="仿宋_GB2312" w:hAnsi="仿宋_GB2312" w:eastAsia="仿宋_GB2312" w:cs="仿宋_GB2312"/>
          <w:sz w:val="32"/>
          <w:szCs w:val="32"/>
          <w:lang w:eastAsia="zh-CN"/>
        </w:rPr>
        <w:t>购买服务</w:t>
      </w:r>
      <w:r>
        <w:rPr>
          <w:rFonts w:hint="eastAsia" w:ascii="仿宋_GB2312" w:hAnsi="仿宋_GB2312" w:eastAsia="仿宋_GB2312" w:cs="仿宋_GB2312"/>
          <w:sz w:val="32"/>
          <w:szCs w:val="32"/>
        </w:rPr>
        <w:t>预算总额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u w:val="none"/>
          <w:lang w:val="en-US" w:eastAsia="zh-CN"/>
        </w:rPr>
        <w:t>。</w:t>
      </w:r>
    </w:p>
    <w:p>
      <w:pPr>
        <w:widowControl/>
        <w:numPr>
          <w:ilvl w:val="0"/>
          <w:numId w:val="0"/>
        </w:numPr>
        <w:spacing w:line="600" w:lineRule="exact"/>
        <w:ind w:firstLine="643" w:firstLineChars="200"/>
        <w:jc w:val="left"/>
        <w:rPr>
          <w:rFonts w:hint="eastAsia" w:ascii="仿宋_GB2312" w:hAnsi="仿宋_GB2312" w:eastAsia="仿宋_GB2312" w:cs="仿宋_GB2312"/>
          <w:bCs/>
          <w:kern w:val="0"/>
          <w:sz w:val="32"/>
          <w:szCs w:val="32"/>
          <w:highlight w:val="none"/>
        </w:rPr>
      </w:pPr>
      <w:r>
        <w:rPr>
          <w:rFonts w:hint="eastAsia" w:ascii="仿宋_GB2312" w:hAnsi="仿宋_GB2312" w:eastAsia="仿宋_GB2312" w:cs="仿宋_GB2312"/>
          <w:b/>
          <w:sz w:val="32"/>
          <w:szCs w:val="32"/>
          <w:highlight w:val="none"/>
          <w:lang w:eastAsia="zh-CN"/>
        </w:rPr>
        <w:t>（六）</w:t>
      </w:r>
      <w:r>
        <w:rPr>
          <w:rFonts w:hint="eastAsia" w:ascii="仿宋_GB2312" w:hAnsi="仿宋_GB2312" w:eastAsia="仿宋_GB2312" w:cs="仿宋_GB2312"/>
          <w:b/>
          <w:sz w:val="32"/>
          <w:szCs w:val="32"/>
          <w:highlight w:val="none"/>
        </w:rPr>
        <w:t>国有资产占用使用及新增资产配置情况：</w:t>
      </w:r>
      <w:r>
        <w:rPr>
          <w:rFonts w:hint="eastAsia" w:ascii="仿宋_GB2312" w:hAnsi="仿宋_GB2312" w:eastAsia="仿宋_GB2312" w:cs="仿宋_GB2312"/>
          <w:bCs/>
          <w:kern w:val="0"/>
          <w:sz w:val="32"/>
          <w:szCs w:val="32"/>
          <w:highlight w:val="none"/>
          <w:lang w:eastAsia="zh-CN"/>
        </w:rPr>
        <w:t>目前，本部门共有公务用车</w:t>
      </w:r>
      <w:r>
        <w:rPr>
          <w:rFonts w:hint="eastAsia" w:ascii="仿宋_GB2312" w:hAnsi="仿宋_GB2312" w:eastAsia="仿宋_GB2312" w:cs="仿宋_GB2312"/>
          <w:bCs/>
          <w:kern w:val="0"/>
          <w:sz w:val="32"/>
          <w:szCs w:val="32"/>
          <w:highlight w:val="none"/>
          <w:u w:val="single"/>
          <w:lang w:val="en-US" w:eastAsia="zh-CN"/>
        </w:rPr>
        <w:t>2</w:t>
      </w:r>
      <w:r>
        <w:rPr>
          <w:rFonts w:hint="eastAsia" w:ascii="仿宋_GB2312" w:hAnsi="仿宋_GB2312" w:eastAsia="仿宋_GB2312" w:cs="仿宋_GB2312"/>
          <w:bCs/>
          <w:kern w:val="0"/>
          <w:sz w:val="32"/>
          <w:szCs w:val="32"/>
          <w:highlight w:val="none"/>
          <w:lang w:eastAsia="zh-CN"/>
        </w:rPr>
        <w:t>辆，其中，机要通信用车</w:t>
      </w:r>
      <w:r>
        <w:rPr>
          <w:rFonts w:hint="eastAsia" w:ascii="仿宋_GB2312" w:hAnsi="仿宋_GB2312" w:eastAsia="仿宋_GB2312" w:cs="仿宋_GB2312"/>
          <w:bCs/>
          <w:kern w:val="0"/>
          <w:sz w:val="32"/>
          <w:szCs w:val="32"/>
          <w:highlight w:val="none"/>
          <w:u w:val="single"/>
          <w:lang w:eastAsia="zh-CN"/>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lang w:eastAsia="zh-CN"/>
        </w:rPr>
        <w:t>辆，</w:t>
      </w:r>
      <w:r>
        <w:rPr>
          <w:rFonts w:hint="eastAsia" w:ascii="仿宋_GB2312" w:hAnsi="仿宋_GB2312" w:eastAsia="仿宋_GB2312" w:cs="仿宋_GB2312"/>
          <w:bCs/>
          <w:kern w:val="0"/>
          <w:sz w:val="32"/>
          <w:szCs w:val="32"/>
          <w:highlight w:val="none"/>
        </w:rPr>
        <w:t>应急保障用车</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rPr>
        <w:t>辆，执法执勤用车</w:t>
      </w:r>
      <w:r>
        <w:rPr>
          <w:rFonts w:hint="eastAsia" w:ascii="仿宋_GB2312" w:hAnsi="仿宋_GB2312" w:eastAsia="仿宋_GB2312" w:cs="仿宋_GB2312"/>
          <w:bCs/>
          <w:kern w:val="0"/>
          <w:sz w:val="32"/>
          <w:szCs w:val="32"/>
          <w:highlight w:val="none"/>
          <w:u w:val="single"/>
          <w:lang w:val="en-US" w:eastAsia="zh-CN"/>
        </w:rPr>
        <w:t>1</w:t>
      </w:r>
      <w:r>
        <w:rPr>
          <w:rFonts w:hint="eastAsia" w:ascii="仿宋_GB2312" w:hAnsi="仿宋_GB2312" w:eastAsia="仿宋_GB2312" w:cs="仿宋_GB2312"/>
          <w:bCs/>
          <w:kern w:val="0"/>
          <w:sz w:val="32"/>
          <w:szCs w:val="32"/>
          <w:highlight w:val="none"/>
        </w:rPr>
        <w:t>辆，特种专业技术用车</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rPr>
        <w:t>辆，其他按照规定配备的公务用车</w:t>
      </w:r>
      <w:r>
        <w:rPr>
          <w:rFonts w:hint="eastAsia" w:ascii="仿宋_GB2312" w:hAnsi="仿宋_GB2312" w:eastAsia="仿宋_GB2312" w:cs="仿宋_GB2312"/>
          <w:bCs/>
          <w:kern w:val="0"/>
          <w:sz w:val="32"/>
          <w:szCs w:val="32"/>
          <w:highlight w:val="none"/>
          <w:u w:val="single"/>
          <w:lang w:val="en-US" w:eastAsia="zh-CN"/>
        </w:rPr>
        <w:t>1</w:t>
      </w:r>
      <w:r>
        <w:rPr>
          <w:rFonts w:hint="eastAsia" w:ascii="仿宋_GB2312" w:hAnsi="仿宋_GB2312" w:eastAsia="仿宋_GB2312" w:cs="仿宋_GB2312"/>
          <w:bCs/>
          <w:kern w:val="0"/>
          <w:sz w:val="32"/>
          <w:szCs w:val="32"/>
          <w:highlight w:val="none"/>
        </w:rPr>
        <w:t>辆；单位价值50万元以上通用设备</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rPr>
        <w:t>台，单位价值100万元以上专用设备</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rPr>
        <w:t>台。</w:t>
      </w:r>
      <w:r>
        <w:rPr>
          <w:rFonts w:hint="eastAsia" w:ascii="仿宋_GB2312" w:hAnsi="仿宋_GB2312" w:eastAsia="仿宋_GB2312" w:cs="仿宋_GB2312"/>
          <w:bCs/>
          <w:kern w:val="0"/>
          <w:sz w:val="32"/>
          <w:szCs w:val="32"/>
          <w:highlight w:val="none"/>
          <w:lang w:val="en-US" w:eastAsia="zh-CN"/>
        </w:rPr>
        <w:t>2022</w:t>
      </w:r>
      <w:r>
        <w:rPr>
          <w:rFonts w:hint="eastAsia" w:ascii="仿宋_GB2312" w:hAnsi="仿宋_GB2312" w:eastAsia="仿宋_GB2312" w:cs="仿宋_GB2312"/>
          <w:bCs/>
          <w:kern w:val="0"/>
          <w:sz w:val="32"/>
          <w:szCs w:val="32"/>
          <w:highlight w:val="none"/>
        </w:rPr>
        <w:t>年拟新增配置公务用车</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rPr>
        <w:t>辆，其中，机要通信用车</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rPr>
        <w:t>辆，应急保障用车</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rPr>
        <w:t>辆，执法执勤用车</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rPr>
        <w:t>辆，特种专业技术用车</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rPr>
        <w:t>辆，其他按照规定配备的公务用车</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rPr>
        <w:t>辆；新增配备单位价值50万元以上通用设备</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rPr>
        <w:t>台，单位价值100万元以</w:t>
      </w:r>
      <w:bookmarkStart w:id="0" w:name="_GoBack"/>
      <w:bookmarkEnd w:id="0"/>
      <w:r>
        <w:rPr>
          <w:rFonts w:hint="eastAsia" w:ascii="仿宋_GB2312" w:hAnsi="仿宋_GB2312" w:eastAsia="仿宋_GB2312" w:cs="仿宋_GB2312"/>
          <w:bCs/>
          <w:kern w:val="0"/>
          <w:sz w:val="32"/>
          <w:szCs w:val="32"/>
          <w:highlight w:val="none"/>
        </w:rPr>
        <w:t>上专用设备</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u w:val="single"/>
          <w:lang w:val="en-US" w:eastAsia="zh-CN"/>
        </w:rPr>
        <w:t>0</w:t>
      </w:r>
      <w:r>
        <w:rPr>
          <w:rFonts w:hint="eastAsia" w:ascii="仿宋_GB2312" w:hAnsi="仿宋_GB2312" w:eastAsia="仿宋_GB2312" w:cs="仿宋_GB2312"/>
          <w:bCs/>
          <w:kern w:val="0"/>
          <w:sz w:val="32"/>
          <w:szCs w:val="32"/>
          <w:highlight w:val="none"/>
          <w:u w:val="single"/>
        </w:rPr>
        <w:t xml:space="preserve">  </w:t>
      </w:r>
      <w:r>
        <w:rPr>
          <w:rFonts w:hint="eastAsia" w:ascii="仿宋_GB2312" w:hAnsi="仿宋_GB2312" w:eastAsia="仿宋_GB2312" w:cs="仿宋_GB2312"/>
          <w:bCs/>
          <w:kern w:val="0"/>
          <w:sz w:val="32"/>
          <w:szCs w:val="32"/>
          <w:highlight w:val="none"/>
        </w:rPr>
        <w:t>台。</w:t>
      </w:r>
    </w:p>
    <w:p>
      <w:pPr>
        <w:widowControl/>
        <w:spacing w:line="600" w:lineRule="exact"/>
        <w:ind w:firstLine="66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七</w:t>
      </w:r>
      <w:r>
        <w:rPr>
          <w:rFonts w:hint="eastAsia" w:ascii="仿宋_GB2312" w:hAnsi="仿宋_GB2312" w:eastAsia="仿宋_GB2312" w:cs="仿宋_GB2312"/>
          <w:b/>
          <w:bCs/>
          <w:kern w:val="0"/>
          <w:sz w:val="32"/>
          <w:szCs w:val="32"/>
        </w:rPr>
        <w:t>）预算绩效目标说明：</w:t>
      </w:r>
      <w:r>
        <w:rPr>
          <w:rFonts w:hint="eastAsia" w:ascii="仿宋_GB2312" w:hAnsi="仿宋_GB2312" w:eastAsia="仿宋_GB2312" w:cs="仿宋_GB2312"/>
          <w:bCs/>
          <w:kern w:val="0"/>
          <w:sz w:val="32"/>
          <w:szCs w:val="32"/>
          <w:lang w:val="en-US" w:eastAsia="zh-CN"/>
        </w:rPr>
        <w:t>2021年</w:t>
      </w:r>
      <w:r>
        <w:rPr>
          <w:rFonts w:hint="eastAsia" w:ascii="仿宋_GB2312" w:hAnsi="仿宋_GB2312" w:eastAsia="仿宋_GB2312" w:cs="仿宋_GB2312"/>
          <w:bCs/>
          <w:kern w:val="0"/>
          <w:sz w:val="32"/>
          <w:szCs w:val="32"/>
          <w:lang w:eastAsia="zh-CN"/>
        </w:rPr>
        <w:t>农村危房改造考核、督查、迎检、农村住房排查</w:t>
      </w:r>
      <w:r>
        <w:rPr>
          <w:rFonts w:hint="eastAsia" w:ascii="仿宋_GB2312" w:hAnsi="仿宋_GB2312" w:eastAsia="仿宋_GB2312" w:cs="仿宋_GB2312"/>
          <w:bCs/>
          <w:kern w:val="0"/>
          <w:sz w:val="32"/>
          <w:szCs w:val="32"/>
        </w:rPr>
        <w:t>项目支出纳入了财政绩效评价，财政绩效评价结果</w:t>
      </w:r>
      <w:r>
        <w:rPr>
          <w:rFonts w:hint="eastAsia" w:ascii="仿宋_GB2312" w:hAnsi="仿宋_GB2312" w:eastAsia="仿宋_GB2312" w:cs="仿宋_GB2312"/>
          <w:bCs/>
          <w:kern w:val="0"/>
          <w:sz w:val="32"/>
          <w:szCs w:val="32"/>
          <w:lang w:eastAsia="zh-CN"/>
        </w:rPr>
        <w:t>为良；住建项目前期及业务经费支出纳入了财政绩效评价，</w:t>
      </w:r>
      <w:r>
        <w:rPr>
          <w:rFonts w:hint="eastAsia" w:ascii="仿宋_GB2312" w:hAnsi="仿宋_GB2312" w:eastAsia="仿宋_GB2312" w:cs="仿宋_GB2312"/>
          <w:bCs/>
          <w:kern w:val="0"/>
          <w:sz w:val="32"/>
          <w:szCs w:val="32"/>
        </w:rPr>
        <w:t>财政绩效评价结果</w:t>
      </w:r>
      <w:r>
        <w:rPr>
          <w:rFonts w:hint="eastAsia" w:ascii="仿宋_GB2312" w:hAnsi="仿宋_GB2312" w:eastAsia="仿宋_GB2312" w:cs="仿宋_GB2312"/>
          <w:bCs/>
          <w:kern w:val="0"/>
          <w:sz w:val="32"/>
          <w:szCs w:val="32"/>
          <w:lang w:eastAsia="zh-CN"/>
        </w:rPr>
        <w:t>为良；物业管理工作经费纳入了财政绩效评价，</w:t>
      </w:r>
      <w:r>
        <w:rPr>
          <w:rFonts w:hint="eastAsia" w:ascii="仿宋_GB2312" w:hAnsi="仿宋_GB2312" w:eastAsia="仿宋_GB2312" w:cs="仿宋_GB2312"/>
          <w:bCs/>
          <w:kern w:val="0"/>
          <w:sz w:val="32"/>
          <w:szCs w:val="32"/>
        </w:rPr>
        <w:t>财政绩效评价结果</w:t>
      </w:r>
      <w:r>
        <w:rPr>
          <w:rFonts w:hint="eastAsia" w:ascii="仿宋_GB2312" w:hAnsi="仿宋_GB2312" w:eastAsia="仿宋_GB2312" w:cs="仿宋_GB2312"/>
          <w:bCs/>
          <w:kern w:val="0"/>
          <w:sz w:val="32"/>
          <w:szCs w:val="32"/>
          <w:lang w:eastAsia="zh-CN"/>
        </w:rPr>
        <w:t>为良。</w:t>
      </w:r>
      <w:r>
        <w:rPr>
          <w:rFonts w:hint="eastAsia" w:ascii="仿宋_GB2312" w:hAnsi="仿宋_GB2312" w:eastAsia="仿宋_GB2312" w:cs="仿宋_GB2312"/>
          <w:bCs/>
          <w:kern w:val="0"/>
          <w:sz w:val="32"/>
          <w:szCs w:val="32"/>
          <w:lang w:val="en-US" w:eastAsia="zh-CN"/>
        </w:rPr>
        <w:t>2022</w:t>
      </w:r>
      <w:r>
        <w:rPr>
          <w:rFonts w:hint="eastAsia" w:ascii="仿宋_GB2312" w:hAnsi="仿宋_GB2312" w:eastAsia="仿宋_GB2312" w:cs="仿宋_GB2312"/>
          <w:bCs/>
          <w:kern w:val="0"/>
          <w:sz w:val="32"/>
          <w:szCs w:val="32"/>
          <w:lang w:eastAsia="zh-CN"/>
        </w:rPr>
        <w:t>年本</w:t>
      </w:r>
      <w:r>
        <w:rPr>
          <w:rFonts w:hint="eastAsia" w:ascii="仿宋_GB2312" w:hAnsi="仿宋_GB2312" w:eastAsia="仿宋_GB2312" w:cs="仿宋_GB2312"/>
          <w:bCs/>
          <w:kern w:val="0"/>
          <w:sz w:val="32"/>
          <w:szCs w:val="32"/>
        </w:rPr>
        <w:t>部门所有支出实行绩效目标管理。纳入</w:t>
      </w:r>
      <w:r>
        <w:rPr>
          <w:rFonts w:hint="eastAsia" w:ascii="仿宋_GB2312" w:hAnsi="仿宋_GB2312" w:eastAsia="仿宋_GB2312" w:cs="仿宋_GB2312"/>
          <w:bCs/>
          <w:kern w:val="0"/>
          <w:sz w:val="32"/>
          <w:szCs w:val="32"/>
          <w:lang w:val="en-US" w:eastAsia="zh-CN"/>
        </w:rPr>
        <w:t>2022</w:t>
      </w:r>
      <w:r>
        <w:rPr>
          <w:rFonts w:hint="eastAsia" w:ascii="仿宋_GB2312" w:hAnsi="仿宋_GB2312" w:eastAsia="仿宋_GB2312" w:cs="仿宋_GB2312"/>
          <w:bCs/>
          <w:kern w:val="0"/>
          <w:sz w:val="32"/>
          <w:szCs w:val="32"/>
        </w:rPr>
        <w:t>年部门整体支出绩效目标的金额为</w:t>
      </w:r>
      <w:r>
        <w:rPr>
          <w:rFonts w:hint="eastAsia" w:ascii="仿宋_GB2312" w:hAnsi="仿宋_GB2312" w:eastAsia="仿宋_GB2312" w:cs="仿宋_GB2312"/>
          <w:sz w:val="32"/>
          <w:szCs w:val="32"/>
          <w:u w:val="single"/>
          <w:lang w:val="en-US" w:eastAsia="zh-CN"/>
        </w:rPr>
        <w:t>1501.48</w:t>
      </w:r>
      <w:r>
        <w:rPr>
          <w:rFonts w:hint="eastAsia" w:ascii="仿宋_GB2312" w:hAnsi="仿宋_GB2312" w:eastAsia="仿宋_GB2312" w:cs="仿宋_GB2312"/>
          <w:bCs/>
          <w:kern w:val="0"/>
          <w:sz w:val="32"/>
          <w:szCs w:val="32"/>
        </w:rPr>
        <w:t>万元，其中，基本支出</w:t>
      </w:r>
      <w:r>
        <w:rPr>
          <w:rFonts w:hint="eastAsia" w:ascii="仿宋_GB2312" w:hAnsi="仿宋_GB2312" w:eastAsia="仿宋_GB2312" w:cs="仿宋_GB2312"/>
          <w:sz w:val="32"/>
          <w:szCs w:val="32"/>
          <w:u w:val="single"/>
          <w:lang w:val="en-US" w:eastAsia="zh-CN"/>
        </w:rPr>
        <w:t>1343.48</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Cs/>
          <w:kern w:val="0"/>
          <w:sz w:val="32"/>
          <w:szCs w:val="32"/>
        </w:rPr>
        <w:t>万元，项目支出</w:t>
      </w:r>
      <w:r>
        <w:rPr>
          <w:rFonts w:hint="eastAsia" w:ascii="仿宋_GB2312" w:hAnsi="仿宋_GB2312" w:eastAsia="仿宋_GB2312" w:cs="仿宋_GB2312"/>
          <w:sz w:val="32"/>
          <w:szCs w:val="32"/>
          <w:u w:val="single"/>
          <w:lang w:val="en-US" w:eastAsia="zh-CN"/>
        </w:rPr>
        <w:t>158</w:t>
      </w:r>
      <w:r>
        <w:rPr>
          <w:rFonts w:hint="eastAsia" w:ascii="仿宋_GB2312" w:hAnsi="仿宋_GB2312" w:eastAsia="仿宋_GB2312" w:cs="仿宋_GB2312"/>
          <w:bCs/>
          <w:kern w:val="0"/>
          <w:sz w:val="32"/>
          <w:szCs w:val="32"/>
        </w:rPr>
        <w:t>万元，具体绩效目标详见报表。</w:t>
      </w:r>
    </w:p>
    <w:p>
      <w:pPr>
        <w:widowControl/>
        <w:spacing w:line="600" w:lineRule="exact"/>
        <w:rPr>
          <w:rFonts w:eastAsia="黑体"/>
          <w:sz w:val="32"/>
          <w:szCs w:val="32"/>
        </w:rPr>
      </w:pPr>
      <w:r>
        <w:rPr>
          <w:rFonts w:eastAsia="黑体"/>
          <w:sz w:val="32"/>
          <w:szCs w:val="32"/>
        </w:rPr>
        <w:t>七、名词解释</w:t>
      </w:r>
    </w:p>
    <w:p>
      <w:pPr>
        <w:widowControl/>
        <w:spacing w:line="600" w:lineRule="exact"/>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numPr>
          <w:ilvl w:val="0"/>
          <w:numId w:val="0"/>
        </w:numPr>
        <w:spacing w:line="600" w:lineRule="exact"/>
        <w:jc w:val="left"/>
        <w:rPr>
          <w:rFonts w:hint="eastAsia" w:eastAsia="黑体"/>
          <w:bCs/>
          <w:kern w:val="0"/>
          <w:sz w:val="32"/>
          <w:szCs w:val="32"/>
          <w:lang w:eastAsia="zh-CN"/>
        </w:rPr>
      </w:pPr>
    </w:p>
    <w:p>
      <w:pPr>
        <w:widowControl/>
        <w:spacing w:line="600" w:lineRule="exact"/>
        <w:jc w:val="center"/>
        <w:rPr>
          <w:rFonts w:eastAsia="黑体"/>
          <w:kern w:val="0"/>
          <w:sz w:val="32"/>
          <w:szCs w:val="32"/>
        </w:rPr>
      </w:pPr>
    </w:p>
    <w:p>
      <w:pPr>
        <w:widowControl/>
        <w:spacing w:line="600" w:lineRule="exact"/>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4611DB"/>
    <w:multiLevelType w:val="singleLevel"/>
    <w:tmpl w:val="4C4611DB"/>
    <w:lvl w:ilvl="0" w:tentative="0">
      <w:start w:val="1"/>
      <w:numFmt w:val="chineseCounting"/>
      <w:suff w:val="nothing"/>
      <w:lvlText w:val="%1、"/>
      <w:lvlJc w:val="left"/>
      <w:rPr>
        <w:rFonts w:hint="eastAsia"/>
      </w:rPr>
    </w:lvl>
  </w:abstractNum>
  <w:abstractNum w:abstractNumId="1">
    <w:nsid w:val="663E6BDE"/>
    <w:multiLevelType w:val="singleLevel"/>
    <w:tmpl w:val="663E6BDE"/>
    <w:lvl w:ilvl="0" w:tentative="0">
      <w:start w:val="1"/>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iNzllMTNmMjEyYWUyMWY5YWUwOTZiMjczOTAzMTcifQ=="/>
  </w:docVars>
  <w:rsids>
    <w:rsidRoot w:val="003E3871"/>
    <w:rsid w:val="0006593D"/>
    <w:rsid w:val="000D7350"/>
    <w:rsid w:val="0020174A"/>
    <w:rsid w:val="002D16C4"/>
    <w:rsid w:val="002D7251"/>
    <w:rsid w:val="003E3871"/>
    <w:rsid w:val="003F3476"/>
    <w:rsid w:val="00414B59"/>
    <w:rsid w:val="00435C97"/>
    <w:rsid w:val="00847955"/>
    <w:rsid w:val="009340DD"/>
    <w:rsid w:val="009B6981"/>
    <w:rsid w:val="00A121F9"/>
    <w:rsid w:val="00CE47C7"/>
    <w:rsid w:val="00D9092A"/>
    <w:rsid w:val="00E827A7"/>
    <w:rsid w:val="00F662A7"/>
    <w:rsid w:val="017D2882"/>
    <w:rsid w:val="0227293C"/>
    <w:rsid w:val="045E24A9"/>
    <w:rsid w:val="04605D75"/>
    <w:rsid w:val="06ED1CCE"/>
    <w:rsid w:val="07F12954"/>
    <w:rsid w:val="0AEE53BA"/>
    <w:rsid w:val="0CEA2993"/>
    <w:rsid w:val="0D121618"/>
    <w:rsid w:val="0D5D6C5C"/>
    <w:rsid w:val="0E4716BA"/>
    <w:rsid w:val="0E544D74"/>
    <w:rsid w:val="0E9C6F63"/>
    <w:rsid w:val="0EE707F6"/>
    <w:rsid w:val="0FDE127A"/>
    <w:rsid w:val="130D0C27"/>
    <w:rsid w:val="134A2874"/>
    <w:rsid w:val="14F92240"/>
    <w:rsid w:val="16C91A5D"/>
    <w:rsid w:val="16D23ADD"/>
    <w:rsid w:val="1CA506E8"/>
    <w:rsid w:val="1D5F7B08"/>
    <w:rsid w:val="1D93708A"/>
    <w:rsid w:val="1DA63635"/>
    <w:rsid w:val="1DD9425D"/>
    <w:rsid w:val="1EBB1BEE"/>
    <w:rsid w:val="1FD247DF"/>
    <w:rsid w:val="208F46A7"/>
    <w:rsid w:val="212013EF"/>
    <w:rsid w:val="21241BCD"/>
    <w:rsid w:val="21BC49E6"/>
    <w:rsid w:val="28717E7B"/>
    <w:rsid w:val="28E94267"/>
    <w:rsid w:val="28F4723F"/>
    <w:rsid w:val="2B59057C"/>
    <w:rsid w:val="2C512791"/>
    <w:rsid w:val="2C940ED8"/>
    <w:rsid w:val="301F6F84"/>
    <w:rsid w:val="34F50AD6"/>
    <w:rsid w:val="363C59DE"/>
    <w:rsid w:val="393E63DF"/>
    <w:rsid w:val="3A394F65"/>
    <w:rsid w:val="3EF070C1"/>
    <w:rsid w:val="3F016907"/>
    <w:rsid w:val="41F1322A"/>
    <w:rsid w:val="43480A6D"/>
    <w:rsid w:val="438C6E72"/>
    <w:rsid w:val="45133691"/>
    <w:rsid w:val="46DA670A"/>
    <w:rsid w:val="47A27ED1"/>
    <w:rsid w:val="48305828"/>
    <w:rsid w:val="48A93870"/>
    <w:rsid w:val="4C312198"/>
    <w:rsid w:val="4ED31142"/>
    <w:rsid w:val="504D4E4D"/>
    <w:rsid w:val="512618DB"/>
    <w:rsid w:val="5268345B"/>
    <w:rsid w:val="52722142"/>
    <w:rsid w:val="55130421"/>
    <w:rsid w:val="554808C5"/>
    <w:rsid w:val="56017B40"/>
    <w:rsid w:val="56632179"/>
    <w:rsid w:val="58660C09"/>
    <w:rsid w:val="5A5A6D5E"/>
    <w:rsid w:val="5A92668A"/>
    <w:rsid w:val="5F4128AA"/>
    <w:rsid w:val="5F5F1CBD"/>
    <w:rsid w:val="602B2290"/>
    <w:rsid w:val="60F0595B"/>
    <w:rsid w:val="610C5D4B"/>
    <w:rsid w:val="61B51451"/>
    <w:rsid w:val="63181C3A"/>
    <w:rsid w:val="646F1D07"/>
    <w:rsid w:val="68F013AE"/>
    <w:rsid w:val="6C1E5983"/>
    <w:rsid w:val="6D12171A"/>
    <w:rsid w:val="6D25023E"/>
    <w:rsid w:val="6D4A1E18"/>
    <w:rsid w:val="6D8B6FE8"/>
    <w:rsid w:val="6EEE573F"/>
    <w:rsid w:val="7040034C"/>
    <w:rsid w:val="712B304A"/>
    <w:rsid w:val="71F70C10"/>
    <w:rsid w:val="733177D2"/>
    <w:rsid w:val="7505670F"/>
    <w:rsid w:val="751B5D91"/>
    <w:rsid w:val="769A1DB9"/>
    <w:rsid w:val="79737D0B"/>
    <w:rsid w:val="7F0B302B"/>
    <w:rsid w:val="7F7D0A2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czj</Company>
  <Pages>12</Pages>
  <Words>5105</Words>
  <Characters>5347</Characters>
  <Lines>0</Lines>
  <Paragraphs>0</Paragraphs>
  <TotalTime>1361</TotalTime>
  <ScaleCrop>false</ScaleCrop>
  <LinksUpToDate>false</LinksUpToDate>
  <CharactersWithSpaces>5408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ZiZi</cp:lastModifiedBy>
  <cp:lastPrinted>2021-03-23T06:22:00Z</cp:lastPrinted>
  <dcterms:modified xsi:type="dcterms:W3CDTF">2022-09-02T09:34:08Z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EBF05C0BA1954902ACF1E61104EE083E</vt:lpwstr>
  </property>
</Properties>
</file>