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094F" w:rsidRDefault="001F094F">
      <w:pPr>
        <w:pStyle w:val="Default"/>
        <w:jc w:val="center"/>
        <w:rPr>
          <w:sz w:val="56"/>
          <w:szCs w:val="56"/>
        </w:rPr>
      </w:pPr>
    </w:p>
    <w:p w:rsidR="001F094F" w:rsidRDefault="001F094F">
      <w:pPr>
        <w:pStyle w:val="Default"/>
        <w:jc w:val="center"/>
        <w:rPr>
          <w:sz w:val="56"/>
          <w:szCs w:val="56"/>
        </w:rPr>
      </w:pPr>
    </w:p>
    <w:p w:rsidR="001F094F" w:rsidRDefault="001F094F">
      <w:pPr>
        <w:pStyle w:val="Default"/>
        <w:jc w:val="center"/>
        <w:rPr>
          <w:sz w:val="84"/>
          <w:szCs w:val="84"/>
        </w:rPr>
      </w:pPr>
    </w:p>
    <w:p w:rsidR="001F094F" w:rsidRDefault="001F094F">
      <w:pPr>
        <w:pStyle w:val="Default"/>
        <w:jc w:val="center"/>
        <w:rPr>
          <w:sz w:val="84"/>
          <w:szCs w:val="84"/>
        </w:rPr>
      </w:pPr>
    </w:p>
    <w:p w:rsidR="001F094F" w:rsidRDefault="00B22335">
      <w:pPr>
        <w:pStyle w:val="Default"/>
        <w:jc w:val="center"/>
        <w:rPr>
          <w:sz w:val="84"/>
          <w:szCs w:val="84"/>
        </w:rPr>
      </w:pPr>
      <w:r>
        <w:rPr>
          <w:rFonts w:hint="eastAsia"/>
          <w:sz w:val="84"/>
          <w:szCs w:val="84"/>
        </w:rPr>
        <w:t>2021年度</w:t>
      </w:r>
    </w:p>
    <w:p w:rsidR="001F094F" w:rsidRDefault="00B22335">
      <w:pPr>
        <w:pStyle w:val="Default"/>
        <w:jc w:val="center"/>
        <w:rPr>
          <w:sz w:val="84"/>
          <w:szCs w:val="84"/>
        </w:rPr>
      </w:pPr>
      <w:r>
        <w:rPr>
          <w:rFonts w:hint="eastAsia"/>
          <w:sz w:val="84"/>
          <w:szCs w:val="84"/>
        </w:rPr>
        <w:t>湘乡市城市公用事业服务中心部门决算</w:t>
      </w:r>
    </w:p>
    <w:p w:rsidR="001F094F" w:rsidRDefault="001F094F">
      <w:pPr>
        <w:pStyle w:val="Default"/>
        <w:jc w:val="center"/>
        <w:rPr>
          <w:sz w:val="56"/>
          <w:szCs w:val="56"/>
        </w:rPr>
      </w:pPr>
    </w:p>
    <w:p w:rsidR="001F094F" w:rsidRDefault="001F094F">
      <w:pPr>
        <w:pStyle w:val="Default"/>
        <w:jc w:val="center"/>
        <w:rPr>
          <w:sz w:val="56"/>
          <w:szCs w:val="56"/>
        </w:rPr>
      </w:pPr>
    </w:p>
    <w:p w:rsidR="001F094F" w:rsidRDefault="001F094F">
      <w:pPr>
        <w:pStyle w:val="Default"/>
        <w:jc w:val="center"/>
        <w:rPr>
          <w:sz w:val="56"/>
          <w:szCs w:val="56"/>
        </w:rPr>
      </w:pPr>
    </w:p>
    <w:p w:rsidR="001F094F" w:rsidRDefault="001F094F">
      <w:pPr>
        <w:pStyle w:val="Default"/>
        <w:jc w:val="center"/>
        <w:rPr>
          <w:sz w:val="56"/>
          <w:szCs w:val="56"/>
        </w:rPr>
      </w:pPr>
    </w:p>
    <w:p w:rsidR="001F094F" w:rsidRDefault="001F094F">
      <w:pPr>
        <w:pStyle w:val="Default"/>
        <w:jc w:val="center"/>
        <w:rPr>
          <w:sz w:val="32"/>
          <w:szCs w:val="32"/>
        </w:rPr>
      </w:pPr>
    </w:p>
    <w:p w:rsidR="001F094F" w:rsidRDefault="001F094F">
      <w:pPr>
        <w:pStyle w:val="Default"/>
        <w:jc w:val="center"/>
        <w:rPr>
          <w:sz w:val="32"/>
          <w:szCs w:val="32"/>
        </w:rPr>
      </w:pPr>
    </w:p>
    <w:p w:rsidR="001F094F" w:rsidRDefault="001F094F">
      <w:pPr>
        <w:pStyle w:val="Default"/>
        <w:jc w:val="center"/>
        <w:rPr>
          <w:sz w:val="32"/>
          <w:szCs w:val="32"/>
        </w:rPr>
      </w:pPr>
    </w:p>
    <w:p w:rsidR="001F094F" w:rsidRDefault="001F094F">
      <w:pPr>
        <w:pStyle w:val="Default"/>
        <w:jc w:val="center"/>
        <w:rPr>
          <w:sz w:val="32"/>
          <w:szCs w:val="32"/>
        </w:rPr>
      </w:pPr>
    </w:p>
    <w:p w:rsidR="001F094F" w:rsidRDefault="001F094F">
      <w:pPr>
        <w:pStyle w:val="Default"/>
        <w:jc w:val="center"/>
        <w:rPr>
          <w:sz w:val="32"/>
          <w:szCs w:val="32"/>
        </w:rPr>
      </w:pPr>
    </w:p>
    <w:p w:rsidR="001F094F" w:rsidRDefault="001F094F">
      <w:pPr>
        <w:pStyle w:val="Default"/>
        <w:spacing w:line="540" w:lineRule="exact"/>
        <w:jc w:val="center"/>
        <w:rPr>
          <w:sz w:val="56"/>
          <w:szCs w:val="56"/>
        </w:rPr>
      </w:pPr>
    </w:p>
    <w:p w:rsidR="001F094F" w:rsidRDefault="001F094F">
      <w:pPr>
        <w:pStyle w:val="Default"/>
        <w:spacing w:line="500" w:lineRule="exact"/>
        <w:jc w:val="center"/>
        <w:rPr>
          <w:b/>
          <w:sz w:val="36"/>
          <w:szCs w:val="28"/>
        </w:rPr>
      </w:pPr>
    </w:p>
    <w:p w:rsidR="001F094F" w:rsidRDefault="001F094F">
      <w:pPr>
        <w:pStyle w:val="Default"/>
        <w:spacing w:line="500" w:lineRule="exact"/>
        <w:jc w:val="center"/>
        <w:rPr>
          <w:b/>
          <w:sz w:val="36"/>
          <w:szCs w:val="28"/>
        </w:rPr>
      </w:pPr>
    </w:p>
    <w:p w:rsidR="001F094F" w:rsidRDefault="00B22335">
      <w:pPr>
        <w:pStyle w:val="Default"/>
        <w:spacing w:line="500" w:lineRule="exact"/>
        <w:jc w:val="center"/>
        <w:rPr>
          <w:b/>
          <w:sz w:val="36"/>
          <w:szCs w:val="28"/>
        </w:rPr>
      </w:pPr>
      <w:r>
        <w:rPr>
          <w:rFonts w:hint="eastAsia"/>
          <w:b/>
          <w:sz w:val="36"/>
          <w:szCs w:val="28"/>
        </w:rPr>
        <w:t>目录</w:t>
      </w:r>
    </w:p>
    <w:p w:rsidR="001F094F" w:rsidRDefault="00B22335">
      <w:pPr>
        <w:pStyle w:val="Default"/>
        <w:spacing w:line="500" w:lineRule="exact"/>
        <w:rPr>
          <w:rFonts w:ascii="仿宋_GB2312" w:hAnsi="仿宋_GB2312" w:cs="仿宋_GB2312"/>
          <w:b/>
          <w:sz w:val="28"/>
          <w:szCs w:val="28"/>
        </w:rPr>
      </w:pPr>
      <w:r>
        <w:rPr>
          <w:rFonts w:hint="eastAsia"/>
          <w:b/>
          <w:sz w:val="28"/>
          <w:szCs w:val="28"/>
        </w:rPr>
        <w:t>第一部分公服中心概况</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1F094F" w:rsidRDefault="00B22335">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21年度部门决算表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1F094F" w:rsidRDefault="00B22335">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21年度部门决算情况说明</w:t>
      </w:r>
    </w:p>
    <w:p w:rsidR="001F094F" w:rsidRDefault="00B223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1F094F" w:rsidRDefault="00B22335">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1F094F" w:rsidRDefault="00B223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1F094F" w:rsidRDefault="00B22335">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1F094F" w:rsidRDefault="00B22335">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lastRenderedPageBreak/>
        <w:t>十三、</w:t>
      </w:r>
      <w:r>
        <w:rPr>
          <w:rFonts w:asciiTheme="minorEastAsia" w:eastAsiaTheme="minorEastAsia" w:hAnsiTheme="minorEastAsia" w:cs="仿宋_GB2312" w:hint="eastAsia"/>
          <w:sz w:val="28"/>
          <w:szCs w:val="28"/>
        </w:rPr>
        <w:t>2021年</w:t>
      </w:r>
      <w:r>
        <w:rPr>
          <w:rFonts w:ascii="仿宋_GB2312" w:eastAsiaTheme="minorEastAsia" w:hAnsi="仿宋_GB2312" w:cs="仿宋_GB2312" w:hint="eastAsia"/>
          <w:sz w:val="28"/>
          <w:szCs w:val="28"/>
        </w:rPr>
        <w:t>度预算绩效情况说明</w:t>
      </w:r>
    </w:p>
    <w:p w:rsidR="001F094F" w:rsidRDefault="00B22335">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1F094F" w:rsidRDefault="00B22335">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rPr>
          <w:sz w:val="72"/>
          <w:szCs w:val="72"/>
        </w:rPr>
      </w:pPr>
    </w:p>
    <w:p w:rsidR="001F094F" w:rsidRDefault="00B22335">
      <w:pPr>
        <w:pStyle w:val="Default"/>
        <w:jc w:val="center"/>
        <w:rPr>
          <w:sz w:val="84"/>
          <w:szCs w:val="84"/>
        </w:rPr>
      </w:pPr>
      <w:r>
        <w:rPr>
          <w:rFonts w:hint="eastAsia"/>
          <w:sz w:val="84"/>
          <w:szCs w:val="84"/>
        </w:rPr>
        <w:t>第一部分</w:t>
      </w:r>
      <w:r>
        <w:rPr>
          <w:sz w:val="84"/>
          <w:szCs w:val="84"/>
        </w:rPr>
        <w:t xml:space="preserve"> </w:t>
      </w:r>
    </w:p>
    <w:p w:rsidR="001F094F" w:rsidRDefault="001F094F">
      <w:pPr>
        <w:pStyle w:val="Default"/>
        <w:jc w:val="center"/>
        <w:rPr>
          <w:sz w:val="84"/>
          <w:szCs w:val="84"/>
        </w:rPr>
      </w:pPr>
    </w:p>
    <w:p w:rsidR="001F094F" w:rsidRDefault="00B22335">
      <w:pPr>
        <w:pStyle w:val="Default"/>
        <w:jc w:val="center"/>
        <w:rPr>
          <w:sz w:val="84"/>
          <w:szCs w:val="84"/>
        </w:rPr>
      </w:pPr>
      <w:r>
        <w:rPr>
          <w:rFonts w:hint="eastAsia"/>
          <w:sz w:val="84"/>
          <w:szCs w:val="84"/>
        </w:rPr>
        <w:t>公服中心概况</w:t>
      </w: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pStyle w:val="aa"/>
        <w:ind w:left="720" w:firstLineChars="0" w:firstLine="0"/>
        <w:jc w:val="left"/>
        <w:rPr>
          <w:rFonts w:ascii="黑体" w:eastAsia="黑体" w:hAnsi="黑体"/>
          <w:sz w:val="32"/>
          <w:szCs w:val="32"/>
        </w:rPr>
      </w:pPr>
    </w:p>
    <w:p w:rsidR="001F094F" w:rsidRDefault="001F094F">
      <w:pPr>
        <w:pStyle w:val="aa"/>
        <w:ind w:left="720" w:firstLineChars="0" w:firstLine="0"/>
        <w:jc w:val="left"/>
        <w:rPr>
          <w:rFonts w:ascii="黑体" w:eastAsia="黑体" w:hAnsi="黑体"/>
          <w:sz w:val="32"/>
          <w:szCs w:val="32"/>
        </w:rPr>
      </w:pPr>
    </w:p>
    <w:p w:rsidR="001F094F" w:rsidRDefault="001F094F">
      <w:pPr>
        <w:pStyle w:val="aa"/>
        <w:ind w:left="720" w:firstLineChars="0" w:firstLine="0"/>
        <w:jc w:val="left"/>
        <w:rPr>
          <w:rFonts w:ascii="黑体" w:eastAsia="黑体" w:hAnsi="黑体"/>
          <w:sz w:val="32"/>
          <w:szCs w:val="32"/>
        </w:rPr>
      </w:pPr>
    </w:p>
    <w:p w:rsidR="001F094F" w:rsidRDefault="00B22335">
      <w:pPr>
        <w:pStyle w:val="aa"/>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1F094F" w:rsidRDefault="00B22335">
      <w:pPr>
        <w:ind w:firstLineChars="350" w:firstLine="980"/>
        <w:jc w:val="left"/>
        <w:rPr>
          <w:rFonts w:asciiTheme="minorEastAsia" w:hAnsiTheme="minorEastAsia"/>
          <w:sz w:val="28"/>
          <w:szCs w:val="28"/>
        </w:rPr>
      </w:pPr>
      <w:r>
        <w:rPr>
          <w:sz w:val="28"/>
          <w:szCs w:val="28"/>
        </w:rPr>
        <w:t>主要工作职责：</w:t>
      </w:r>
      <w:r>
        <w:rPr>
          <w:rFonts w:ascii="宋体" w:eastAsia="宋体" w:hAnsi="宋体" w:cs="宋体"/>
          <w:sz w:val="28"/>
          <w:szCs w:val="28"/>
        </w:rPr>
        <w:t>责查核占破道位置、范围、面积；负责占破道期间的市容环境卫生和按时恢复路面原状；负责施工围挡服务工作；负责城市户外广告的规范服务；负责规范门店招牌；负责在城市进行商品促销、宣传等方面的规范服务。</w:t>
      </w:r>
    </w:p>
    <w:p w:rsidR="001F094F" w:rsidRDefault="00B22335">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1F094F" w:rsidRDefault="00B22335">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w:t>
      </w:r>
    </w:p>
    <w:p w:rsidR="001F094F" w:rsidRDefault="00B22335">
      <w:pPr>
        <w:pStyle w:val="a3"/>
        <w:spacing w:before="9"/>
        <w:ind w:left="0"/>
        <w:rPr>
          <w:b/>
          <w:sz w:val="20"/>
        </w:rPr>
      </w:pPr>
      <w:r>
        <w:rPr>
          <w:rFonts w:asciiTheme="minorEastAsia" w:hAnsiTheme="minorEastAsia" w:hint="eastAsia"/>
          <w:bCs/>
          <w:kern w:val="0"/>
          <w:sz w:val="32"/>
          <w:szCs w:val="32"/>
          <w:lang w:val="en-US"/>
        </w:rPr>
        <w:t xml:space="preserve">    </w:t>
      </w:r>
    </w:p>
    <w:p w:rsidR="001F094F" w:rsidRDefault="00B22335">
      <w:pPr>
        <w:pStyle w:val="a3"/>
        <w:spacing w:line="417" w:lineRule="auto"/>
        <w:ind w:right="99" w:firstLine="419"/>
      </w:pPr>
      <w:r>
        <w:rPr>
          <w:rFonts w:hint="eastAsia"/>
          <w:spacing w:val="-10"/>
          <w:lang w:val="en-US"/>
        </w:rPr>
        <w:t>公服中心</w:t>
      </w:r>
      <w:r>
        <w:rPr>
          <w:spacing w:val="-10"/>
        </w:rPr>
        <w:t>为差额拨款事业单位，现内设财务室、办公室、值班法制室、</w:t>
      </w:r>
      <w:r>
        <w:rPr>
          <w:spacing w:val="-3"/>
        </w:rPr>
        <w:t>一中队、二中队</w:t>
      </w:r>
      <w:r>
        <w:rPr>
          <w:rFonts w:hint="eastAsia"/>
          <w:spacing w:val="-3"/>
        </w:rPr>
        <w:t>五</w:t>
      </w:r>
      <w:r>
        <w:rPr>
          <w:spacing w:val="-3"/>
        </w:rPr>
        <w:t>个机构。公开的是本单位数据。</w:t>
      </w:r>
    </w:p>
    <w:p w:rsidR="001F094F" w:rsidRDefault="001F094F">
      <w:pPr>
        <w:widowControl/>
        <w:spacing w:line="600" w:lineRule="exact"/>
        <w:rPr>
          <w:rFonts w:asciiTheme="minorEastAsia" w:hAnsiTheme="minorEastAsia"/>
          <w:bCs/>
          <w:kern w:val="0"/>
          <w:sz w:val="28"/>
          <w:szCs w:val="28"/>
        </w:rPr>
      </w:pPr>
    </w:p>
    <w:p w:rsidR="001F094F" w:rsidRDefault="00B22335">
      <w:pPr>
        <w:widowControl/>
        <w:spacing w:line="600" w:lineRule="exact"/>
        <w:rPr>
          <w:rFonts w:asciiTheme="minorEastAsia" w:hAnsiTheme="minorEastAsia"/>
          <w:bCs/>
          <w:kern w:val="0"/>
          <w:sz w:val="28"/>
          <w:szCs w:val="28"/>
        </w:rPr>
      </w:pPr>
      <w:r>
        <w:rPr>
          <w:rFonts w:asciiTheme="minorEastAsia" w:hAnsiTheme="minorEastAsia" w:hint="eastAsia"/>
          <w:bCs/>
          <w:kern w:val="0"/>
          <w:sz w:val="28"/>
          <w:szCs w:val="28"/>
        </w:rPr>
        <w:t>（二）决算单位构成。湘乡市城市公用事业服务中心单位</w:t>
      </w:r>
      <w:r>
        <w:rPr>
          <w:rFonts w:asciiTheme="minorEastAsia" w:hAnsiTheme="minorEastAsia"/>
          <w:bCs/>
          <w:kern w:val="0"/>
          <w:sz w:val="28"/>
          <w:szCs w:val="28"/>
        </w:rPr>
        <w:t>20</w:t>
      </w:r>
      <w:r>
        <w:rPr>
          <w:rFonts w:asciiTheme="minorEastAsia" w:hAnsiTheme="minorEastAsia" w:hint="eastAsia"/>
          <w:bCs/>
          <w:kern w:val="0"/>
          <w:sz w:val="28"/>
          <w:szCs w:val="28"/>
        </w:rPr>
        <w:t>21年部门决算汇总公开单位构成包括：公服中心本级。</w:t>
      </w: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rFonts w:ascii="黑体" w:eastAsia="黑体" w:hAnsi="黑体"/>
          <w:sz w:val="28"/>
          <w:szCs w:val="28"/>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B22335">
      <w:pPr>
        <w:jc w:val="center"/>
        <w:rPr>
          <w:sz w:val="72"/>
          <w:szCs w:val="72"/>
        </w:rPr>
      </w:pPr>
      <w:r>
        <w:rPr>
          <w:rFonts w:hint="eastAsia"/>
          <w:sz w:val="72"/>
          <w:szCs w:val="72"/>
        </w:rPr>
        <w:t>第二部分</w:t>
      </w:r>
    </w:p>
    <w:p w:rsidR="001F094F" w:rsidRDefault="001F094F">
      <w:pPr>
        <w:jc w:val="center"/>
        <w:rPr>
          <w:sz w:val="72"/>
          <w:szCs w:val="72"/>
        </w:rPr>
      </w:pPr>
    </w:p>
    <w:p w:rsidR="001F094F" w:rsidRDefault="00B22335">
      <w:pPr>
        <w:jc w:val="center"/>
        <w:rPr>
          <w:sz w:val="72"/>
          <w:szCs w:val="72"/>
        </w:rPr>
      </w:pPr>
      <w:r>
        <w:rPr>
          <w:rFonts w:hint="eastAsia"/>
          <w:sz w:val="72"/>
          <w:szCs w:val="72"/>
        </w:rPr>
        <w:t>部门决算表</w:t>
      </w: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center"/>
        <w:rPr>
          <w:sz w:val="72"/>
          <w:szCs w:val="72"/>
        </w:rPr>
      </w:pPr>
    </w:p>
    <w:p w:rsidR="001F094F" w:rsidRDefault="001F094F">
      <w:pPr>
        <w:jc w:val="left"/>
        <w:rPr>
          <w:sz w:val="32"/>
          <w:szCs w:val="32"/>
        </w:rPr>
      </w:pPr>
    </w:p>
    <w:p w:rsidR="001F094F" w:rsidRDefault="001F094F">
      <w:pPr>
        <w:jc w:val="left"/>
        <w:rPr>
          <w:rFonts w:asciiTheme="minorEastAsia" w:hAnsiTheme="minorEastAsia"/>
          <w:sz w:val="32"/>
          <w:szCs w:val="32"/>
        </w:rPr>
        <w:sectPr w:rsidR="001F094F">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1F094F">
        <w:trPr>
          <w:trHeight w:val="360"/>
        </w:trPr>
        <w:tc>
          <w:tcPr>
            <w:tcW w:w="14081" w:type="dxa"/>
            <w:gridSpan w:val="11"/>
            <w:tcBorders>
              <w:top w:val="nil"/>
              <w:left w:val="nil"/>
              <w:bottom w:val="nil"/>
              <w:right w:val="nil"/>
            </w:tcBorders>
            <w:shd w:val="clear" w:color="auto" w:fill="auto"/>
            <w:noWrap/>
            <w:vAlign w:val="center"/>
          </w:tcPr>
          <w:p w:rsidR="001F094F" w:rsidRDefault="00B22335">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1F094F">
        <w:trPr>
          <w:trHeight w:val="199"/>
        </w:trPr>
        <w:tc>
          <w:tcPr>
            <w:tcW w:w="5206" w:type="dxa"/>
            <w:gridSpan w:val="3"/>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公开01表</w:t>
            </w:r>
          </w:p>
        </w:tc>
      </w:tr>
      <w:tr w:rsidR="001F094F">
        <w:trPr>
          <w:trHeight w:val="300"/>
        </w:trPr>
        <w:tc>
          <w:tcPr>
            <w:tcW w:w="5206" w:type="dxa"/>
            <w:gridSpan w:val="3"/>
            <w:tcBorders>
              <w:top w:val="nil"/>
              <w:left w:val="nil"/>
              <w:bottom w:val="nil"/>
              <w:right w:val="nil"/>
            </w:tcBorders>
            <w:shd w:val="clear" w:color="000000" w:fill="FFFFFF"/>
            <w:noWrap/>
            <w:vAlign w:val="center"/>
          </w:tcPr>
          <w:p w:rsidR="001F094F" w:rsidRDefault="00B2233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F094F">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1F094F">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275.72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六、住房保障支出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14.64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七、社会保障和就业支出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17.39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2.01</w:t>
            </w:r>
          </w:p>
        </w:tc>
        <w:tc>
          <w:tcPr>
            <w:tcW w:w="3798"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八、卫生健康支出</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8.28</w:t>
            </w:r>
          </w:p>
        </w:tc>
      </w:tr>
      <w:tr w:rsidR="001F094F">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rPr>
                <w:rFonts w:ascii="宋体" w:eastAsia="宋体" w:hAnsi="宋体" w:cs="宋体"/>
                <w:kern w:val="0"/>
                <w:sz w:val="20"/>
                <w:szCs w:val="20"/>
              </w:rPr>
            </w:pPr>
            <w:r>
              <w:rPr>
                <w:rFonts w:ascii="宋体" w:eastAsia="宋体" w:hAnsi="宋体" w:cs="宋体" w:hint="eastAsia"/>
                <w:kern w:val="0"/>
                <w:szCs w:val="21"/>
              </w:rPr>
              <w:t xml:space="preserve">十、城乡社区支出　</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r>
              <w:rPr>
                <w:rFonts w:ascii="宋体" w:eastAsia="宋体" w:hAnsi="宋体" w:cs="宋体" w:hint="eastAsia"/>
                <w:kern w:val="0"/>
                <w:sz w:val="22"/>
              </w:rPr>
              <w:t>237.39</w:t>
            </w:r>
          </w:p>
        </w:tc>
      </w:tr>
      <w:tr w:rsidR="001F094F">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277.74　</w:t>
            </w:r>
          </w:p>
        </w:tc>
        <w:tc>
          <w:tcPr>
            <w:tcW w:w="3798"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277.70</w:t>
            </w:r>
          </w:p>
        </w:tc>
      </w:tr>
      <w:tr w:rsidR="001F094F">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4.18　</w:t>
            </w:r>
          </w:p>
        </w:tc>
        <w:tc>
          <w:tcPr>
            <w:tcW w:w="3798"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4.22</w:t>
            </w:r>
          </w:p>
        </w:tc>
      </w:tr>
      <w:tr w:rsidR="001F094F">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281.92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r>
              <w:rPr>
                <w:rFonts w:ascii="宋体" w:eastAsia="宋体" w:hAnsi="宋体" w:cs="宋体" w:hint="eastAsia"/>
                <w:kern w:val="0"/>
                <w:sz w:val="22"/>
              </w:rPr>
              <w:t>281.92</w:t>
            </w:r>
          </w:p>
        </w:tc>
      </w:tr>
      <w:tr w:rsidR="001F094F">
        <w:trPr>
          <w:trHeight w:val="1020"/>
        </w:trPr>
        <w:tc>
          <w:tcPr>
            <w:tcW w:w="14081" w:type="dxa"/>
            <w:gridSpan w:val="11"/>
            <w:tcBorders>
              <w:top w:val="nil"/>
              <w:left w:val="nil"/>
              <w:bottom w:val="nil"/>
              <w:right w:val="nil"/>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t xml:space="preserve"> 2.本套报表金额单位转换时可能存在尾数误差。</w:t>
            </w:r>
          </w:p>
        </w:tc>
      </w:tr>
    </w:tbl>
    <w:p w:rsidR="001F094F" w:rsidRDefault="001F094F">
      <w:pPr>
        <w:jc w:val="center"/>
        <w:rPr>
          <w:rFonts w:ascii="黑体" w:eastAsia="黑体" w:hAnsi="黑体"/>
          <w:sz w:val="28"/>
          <w:szCs w:val="28"/>
        </w:rPr>
        <w:sectPr w:rsidR="001F094F">
          <w:pgSz w:w="16838" w:h="11906" w:orient="landscape"/>
          <w:pgMar w:top="1797" w:right="1440" w:bottom="1797" w:left="1440" w:header="851" w:footer="992" w:gutter="0"/>
          <w:cols w:space="425"/>
          <w:docGrid w:type="linesAndChars" w:linePitch="312"/>
        </w:sectPr>
      </w:pPr>
    </w:p>
    <w:tbl>
      <w:tblPr>
        <w:tblW w:w="13900" w:type="dxa"/>
        <w:tblCellMar>
          <w:left w:w="0" w:type="dxa"/>
          <w:right w:w="0" w:type="dxa"/>
        </w:tblCellMar>
        <w:tblLook w:val="04A0" w:firstRow="1" w:lastRow="0" w:firstColumn="1" w:lastColumn="0" w:noHBand="0" w:noVBand="1"/>
      </w:tblPr>
      <w:tblGrid>
        <w:gridCol w:w="407"/>
        <w:gridCol w:w="370"/>
        <w:gridCol w:w="3390"/>
        <w:gridCol w:w="1640"/>
        <w:gridCol w:w="1640"/>
        <w:gridCol w:w="1524"/>
        <w:gridCol w:w="1418"/>
        <w:gridCol w:w="1327"/>
        <w:gridCol w:w="1250"/>
        <w:gridCol w:w="1640"/>
      </w:tblGrid>
      <w:tr w:rsidR="001F094F">
        <w:trPr>
          <w:trHeight w:val="435"/>
        </w:trPr>
        <w:tc>
          <w:tcPr>
            <w:tcW w:w="13900"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1F094F" w:rsidRDefault="00B22335">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1F094F">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1F094F">
        <w:trPr>
          <w:trHeight w:val="285"/>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rPr>
                <w:rFonts w:ascii="宋体" w:eastAsia="宋体" w:hAnsi="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color w:val="000000"/>
                <w:sz w:val="20"/>
                <w:szCs w:val="20"/>
              </w:rPr>
            </w:pPr>
            <w:r>
              <w:rPr>
                <w:rFonts w:hint="eastAsia"/>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rsidR="001F094F" w:rsidRDefault="00B22335">
            <w:pPr>
              <w:jc w:val="right"/>
              <w:rPr>
                <w:rFonts w:ascii="宋体" w:eastAsia="宋体" w:hAnsi="宋体" w:cs="宋体"/>
                <w:color w:val="000000"/>
                <w:sz w:val="20"/>
                <w:szCs w:val="20"/>
              </w:rPr>
            </w:pPr>
            <w:r>
              <w:rPr>
                <w:rFonts w:hint="eastAsia"/>
                <w:color w:val="000000"/>
                <w:sz w:val="20"/>
                <w:szCs w:val="20"/>
              </w:rPr>
              <w:t>单位：万元</w:t>
            </w:r>
          </w:p>
        </w:tc>
      </w:tr>
      <w:tr w:rsidR="001F094F">
        <w:trPr>
          <w:trHeight w:val="450"/>
        </w:trPr>
        <w:tc>
          <w:tcPr>
            <w:tcW w:w="2420"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本年收入合计</w:t>
            </w:r>
          </w:p>
        </w:tc>
        <w:tc>
          <w:tcPr>
            <w:tcW w:w="164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财政拨款收入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上级补助收入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事业收入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经营收入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附属单位上缴收入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其他收入</w:t>
            </w:r>
          </w:p>
        </w:tc>
      </w:tr>
      <w:tr w:rsidR="001F094F">
        <w:trPr>
          <w:trHeight w:val="450"/>
        </w:trPr>
        <w:tc>
          <w:tcPr>
            <w:tcW w:w="112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功能分类科目编码</w:t>
            </w:r>
          </w:p>
        </w:tc>
        <w:tc>
          <w:tcPr>
            <w:tcW w:w="1300"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科目名称</w:t>
            </w: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r>
      <w:tr w:rsidR="001F094F">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nil"/>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1F094F" w:rsidRDefault="001F094F">
            <w:pPr>
              <w:rPr>
                <w:rFonts w:ascii="宋体" w:eastAsia="宋体" w:hAnsi="宋体" w:cs="宋体"/>
                <w:sz w:val="24"/>
                <w:szCs w:val="24"/>
              </w:rPr>
            </w:pPr>
          </w:p>
        </w:tc>
      </w:tr>
      <w:tr w:rsidR="001F094F">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栏次</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3</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7</w:t>
            </w:r>
          </w:p>
        </w:tc>
      </w:tr>
      <w:tr w:rsidR="001F094F">
        <w:trPr>
          <w:trHeight w:val="450"/>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合计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277.74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275.72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208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17.39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17.39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20805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行政事业单位养老支出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华文中宋" w:eastAsia="华文中宋" w:hAnsi="华文中宋" w:cs="宋体"/>
                <w:sz w:val="24"/>
                <w:szCs w:val="24"/>
              </w:rPr>
            </w:pPr>
            <w:r>
              <w:rPr>
                <w:rFonts w:ascii="华文中宋" w:eastAsia="华文中宋" w:hAnsi="华文中宋" w:hint="eastAsia"/>
              </w:rPr>
              <w:t>15.73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15.73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2080502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事业单位离退休</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0.15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0.15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2080505</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机关事业单位基本养老保险缴费支出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15.58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15.58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20899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其他社会保障和就业支出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1.66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1.66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2089999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其他社会保障和就业支出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1.66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1.66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210</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卫生健康支出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21011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行政事业单位医疗</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8.28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212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城乡社区支出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237.43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rPr>
                <w:rFonts w:ascii="宋体" w:eastAsia="宋体" w:hAnsi="宋体" w:cs="宋体"/>
                <w:sz w:val="24"/>
                <w:szCs w:val="24"/>
              </w:rPr>
            </w:pPr>
            <w:r>
              <w:rPr>
                <w:rFonts w:hint="eastAsia"/>
              </w:rPr>
              <w:t>235.42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right"/>
              <w:rPr>
                <w:rFonts w:ascii="宋体" w:eastAsia="宋体" w:hAnsi="宋体" w:cs="宋体"/>
                <w:sz w:val="24"/>
                <w:szCs w:val="24"/>
              </w:rPr>
            </w:pPr>
            <w:r>
              <w:rPr>
                <w:rFonts w:hint="eastAsia"/>
              </w:rPr>
              <w:t xml:space="preserve">　</w:t>
            </w: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21201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城乡社区管理事务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237.43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235.42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2120101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行政运行</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165.98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165.98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2120102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一般行政管理事务</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15.85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15.85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2120104</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城管执法</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0.96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0.96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2120199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其他城乡社区管理事务支出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54.64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52.63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lastRenderedPageBreak/>
              <w:t>221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住房保障支出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22102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住房改革支出</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2210201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F094F" w:rsidRDefault="00B22335">
            <w:pPr>
              <w:jc w:val="center"/>
            </w:pPr>
            <w:r>
              <w:rPr>
                <w:rFonts w:hint="eastAsia"/>
              </w:rPr>
              <w:t>住房公积金</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B22335">
            <w:pPr>
              <w:jc w:val="center"/>
            </w:pPr>
            <w:r>
              <w:rPr>
                <w:rFonts w:hint="eastAsia"/>
              </w:rPr>
              <w:t>14.64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1F094F" w:rsidRDefault="001F094F">
            <w:pPr>
              <w:jc w:val="right"/>
            </w:pPr>
          </w:p>
        </w:tc>
      </w:tr>
      <w:tr w:rsidR="001F094F">
        <w:trPr>
          <w:trHeight w:val="615"/>
        </w:trPr>
        <w:tc>
          <w:tcPr>
            <w:tcW w:w="13900" w:type="dxa"/>
            <w:gridSpan w:val="10"/>
            <w:tcBorders>
              <w:top w:val="nil"/>
              <w:left w:val="nil"/>
              <w:bottom w:val="nil"/>
              <w:right w:val="nil"/>
            </w:tcBorders>
            <w:shd w:val="clear" w:color="auto" w:fill="auto"/>
            <w:tcMar>
              <w:top w:w="15" w:type="dxa"/>
              <w:left w:w="15" w:type="dxa"/>
              <w:bottom w:w="0" w:type="dxa"/>
              <w:right w:w="15" w:type="dxa"/>
            </w:tcMar>
            <w:vAlign w:val="center"/>
          </w:tcPr>
          <w:p w:rsidR="001F094F" w:rsidRDefault="00B22335">
            <w:pPr>
              <w:rPr>
                <w:rFonts w:ascii="宋体" w:eastAsia="宋体" w:hAnsi="宋体" w:cs="宋体"/>
                <w:sz w:val="24"/>
                <w:szCs w:val="24"/>
              </w:rPr>
            </w:pPr>
            <w:r>
              <w:rPr>
                <w:rFonts w:hint="eastAsia"/>
              </w:rPr>
              <w:t>注：本表反映部门本年度取得的各项收入情况。</w:t>
            </w:r>
          </w:p>
        </w:tc>
      </w:tr>
    </w:tbl>
    <w:p w:rsidR="001F094F" w:rsidRDefault="00B22335">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1F094F" w:rsidRDefault="001F094F">
      <w:pPr>
        <w:widowControl/>
        <w:rPr>
          <w:rFonts w:ascii="Times New Roman" w:eastAsia="方正小标宋_GBK" w:hAnsi="Times New Roman" w:cs="Times New Roman"/>
          <w:color w:val="000000"/>
          <w:kern w:val="0"/>
          <w:sz w:val="36"/>
          <w:szCs w:val="36"/>
        </w:rPr>
      </w:pPr>
    </w:p>
    <w:tbl>
      <w:tblPr>
        <w:tblW w:w="13021" w:type="dxa"/>
        <w:tblInd w:w="93" w:type="dxa"/>
        <w:tblLook w:val="04A0" w:firstRow="1" w:lastRow="0" w:firstColumn="1" w:lastColumn="0" w:noHBand="0" w:noVBand="1"/>
      </w:tblPr>
      <w:tblGrid>
        <w:gridCol w:w="1042"/>
        <w:gridCol w:w="222"/>
        <w:gridCol w:w="1249"/>
        <w:gridCol w:w="1646"/>
        <w:gridCol w:w="1679"/>
        <w:gridCol w:w="1679"/>
        <w:gridCol w:w="1679"/>
        <w:gridCol w:w="1679"/>
        <w:gridCol w:w="2308"/>
      </w:tblGrid>
      <w:tr w:rsidR="001F094F">
        <w:trPr>
          <w:trHeight w:val="435"/>
        </w:trPr>
        <w:tc>
          <w:tcPr>
            <w:tcW w:w="13021" w:type="dxa"/>
            <w:gridSpan w:val="9"/>
            <w:tcBorders>
              <w:top w:val="nil"/>
              <w:left w:val="nil"/>
              <w:bottom w:val="nil"/>
              <w:right w:val="nil"/>
            </w:tcBorders>
            <w:shd w:val="clear" w:color="auto" w:fill="auto"/>
            <w:noWrap/>
            <w:vAlign w:val="center"/>
          </w:tcPr>
          <w:p w:rsidR="001F094F" w:rsidRDefault="00B22335">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1F094F">
        <w:trPr>
          <w:trHeight w:val="285"/>
        </w:trPr>
        <w:tc>
          <w:tcPr>
            <w:tcW w:w="1042"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4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46"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公开03表</w:t>
            </w:r>
          </w:p>
        </w:tc>
      </w:tr>
      <w:tr w:rsidR="001F094F">
        <w:trPr>
          <w:trHeight w:val="285"/>
        </w:trPr>
        <w:tc>
          <w:tcPr>
            <w:tcW w:w="1042" w:type="dxa"/>
            <w:tcBorders>
              <w:top w:val="nil"/>
              <w:left w:val="nil"/>
              <w:bottom w:val="nil"/>
              <w:right w:val="nil"/>
            </w:tcBorders>
            <w:shd w:val="clear" w:color="000000" w:fill="FFFFFF"/>
            <w:noWrap/>
            <w:vAlign w:val="center"/>
          </w:tcPr>
          <w:p w:rsidR="001F094F" w:rsidRDefault="00B2233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60"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4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46"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F094F">
        <w:trPr>
          <w:trHeight w:val="450"/>
        </w:trPr>
        <w:tc>
          <w:tcPr>
            <w:tcW w:w="2351"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6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23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1F094F">
        <w:trPr>
          <w:trHeight w:val="450"/>
        </w:trPr>
        <w:tc>
          <w:tcPr>
            <w:tcW w:w="1102"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1249" w:type="dxa"/>
            <w:vMerge w:val="restart"/>
            <w:tcBorders>
              <w:top w:val="nil"/>
              <w:left w:val="single" w:sz="4" w:space="0" w:color="auto"/>
              <w:bottom w:val="single" w:sz="4" w:space="0" w:color="auto"/>
              <w:right w:val="single" w:sz="4" w:space="0" w:color="auto"/>
            </w:tcBorders>
            <w:shd w:val="clear" w:color="000000" w:fill="FFFFFF"/>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646"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r>
      <w:tr w:rsidR="001F094F">
        <w:trPr>
          <w:trHeight w:val="450"/>
        </w:trPr>
        <w:tc>
          <w:tcPr>
            <w:tcW w:w="1102" w:type="dxa"/>
            <w:gridSpan w:val="2"/>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249" w:type="dxa"/>
            <w:vMerge/>
            <w:tcBorders>
              <w:top w:val="nil"/>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46"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r>
      <w:tr w:rsidR="001F094F">
        <w:trPr>
          <w:trHeight w:val="450"/>
        </w:trPr>
        <w:tc>
          <w:tcPr>
            <w:tcW w:w="2351"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1646"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67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2308"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r>
      <w:tr w:rsidR="001F094F">
        <w:trPr>
          <w:trHeight w:val="450"/>
        </w:trPr>
        <w:tc>
          <w:tcPr>
            <w:tcW w:w="2351"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277.70　</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226.37　</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51.33　</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208</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社会保障和就业支出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17.39</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17.39</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20805</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行政事业单位养老支出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15.73</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15.73</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2080502</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事业单位离退休</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0.15</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0.15</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2080505</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机关事业单位基本养老保险缴费支出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15.58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15.58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20899</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其他社会保障和就业支出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1.66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1.66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2089999</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其他社会保障和就业支出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1.66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1.66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lastRenderedPageBreak/>
              <w:t>210</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卫生健康支出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8.28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8.28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21011</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行政事业单位医疗</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8.28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8.28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2101102</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事业单位医疗</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8.28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8.28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212</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城乡社区支出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237.39</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186.06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51.33</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21201</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城乡社区管理事务</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237.39</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186.06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51.33</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2120101</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行政运行</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165.98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165.98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2120102</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一般行政管理事务</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15.85</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15.85</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2120104</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城管执法</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0.96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0.96</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2120199</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其他城乡社区管理事务支出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54.61</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20.08</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34.52</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221</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住房保障支出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14.64</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14.64</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22102</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住房改革支出</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14.64</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14.64</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450"/>
        </w:trPr>
        <w:tc>
          <w:tcPr>
            <w:tcW w:w="110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2210201</w:t>
            </w:r>
          </w:p>
        </w:tc>
        <w:tc>
          <w:tcPr>
            <w:tcW w:w="1249"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住房公积金</w:t>
            </w:r>
          </w:p>
        </w:tc>
        <w:tc>
          <w:tcPr>
            <w:tcW w:w="164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14.64</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14.64</w:t>
            </w: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center"/>
              <w:rPr>
                <w:rFonts w:ascii="宋体" w:eastAsia="宋体" w:hAnsi="宋体" w:cs="宋体"/>
                <w:kern w:val="0"/>
                <w:sz w:val="24"/>
                <w:szCs w:val="24"/>
              </w:rPr>
            </w:pPr>
          </w:p>
        </w:tc>
        <w:tc>
          <w:tcPr>
            <w:tcW w:w="1679"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2308" w:type="dxa"/>
            <w:tcBorders>
              <w:top w:val="nil"/>
              <w:left w:val="nil"/>
              <w:bottom w:val="single" w:sz="4" w:space="0" w:color="auto"/>
              <w:right w:val="single" w:sz="4" w:space="0" w:color="auto"/>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630"/>
        </w:trPr>
        <w:tc>
          <w:tcPr>
            <w:tcW w:w="13021" w:type="dxa"/>
            <w:gridSpan w:val="9"/>
            <w:tcBorders>
              <w:top w:val="nil"/>
              <w:left w:val="nil"/>
              <w:bottom w:val="nil"/>
              <w:right w:val="nil"/>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r>
    </w:tbl>
    <w:p w:rsidR="001F094F" w:rsidRDefault="001F094F">
      <w:pPr>
        <w:widowControl/>
        <w:ind w:left="93"/>
        <w:jc w:val="center"/>
        <w:rPr>
          <w:rFonts w:ascii="Times New Roman" w:eastAsia="方正小标宋_GBK" w:hAnsi="Times New Roman" w:cs="Times New Roman"/>
          <w:color w:val="000000"/>
          <w:kern w:val="0"/>
          <w:sz w:val="36"/>
          <w:szCs w:val="21"/>
        </w:rPr>
      </w:pPr>
    </w:p>
    <w:p w:rsidR="001F094F" w:rsidRDefault="001F094F">
      <w:pPr>
        <w:widowControl/>
        <w:ind w:left="93"/>
        <w:jc w:val="center"/>
        <w:rPr>
          <w:rFonts w:ascii="Times New Roman" w:eastAsia="方正小标宋_GBK" w:hAnsi="Times New Roman" w:cs="Times New Roman"/>
          <w:color w:val="000000"/>
          <w:kern w:val="0"/>
          <w:sz w:val="36"/>
          <w:szCs w:val="21"/>
        </w:rPr>
      </w:pPr>
    </w:p>
    <w:p w:rsidR="001F094F" w:rsidRDefault="001F094F">
      <w:pPr>
        <w:widowControl/>
        <w:ind w:left="93"/>
        <w:jc w:val="center"/>
        <w:rPr>
          <w:rFonts w:ascii="Times New Roman" w:eastAsia="方正小标宋_GBK" w:hAnsi="Times New Roman" w:cs="Times New Roman"/>
          <w:color w:val="000000"/>
          <w:kern w:val="0"/>
          <w:sz w:val="36"/>
          <w:szCs w:val="21"/>
        </w:rPr>
      </w:pPr>
    </w:p>
    <w:p w:rsidR="001F094F" w:rsidRDefault="001F094F">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6"/>
        <w:gridCol w:w="436"/>
        <w:gridCol w:w="1078"/>
        <w:gridCol w:w="496"/>
        <w:gridCol w:w="2915"/>
        <w:gridCol w:w="632"/>
        <w:gridCol w:w="435"/>
        <w:gridCol w:w="1573"/>
        <w:gridCol w:w="1394"/>
        <w:gridCol w:w="1394"/>
        <w:gridCol w:w="1573"/>
      </w:tblGrid>
      <w:tr w:rsidR="001F094F">
        <w:trPr>
          <w:trHeight w:val="285"/>
        </w:trPr>
        <w:tc>
          <w:tcPr>
            <w:tcW w:w="3596" w:type="dxa"/>
            <w:tcBorders>
              <w:top w:val="nil"/>
              <w:left w:val="nil"/>
              <w:bottom w:val="nil"/>
              <w:right w:val="nil"/>
            </w:tcBorders>
            <w:shd w:val="clear" w:color="auto" w:fill="auto"/>
            <w:noWrap/>
            <w:vAlign w:val="center"/>
          </w:tcPr>
          <w:p w:rsidR="001F094F" w:rsidRDefault="001F094F">
            <w:pPr>
              <w:widowControl/>
              <w:jc w:val="left"/>
              <w:rPr>
                <w:rFonts w:ascii="黑体" w:eastAsia="黑体" w:hAnsi="黑体" w:cs="宋体"/>
                <w:kern w:val="0"/>
                <w:sz w:val="24"/>
                <w:szCs w:val="24"/>
              </w:rPr>
            </w:pPr>
            <w:bookmarkStart w:id="0" w:name="RANGE!A1:I22"/>
            <w:bookmarkStart w:id="1" w:name="RANGE!A1:F16"/>
            <w:bookmarkEnd w:id="0"/>
          </w:p>
        </w:tc>
        <w:tc>
          <w:tcPr>
            <w:tcW w:w="435" w:type="dxa"/>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tcPr>
          <w:p w:rsidR="001F094F" w:rsidRDefault="001F094F">
            <w:pPr>
              <w:widowControl/>
              <w:jc w:val="right"/>
              <w:rPr>
                <w:rFonts w:ascii="宋体" w:eastAsia="宋体" w:hAnsi="宋体" w:cs="宋体"/>
                <w:kern w:val="0"/>
                <w:sz w:val="24"/>
                <w:szCs w:val="24"/>
              </w:rPr>
            </w:pPr>
          </w:p>
        </w:tc>
      </w:tr>
      <w:tr w:rsidR="001F094F">
        <w:trPr>
          <w:trHeight w:val="360"/>
        </w:trPr>
        <w:tc>
          <w:tcPr>
            <w:tcW w:w="15521" w:type="dxa"/>
            <w:gridSpan w:val="11"/>
            <w:tcBorders>
              <w:top w:val="nil"/>
              <w:left w:val="nil"/>
              <w:bottom w:val="nil"/>
              <w:right w:val="nil"/>
            </w:tcBorders>
            <w:shd w:val="clear" w:color="auto" w:fill="auto"/>
            <w:noWrap/>
            <w:vAlign w:val="center"/>
          </w:tcPr>
          <w:p w:rsidR="001F094F" w:rsidRDefault="00B22335">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财政拨款收入支出决算总表</w:t>
            </w:r>
          </w:p>
        </w:tc>
      </w:tr>
      <w:tr w:rsidR="001F094F">
        <w:trPr>
          <w:trHeight w:val="199"/>
        </w:trPr>
        <w:tc>
          <w:tcPr>
            <w:tcW w:w="3596"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公开04表</w:t>
            </w:r>
          </w:p>
        </w:tc>
      </w:tr>
      <w:tr w:rsidR="001F094F">
        <w:trPr>
          <w:trHeight w:val="300"/>
        </w:trPr>
        <w:tc>
          <w:tcPr>
            <w:tcW w:w="3596" w:type="dxa"/>
            <w:tcBorders>
              <w:top w:val="nil"/>
              <w:left w:val="nil"/>
              <w:bottom w:val="nil"/>
              <w:right w:val="nil"/>
            </w:tcBorders>
            <w:shd w:val="clear" w:color="000000" w:fill="FFFFFF"/>
            <w:noWrap/>
            <w:vAlign w:val="center"/>
          </w:tcPr>
          <w:p w:rsidR="001F094F" w:rsidRDefault="00B2233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435"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F094F">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1F094F">
        <w:trPr>
          <w:trHeight w:val="630"/>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一、一般公共预算财政拨款</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275.72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二、政府性基金预算财政拨款</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四、公共安全支出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五、城乡社区支出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235.42</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235.42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六、住房保障支出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14.64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14.64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七、社会保障和就业支出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17.39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17.39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八、卫生健康支出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8.28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8.28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275.72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275.72</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275.72</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年初财政拨款结转和结余</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一般公共预算财政拨款</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政府性基金预算财政拨款</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国有资本经营预算财政拨款</w:t>
            </w:r>
          </w:p>
        </w:tc>
        <w:tc>
          <w:tcPr>
            <w:tcW w:w="435"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F094F">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35"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right"/>
              <w:rPr>
                <w:rFonts w:ascii="宋体" w:eastAsia="宋体" w:hAnsi="宋体" w:cs="宋体"/>
                <w:kern w:val="0"/>
                <w:sz w:val="22"/>
              </w:rPr>
            </w:pPr>
            <w:r>
              <w:rPr>
                <w:rFonts w:ascii="宋体" w:eastAsia="宋体" w:hAnsi="宋体" w:cs="宋体" w:hint="eastAsia"/>
                <w:kern w:val="0"/>
                <w:sz w:val="22"/>
              </w:rPr>
              <w:t xml:space="preserve">275.72　</w:t>
            </w:r>
          </w:p>
        </w:tc>
        <w:tc>
          <w:tcPr>
            <w:tcW w:w="3411" w:type="dxa"/>
            <w:gridSpan w:val="2"/>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275.72　</w:t>
            </w:r>
          </w:p>
        </w:tc>
        <w:tc>
          <w:tcPr>
            <w:tcW w:w="1394" w:type="dxa"/>
            <w:tcBorders>
              <w:top w:val="nil"/>
              <w:left w:val="nil"/>
              <w:bottom w:val="single" w:sz="4" w:space="0" w:color="auto"/>
              <w:right w:val="single" w:sz="4" w:space="0" w:color="auto"/>
            </w:tcBorders>
            <w:shd w:val="clear" w:color="000000" w:fill="FFFFFF"/>
            <w:noWrap/>
            <w:vAlign w:val="center"/>
          </w:tcPr>
          <w:p w:rsidR="001F094F" w:rsidRDefault="00B22335">
            <w:pPr>
              <w:widowControl/>
              <w:jc w:val="center"/>
              <w:rPr>
                <w:rFonts w:ascii="宋体" w:eastAsia="宋体" w:hAnsi="宋体" w:cs="宋体"/>
                <w:kern w:val="0"/>
                <w:sz w:val="22"/>
              </w:rPr>
            </w:pPr>
            <w:r>
              <w:rPr>
                <w:rFonts w:ascii="宋体" w:eastAsia="宋体" w:hAnsi="宋体" w:cs="宋体" w:hint="eastAsia"/>
                <w:kern w:val="0"/>
                <w:sz w:val="22"/>
              </w:rPr>
              <w:t xml:space="preserve">275.72　</w:t>
            </w:r>
          </w:p>
        </w:tc>
        <w:tc>
          <w:tcPr>
            <w:tcW w:w="1394"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1F094F">
        <w:trPr>
          <w:trHeight w:val="585"/>
        </w:trPr>
        <w:tc>
          <w:tcPr>
            <w:tcW w:w="15521" w:type="dxa"/>
            <w:gridSpan w:val="11"/>
            <w:tcBorders>
              <w:top w:val="nil"/>
              <w:left w:val="nil"/>
              <w:bottom w:val="nil"/>
              <w:right w:val="nil"/>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lastRenderedPageBreak/>
              <w:t>注：本表反映部门本年度一般公共预算财政拨款、政府性基金预算财政拨款和国有资本经营预算财政拨款的总收支和年末结转结余情况。</w:t>
            </w:r>
          </w:p>
        </w:tc>
      </w:tr>
    </w:tbl>
    <w:p w:rsidR="001F094F" w:rsidRDefault="001F094F">
      <w:pPr>
        <w:widowControl/>
        <w:jc w:val="center"/>
        <w:rPr>
          <w:rFonts w:ascii="Times New Roman" w:eastAsia="方正小标宋_GBK" w:hAnsi="Times New Roman" w:cs="Times New Roman"/>
          <w:kern w:val="0"/>
          <w:sz w:val="36"/>
          <w:szCs w:val="36"/>
        </w:rPr>
      </w:pPr>
    </w:p>
    <w:p w:rsidR="001F094F" w:rsidRDefault="001F094F">
      <w:pPr>
        <w:widowControl/>
        <w:jc w:val="center"/>
        <w:rPr>
          <w:rFonts w:ascii="Times New Roman" w:eastAsia="方正小标宋_GBK" w:hAnsi="Times New Roman" w:cs="Times New Roman"/>
          <w:kern w:val="0"/>
          <w:sz w:val="36"/>
          <w:szCs w:val="36"/>
        </w:rPr>
      </w:pPr>
    </w:p>
    <w:p w:rsidR="001F094F" w:rsidRDefault="00B22335">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bookmarkEnd w:id="1"/>
    </w:p>
    <w:p w:rsidR="001F094F" w:rsidRDefault="00B22335">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1F094F" w:rsidRDefault="00B22335">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1F094F">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1F094F">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1F094F">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1F094F" w:rsidRDefault="001F094F">
            <w:pPr>
              <w:widowControl/>
              <w:jc w:val="left"/>
              <w:rPr>
                <w:rFonts w:ascii="Times New Roman" w:eastAsia="仿宋_GB2312" w:hAnsi="Times New Roman" w:cs="Times New Roman"/>
                <w:kern w:val="0"/>
                <w:szCs w:val="21"/>
              </w:rPr>
            </w:pPr>
          </w:p>
        </w:tc>
      </w:tr>
      <w:tr w:rsidR="001F094F">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1F094F" w:rsidRDefault="001F094F">
            <w:pPr>
              <w:widowControl/>
              <w:jc w:val="left"/>
              <w:rPr>
                <w:rFonts w:ascii="Times New Roman" w:eastAsia="仿宋_GB2312" w:hAnsi="Times New Roman" w:cs="Times New Roman"/>
                <w:kern w:val="0"/>
                <w:szCs w:val="21"/>
              </w:rPr>
            </w:pPr>
          </w:p>
        </w:tc>
      </w:tr>
      <w:tr w:rsidR="001F094F">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1F094F">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275.72</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224.39</w:t>
            </w:r>
            <w:r>
              <w:rPr>
                <w:rFonts w:ascii="Times New Roman" w:eastAsia="仿宋_GB2312" w:hAnsi="Times New Roman" w:cs="Times New Roman"/>
                <w:kern w:val="0"/>
                <w:szCs w:val="21"/>
              </w:rPr>
              <w:t xml:space="preserve">　</w:t>
            </w:r>
          </w:p>
        </w:tc>
        <w:tc>
          <w:tcPr>
            <w:tcW w:w="3000" w:type="dxa"/>
            <w:tcBorders>
              <w:top w:val="nil"/>
              <w:left w:val="nil"/>
              <w:bottom w:val="single" w:sz="4"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51.33</w:t>
            </w:r>
            <w:r>
              <w:rPr>
                <w:rFonts w:ascii="Times New Roman" w:eastAsia="仿宋_GB2312" w:hAnsi="Times New Roman" w:cs="Times New Roman"/>
                <w:kern w:val="0"/>
                <w:szCs w:val="21"/>
              </w:rPr>
              <w:t xml:space="preserve">　</w:t>
            </w:r>
          </w:p>
        </w:tc>
      </w:tr>
      <w:tr w:rsidR="001F094F">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w:t>
            </w:r>
          </w:p>
        </w:tc>
        <w:tc>
          <w:tcPr>
            <w:tcW w:w="35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社会保障和就业支出</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17.39</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17.39</w:t>
            </w:r>
          </w:p>
        </w:tc>
        <w:tc>
          <w:tcPr>
            <w:tcW w:w="3000" w:type="dxa"/>
            <w:tcBorders>
              <w:top w:val="nil"/>
              <w:left w:val="nil"/>
              <w:bottom w:val="single" w:sz="4"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w:t>
            </w:r>
          </w:p>
        </w:tc>
        <w:tc>
          <w:tcPr>
            <w:tcW w:w="35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行政事业单位养老支出</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15.73</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15.73</w:t>
            </w:r>
          </w:p>
        </w:tc>
        <w:tc>
          <w:tcPr>
            <w:tcW w:w="3000" w:type="dxa"/>
            <w:tcBorders>
              <w:top w:val="nil"/>
              <w:left w:val="nil"/>
              <w:bottom w:val="single" w:sz="4"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2080502</w:t>
            </w:r>
          </w:p>
        </w:tc>
        <w:tc>
          <w:tcPr>
            <w:tcW w:w="35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事业单位离退休</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0.15</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0.15</w:t>
            </w:r>
          </w:p>
        </w:tc>
        <w:tc>
          <w:tcPr>
            <w:tcW w:w="3000" w:type="dxa"/>
            <w:tcBorders>
              <w:top w:val="nil"/>
              <w:left w:val="nil"/>
              <w:bottom w:val="single" w:sz="4"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2080505</w:t>
            </w:r>
          </w:p>
        </w:tc>
        <w:tc>
          <w:tcPr>
            <w:tcW w:w="35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15.58</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15.58</w:t>
            </w:r>
          </w:p>
        </w:tc>
        <w:tc>
          <w:tcPr>
            <w:tcW w:w="3000" w:type="dxa"/>
            <w:tcBorders>
              <w:top w:val="nil"/>
              <w:left w:val="nil"/>
              <w:bottom w:val="single" w:sz="4"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w:t>
            </w:r>
          </w:p>
        </w:tc>
        <w:tc>
          <w:tcPr>
            <w:tcW w:w="35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其他社会保障和就业支出</w:t>
            </w:r>
          </w:p>
        </w:tc>
        <w:tc>
          <w:tcPr>
            <w:tcW w:w="300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1.66</w:t>
            </w:r>
          </w:p>
        </w:tc>
        <w:tc>
          <w:tcPr>
            <w:tcW w:w="3492"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1.66</w:t>
            </w:r>
          </w:p>
        </w:tc>
        <w:tc>
          <w:tcPr>
            <w:tcW w:w="3000" w:type="dxa"/>
            <w:tcBorders>
              <w:top w:val="nil"/>
              <w:left w:val="nil"/>
              <w:bottom w:val="single" w:sz="4"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2089999</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其他社会保障和就业支出</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1.66</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1.66</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卫生健康支出</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8.28</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8.28</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行政事业单位医疗</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8.28</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8.28</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2101102</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事业单位医疗</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8.28</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8.28</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212</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城乡社区支出</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235.42</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184.08</w:t>
            </w:r>
          </w:p>
        </w:tc>
        <w:tc>
          <w:tcPr>
            <w:tcW w:w="3000" w:type="dxa"/>
            <w:tcBorders>
              <w:top w:val="nil"/>
              <w:left w:val="nil"/>
              <w:bottom w:val="single" w:sz="8"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51.33</w:t>
            </w: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21201</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城乡社区管理事务</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235.42</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184.08</w:t>
            </w:r>
          </w:p>
        </w:tc>
        <w:tc>
          <w:tcPr>
            <w:tcW w:w="3000" w:type="dxa"/>
            <w:tcBorders>
              <w:top w:val="nil"/>
              <w:left w:val="nil"/>
              <w:bottom w:val="single" w:sz="8"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51.33</w:t>
            </w: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2120101</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行政运行</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165.98</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165.98</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2120102</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一般行政管理事务</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15.85</w:t>
            </w:r>
          </w:p>
        </w:tc>
        <w:tc>
          <w:tcPr>
            <w:tcW w:w="3492" w:type="dxa"/>
            <w:tcBorders>
              <w:top w:val="nil"/>
              <w:left w:val="nil"/>
              <w:bottom w:val="single" w:sz="8" w:space="0" w:color="auto"/>
              <w:right w:val="single" w:sz="4"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15.85</w:t>
            </w: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2120104</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城管执法</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0.96</w:t>
            </w:r>
          </w:p>
        </w:tc>
        <w:tc>
          <w:tcPr>
            <w:tcW w:w="3492" w:type="dxa"/>
            <w:tcBorders>
              <w:top w:val="nil"/>
              <w:left w:val="nil"/>
              <w:bottom w:val="single" w:sz="8" w:space="0" w:color="auto"/>
              <w:right w:val="single" w:sz="4"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0.96</w:t>
            </w: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2120199</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其他城乡社区管理事务支出</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52.63</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18.10</w:t>
            </w:r>
          </w:p>
        </w:tc>
        <w:tc>
          <w:tcPr>
            <w:tcW w:w="3000" w:type="dxa"/>
            <w:tcBorders>
              <w:top w:val="nil"/>
              <w:left w:val="nil"/>
              <w:bottom w:val="single" w:sz="8"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34.52</w:t>
            </w: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住房保障支出</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14.64</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14.64</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住房改革支出</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14.64</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14.64</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2210201</w:t>
            </w:r>
          </w:p>
        </w:tc>
        <w:tc>
          <w:tcPr>
            <w:tcW w:w="3527"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住房公积金</w:t>
            </w:r>
          </w:p>
        </w:tc>
        <w:tc>
          <w:tcPr>
            <w:tcW w:w="3000"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14.64</w:t>
            </w:r>
          </w:p>
        </w:tc>
        <w:tc>
          <w:tcPr>
            <w:tcW w:w="3492" w:type="dxa"/>
            <w:tcBorders>
              <w:top w:val="nil"/>
              <w:left w:val="nil"/>
              <w:bottom w:val="single" w:sz="8"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14.64</w:t>
            </w:r>
          </w:p>
        </w:tc>
        <w:tc>
          <w:tcPr>
            <w:tcW w:w="3000" w:type="dxa"/>
            <w:tcBorders>
              <w:top w:val="nil"/>
              <w:left w:val="nil"/>
              <w:bottom w:val="single" w:sz="8" w:space="0" w:color="auto"/>
              <w:right w:val="single" w:sz="8" w:space="0" w:color="auto"/>
            </w:tcBorders>
            <w:shd w:val="clear" w:color="auto" w:fill="auto"/>
            <w:vAlign w:val="center"/>
          </w:tcPr>
          <w:p w:rsidR="001F094F" w:rsidRDefault="001F094F">
            <w:pPr>
              <w:widowControl/>
              <w:jc w:val="center"/>
              <w:rPr>
                <w:rFonts w:ascii="Times New Roman" w:eastAsia="仿宋_GB2312" w:hAnsi="Times New Roman" w:cs="Times New Roman"/>
                <w:kern w:val="0"/>
                <w:szCs w:val="21"/>
              </w:rPr>
            </w:pPr>
          </w:p>
        </w:tc>
      </w:tr>
      <w:tr w:rsidR="001F094F">
        <w:trPr>
          <w:trHeight w:val="645"/>
          <w:jc w:val="center"/>
        </w:trPr>
        <w:tc>
          <w:tcPr>
            <w:tcW w:w="14219" w:type="dxa"/>
            <w:gridSpan w:val="5"/>
            <w:tcBorders>
              <w:top w:val="nil"/>
              <w:left w:val="nil"/>
              <w:bottom w:val="nil"/>
              <w:right w:val="nil"/>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1F094F" w:rsidRDefault="001F094F">
      <w:pPr>
        <w:widowControl/>
        <w:jc w:val="left"/>
        <w:rPr>
          <w:rFonts w:ascii="Times New Roman" w:eastAsia="仿宋_GB2312" w:hAnsi="Times New Roman" w:cs="Times New Roman"/>
          <w:bCs/>
          <w:kern w:val="0"/>
          <w:szCs w:val="21"/>
        </w:rPr>
      </w:pPr>
    </w:p>
    <w:p w:rsidR="001F094F" w:rsidRDefault="00B22335">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0" w:type="auto"/>
        <w:tblLook w:val="04A0" w:firstRow="1" w:lastRow="0" w:firstColumn="1" w:lastColumn="0" w:noHBand="0" w:noVBand="1"/>
      </w:tblPr>
      <w:tblGrid>
        <w:gridCol w:w="1325"/>
        <w:gridCol w:w="3328"/>
        <w:gridCol w:w="1046"/>
        <w:gridCol w:w="735"/>
        <w:gridCol w:w="2291"/>
        <w:gridCol w:w="942"/>
        <w:gridCol w:w="735"/>
        <w:gridCol w:w="4158"/>
        <w:gridCol w:w="838"/>
      </w:tblGrid>
      <w:tr w:rsidR="001F094F">
        <w:trPr>
          <w:trHeight w:val="113"/>
        </w:trPr>
        <w:tc>
          <w:tcPr>
            <w:tcW w:w="0" w:type="auto"/>
            <w:gridSpan w:val="9"/>
            <w:tcBorders>
              <w:top w:val="nil"/>
              <w:left w:val="nil"/>
              <w:bottom w:val="nil"/>
              <w:right w:val="nil"/>
            </w:tcBorders>
            <w:shd w:val="clear" w:color="auto" w:fill="auto"/>
            <w:noWrap/>
            <w:vAlign w:val="center"/>
          </w:tcPr>
          <w:p w:rsidR="001F094F" w:rsidRDefault="00B22335">
            <w:pPr>
              <w:widowControl/>
              <w:jc w:val="center"/>
              <w:rPr>
                <w:rFonts w:ascii="华文中宋" w:eastAsia="华文中宋" w:hAnsi="华文中宋" w:cs="宋体"/>
                <w:color w:val="000000"/>
                <w:kern w:val="0"/>
                <w:szCs w:val="32"/>
              </w:rPr>
            </w:pPr>
            <w:bookmarkStart w:id="2" w:name="RANGE!A1:I34"/>
            <w:r>
              <w:rPr>
                <w:rFonts w:ascii="华文中宋" w:eastAsia="华文中宋" w:hAnsi="华文中宋" w:cs="宋体" w:hint="eastAsia"/>
                <w:color w:val="000000"/>
                <w:kern w:val="0"/>
                <w:szCs w:val="32"/>
              </w:rPr>
              <w:lastRenderedPageBreak/>
              <w:t>一般公共预算财政拨款基本支出决算明细表</w:t>
            </w:r>
            <w:bookmarkEnd w:id="2"/>
          </w:p>
          <w:p w:rsidR="001F094F" w:rsidRDefault="00B22335">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1F094F" w:rsidRDefault="00B22335">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1F094F">
        <w:trPr>
          <w:trHeight w:val="113"/>
        </w:trPr>
        <w:tc>
          <w:tcPr>
            <w:tcW w:w="1338" w:type="dxa"/>
            <w:tcBorders>
              <w:top w:val="single" w:sz="4" w:space="0" w:color="auto"/>
              <w:left w:val="single" w:sz="4"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366" w:type="dxa"/>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工资福利支出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199.18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商品和服务支出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22.86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债务利息及费用支出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30101</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基本工资</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37.18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办公费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6.65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国内债务付息</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30102</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津贴补贴</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25.35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印刷费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1.57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国外债务付息</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30103</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奖金</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30.55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30203</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咨询费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资本性支出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30106</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伙食补助费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8.75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30204</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手续费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房屋建筑物购建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30107</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绩效工资</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13.76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水费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办公设备购置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2.36</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30108</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机关事业单位基本养老保险缴费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25.73</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电费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31003</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专用设备购置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30109</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职业年金缴费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11.67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邮电费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基础设施建设</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30110</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职工基本医疗保险缴费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12.58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取暖费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大型修缮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30111</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公务员医疗补助缴费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2.27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物业管理费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信息网络及软件购置更新</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30112</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其他社会保障缴费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2.14</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差旅费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物资储备</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30113</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住房公积金</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28.64</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因公出国（境）费用</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土地补偿</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30114</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医疗费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30213</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维修（护）费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2.06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31010</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安置补助</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30199</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其他工资福利支出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0.56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30214</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租赁费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地上附着物和青苗补偿</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对个人和家庭的补助</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会议费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拆迁补偿</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30301</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离休费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培训费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31013</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公务用车购置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30302</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退休费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公务接待费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其他交通工具购置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30303</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退职（役）费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专用材料费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0.40</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文物和陈列品购置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30304</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抚恤金</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30224</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被装购置费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31022</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无形资产购置</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30305</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生活补助</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30225</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专用燃料费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31099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其他资本性支出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30306</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救济费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劳务费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其他支出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30307</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医疗费补助</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委托业务费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39906</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赠与</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30308</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助学金</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工会经费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39907</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国家赔偿费用支出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30309</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奖励金</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福利费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39908</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对民间非营利组织和群众性自治组织补贴</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30310</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个人农业生产补贴</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30231</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公务用车运行维护费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39999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30311</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代缴社会保险费</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其他交通费用</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1.96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30399</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其他对个人和家庭的补助</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30240</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税金及附加费用</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1338" w:type="dxa"/>
            <w:tcBorders>
              <w:top w:val="nil"/>
              <w:left w:val="single" w:sz="4" w:space="0" w:color="auto"/>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lastRenderedPageBreak/>
              <w:t xml:space="preserve">　</w:t>
            </w:r>
          </w:p>
        </w:tc>
        <w:tc>
          <w:tcPr>
            <w:tcW w:w="3366" w:type="dxa"/>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30299</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其他商品和服务支出</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0.24</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1F094F">
        <w:trPr>
          <w:trHeight w:hRule="exact" w:val="284"/>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人员经费合计</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199.18</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tcPr>
          <w:p w:rsidR="001F094F" w:rsidRDefault="00B22335">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公用经费合计</w:t>
            </w:r>
          </w:p>
        </w:tc>
        <w:tc>
          <w:tcPr>
            <w:tcW w:w="0" w:type="auto"/>
            <w:tcBorders>
              <w:top w:val="nil"/>
              <w:left w:val="nil"/>
              <w:bottom w:val="single" w:sz="4" w:space="0" w:color="auto"/>
              <w:right w:val="single" w:sz="4" w:space="0" w:color="auto"/>
            </w:tcBorders>
            <w:shd w:val="clear" w:color="auto" w:fill="auto"/>
            <w:noWrap/>
            <w:vAlign w:val="center"/>
          </w:tcPr>
          <w:p w:rsidR="001F094F" w:rsidRDefault="00B22335">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25.22</w:t>
            </w:r>
          </w:p>
        </w:tc>
      </w:tr>
      <w:tr w:rsidR="001F094F">
        <w:trPr>
          <w:trHeight w:hRule="exact" w:val="284"/>
        </w:trPr>
        <w:tc>
          <w:tcPr>
            <w:tcW w:w="0" w:type="auto"/>
            <w:gridSpan w:val="9"/>
            <w:tcBorders>
              <w:top w:val="nil"/>
              <w:left w:val="nil"/>
              <w:bottom w:val="nil"/>
              <w:right w:val="nil"/>
            </w:tcBorders>
            <w:shd w:val="clear" w:color="auto" w:fill="auto"/>
            <w:noWrap/>
            <w:vAlign w:val="center"/>
          </w:tcPr>
          <w:p w:rsidR="001F094F" w:rsidRDefault="00B22335">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bl>
    <w:p w:rsidR="001F094F" w:rsidRDefault="00B22335">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1F094F" w:rsidRDefault="00B22335">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1F094F" w:rsidRDefault="00B22335">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F094F">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1F094F">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1F094F">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1F094F" w:rsidRDefault="001F094F">
            <w:pPr>
              <w:widowControl/>
              <w:jc w:val="left"/>
              <w:rPr>
                <w:rFonts w:ascii="Times New Roman" w:eastAsia="仿宋_GB2312" w:hAnsi="Times New Roman" w:cs="Times New Roman"/>
                <w:kern w:val="0"/>
                <w:szCs w:val="21"/>
              </w:rPr>
            </w:pPr>
          </w:p>
        </w:tc>
      </w:tr>
      <w:tr w:rsidR="001F094F">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1F094F">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9.60</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9.60</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0.15</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0.15</w:t>
            </w:r>
          </w:p>
        </w:tc>
        <w:tc>
          <w:tcPr>
            <w:tcW w:w="1220" w:type="dxa"/>
            <w:tcBorders>
              <w:top w:val="nil"/>
              <w:left w:val="single" w:sz="4" w:space="0" w:color="auto"/>
              <w:bottom w:val="single" w:sz="8" w:space="0" w:color="auto"/>
              <w:right w:val="single" w:sz="8" w:space="0" w:color="auto"/>
            </w:tcBorders>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1F094F" w:rsidRDefault="00B22335">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1F094F" w:rsidRDefault="001F094F">
      <w:pPr>
        <w:autoSpaceDE w:val="0"/>
        <w:autoSpaceDN w:val="0"/>
        <w:adjustRightInd w:val="0"/>
        <w:ind w:leftChars="150" w:left="315"/>
        <w:jc w:val="left"/>
        <w:rPr>
          <w:rFonts w:ascii="宋体" w:eastAsia="宋体" w:cs="宋体"/>
          <w:kern w:val="0"/>
          <w:sz w:val="24"/>
          <w:szCs w:val="24"/>
        </w:rPr>
      </w:pPr>
    </w:p>
    <w:p w:rsidR="001F094F" w:rsidRDefault="00B22335">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1F094F" w:rsidRDefault="00B22335">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1F094F" w:rsidRDefault="00B22335">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1F094F">
        <w:trPr>
          <w:trHeight w:val="454"/>
          <w:jc w:val="center"/>
        </w:trPr>
        <w:tc>
          <w:tcPr>
            <w:tcW w:w="2440" w:type="dxa"/>
            <w:gridSpan w:val="2"/>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1F094F">
        <w:trPr>
          <w:trHeight w:val="454"/>
          <w:jc w:val="center"/>
        </w:trPr>
        <w:tc>
          <w:tcPr>
            <w:tcW w:w="112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1F094F" w:rsidRDefault="001F094F">
            <w:pPr>
              <w:widowControl/>
              <w:jc w:val="left"/>
              <w:rPr>
                <w:rFonts w:ascii="Times New Roman" w:eastAsia="仿宋_GB2312" w:hAnsi="Times New Roman" w:cs="Times New Roman"/>
                <w:b/>
                <w:kern w:val="0"/>
                <w:szCs w:val="21"/>
              </w:rPr>
            </w:pPr>
          </w:p>
        </w:tc>
        <w:tc>
          <w:tcPr>
            <w:tcW w:w="2000" w:type="dxa"/>
            <w:vMerge/>
            <w:vAlign w:val="center"/>
          </w:tcPr>
          <w:p w:rsidR="001F094F" w:rsidRDefault="001F094F">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1F094F" w:rsidRDefault="00B223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1F094F" w:rsidRDefault="001F094F">
            <w:pPr>
              <w:widowControl/>
              <w:jc w:val="left"/>
              <w:rPr>
                <w:rFonts w:ascii="Times New Roman" w:eastAsia="仿宋_GB2312" w:hAnsi="Times New Roman" w:cs="Times New Roman"/>
                <w:b/>
                <w:kern w:val="0"/>
                <w:szCs w:val="21"/>
              </w:rPr>
            </w:pPr>
          </w:p>
        </w:tc>
      </w:tr>
      <w:tr w:rsidR="001F094F">
        <w:trPr>
          <w:trHeight w:val="454"/>
          <w:jc w:val="center"/>
        </w:trPr>
        <w:tc>
          <w:tcPr>
            <w:tcW w:w="1120" w:type="dxa"/>
            <w:vMerge/>
            <w:vAlign w:val="center"/>
          </w:tcPr>
          <w:p w:rsidR="001F094F" w:rsidRDefault="001F094F">
            <w:pPr>
              <w:widowControl/>
              <w:jc w:val="left"/>
              <w:rPr>
                <w:rFonts w:ascii="Times New Roman" w:eastAsia="仿宋_GB2312" w:hAnsi="Times New Roman" w:cs="Times New Roman"/>
                <w:kern w:val="0"/>
                <w:szCs w:val="21"/>
              </w:rPr>
            </w:pPr>
          </w:p>
        </w:tc>
        <w:tc>
          <w:tcPr>
            <w:tcW w:w="132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r>
      <w:tr w:rsidR="001F094F">
        <w:trPr>
          <w:trHeight w:val="454"/>
          <w:jc w:val="center"/>
        </w:trPr>
        <w:tc>
          <w:tcPr>
            <w:tcW w:w="1120" w:type="dxa"/>
            <w:vMerge/>
            <w:vAlign w:val="center"/>
          </w:tcPr>
          <w:p w:rsidR="001F094F" w:rsidRDefault="001F094F">
            <w:pPr>
              <w:widowControl/>
              <w:jc w:val="left"/>
              <w:rPr>
                <w:rFonts w:ascii="Times New Roman" w:eastAsia="仿宋_GB2312" w:hAnsi="Times New Roman" w:cs="Times New Roman"/>
                <w:kern w:val="0"/>
                <w:szCs w:val="21"/>
              </w:rPr>
            </w:pPr>
          </w:p>
        </w:tc>
        <w:tc>
          <w:tcPr>
            <w:tcW w:w="132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c>
          <w:tcPr>
            <w:tcW w:w="2000" w:type="dxa"/>
            <w:vMerge/>
            <w:vAlign w:val="center"/>
          </w:tcPr>
          <w:p w:rsidR="001F094F" w:rsidRDefault="001F094F">
            <w:pPr>
              <w:widowControl/>
              <w:jc w:val="left"/>
              <w:rPr>
                <w:rFonts w:ascii="Times New Roman" w:eastAsia="仿宋_GB2312" w:hAnsi="Times New Roman" w:cs="Times New Roman"/>
                <w:kern w:val="0"/>
                <w:szCs w:val="21"/>
              </w:rPr>
            </w:pPr>
          </w:p>
        </w:tc>
      </w:tr>
      <w:tr w:rsidR="001F094F">
        <w:trPr>
          <w:trHeight w:val="454"/>
          <w:jc w:val="center"/>
        </w:trPr>
        <w:tc>
          <w:tcPr>
            <w:tcW w:w="2440" w:type="dxa"/>
            <w:gridSpan w:val="2"/>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1F094F">
        <w:trPr>
          <w:trHeight w:val="454"/>
          <w:jc w:val="center"/>
        </w:trPr>
        <w:tc>
          <w:tcPr>
            <w:tcW w:w="2440" w:type="dxa"/>
            <w:gridSpan w:val="2"/>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1F094F" w:rsidRDefault="00F902F5">
            <w:pPr>
              <w:widowControl/>
              <w:jc w:val="center"/>
              <w:rPr>
                <w:rFonts w:ascii="Times New Roman" w:eastAsia="仿宋_GB2312" w:hAnsi="Times New Roman" w:cs="Times New Roman"/>
                <w:kern w:val="0"/>
                <w:szCs w:val="21"/>
              </w:rPr>
            </w:pPr>
            <w:r>
              <w:rPr>
                <w:rFonts w:ascii="宋体" w:eastAsia="宋体" w:hAnsi="宋体" w:cs="宋体" w:hint="eastAsia"/>
                <w:kern w:val="0"/>
                <w:sz w:val="20"/>
                <w:szCs w:val="20"/>
              </w:rPr>
              <w:t>本表无数据</w:t>
            </w:r>
            <w:r w:rsidR="00B22335">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F094F">
        <w:trPr>
          <w:trHeight w:val="454"/>
          <w:jc w:val="center"/>
        </w:trPr>
        <w:tc>
          <w:tcPr>
            <w:tcW w:w="112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F094F">
        <w:trPr>
          <w:trHeight w:val="454"/>
          <w:jc w:val="center"/>
        </w:trPr>
        <w:tc>
          <w:tcPr>
            <w:tcW w:w="112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F094F">
        <w:trPr>
          <w:trHeight w:val="454"/>
          <w:jc w:val="center"/>
        </w:trPr>
        <w:tc>
          <w:tcPr>
            <w:tcW w:w="112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F094F">
        <w:trPr>
          <w:trHeight w:val="454"/>
          <w:jc w:val="center"/>
        </w:trPr>
        <w:tc>
          <w:tcPr>
            <w:tcW w:w="112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F094F">
        <w:trPr>
          <w:trHeight w:val="454"/>
          <w:jc w:val="center"/>
        </w:trPr>
        <w:tc>
          <w:tcPr>
            <w:tcW w:w="112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F094F">
        <w:trPr>
          <w:trHeight w:val="454"/>
          <w:jc w:val="center"/>
        </w:trPr>
        <w:tc>
          <w:tcPr>
            <w:tcW w:w="1120" w:type="dxa"/>
            <w:shd w:val="clear" w:color="auto" w:fill="auto"/>
            <w:vAlign w:val="center"/>
          </w:tcPr>
          <w:p w:rsidR="001F094F" w:rsidRDefault="00B223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1F094F" w:rsidRDefault="00B223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1F094F" w:rsidRDefault="00B22335">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F094F">
        <w:trPr>
          <w:trHeight w:val="720"/>
        </w:trPr>
        <w:tc>
          <w:tcPr>
            <w:tcW w:w="14190" w:type="dxa"/>
            <w:gridSpan w:val="9"/>
            <w:tcBorders>
              <w:top w:val="nil"/>
              <w:left w:val="nil"/>
              <w:bottom w:val="nil"/>
              <w:right w:val="nil"/>
            </w:tcBorders>
            <w:shd w:val="clear" w:color="000000" w:fill="FFFFFF"/>
            <w:vAlign w:val="center"/>
          </w:tcPr>
          <w:p w:rsidR="001F094F" w:rsidRDefault="00B22335">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1F094F">
        <w:trPr>
          <w:trHeight w:val="285"/>
        </w:trPr>
        <w:tc>
          <w:tcPr>
            <w:tcW w:w="1060" w:type="dxa"/>
            <w:tcBorders>
              <w:top w:val="nil"/>
              <w:left w:val="nil"/>
              <w:bottom w:val="nil"/>
              <w:right w:val="nil"/>
            </w:tcBorders>
            <w:shd w:val="clear" w:color="000000" w:fill="FFFFFF"/>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1F094F" w:rsidRDefault="00B223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1F094F" w:rsidRDefault="00B223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公开09表</w:t>
            </w:r>
          </w:p>
        </w:tc>
      </w:tr>
      <w:tr w:rsidR="001F094F">
        <w:trPr>
          <w:trHeight w:val="285"/>
        </w:trPr>
        <w:tc>
          <w:tcPr>
            <w:tcW w:w="1060" w:type="dxa"/>
            <w:tcBorders>
              <w:top w:val="nil"/>
              <w:left w:val="nil"/>
              <w:bottom w:val="nil"/>
              <w:right w:val="nil"/>
            </w:tcBorders>
            <w:shd w:val="clear" w:color="000000" w:fill="FFFFFF"/>
            <w:noWrap/>
            <w:vAlign w:val="center"/>
          </w:tcPr>
          <w:p w:rsidR="001F094F" w:rsidRDefault="00B2233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1F094F" w:rsidRDefault="00B223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1F094F" w:rsidRDefault="00B223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1F094F" w:rsidRDefault="00B223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F094F" w:rsidRDefault="00B223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F094F">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项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1F094F">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1F094F">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宋体" w:eastAsia="宋体" w:hAnsi="宋体" w:cs="宋体"/>
                <w:kern w:val="0"/>
                <w:sz w:val="24"/>
                <w:szCs w:val="24"/>
              </w:rPr>
            </w:pPr>
          </w:p>
        </w:tc>
      </w:tr>
      <w:tr w:rsidR="001F094F">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1F094F" w:rsidRDefault="001F094F">
            <w:pPr>
              <w:widowControl/>
              <w:jc w:val="left"/>
              <w:rPr>
                <w:rFonts w:ascii="宋体" w:eastAsia="宋体" w:hAnsi="宋体" w:cs="宋体"/>
                <w:kern w:val="0"/>
                <w:sz w:val="24"/>
                <w:szCs w:val="24"/>
              </w:rPr>
            </w:pPr>
          </w:p>
        </w:tc>
      </w:tr>
      <w:tr w:rsidR="001F094F">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1F094F">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r w:rsidR="00B430E8">
              <w:rPr>
                <w:rFonts w:ascii="宋体" w:eastAsia="宋体" w:hAnsi="宋体" w:cs="宋体" w:hint="eastAsia"/>
                <w:kern w:val="0"/>
                <w:sz w:val="20"/>
                <w:szCs w:val="20"/>
              </w:rPr>
              <w:t>本表无数据</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1F094F" w:rsidRDefault="00B223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F094F">
        <w:trPr>
          <w:trHeight w:val="720"/>
        </w:trPr>
        <w:tc>
          <w:tcPr>
            <w:tcW w:w="14190" w:type="dxa"/>
            <w:gridSpan w:val="9"/>
            <w:tcBorders>
              <w:top w:val="single" w:sz="8" w:space="0" w:color="auto"/>
              <w:left w:val="nil"/>
              <w:bottom w:val="nil"/>
              <w:right w:val="nil"/>
            </w:tcBorders>
            <w:shd w:val="clear" w:color="auto" w:fill="auto"/>
            <w:vAlign w:val="center"/>
          </w:tcPr>
          <w:p w:rsidR="001F094F" w:rsidRDefault="00B22335">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1F094F" w:rsidRDefault="001F094F">
      <w:pPr>
        <w:pStyle w:val="Default"/>
        <w:rPr>
          <w:sz w:val="72"/>
          <w:szCs w:val="72"/>
        </w:rPr>
        <w:sectPr w:rsidR="001F094F">
          <w:pgSz w:w="16838" w:h="11906" w:orient="landscape"/>
          <w:pgMar w:top="720" w:right="720" w:bottom="720" w:left="720" w:header="851" w:footer="992" w:gutter="0"/>
          <w:cols w:space="425"/>
          <w:docGrid w:type="lines" w:linePitch="312"/>
        </w:sectPr>
      </w:pPr>
    </w:p>
    <w:p w:rsidR="001F094F" w:rsidRDefault="001F094F">
      <w:pPr>
        <w:pStyle w:val="Default"/>
        <w:rPr>
          <w:sz w:val="72"/>
          <w:szCs w:val="72"/>
        </w:rPr>
      </w:pPr>
    </w:p>
    <w:p w:rsidR="001F094F" w:rsidRDefault="001F094F">
      <w:pPr>
        <w:pStyle w:val="Default"/>
        <w:rPr>
          <w:sz w:val="72"/>
          <w:szCs w:val="72"/>
        </w:rPr>
      </w:pPr>
    </w:p>
    <w:p w:rsidR="001F094F" w:rsidRDefault="001F094F">
      <w:pPr>
        <w:pStyle w:val="Default"/>
        <w:rPr>
          <w:sz w:val="72"/>
          <w:szCs w:val="72"/>
        </w:rPr>
      </w:pPr>
    </w:p>
    <w:p w:rsidR="001F094F" w:rsidRDefault="001F094F">
      <w:pPr>
        <w:pStyle w:val="Default"/>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B22335">
      <w:pPr>
        <w:pStyle w:val="Default"/>
        <w:jc w:val="center"/>
        <w:rPr>
          <w:sz w:val="72"/>
          <w:szCs w:val="72"/>
        </w:rPr>
      </w:pPr>
      <w:r>
        <w:rPr>
          <w:rFonts w:hint="eastAsia"/>
          <w:sz w:val="72"/>
          <w:szCs w:val="72"/>
        </w:rPr>
        <w:t>第三部分</w:t>
      </w:r>
    </w:p>
    <w:p w:rsidR="001F094F" w:rsidRDefault="001F094F">
      <w:pPr>
        <w:pStyle w:val="Default"/>
        <w:jc w:val="center"/>
        <w:rPr>
          <w:sz w:val="70"/>
          <w:szCs w:val="70"/>
        </w:rPr>
      </w:pPr>
    </w:p>
    <w:p w:rsidR="001F094F" w:rsidRDefault="00B22335">
      <w:pPr>
        <w:pStyle w:val="Default"/>
        <w:jc w:val="center"/>
        <w:rPr>
          <w:sz w:val="70"/>
          <w:szCs w:val="70"/>
        </w:rPr>
      </w:pPr>
      <w:r>
        <w:rPr>
          <w:sz w:val="70"/>
          <w:szCs w:val="70"/>
        </w:rPr>
        <w:t>20</w:t>
      </w:r>
      <w:r>
        <w:rPr>
          <w:rFonts w:hint="eastAsia"/>
          <w:sz w:val="70"/>
          <w:szCs w:val="70"/>
        </w:rPr>
        <w:t>21年度部门决算情况说明</w:t>
      </w:r>
    </w:p>
    <w:p w:rsidR="001F094F" w:rsidRDefault="00B22335">
      <w:pPr>
        <w:widowControl/>
        <w:jc w:val="left"/>
        <w:rPr>
          <w:rFonts w:ascii="黑体" w:eastAsia="黑体" w:cs="黑体"/>
          <w:color w:val="000000"/>
          <w:kern w:val="0"/>
          <w:sz w:val="70"/>
          <w:szCs w:val="70"/>
        </w:rPr>
      </w:pPr>
      <w:r>
        <w:rPr>
          <w:sz w:val="70"/>
          <w:szCs w:val="70"/>
        </w:rPr>
        <w:br w:type="page"/>
      </w:r>
    </w:p>
    <w:p w:rsidR="001F094F" w:rsidRDefault="001F094F">
      <w:pPr>
        <w:pStyle w:val="Default"/>
        <w:rPr>
          <w:rFonts w:asciiTheme="minorEastAsia" w:eastAsiaTheme="minorEastAsia" w:hAnsiTheme="minorEastAsia"/>
          <w:sz w:val="32"/>
          <w:szCs w:val="32"/>
        </w:rPr>
      </w:pPr>
    </w:p>
    <w:p w:rsidR="001F094F" w:rsidRDefault="00B22335">
      <w:pPr>
        <w:pStyle w:val="Default"/>
        <w:rPr>
          <w:rFonts w:hAnsi="黑体"/>
          <w:b/>
          <w:sz w:val="32"/>
          <w:szCs w:val="32"/>
        </w:rPr>
      </w:pPr>
      <w:r>
        <w:rPr>
          <w:rFonts w:hAnsi="黑体" w:hint="eastAsia"/>
          <w:b/>
          <w:sz w:val="32"/>
          <w:szCs w:val="32"/>
        </w:rPr>
        <w:t>一、收入支出决算总体情况说明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2021年度收、支总计281.92万元。与上年相比，减67.07万元，减少19.45%，主要是因为2021年厉行节约，严格控制支出。</w:t>
      </w:r>
    </w:p>
    <w:p w:rsidR="001F094F" w:rsidRDefault="00B22335">
      <w:pPr>
        <w:pStyle w:val="Default"/>
        <w:rPr>
          <w:rFonts w:hAnsi="黑体"/>
          <w:b/>
          <w:sz w:val="32"/>
          <w:szCs w:val="32"/>
        </w:rPr>
      </w:pPr>
      <w:r>
        <w:rPr>
          <w:rFonts w:hAnsi="黑体" w:hint="eastAsia"/>
          <w:b/>
          <w:sz w:val="32"/>
          <w:szCs w:val="32"/>
        </w:rPr>
        <w:t>二、收入决算情况说明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2021年度收入合计277.74万元，其中：财政拨款收入277.74万元，占100%；上级补助收入0万元，占0%；事业收入0万元，占0%；经营收入0万元，占XX%；附属单位上缴收入0万元，占0%；其他收入0万元，占0%。</w:t>
      </w:r>
    </w:p>
    <w:p w:rsidR="001F094F" w:rsidRDefault="00B22335">
      <w:pPr>
        <w:pStyle w:val="Default"/>
        <w:rPr>
          <w:rFonts w:hAnsi="黑体"/>
          <w:b/>
          <w:sz w:val="32"/>
          <w:szCs w:val="32"/>
        </w:rPr>
      </w:pPr>
      <w:r>
        <w:rPr>
          <w:rFonts w:hAnsi="黑体" w:hint="eastAsia"/>
          <w:b/>
          <w:sz w:val="32"/>
          <w:szCs w:val="32"/>
        </w:rPr>
        <w:t>三、支出决算情况说明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2021年度支出合计277.7万元，其中：基本支出226.37万元，占81.38%；项目支出51.33万元，占18.62%；上缴上级支出0万元，占0%；经营支出XXXX万元，占0%；对附属单位补助支出0万元，占0%。</w:t>
      </w:r>
    </w:p>
    <w:p w:rsidR="001F094F" w:rsidRDefault="00B22335">
      <w:pPr>
        <w:pStyle w:val="Default"/>
        <w:rPr>
          <w:rFonts w:hAnsi="黑体"/>
          <w:b/>
          <w:sz w:val="32"/>
          <w:szCs w:val="32"/>
        </w:rPr>
      </w:pPr>
      <w:r>
        <w:rPr>
          <w:rFonts w:hAnsi="黑体" w:hint="eastAsia"/>
          <w:b/>
          <w:sz w:val="32"/>
          <w:szCs w:val="32"/>
        </w:rPr>
        <w:t>四、财政拨款收入支出决算总体情况说明</w:t>
      </w:r>
    </w:p>
    <w:p w:rsidR="001F094F" w:rsidRDefault="00B22335">
      <w:pPr>
        <w:pStyle w:val="Default"/>
        <w:ind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2021年度财政拨款收、支总计275.72万元，与上年相比，减少67.07万元,减少19.45%，主要是因为2021年厉行节约，严格控制支出。</w:t>
      </w:r>
    </w:p>
    <w:p w:rsidR="001F094F" w:rsidRDefault="00B22335">
      <w:pPr>
        <w:pStyle w:val="Default"/>
        <w:rPr>
          <w:rFonts w:hAnsi="黑体"/>
          <w:b/>
          <w:sz w:val="32"/>
          <w:szCs w:val="32"/>
        </w:rPr>
      </w:pPr>
      <w:r>
        <w:rPr>
          <w:rFonts w:hAnsi="黑体" w:hint="eastAsia"/>
          <w:b/>
          <w:sz w:val="32"/>
          <w:szCs w:val="32"/>
        </w:rPr>
        <w:t>五、一般公共预算财政拨款支出决算情况说明</w:t>
      </w:r>
    </w:p>
    <w:p w:rsidR="001F094F" w:rsidRDefault="00B22335">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2021年度财政拨款支出275.72万元，占本年支出合计的100%，与上年相比，财政拨款支出减少67.07万元，减少19.45%，主要是因为2021年厉行节约，严格控制支出。</w:t>
      </w:r>
    </w:p>
    <w:p w:rsidR="001F094F" w:rsidRDefault="00B22335">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2021年度财政拨款支出275.72万元，主要用于以下方面：1、社会保障和就业支出17.39万元，占6.25%；2、卫生健康支出支出8.28万元，占3.02%;3、城乡社区支出235.42万元。占85.38%；4、住房保障支出14.64万</w:t>
      </w:r>
      <w:r>
        <w:rPr>
          <w:rFonts w:asciiTheme="minorEastAsia" w:eastAsiaTheme="minorEastAsia" w:hAnsiTheme="minorEastAsia" w:hint="eastAsia"/>
          <w:sz w:val="32"/>
          <w:szCs w:val="32"/>
        </w:rPr>
        <w:lastRenderedPageBreak/>
        <w:t>元，占5.35%。</w:t>
      </w:r>
    </w:p>
    <w:p w:rsidR="001F094F" w:rsidRDefault="00B22335">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2021年度财政拨款支出年初预算数为270.40万元，支出决算数为275.72万元，完成年初预算的101.96%，其中：</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1、社会保障和就业支出（类）行政事业单位养老支出（款）  机关事业单位基本养老保险缴费支出（项）</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年初预算为17.39万元，支出决算为17.39万元，完成年初预算的100%，决算数等于年初预算数。  </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2、卫生健康支出（类）行政事业单位医疗（款）  事业单位医疗（项）</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年初预算为8.28万元，支出决算为8.28万元，完成年初预算的100%，决算数等于年初预算数。</w:t>
      </w:r>
    </w:p>
    <w:p w:rsidR="001F094F" w:rsidRDefault="00B22335">
      <w:pPr>
        <w:pStyle w:val="Default"/>
        <w:numPr>
          <w:ilvl w:val="0"/>
          <w:numId w:val="2"/>
        </w:num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住房保障支出（类）住房改革支出（款）  住房公积金（项）</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年初预算为14.64万元，支出决算为14.64万元，完成年初预算的100%，决算数等于年初预算数。</w:t>
      </w:r>
    </w:p>
    <w:p w:rsidR="001F094F" w:rsidRDefault="00B22335">
      <w:pPr>
        <w:pStyle w:val="Default"/>
        <w:numPr>
          <w:ilvl w:val="0"/>
          <w:numId w:val="2"/>
        </w:num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城乡社区支出（类）城乡社区管理事务（款）  一般行政管理事务（项）</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年初预算为235.42万元，支出决算为235.42万元，完成年初预算的100%，决算数等于年初预算数。</w:t>
      </w:r>
    </w:p>
    <w:p w:rsidR="001F094F" w:rsidRDefault="001F094F">
      <w:pPr>
        <w:pStyle w:val="Default"/>
        <w:rPr>
          <w:rFonts w:asciiTheme="minorEastAsia" w:eastAsiaTheme="minorEastAsia" w:hAnsiTheme="minorEastAsia"/>
          <w:sz w:val="32"/>
          <w:szCs w:val="32"/>
        </w:rPr>
      </w:pPr>
    </w:p>
    <w:p w:rsidR="001F094F" w:rsidRDefault="00B22335">
      <w:pPr>
        <w:pStyle w:val="Default"/>
        <w:rPr>
          <w:rFonts w:hAnsi="黑体"/>
          <w:b/>
          <w:sz w:val="32"/>
          <w:szCs w:val="32"/>
        </w:rPr>
      </w:pPr>
      <w:r>
        <w:rPr>
          <w:rFonts w:hAnsi="黑体" w:hint="eastAsia"/>
          <w:b/>
          <w:sz w:val="32"/>
          <w:szCs w:val="32"/>
        </w:rPr>
        <w:t>六、一般公共预算财政拨款基本支出决算情况说明</w:t>
      </w:r>
    </w:p>
    <w:p w:rsidR="001F094F" w:rsidRDefault="00B22335">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2021年度财政拨款基本支出224.39万元，其中：人员经费199.18万元，占基本支出的88.77%,主要包括基本工资、津贴补贴、奖金、伙食补助费</w:t>
      </w:r>
      <w:r>
        <w:rPr>
          <w:rFonts w:asciiTheme="minorEastAsia" w:eastAsiaTheme="minorEastAsia" w:hAnsiTheme="minorEastAsia"/>
          <w:sz w:val="32"/>
          <w:szCs w:val="32"/>
        </w:rPr>
        <w:t>……</w:t>
      </w:r>
      <w:r>
        <w:rPr>
          <w:rFonts w:asciiTheme="minorEastAsia" w:eastAsiaTheme="minorEastAsia" w:hAnsiTheme="minorEastAsia" w:hint="eastAsia"/>
          <w:sz w:val="32"/>
          <w:szCs w:val="32"/>
        </w:rPr>
        <w:t>；公用经费25.21万元，占基本支出的11.23%，主要包括办公费、印</w:t>
      </w:r>
      <w:r>
        <w:rPr>
          <w:rFonts w:asciiTheme="minorEastAsia" w:eastAsiaTheme="minorEastAsia" w:hAnsiTheme="minorEastAsia" w:hint="eastAsia"/>
          <w:sz w:val="32"/>
          <w:szCs w:val="32"/>
        </w:rPr>
        <w:lastRenderedPageBreak/>
        <w:t>刷费、咨询费、手续费。</w:t>
      </w:r>
    </w:p>
    <w:p w:rsidR="001F094F" w:rsidRDefault="00B22335">
      <w:pPr>
        <w:pStyle w:val="Default"/>
        <w:rPr>
          <w:rFonts w:hAnsi="黑体"/>
          <w:b/>
          <w:sz w:val="32"/>
          <w:szCs w:val="32"/>
        </w:rPr>
      </w:pPr>
      <w:r>
        <w:rPr>
          <w:rFonts w:hAnsi="黑体" w:hint="eastAsia"/>
          <w:b/>
          <w:sz w:val="32"/>
          <w:szCs w:val="32"/>
        </w:rPr>
        <w:t>七、一般公共预算财政拨款“三公”经费支出决算情况说明</w:t>
      </w:r>
    </w:p>
    <w:p w:rsidR="001F094F" w:rsidRDefault="00B22335">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2021年度“三公”经费财政拨款支出预算为9.60万元，支出决算为0.15万元，完成预算的1.6%，其中：</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因公出国（境）费支出预算为0万元，支出决算为0万元，完成预算的0%，决算数等于预算数，与上年相比减少（增加）00万元，减少（增长）XX%。</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公务接待费支出预算为0万元，支出决算为0万元，完成预算的0%，决算数等于预算数，与上年相比减少（增加）0万元，减少（增长）0%。</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公务用车购置费支出预算为0万元，支出决算为0万元，完成预算的XX%，决算数等于预算数，与上年相比减少（增加）0万元，减少（增长）0%。</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公务用车运行维护费支出预算为9.6万元，支出决算为0.15万元，完成预算的1.6%，决算数小于预算数的主要原因是车辆维护减少，与上年相比减少（增加）0万元，减少（增长）0%,减少的主要原因是车辆维护减少。</w:t>
      </w:r>
    </w:p>
    <w:p w:rsidR="001F094F" w:rsidRDefault="00B22335">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2021年度“三公”经费财政拨款支出决算中，公务接待费支出决算0万元，占0%,因公出国（境）费支出决算0万元，占0%,公务用车购置费及运行维护费支出决算0.15万元，占100%。其中：</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1、因公出国（境）费支出决算为0万元，全年安排因公出国（境）团组0个，累计0人次,开支内容包括：</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2、公务接待费支出决算为0万元，全年共接待来访团组0个、来宾0人次。</w:t>
      </w:r>
    </w:p>
    <w:p w:rsidR="001F094F" w:rsidRDefault="00B22335">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lastRenderedPageBreak/>
        <w:t>3、公务用车购置费及运行维护费支出决算为0.15万元，其中：公务用车购置费0万元，公服中心更新公务用车0辆。公务用车运行维护费0.15万元，主要是车辆维护支出，截止2021年12月31日，我单位开支财政拨款的公务用车保有量为3辆。</w:t>
      </w:r>
    </w:p>
    <w:p w:rsidR="001F094F" w:rsidRDefault="00B22335">
      <w:pPr>
        <w:pStyle w:val="Default"/>
        <w:rPr>
          <w:rFonts w:hAnsi="黑体"/>
          <w:b/>
          <w:sz w:val="32"/>
          <w:szCs w:val="32"/>
        </w:rPr>
      </w:pPr>
      <w:r>
        <w:rPr>
          <w:rFonts w:hAnsi="黑体" w:hint="eastAsia"/>
          <w:b/>
          <w:sz w:val="32"/>
          <w:szCs w:val="32"/>
        </w:rPr>
        <w:t>八、政府性基金预算收入支出决算情况</w:t>
      </w:r>
    </w:p>
    <w:p w:rsidR="001F094F" w:rsidRDefault="00B223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2021年度政府性基金预算财政拨款收入0万元；年初结转和结余0万元；支出0万元，其中基本支出0万元，项目支出0万元；年末结转和结余0万元。</w:t>
      </w:r>
    </w:p>
    <w:p w:rsidR="001F094F" w:rsidRDefault="00B22335">
      <w:pPr>
        <w:pStyle w:val="Default"/>
        <w:rPr>
          <w:rFonts w:hAnsi="黑体"/>
          <w:b/>
          <w:sz w:val="32"/>
          <w:szCs w:val="32"/>
        </w:rPr>
      </w:pPr>
      <w:r>
        <w:rPr>
          <w:rFonts w:hAnsi="黑体" w:hint="eastAsia"/>
          <w:b/>
          <w:sz w:val="32"/>
          <w:szCs w:val="32"/>
        </w:rPr>
        <w:t>九、机关运行经费支出说明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本部门2021年度机关运行经费支出25.2</w:t>
      </w:r>
      <w:r w:rsidR="0018311E">
        <w:rPr>
          <w:rFonts w:asciiTheme="minorEastAsia" w:eastAsiaTheme="minorEastAsia" w:hAnsiTheme="minorEastAsia"/>
          <w:sz w:val="32"/>
          <w:szCs w:val="32"/>
        </w:rPr>
        <w:t>2</w:t>
      </w:r>
      <w:bookmarkStart w:id="3" w:name="_GoBack"/>
      <w:bookmarkEnd w:id="3"/>
      <w:r>
        <w:rPr>
          <w:rFonts w:asciiTheme="minorEastAsia" w:eastAsiaTheme="minorEastAsia" w:hAnsiTheme="minorEastAsia" w:hint="eastAsia"/>
          <w:sz w:val="32"/>
          <w:szCs w:val="32"/>
        </w:rPr>
        <w:t>万元，比上年决算数增加11.89 万元，增长47.16%。主要原因是：两个单位合并产生的机关运行经费。</w:t>
      </w:r>
    </w:p>
    <w:p w:rsidR="001F094F" w:rsidRDefault="00B22335">
      <w:pPr>
        <w:pStyle w:val="Default"/>
        <w:rPr>
          <w:rFonts w:hAnsi="黑体"/>
          <w:b/>
          <w:sz w:val="32"/>
          <w:szCs w:val="32"/>
        </w:rPr>
      </w:pPr>
      <w:r>
        <w:rPr>
          <w:rFonts w:hAnsi="黑体" w:hint="eastAsia"/>
          <w:b/>
          <w:sz w:val="32"/>
          <w:szCs w:val="32"/>
        </w:rPr>
        <w:t>十、一般性支出情况说明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2020年本部门开支会议费0万元；开支培训费0万元；</w:t>
      </w:r>
    </w:p>
    <w:p w:rsidR="001F094F" w:rsidRDefault="00B22335">
      <w:pPr>
        <w:pStyle w:val="Default"/>
        <w:rPr>
          <w:rFonts w:hAnsi="黑体"/>
          <w:b/>
          <w:sz w:val="32"/>
          <w:szCs w:val="32"/>
        </w:rPr>
      </w:pPr>
      <w:r>
        <w:rPr>
          <w:rFonts w:hAnsi="黑体" w:hint="eastAsia"/>
          <w:b/>
          <w:sz w:val="32"/>
          <w:szCs w:val="32"/>
        </w:rPr>
        <w:t>十一、政府采购支出说明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本部门2021年度政府采购支出总额0万元，其中：政府采购货物支出0 万元、政府采购工程支出0万元、政府采购服务支出0万元。授予中小企业合同金额0万元，占政府采购支出总额的0%，其中：授予小微企业合同金额0万元，占授予中小企业合同金额的0%；货物采购授予中小企业合同金额占货物支出金额的0%，工程采购授予中小企业合同金额占工程支出金额的0%，服务采购授予中小企业合同金额占服务支出金额的0%。</w:t>
      </w:r>
    </w:p>
    <w:p w:rsidR="001F094F" w:rsidRDefault="00B22335">
      <w:pPr>
        <w:pStyle w:val="Default"/>
        <w:rPr>
          <w:rFonts w:hAnsi="黑体"/>
          <w:b/>
          <w:sz w:val="32"/>
          <w:szCs w:val="32"/>
        </w:rPr>
      </w:pPr>
      <w:r>
        <w:rPr>
          <w:rFonts w:hAnsi="黑体" w:hint="eastAsia"/>
          <w:b/>
          <w:sz w:val="32"/>
          <w:szCs w:val="32"/>
        </w:rPr>
        <w:t>十二、国有资产占用情况说明</w:t>
      </w:r>
    </w:p>
    <w:p w:rsidR="001F094F" w:rsidRDefault="00B223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截至2021年12月31日，部门（单位）共有车辆3辆，其中，主要领导干部用车0辆，机要通信用车0辆、应急保障用车0辆、执法执勤用车3辆、特</w:t>
      </w:r>
      <w:r>
        <w:rPr>
          <w:rFonts w:asciiTheme="minorEastAsia" w:eastAsiaTheme="minorEastAsia" w:hAnsiTheme="minorEastAsia" w:hint="eastAsia"/>
          <w:sz w:val="32"/>
          <w:szCs w:val="32"/>
        </w:rPr>
        <w:lastRenderedPageBreak/>
        <w:t>种专业技术用车0辆、其他用车0辆，其他用车主要是日常巡逻；单位价值50万元以上通用设备0台（套）；单位价值100万元以上专用设备0台（套）。</w:t>
      </w:r>
    </w:p>
    <w:p w:rsidR="001F094F" w:rsidRDefault="00B22335">
      <w:pPr>
        <w:pStyle w:val="Default"/>
        <w:rPr>
          <w:rFonts w:hAnsi="黑体"/>
          <w:b/>
          <w:sz w:val="32"/>
          <w:szCs w:val="32"/>
        </w:rPr>
      </w:pPr>
      <w:r>
        <w:rPr>
          <w:rFonts w:hAnsi="黑体" w:hint="eastAsia"/>
          <w:b/>
          <w:sz w:val="32"/>
          <w:szCs w:val="32"/>
        </w:rPr>
        <w:t>十三、2021年度预算绩效情况说明</w:t>
      </w:r>
    </w:p>
    <w:p w:rsidR="001F094F" w:rsidRPr="000C4817" w:rsidRDefault="00B22335" w:rsidP="000C4817">
      <w:pPr>
        <w:pStyle w:val="Default"/>
        <w:ind w:firstLineChars="200" w:firstLine="643"/>
        <w:rPr>
          <w:rFonts w:asciiTheme="minorEastAsia" w:eastAsiaTheme="minorEastAsia" w:hAnsiTheme="minorEastAsia"/>
          <w:b/>
          <w:bCs/>
          <w:sz w:val="32"/>
          <w:szCs w:val="32"/>
        </w:rPr>
      </w:pPr>
      <w:r w:rsidRPr="000C4817">
        <w:rPr>
          <w:rFonts w:asciiTheme="minorEastAsia" w:eastAsiaTheme="minorEastAsia" w:hAnsiTheme="minorEastAsia" w:hint="eastAsia"/>
          <w:b/>
          <w:bCs/>
          <w:sz w:val="32"/>
          <w:szCs w:val="32"/>
        </w:rPr>
        <w:t>（1）绩效管理评价工作开展情况。</w:t>
      </w:r>
    </w:p>
    <w:p w:rsidR="000C4817" w:rsidRPr="000C4817" w:rsidRDefault="000C4817" w:rsidP="000C4817">
      <w:pPr>
        <w:pStyle w:val="Default"/>
        <w:ind w:firstLineChars="200" w:firstLine="640"/>
        <w:rPr>
          <w:rFonts w:asciiTheme="minorEastAsia" w:eastAsiaTheme="minorEastAsia" w:hAnsiTheme="minorEastAsia"/>
          <w:sz w:val="32"/>
          <w:szCs w:val="32"/>
        </w:rPr>
      </w:pPr>
      <w:r w:rsidRPr="000C4817">
        <w:rPr>
          <w:rFonts w:asciiTheme="minorEastAsia" w:eastAsiaTheme="minorEastAsia" w:hAnsiTheme="minorEastAsia" w:hint="eastAsia"/>
          <w:sz w:val="32"/>
          <w:szCs w:val="32"/>
        </w:rPr>
        <w:t>根据预算绩效管理要求，我单位组织对2021 年度一般公共预算项目支出全面开展绩效自评，其中，一级项目0个，二级项目0 个，共涉及资金0 万元，占一般公共预算项目支出总额的0%。组织对2021年度 0 个政府性基金预算项目支出开展绩效自评，共涉及资金0 万元，占政府性基金预算项目支出总额的0%。组织对2021 年度0个国有资本经营预算项目支出开展绩效自评，共涉及资金万元，占国有资本经营预算项目支出总额的0%。</w:t>
      </w:r>
    </w:p>
    <w:p w:rsidR="001F094F" w:rsidRPr="000C4817" w:rsidRDefault="000C4817" w:rsidP="000C4817">
      <w:pPr>
        <w:pStyle w:val="Default"/>
        <w:ind w:firstLineChars="200" w:firstLine="640"/>
        <w:rPr>
          <w:rFonts w:asciiTheme="minorEastAsia" w:eastAsiaTheme="minorEastAsia" w:hAnsiTheme="minorEastAsia"/>
          <w:sz w:val="32"/>
          <w:szCs w:val="32"/>
        </w:rPr>
      </w:pPr>
      <w:r w:rsidRPr="000C4817">
        <w:rPr>
          <w:rFonts w:asciiTheme="minorEastAsia" w:eastAsiaTheme="minorEastAsia" w:hAnsiTheme="minorEastAsia" w:hint="eastAsia"/>
          <w:sz w:val="32"/>
          <w:szCs w:val="32"/>
        </w:rPr>
        <w:t>组织对“0“0”等0 个项目开展了部门评价，涉及一般公共预算支出0 万元，政府性基金预算支出0 万元，国有资本经营预算支0 万元。组织对“湘乡市城市道路占破管理站”“湘乡市城市管理服务中心”等2 个单位开展整体支出绩效评价，涉及一般公共预算支出465.2万元，政府性基金预算支出0万元。从评价情况来看，2个单位整体支出绩效评价为中。</w:t>
      </w:r>
    </w:p>
    <w:p w:rsidR="000C4817" w:rsidRPr="000C4817" w:rsidRDefault="000C4817" w:rsidP="000C4817">
      <w:pPr>
        <w:pStyle w:val="Default"/>
        <w:ind w:firstLineChars="200" w:firstLine="643"/>
        <w:rPr>
          <w:rFonts w:asciiTheme="minorEastAsia" w:eastAsiaTheme="minorEastAsia" w:hAnsiTheme="minorEastAsia"/>
          <w:b/>
          <w:bCs/>
          <w:sz w:val="32"/>
          <w:szCs w:val="32"/>
        </w:rPr>
      </w:pPr>
      <w:r w:rsidRPr="000C4817">
        <w:rPr>
          <w:rFonts w:asciiTheme="minorEastAsia" w:eastAsiaTheme="minorEastAsia" w:hAnsiTheme="minorEastAsia" w:hint="eastAsia"/>
          <w:b/>
          <w:bCs/>
          <w:sz w:val="32"/>
          <w:szCs w:val="32"/>
        </w:rPr>
        <w:t>（2）部门决算中项目绩效自评结果。</w:t>
      </w:r>
    </w:p>
    <w:p w:rsidR="000C4817" w:rsidRPr="000C4817" w:rsidRDefault="000C4817" w:rsidP="000C4817">
      <w:pPr>
        <w:pStyle w:val="Default"/>
        <w:ind w:firstLineChars="200" w:firstLine="640"/>
        <w:rPr>
          <w:rFonts w:asciiTheme="minorEastAsia" w:eastAsiaTheme="minorEastAsia" w:hAnsiTheme="minorEastAsia"/>
          <w:sz w:val="32"/>
          <w:szCs w:val="32"/>
        </w:rPr>
      </w:pPr>
      <w:r w:rsidRPr="000C4817">
        <w:rPr>
          <w:rFonts w:asciiTheme="minorEastAsia" w:eastAsiaTheme="minorEastAsia" w:hAnsiTheme="minorEastAsia" w:hint="eastAsia"/>
          <w:sz w:val="32"/>
          <w:szCs w:val="32"/>
        </w:rPr>
        <w:t>0 项目绩效自评综述：根据年初设定的绩效目标，项目绩效自评得分为0 分。项目全年预算数为0 万元，执行数为0 万元，完成预算的0%。</w:t>
      </w:r>
    </w:p>
    <w:p w:rsidR="000C4817" w:rsidRPr="000C4817" w:rsidRDefault="000C4817" w:rsidP="000C4817">
      <w:pPr>
        <w:pStyle w:val="Default"/>
        <w:ind w:firstLineChars="200" w:firstLine="643"/>
        <w:rPr>
          <w:rFonts w:asciiTheme="minorEastAsia" w:eastAsiaTheme="minorEastAsia" w:hAnsiTheme="minorEastAsia"/>
          <w:b/>
          <w:bCs/>
          <w:sz w:val="32"/>
          <w:szCs w:val="32"/>
        </w:rPr>
      </w:pPr>
      <w:r w:rsidRPr="000C4817">
        <w:rPr>
          <w:rFonts w:asciiTheme="minorEastAsia" w:eastAsiaTheme="minorEastAsia" w:hAnsiTheme="minorEastAsia" w:hint="eastAsia"/>
          <w:b/>
          <w:bCs/>
          <w:sz w:val="32"/>
          <w:szCs w:val="32"/>
        </w:rPr>
        <w:t>（3）部门评价项目绩效评价结果。</w:t>
      </w:r>
    </w:p>
    <w:p w:rsidR="001F094F" w:rsidRDefault="000C4817" w:rsidP="000C4817">
      <w:pPr>
        <w:pStyle w:val="Default"/>
        <w:ind w:firstLineChars="200" w:firstLine="640"/>
        <w:rPr>
          <w:sz w:val="72"/>
          <w:szCs w:val="72"/>
        </w:rPr>
      </w:pPr>
      <w:r w:rsidRPr="000C4817">
        <w:rPr>
          <w:rFonts w:asciiTheme="minorEastAsia" w:eastAsiaTheme="minorEastAsia" w:hAnsiTheme="minorEastAsia" w:hint="eastAsia"/>
          <w:sz w:val="32"/>
          <w:szCs w:val="32"/>
        </w:rPr>
        <w:t>本单位没有部门评价项目绩效。</w:t>
      </w:r>
    </w:p>
    <w:p w:rsidR="000C4817" w:rsidRDefault="000C4817">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rPr>
          <w:sz w:val="72"/>
          <w:szCs w:val="72"/>
        </w:rPr>
      </w:pPr>
    </w:p>
    <w:p w:rsidR="001F094F" w:rsidRDefault="001F094F">
      <w:pPr>
        <w:pStyle w:val="Default"/>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B22335">
      <w:pPr>
        <w:pStyle w:val="Default"/>
        <w:jc w:val="center"/>
        <w:rPr>
          <w:sz w:val="72"/>
          <w:szCs w:val="72"/>
        </w:rPr>
      </w:pPr>
      <w:r>
        <w:rPr>
          <w:rFonts w:hint="eastAsia"/>
          <w:sz w:val="72"/>
          <w:szCs w:val="72"/>
        </w:rPr>
        <w:t>第四部分</w:t>
      </w:r>
    </w:p>
    <w:p w:rsidR="001F094F" w:rsidRDefault="001F094F">
      <w:pPr>
        <w:jc w:val="center"/>
        <w:rPr>
          <w:rFonts w:ascii="黑体" w:eastAsia="黑体" w:cs="黑体"/>
          <w:color w:val="000000"/>
          <w:kern w:val="0"/>
          <w:sz w:val="70"/>
          <w:szCs w:val="70"/>
        </w:rPr>
      </w:pPr>
    </w:p>
    <w:p w:rsidR="001F094F" w:rsidRDefault="00B22335">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1F094F" w:rsidRDefault="00B2233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F094F" w:rsidRDefault="001F094F">
      <w:pPr>
        <w:ind w:firstLineChars="200" w:firstLine="640"/>
        <w:jc w:val="left"/>
        <w:rPr>
          <w:rFonts w:asciiTheme="minorEastAsia" w:hAnsiTheme="minorEastAsia" w:cs="黑体"/>
          <w:color w:val="000000"/>
          <w:kern w:val="0"/>
          <w:sz w:val="32"/>
          <w:szCs w:val="32"/>
        </w:rPr>
      </w:pPr>
    </w:p>
    <w:p w:rsidR="001F094F" w:rsidRDefault="00B22335">
      <w:pPr>
        <w:rPr>
          <w:sz w:val="28"/>
          <w:szCs w:val="28"/>
        </w:rPr>
      </w:pPr>
      <w:r>
        <w:rPr>
          <w:rFonts w:hint="eastAsia"/>
          <w:sz w:val="28"/>
          <w:szCs w:val="28"/>
        </w:rPr>
        <w:t>一、财政拨款收入：指市级财政当年拨付的资金。</w:t>
      </w:r>
    </w:p>
    <w:p w:rsidR="001F094F" w:rsidRDefault="00B22335">
      <w:pPr>
        <w:rPr>
          <w:sz w:val="28"/>
          <w:szCs w:val="28"/>
        </w:rPr>
      </w:pPr>
      <w:r>
        <w:rPr>
          <w:rFonts w:hint="eastAsia"/>
          <w:sz w:val="28"/>
          <w:szCs w:val="28"/>
        </w:rPr>
        <w:t>二、年初结转和结余：指以前年度尚未完成、结转到本年按有关规定继续使用的资金。</w:t>
      </w:r>
    </w:p>
    <w:p w:rsidR="001F094F" w:rsidRDefault="00B22335">
      <w:pPr>
        <w:rPr>
          <w:sz w:val="28"/>
          <w:szCs w:val="28"/>
        </w:rPr>
      </w:pPr>
      <w:r>
        <w:rPr>
          <w:rFonts w:hint="eastAsia"/>
          <w:sz w:val="28"/>
          <w:szCs w:val="28"/>
        </w:rPr>
        <w:t>三、基本支出：指为保障机构正常运转、完成日常工作任务而发生的人员支出和公用支出。</w:t>
      </w:r>
    </w:p>
    <w:p w:rsidR="001F094F" w:rsidRDefault="00B22335">
      <w:pPr>
        <w:rPr>
          <w:sz w:val="28"/>
          <w:szCs w:val="28"/>
        </w:rPr>
      </w:pPr>
      <w:r>
        <w:rPr>
          <w:rFonts w:hint="eastAsia"/>
          <w:sz w:val="28"/>
          <w:szCs w:val="28"/>
        </w:rPr>
        <w:t>四、项目支出：指在基本支出之外为完成特定行政任务和事业发展目标所发生的支出。</w:t>
      </w:r>
    </w:p>
    <w:p w:rsidR="001F094F" w:rsidRDefault="00B22335">
      <w:pPr>
        <w:rPr>
          <w:sz w:val="28"/>
          <w:szCs w:val="28"/>
        </w:rPr>
      </w:pPr>
      <w:r>
        <w:rPr>
          <w:rFonts w:hint="eastAsia"/>
          <w:sz w:val="28"/>
          <w:szCs w:val="28"/>
        </w:rPr>
        <w:t>五、年末结转和结余：指本年度或以前年度预算安排、因客观条件发生变化无法按原计划实施，需延迟到以后年度按有关规定继续使用的资金。</w:t>
      </w:r>
    </w:p>
    <w:p w:rsidR="001F094F" w:rsidRDefault="00B22335">
      <w:pPr>
        <w:widowControl/>
        <w:jc w:val="left"/>
        <w:rPr>
          <w:rFonts w:asciiTheme="minorEastAsia" w:eastAsia="黑体" w:hAnsiTheme="minorEastAsia" w:cs="黑体"/>
          <w:color w:val="000000"/>
          <w:kern w:val="0"/>
          <w:sz w:val="28"/>
          <w:szCs w:val="32"/>
        </w:rPr>
      </w:pPr>
      <w:r>
        <w:rPr>
          <w:rFonts w:asciiTheme="minorEastAsia" w:hAnsiTheme="minorEastAsia" w:hint="eastAsia"/>
          <w:sz w:val="28"/>
          <w:szCs w:val="32"/>
        </w:rPr>
        <w:t>（名词解释应包含本部门专有名词，如省财政厅应有对“财政事务”科目的解释）</w:t>
      </w: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1F094F">
      <w:pPr>
        <w:pStyle w:val="Default"/>
        <w:jc w:val="center"/>
        <w:rPr>
          <w:sz w:val="72"/>
          <w:szCs w:val="72"/>
        </w:rPr>
      </w:pPr>
    </w:p>
    <w:p w:rsidR="001F094F" w:rsidRDefault="00B22335">
      <w:pPr>
        <w:pStyle w:val="Default"/>
        <w:jc w:val="center"/>
        <w:rPr>
          <w:sz w:val="72"/>
          <w:szCs w:val="72"/>
        </w:rPr>
      </w:pPr>
      <w:r>
        <w:rPr>
          <w:rFonts w:hint="eastAsia"/>
          <w:sz w:val="72"/>
          <w:szCs w:val="72"/>
        </w:rPr>
        <w:t>第五部分</w:t>
      </w:r>
    </w:p>
    <w:p w:rsidR="001F094F" w:rsidRDefault="001F094F">
      <w:pPr>
        <w:jc w:val="center"/>
        <w:rPr>
          <w:rFonts w:ascii="黑体" w:eastAsia="黑体" w:cs="黑体"/>
          <w:color w:val="000000"/>
          <w:kern w:val="0"/>
          <w:sz w:val="70"/>
          <w:szCs w:val="70"/>
        </w:rPr>
      </w:pPr>
    </w:p>
    <w:p w:rsidR="001F094F" w:rsidRDefault="00B22335">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1F094F" w:rsidRDefault="00B2233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F094F" w:rsidRDefault="001F094F">
      <w:pPr>
        <w:jc w:val="center"/>
        <w:rPr>
          <w:rFonts w:ascii="黑体" w:eastAsia="黑体" w:cs="黑体"/>
          <w:color w:val="000000"/>
          <w:kern w:val="0"/>
          <w:sz w:val="70"/>
          <w:szCs w:val="70"/>
        </w:rPr>
      </w:pPr>
    </w:p>
    <w:p w:rsidR="001F094F" w:rsidRDefault="00B22335">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2021年湘乡市城市公用事业服务中心</w:t>
      </w:r>
    </w:p>
    <w:p w:rsidR="001F094F" w:rsidRDefault="00B22335">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部门整体支出绩效自评报告</w:t>
      </w:r>
    </w:p>
    <w:p w:rsidR="001F094F" w:rsidRDefault="001F094F">
      <w:pPr>
        <w:ind w:firstLineChars="200" w:firstLine="643"/>
        <w:jc w:val="center"/>
        <w:rPr>
          <w:rFonts w:asciiTheme="minorEastAsia" w:hAnsiTheme="minorEastAsia" w:cs="黑体"/>
          <w:b/>
          <w:color w:val="000000"/>
          <w:kern w:val="0"/>
          <w:sz w:val="32"/>
          <w:szCs w:val="32"/>
        </w:rPr>
      </w:pP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一、部门概况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1、基本情况。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湘乡市城市公用事业服务中心是受城管局委托对我市城市道路广告进行占破广告管理的执法部门。</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 xml:space="preserve">   主要工作职责：负责占用和挖掘城市道路的管理；负责查核占破道位置、范围、面积；负责占破道期间的市容环境卫生和按时恢复路面原状；负责施工围挡服务工作；负责城市户外广告的规范服务；负责规范门店招牌；负责在城市进行商品促销、宣传等方面的规范服务。</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二、部门整体支出管理及使用情况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（一）预算情况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1、年初预算情况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2021年，根据湘乡市财政局湘财预〔2021〕1号文件，下达我站预算270.4万元。其中基本支出200.4万元，包括工资福利支出171.89万元，商品和服务支出28.35万元，对个人和家庭的补助支出0万元。项目支出70万元。</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2、年中追加和调减预算情况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年初预算下达后，财政局根据政府工作安排等情况追加了预算经费60万元，包括：1、城乡社区专项经费20万元。</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3、全年总预算情况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一般公共预算年初预算270.4万元，城建维护费20万元。年终财政局</w:t>
      </w:r>
      <w:r>
        <w:rPr>
          <w:rFonts w:ascii="仿宋" w:eastAsia="仿宋" w:hAnsi="仿宋" w:cs="黑体" w:hint="eastAsia"/>
          <w:bCs/>
          <w:color w:val="000000"/>
          <w:kern w:val="0"/>
          <w:sz w:val="32"/>
          <w:szCs w:val="32"/>
        </w:rPr>
        <w:lastRenderedPageBreak/>
        <w:t>结算一般公共预算指标收入共计281.92万元。</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（二）预算执行情况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1、基本支出执行情况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（1）2020年，我站本级财政一般公共预算基本支出224.39万元。其中，工资福利支出199.18万元，商品和服务支出25.21万元，对个人和家庭的补助支出0万元，其他资本性支0万元。</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 xml:space="preserve">（2）2019年一般公共预算支出“三公”经费年初预算9万元。实际支出0.15万元，其中公务用车运行和维护费0.15万元，公务接待费0万元。 </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2、业务性专项执行情况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业务性专项支出51.33万元，主要用于夜宵摊位整治、门店装修管理、道路挖掘修复宣传管理、摩托车自行车定位标杆、路铭牌清洗维护的支出。</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3、项目性专项执行情况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一般公共预算未安排项目性专项支出经费</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三、部门整体支出绩效情况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我单位一般公共预算资金主要为机关运行经费，即人员工资福利、商品和服务支出、对个人和家庭的补助支出，其次预算资金主要使用方向为夜宵摊位整治和门店装修管理经费，包括市容管理、夜宵摊位整治、摩托车自行车定位标杆、道路挖掘修复宣传等工作职责。目标是为了创建一个和谐、美丽、宜居的美好家园。根据《部门整体支出绩效评价指标》评分为中。部门履职及效益情况主要体现如下：</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（一）严格财经纪律，健全各项制度，严格控制基本支出。</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依据《中华人民共和国会计法》、《行政单位会计制度》及各级相关</w:t>
      </w:r>
      <w:r>
        <w:rPr>
          <w:rFonts w:ascii="仿宋" w:eastAsia="仿宋" w:hAnsi="仿宋" w:cs="黑体" w:hint="eastAsia"/>
          <w:bCs/>
          <w:color w:val="000000"/>
          <w:kern w:val="0"/>
          <w:sz w:val="32"/>
          <w:szCs w:val="32"/>
        </w:rPr>
        <w:lastRenderedPageBreak/>
        <w:t>规定，我局相继制定和完善了《预算决算管理办法》、《财务管理制度》、《票据管理制度》等相关制度，确保每笔业务的合法性、真实性，确定资金的流向，完善审批程序和手续，支出符合部门预算批复的用途，使用无截留、挤占挪用、虚列支出等情况。预决算信息公开及时、真实、完整、准确。</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（二）利用有限的项目性专项经费，取得最大的成果，呈现项目经费支出的经济性和效率性。充分履行单位行政职能，管理行政事务，发挥业务性专项经费的最大效益。</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（三）履职效益情况</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湘乡市城市公用事业服务中心在湘乡市委市政府和城管局党委的正确领导和关心支持下，以党的十九大和习近平新时代中国特色社会主义思想为指导，认真学习贯彻十九大精神，紧紧围绕我站中心工作和年度工作目标任务，进一步创新城市管理体制机制，切实履行工作职责，各项年初预算支出效益目标任务完成如下：</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1、产出指标：今年共受理468例，审批451例。其中户外广告设置许可281例，门店装修、临时宣传活动等许可170例</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2、效益指标：当年完成非税收入170万元，管理相对人的守法现象提高，群众满意度高，城管执法形象转好。</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四、存在的主要问题</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1、年初预算编制中基层中队、股室不积极参与，不能根据需求如实汇报计划。</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2、三公经费加强控制，压缩支出。</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五、改进措施和有关建议</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2022年，我们将进一步强化服务意识，学习意识、创新意识、效能意</w:t>
      </w:r>
      <w:r>
        <w:rPr>
          <w:rFonts w:ascii="仿宋" w:eastAsia="仿宋" w:hAnsi="仿宋" w:cs="黑体" w:hint="eastAsia"/>
          <w:bCs/>
          <w:color w:val="000000"/>
          <w:kern w:val="0"/>
          <w:sz w:val="32"/>
          <w:szCs w:val="32"/>
        </w:rPr>
        <w:lastRenderedPageBreak/>
        <w:t>识和廉政意识，推动城市管理作风效益建设的有效提升，对来年的工作有如下设想与建议，希望得到各级政府领导的支持。</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1.争取专项资金，继续在全城范围内更换和清洗摩托车、自行车定位标杆、路铭牌清洗维护。</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2.加大施工挡板的投放使用力度，坚决落实“先围挡，后施工”的要求，预计新增挡板300块。</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六、报告附表</w:t>
      </w:r>
    </w:p>
    <w:p w:rsidR="001F094F" w:rsidRDefault="00B22335">
      <w:pPr>
        <w:ind w:firstLineChars="200" w:firstLine="640"/>
        <w:jc w:val="left"/>
        <w:rPr>
          <w:rFonts w:ascii="仿宋" w:eastAsia="仿宋" w:hAnsi="仿宋" w:cs="黑体"/>
          <w:bCs/>
          <w:color w:val="000000"/>
          <w:kern w:val="0"/>
          <w:sz w:val="32"/>
          <w:szCs w:val="32"/>
        </w:rPr>
      </w:pPr>
      <w:r>
        <w:rPr>
          <w:rFonts w:ascii="仿宋" w:eastAsia="仿宋" w:hAnsi="仿宋" w:cs="黑体" w:hint="eastAsia"/>
          <w:bCs/>
          <w:color w:val="000000"/>
          <w:kern w:val="0"/>
          <w:sz w:val="32"/>
          <w:szCs w:val="32"/>
        </w:rPr>
        <w:t>无</w:t>
      </w:r>
    </w:p>
    <w:sectPr w:rsidR="001F094F">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6866" w:rsidRDefault="00EE6866" w:rsidP="004D00AD">
      <w:r>
        <w:separator/>
      </w:r>
    </w:p>
  </w:endnote>
  <w:endnote w:type="continuationSeparator" w:id="0">
    <w:p w:rsidR="00EE6866" w:rsidRDefault="00EE6866" w:rsidP="004D0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6866" w:rsidRDefault="00EE6866" w:rsidP="004D00AD">
      <w:r>
        <w:separator/>
      </w:r>
    </w:p>
  </w:footnote>
  <w:footnote w:type="continuationSeparator" w:id="0">
    <w:p w:rsidR="00EE6866" w:rsidRDefault="00EE6866" w:rsidP="004D00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43471"/>
    <w:multiLevelType w:val="singleLevel"/>
    <w:tmpl w:val="04343471"/>
    <w:lvl w:ilvl="0">
      <w:start w:val="3"/>
      <w:numFmt w:val="decimal"/>
      <w:suff w:val="nothing"/>
      <w:lvlText w:val="%1、"/>
      <w:lvlJc w:val="left"/>
    </w:lvl>
  </w:abstractNum>
  <w:abstractNum w:abstractNumId="1"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2ZlY2E0YTI5MjE4OTE1MDRlNDEzOGZkZWU0NWM2OGMifQ=="/>
  </w:docVars>
  <w:rsids>
    <w:rsidRoot w:val="004506F9"/>
    <w:rsid w:val="0002229B"/>
    <w:rsid w:val="000273BD"/>
    <w:rsid w:val="000415B7"/>
    <w:rsid w:val="00041E3F"/>
    <w:rsid w:val="00055DAA"/>
    <w:rsid w:val="00061F7B"/>
    <w:rsid w:val="000658A3"/>
    <w:rsid w:val="00074155"/>
    <w:rsid w:val="000873EF"/>
    <w:rsid w:val="000A3F69"/>
    <w:rsid w:val="000C4817"/>
    <w:rsid w:val="00103957"/>
    <w:rsid w:val="00124A1F"/>
    <w:rsid w:val="00152C6D"/>
    <w:rsid w:val="00162D39"/>
    <w:rsid w:val="001678BD"/>
    <w:rsid w:val="00182373"/>
    <w:rsid w:val="0018311E"/>
    <w:rsid w:val="001A67DB"/>
    <w:rsid w:val="001C3C29"/>
    <w:rsid w:val="001D51E5"/>
    <w:rsid w:val="001E080D"/>
    <w:rsid w:val="001E53D0"/>
    <w:rsid w:val="001F094F"/>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4D00AD"/>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332B"/>
    <w:rsid w:val="006E5284"/>
    <w:rsid w:val="006F3EB5"/>
    <w:rsid w:val="00702E34"/>
    <w:rsid w:val="00704395"/>
    <w:rsid w:val="00710FE7"/>
    <w:rsid w:val="007128F3"/>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22335"/>
    <w:rsid w:val="00B33BEA"/>
    <w:rsid w:val="00B430E8"/>
    <w:rsid w:val="00B57C9F"/>
    <w:rsid w:val="00B63572"/>
    <w:rsid w:val="00B845B3"/>
    <w:rsid w:val="00B85D8B"/>
    <w:rsid w:val="00BB4A40"/>
    <w:rsid w:val="00BD6C3E"/>
    <w:rsid w:val="00BE3674"/>
    <w:rsid w:val="00C10681"/>
    <w:rsid w:val="00C3049A"/>
    <w:rsid w:val="00C31B1E"/>
    <w:rsid w:val="00C77645"/>
    <w:rsid w:val="00CE04C3"/>
    <w:rsid w:val="00CE76A0"/>
    <w:rsid w:val="00D0110D"/>
    <w:rsid w:val="00D148C6"/>
    <w:rsid w:val="00D17A8A"/>
    <w:rsid w:val="00D415BA"/>
    <w:rsid w:val="00D63780"/>
    <w:rsid w:val="00D644EE"/>
    <w:rsid w:val="00D75489"/>
    <w:rsid w:val="00DD06FF"/>
    <w:rsid w:val="00DD5FE9"/>
    <w:rsid w:val="00DD74AB"/>
    <w:rsid w:val="00E00C7A"/>
    <w:rsid w:val="00E209CF"/>
    <w:rsid w:val="00E37D6C"/>
    <w:rsid w:val="00E55B68"/>
    <w:rsid w:val="00E67BE6"/>
    <w:rsid w:val="00E8683C"/>
    <w:rsid w:val="00EA2B72"/>
    <w:rsid w:val="00EE6866"/>
    <w:rsid w:val="00F74360"/>
    <w:rsid w:val="00F902F5"/>
    <w:rsid w:val="00FB462F"/>
    <w:rsid w:val="00FE16FA"/>
    <w:rsid w:val="00FE328A"/>
    <w:rsid w:val="00FE6269"/>
    <w:rsid w:val="00FF5CD6"/>
    <w:rsid w:val="08C364F4"/>
    <w:rsid w:val="0C2959AB"/>
    <w:rsid w:val="16FD6D60"/>
    <w:rsid w:val="19E737DF"/>
    <w:rsid w:val="1B607287"/>
    <w:rsid w:val="23715EBF"/>
    <w:rsid w:val="4744555E"/>
    <w:rsid w:val="51191C97"/>
    <w:rsid w:val="57A04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0BACBE"/>
  <w15:docId w15:val="{17107834-C525-4A51-B917-FC61699A9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120"/>
    </w:pPr>
    <w:rPr>
      <w:rFonts w:ascii="宋体" w:eastAsia="宋体" w:hAnsi="宋体" w:cs="宋体"/>
      <w:sz w:val="28"/>
      <w:szCs w:val="28"/>
      <w:lang w:val="zh-CN" w:bidi="zh-CN"/>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a">
    <w:name w:val="List Paragraph"/>
    <w:basedOn w:val="a"/>
    <w:uiPriority w:val="34"/>
    <w:qFormat/>
    <w:pPr>
      <w:ind w:firstLineChars="200" w:firstLine="420"/>
    </w:pPr>
  </w:style>
  <w:style w:type="character" w:customStyle="1" w:styleId="a5">
    <w:name w:val="批注框文本 字符"/>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AC2512-54C2-4763-ABB9-006862D21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1919</Words>
  <Characters>10943</Characters>
  <Application>Microsoft Office Word</Application>
  <DocSecurity>0</DocSecurity>
  <Lines>91</Lines>
  <Paragraphs>25</Paragraphs>
  <ScaleCrop>false</ScaleCrop>
  <Company>Microsoft</Company>
  <LinksUpToDate>false</LinksUpToDate>
  <CharactersWithSpaces>12837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cp:revision>
  <cp:lastPrinted>2022-07-27T12:55:00Z</cp:lastPrinted>
  <dcterms:created xsi:type="dcterms:W3CDTF">2022-09-03T08:40:00Z</dcterms:created>
  <dcterms:modified xsi:type="dcterms:W3CDTF">2022-09-03T09:14:00Z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43B235EF7D8B49D3A4DFB142AA49D287</vt:lpwstr>
  </property>
</Properties>
</file>