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sz w:val="56"/>
          <w:szCs w:val="56"/>
        </w:rPr>
      </w:pPr>
    </w:p>
    <w:p>
      <w:pPr>
        <w:pStyle w:val="9"/>
        <w:jc w:val="center"/>
        <w:rPr>
          <w:sz w:val="56"/>
          <w:szCs w:val="56"/>
        </w:rPr>
      </w:pPr>
    </w:p>
    <w:p>
      <w:pPr>
        <w:pStyle w:val="9"/>
        <w:jc w:val="center"/>
        <w:rPr>
          <w:sz w:val="84"/>
          <w:szCs w:val="84"/>
        </w:rPr>
      </w:pPr>
    </w:p>
    <w:p>
      <w:pPr>
        <w:pStyle w:val="9"/>
        <w:jc w:val="center"/>
        <w:rPr>
          <w:sz w:val="84"/>
          <w:szCs w:val="84"/>
        </w:rPr>
      </w:pPr>
    </w:p>
    <w:p>
      <w:pPr>
        <w:pStyle w:val="9"/>
        <w:jc w:val="center"/>
        <w:rPr>
          <w:sz w:val="84"/>
          <w:szCs w:val="84"/>
        </w:rPr>
      </w:pPr>
      <w:r>
        <w:rPr>
          <w:rFonts w:hint="eastAsia"/>
          <w:sz w:val="84"/>
          <w:szCs w:val="84"/>
        </w:rPr>
        <w:t>2021年度</w:t>
      </w:r>
    </w:p>
    <w:p>
      <w:pPr>
        <w:pStyle w:val="9"/>
        <w:jc w:val="center"/>
        <w:rPr>
          <w:sz w:val="84"/>
          <w:szCs w:val="84"/>
        </w:rPr>
      </w:pPr>
      <w:r>
        <w:rPr>
          <w:rFonts w:hint="eastAsia"/>
          <w:sz w:val="84"/>
          <w:szCs w:val="84"/>
          <w:lang w:val="en-US" w:eastAsia="zh-CN"/>
        </w:rPr>
        <w:t>教育局</w:t>
      </w:r>
      <w:r>
        <w:rPr>
          <w:rFonts w:hint="eastAsia"/>
          <w:sz w:val="84"/>
          <w:szCs w:val="84"/>
        </w:rPr>
        <w:t>（</w:t>
      </w:r>
      <w:r>
        <w:rPr>
          <w:rFonts w:hint="eastAsia"/>
          <w:sz w:val="84"/>
          <w:szCs w:val="84"/>
          <w:lang w:val="en-US" w:eastAsia="zh-CN"/>
        </w:rPr>
        <w:t>汇总</w:t>
      </w:r>
      <w:r>
        <w:rPr>
          <w:rFonts w:hint="eastAsia"/>
          <w:sz w:val="84"/>
          <w:szCs w:val="84"/>
        </w:rPr>
        <w:t>）部门决算</w:t>
      </w: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56"/>
          <w:szCs w:val="56"/>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jc w:val="center"/>
        <w:rPr>
          <w:sz w:val="32"/>
          <w:szCs w:val="32"/>
        </w:rPr>
      </w:pPr>
    </w:p>
    <w:p>
      <w:pPr>
        <w:pStyle w:val="9"/>
        <w:spacing w:line="540" w:lineRule="exact"/>
        <w:jc w:val="center"/>
        <w:rPr>
          <w:sz w:val="56"/>
          <w:szCs w:val="56"/>
        </w:rPr>
      </w:pPr>
    </w:p>
    <w:p>
      <w:pPr>
        <w:pStyle w:val="9"/>
        <w:spacing w:line="500" w:lineRule="exact"/>
        <w:jc w:val="center"/>
        <w:rPr>
          <w:b/>
          <w:sz w:val="36"/>
          <w:szCs w:val="28"/>
        </w:rPr>
      </w:pPr>
    </w:p>
    <w:p>
      <w:pPr>
        <w:pStyle w:val="9"/>
        <w:spacing w:line="500" w:lineRule="exact"/>
        <w:jc w:val="center"/>
        <w:rPr>
          <w:b/>
          <w:sz w:val="36"/>
          <w:szCs w:val="28"/>
        </w:rPr>
      </w:pPr>
    </w:p>
    <w:p>
      <w:pPr>
        <w:pStyle w:val="9"/>
        <w:spacing w:line="500" w:lineRule="exact"/>
        <w:jc w:val="center"/>
        <w:rPr>
          <w:b/>
          <w:sz w:val="36"/>
          <w:szCs w:val="28"/>
        </w:rPr>
      </w:pPr>
      <w:r>
        <w:rPr>
          <w:rFonts w:hint="eastAsia"/>
          <w:b/>
          <w:sz w:val="36"/>
          <w:szCs w:val="28"/>
        </w:rPr>
        <w:t>目录</w:t>
      </w:r>
    </w:p>
    <w:p>
      <w:pPr>
        <w:pStyle w:val="9"/>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教育局</w:t>
      </w:r>
      <w:r>
        <w:rPr>
          <w:rFonts w:hint="eastAsia"/>
          <w:b/>
          <w:sz w:val="28"/>
          <w:szCs w:val="28"/>
        </w:rPr>
        <w:t>单位概况</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9"/>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9"/>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9"/>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9"/>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9"/>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9"/>
        <w:jc w:val="center"/>
        <w:rPr>
          <w:sz w:val="84"/>
          <w:szCs w:val="84"/>
        </w:rPr>
      </w:pPr>
      <w:r>
        <w:rPr>
          <w:rFonts w:hint="eastAsia"/>
          <w:sz w:val="84"/>
          <w:szCs w:val="84"/>
        </w:rPr>
        <w:t>第一部分</w:t>
      </w:r>
      <w:r>
        <w:rPr>
          <w:sz w:val="84"/>
          <w:szCs w:val="84"/>
        </w:rPr>
        <w:t xml:space="preserve"> </w:t>
      </w:r>
    </w:p>
    <w:p>
      <w:pPr>
        <w:pStyle w:val="9"/>
        <w:jc w:val="center"/>
        <w:rPr>
          <w:sz w:val="84"/>
          <w:szCs w:val="84"/>
        </w:rPr>
      </w:pPr>
    </w:p>
    <w:p>
      <w:pPr>
        <w:pStyle w:val="9"/>
        <w:jc w:val="center"/>
        <w:rPr>
          <w:sz w:val="84"/>
          <w:szCs w:val="84"/>
        </w:rPr>
      </w:pPr>
      <w:r>
        <w:rPr>
          <w:rFonts w:hint="eastAsia"/>
          <w:sz w:val="84"/>
          <w:szCs w:val="84"/>
          <w:lang w:val="en-US" w:eastAsia="zh-CN"/>
        </w:rPr>
        <w:t>教育局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ind w:left="720" w:firstLine="0" w:firstLineChars="0"/>
        <w:jc w:val="left"/>
        <w:rPr>
          <w:rFonts w:ascii="黑体" w:hAnsi="黑体" w:eastAsia="黑体"/>
          <w:sz w:val="32"/>
          <w:szCs w:val="32"/>
        </w:rPr>
      </w:pPr>
    </w:p>
    <w:p>
      <w:pPr>
        <w:pStyle w:val="10"/>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widowControl/>
        <w:spacing w:line="600" w:lineRule="exact"/>
        <w:ind w:firstLine="627" w:firstLineChars="196"/>
        <w:jc w:val="left"/>
        <w:rPr>
          <w:rFonts w:hint="default" w:ascii="宋体" w:hAnsi="宋体" w:eastAsia="宋体" w:cs="宋体"/>
          <w:sz w:val="32"/>
          <w:szCs w:val="32"/>
          <w:lang w:val="en-US" w:eastAsia="zh-CN"/>
        </w:rPr>
      </w:pPr>
      <w:r>
        <w:rPr>
          <w:rFonts w:hint="eastAsia" w:ascii="宋体" w:hAnsi="宋体" w:eastAsia="宋体" w:cs="宋体"/>
          <w:color w:val="auto"/>
          <w:sz w:val="32"/>
          <w:szCs w:val="32"/>
        </w:rPr>
        <w:t>⑴</w:t>
      </w:r>
      <w:r>
        <w:rPr>
          <w:rFonts w:hint="eastAsia" w:ascii="宋体" w:hAnsi="宋体" w:cs="宋体"/>
          <w:color w:val="auto"/>
          <w:sz w:val="32"/>
          <w:szCs w:val="32"/>
        </w:rPr>
        <w:t>、贯彻落实国家、省、市关于教育工作的方针政策和法律法规，负责拟定全市教育发展规划；制定教育有关规范性文件并组织实施。</w:t>
      </w:r>
      <w:r>
        <w:rPr>
          <w:rFonts w:hint="eastAsia" w:ascii="宋体" w:hAnsi="宋体" w:eastAsia="宋体" w:cs="宋体"/>
          <w:color w:val="auto"/>
          <w:sz w:val="32"/>
          <w:szCs w:val="32"/>
        </w:rPr>
        <w:t>⑵</w:t>
      </w:r>
      <w:r>
        <w:rPr>
          <w:rFonts w:hint="eastAsia" w:ascii="宋体" w:hAnsi="宋体" w:cs="宋体"/>
          <w:color w:val="auto"/>
          <w:sz w:val="32"/>
          <w:szCs w:val="32"/>
        </w:rPr>
        <w:t>、负责全市教育经费管理；拟定教育经费筹措、教育拨款、教育基建投资的计划的方案；负责统计和监测全市教育经费的投入和使用情况；按有关规定管理教育援助和教育贷款；负责实施家庭贫困学生资助工作；负责教育系统内部审计工作；规划、指导全市教育产业和勤工俭学工作；负责监督管理全市学校危房改造和学校建设。</w:t>
      </w:r>
      <w:r>
        <w:rPr>
          <w:rFonts w:hint="eastAsia" w:ascii="宋体" w:hAnsi="宋体" w:eastAsia="宋体" w:cs="宋体"/>
          <w:color w:val="auto"/>
          <w:sz w:val="32"/>
          <w:szCs w:val="32"/>
        </w:rPr>
        <w:t>⑶</w:t>
      </w:r>
      <w:r>
        <w:rPr>
          <w:rFonts w:hint="eastAsia" w:ascii="宋体" w:hAnsi="宋体" w:cs="宋体"/>
          <w:color w:val="auto"/>
          <w:sz w:val="32"/>
          <w:szCs w:val="32"/>
        </w:rPr>
        <w:t>、指导各级各类学校的思想政治工作、德育工作、体育卫生、艺术教育及国防教育工作；指导和协调教育系统的安全稳定工作；会同有关部门进行校车安全监督检查。</w:t>
      </w:r>
      <w:r>
        <w:rPr>
          <w:rFonts w:hint="eastAsia" w:ascii="宋体" w:hAnsi="宋体" w:eastAsia="宋体" w:cs="宋体"/>
          <w:color w:val="auto"/>
          <w:sz w:val="32"/>
          <w:szCs w:val="32"/>
        </w:rPr>
        <w:t>⑷</w:t>
      </w:r>
      <w:r>
        <w:rPr>
          <w:rFonts w:hint="eastAsia" w:ascii="宋体" w:hAnsi="宋体" w:cs="宋体"/>
          <w:color w:val="auto"/>
          <w:sz w:val="32"/>
          <w:szCs w:val="32"/>
        </w:rPr>
        <w:t>、负责全市的教师队伍建设工作，会同有关部门研究提出全市各级各类学校编制标准建议，指导教育系统人才队伍建设；承担教师资格认定工作。</w:t>
      </w:r>
      <w:r>
        <w:rPr>
          <w:rFonts w:hint="eastAsia" w:ascii="宋体" w:hAnsi="宋体" w:eastAsia="宋体" w:cs="宋体"/>
          <w:color w:val="auto"/>
          <w:sz w:val="32"/>
          <w:szCs w:val="32"/>
        </w:rPr>
        <w:t>⑸</w:t>
      </w:r>
      <w:r>
        <w:rPr>
          <w:rFonts w:hint="eastAsia" w:ascii="宋体" w:hAnsi="宋体" w:cs="宋体"/>
          <w:color w:val="auto"/>
          <w:sz w:val="32"/>
          <w:szCs w:val="32"/>
        </w:rPr>
        <w:t>、负责管理权限内的各类教育的招生考试、学籍、学历工作，会同有关部门制定各类学校招生计划。</w:t>
      </w:r>
      <w:r>
        <w:rPr>
          <w:rFonts w:hint="eastAsia" w:ascii="宋体" w:hAnsi="宋体" w:eastAsia="宋体" w:cs="宋体"/>
          <w:color w:val="auto"/>
          <w:sz w:val="32"/>
          <w:szCs w:val="32"/>
        </w:rPr>
        <w:t>⑹</w:t>
      </w:r>
      <w:r>
        <w:rPr>
          <w:rFonts w:hint="eastAsia" w:ascii="宋体" w:hAnsi="宋体" w:cs="宋体"/>
          <w:color w:val="auto"/>
          <w:sz w:val="32"/>
          <w:szCs w:val="32"/>
          <w:lang w:eastAsia="zh-CN"/>
        </w:rPr>
        <w:t>、</w:t>
      </w:r>
      <w:r>
        <w:rPr>
          <w:rFonts w:hint="eastAsia" w:ascii="宋体" w:hAnsi="宋体" w:cs="宋体"/>
          <w:color w:val="auto"/>
          <w:sz w:val="32"/>
          <w:szCs w:val="32"/>
          <w:lang w:val="en-US" w:eastAsia="zh-CN"/>
        </w:rPr>
        <w:t>负责统筹规划、协调和指导全市权限范围内各级各类教育，会同有关部门制订学校的设置标准，指导各级各类学校的教育教学改革；负责教育基本信息的统计、分析、和发布；指导教育信息化工作和网络信息安全工作。</w:t>
      </w:r>
      <w:r>
        <w:rPr>
          <w:rFonts w:hint="eastAsia" w:ascii="宋体" w:hAnsi="宋体" w:eastAsia="宋体" w:cs="宋体"/>
          <w:color w:val="auto"/>
          <w:sz w:val="32"/>
          <w:szCs w:val="32"/>
        </w:rPr>
        <w:t>⑺</w:t>
      </w:r>
      <w:r>
        <w:rPr>
          <w:rFonts w:hint="eastAsia" w:ascii="宋体" w:hAnsi="宋体" w:cs="宋体"/>
          <w:color w:val="auto"/>
          <w:sz w:val="32"/>
          <w:szCs w:val="32"/>
          <w:lang w:eastAsia="zh-CN"/>
        </w:rPr>
        <w:t>、</w:t>
      </w:r>
      <w:r>
        <w:rPr>
          <w:rFonts w:hint="eastAsia" w:ascii="宋体" w:hAnsi="宋体" w:cs="宋体"/>
          <w:color w:val="auto"/>
          <w:sz w:val="32"/>
          <w:szCs w:val="32"/>
          <w:lang w:val="en-US" w:eastAsia="zh-CN"/>
        </w:rPr>
        <w:t>负责推进义务教育均衡发展和促进教育公平，负责义务教育的宏观指导</w:t>
      </w:r>
      <w:r>
        <w:rPr>
          <w:rFonts w:hint="eastAsia" w:ascii="宋体" w:hAnsi="宋体" w:cs="宋体"/>
          <w:sz w:val="32"/>
          <w:szCs w:val="32"/>
          <w:lang w:val="en-US" w:eastAsia="zh-CN"/>
        </w:rPr>
        <w:t>与协调，指导普通高中教育、学前教育、和特殊教育工作；执行落实基础教育教学基本要求和教学基本文件，全面实施素质教育。</w:t>
      </w:r>
      <w:r>
        <w:rPr>
          <w:rFonts w:hint="eastAsia" w:ascii="宋体" w:hAnsi="宋体" w:eastAsia="宋体" w:cs="宋体"/>
          <w:sz w:val="32"/>
          <w:szCs w:val="32"/>
        </w:rPr>
        <w:t>⑻</w:t>
      </w:r>
      <w:r>
        <w:rPr>
          <w:rFonts w:hint="eastAsia" w:ascii="宋体" w:hAnsi="宋体" w:cs="宋体"/>
          <w:sz w:val="32"/>
          <w:szCs w:val="32"/>
          <w:lang w:eastAsia="zh-CN"/>
        </w:rPr>
        <w:t>、</w:t>
      </w:r>
      <w:r>
        <w:rPr>
          <w:rFonts w:hint="eastAsia" w:ascii="宋体" w:hAnsi="宋体" w:cs="宋体"/>
          <w:sz w:val="32"/>
          <w:szCs w:val="32"/>
          <w:lang w:val="en-US" w:eastAsia="zh-CN"/>
        </w:rPr>
        <w:t>负责全市的教育督导工作，负责组织和指导对中等及中等以下教育的督导检查和评估验收工作，指导基础教育发展水平、质量的监测工作。</w:t>
      </w:r>
      <w:r>
        <w:rPr>
          <w:rFonts w:hint="eastAsia" w:ascii="宋体" w:hAnsi="宋体" w:eastAsia="宋体" w:cs="宋体"/>
          <w:sz w:val="32"/>
          <w:szCs w:val="32"/>
        </w:rPr>
        <w:t>⑼</w:t>
      </w:r>
      <w:r>
        <w:rPr>
          <w:rFonts w:hint="eastAsia" w:ascii="宋体" w:hAnsi="宋体" w:cs="宋体"/>
          <w:sz w:val="32"/>
          <w:szCs w:val="32"/>
          <w:lang w:eastAsia="zh-CN"/>
        </w:rPr>
        <w:t>、</w:t>
      </w:r>
      <w:r>
        <w:rPr>
          <w:rFonts w:hint="eastAsia" w:ascii="宋体" w:hAnsi="宋体" w:cs="宋体"/>
          <w:sz w:val="32"/>
          <w:szCs w:val="32"/>
          <w:lang w:val="en-US" w:eastAsia="zh-CN"/>
        </w:rPr>
        <w:t>负责指导以就业为导向的职业教育的发展与改革，执行国家、省制定的教学指导文件和教学评估标准。</w:t>
      </w:r>
      <w:r>
        <w:rPr>
          <w:rFonts w:hint="eastAsia" w:ascii="宋体" w:hAnsi="宋体" w:eastAsia="宋体" w:cs="宋体"/>
          <w:sz w:val="32"/>
          <w:szCs w:val="32"/>
        </w:rPr>
        <w:t>⑽</w:t>
      </w:r>
      <w:r>
        <w:rPr>
          <w:rFonts w:hint="eastAsia" w:ascii="宋体" w:hAnsi="宋体" w:cs="宋体"/>
          <w:sz w:val="32"/>
          <w:szCs w:val="32"/>
          <w:lang w:eastAsia="zh-CN"/>
        </w:rPr>
        <w:t>、</w:t>
      </w:r>
      <w:r>
        <w:rPr>
          <w:rFonts w:hint="eastAsia" w:ascii="宋体" w:hAnsi="宋体" w:cs="宋体"/>
          <w:sz w:val="32"/>
          <w:szCs w:val="32"/>
          <w:lang w:val="en-US" w:eastAsia="zh-CN"/>
        </w:rPr>
        <w:t>负责管理权限内各学校和培训机构的审批、监督、撤销、合并、及其专业设置；负责全市职业教育和继续教育工作。</w:t>
      </w:r>
      <w:r>
        <w:rPr>
          <w:rFonts w:hint="eastAsia" w:ascii="宋体" w:hAnsi="宋体" w:eastAsia="宋体" w:cs="宋体"/>
          <w:sz w:val="32"/>
          <w:szCs w:val="32"/>
          <w:lang w:val="en-US" w:eastAsia="zh-CN"/>
        </w:rPr>
        <w:t>⑾</w:t>
      </w:r>
      <w:r>
        <w:rPr>
          <w:rFonts w:hint="eastAsia" w:ascii="宋体" w:hAnsi="宋体" w:cs="宋体"/>
          <w:sz w:val="32"/>
          <w:szCs w:val="32"/>
          <w:lang w:val="en-US" w:eastAsia="zh-CN"/>
        </w:rPr>
        <w:t>、负责统筹管理全市语言文字工作，制定全市语言文字规划并组织实施，指导推广普通话和规范文字及普通话培训工作。</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sz w:val="32"/>
          <w:szCs w:val="32"/>
          <w:lang w:val="en-US" w:eastAsia="zh-CN"/>
        </w:rPr>
        <w:t>教育局</w:t>
      </w:r>
      <w:r>
        <w:rPr>
          <w:rFonts w:hint="eastAsia" w:ascii="宋体" w:hAnsi="宋体" w:cs="宋体"/>
          <w:sz w:val="32"/>
          <w:szCs w:val="32"/>
        </w:rPr>
        <w:t>本级</w:t>
      </w:r>
      <w:r>
        <w:rPr>
          <w:rFonts w:hint="eastAsia" w:ascii="宋体" w:hAnsi="宋体" w:cs="宋体"/>
          <w:sz w:val="32"/>
          <w:szCs w:val="32"/>
          <w:lang w:eastAsia="zh-CN"/>
        </w:rPr>
        <w:t>内设机构</w:t>
      </w:r>
      <w:r>
        <w:rPr>
          <w:rFonts w:hint="eastAsia" w:ascii="宋体" w:hAnsi="宋体" w:cs="宋体"/>
          <w:sz w:val="32"/>
          <w:szCs w:val="32"/>
          <w:lang w:val="en-US" w:eastAsia="zh-CN"/>
        </w:rPr>
        <w:t>有</w:t>
      </w:r>
      <w:r>
        <w:rPr>
          <w:rFonts w:hint="eastAsia" w:ascii="宋体" w:hAnsi="宋体" w:cs="宋体"/>
          <w:sz w:val="32"/>
          <w:szCs w:val="32"/>
        </w:rPr>
        <w:t>：</w:t>
      </w:r>
      <w:r>
        <w:rPr>
          <w:rFonts w:hint="eastAsia" w:ascii="宋体" w:hAnsi="宋体" w:cs="宋体"/>
          <w:sz w:val="32"/>
          <w:szCs w:val="32"/>
          <w:lang w:val="en-US" w:eastAsia="zh-CN"/>
        </w:rPr>
        <w:t>市委教育工作领导小组秘书组办公室、办公室、审计股、政策法规股、基础教育股、民办教育股、职成教育股、学前教育与特殊教育股、基建股、安全监督股、教育督导股、计财股、人事股</w:t>
      </w:r>
      <w:r>
        <w:rPr>
          <w:rFonts w:hint="eastAsia" w:ascii="宋体" w:hAnsi="宋体" w:cs="宋体"/>
          <w:sz w:val="32"/>
          <w:szCs w:val="32"/>
        </w:rPr>
        <w:t>。</w:t>
      </w:r>
    </w:p>
    <w:p>
      <w:pPr>
        <w:widowControl/>
        <w:spacing w:line="600" w:lineRule="exact"/>
        <w:ind w:firstLine="640" w:firstLineChars="200"/>
        <w:rPr>
          <w:rFonts w:hint="default" w:ascii="黑体" w:hAnsi="黑体" w:eastAsia="黑体"/>
          <w:sz w:val="28"/>
          <w:szCs w:val="28"/>
          <w:lang w:val="en-US"/>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val="en-US" w:eastAsia="zh-CN"/>
        </w:rPr>
        <w:t>教育局（汇总）2020</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val="en-US" w:eastAsia="zh-CN"/>
        </w:rPr>
        <w:t>教育局</w:t>
      </w:r>
      <w:r>
        <w:rPr>
          <w:rFonts w:hint="eastAsia" w:asciiTheme="minorEastAsia" w:hAnsiTheme="minorEastAsia"/>
          <w:bCs/>
          <w:kern w:val="0"/>
          <w:sz w:val="32"/>
          <w:szCs w:val="32"/>
        </w:rPr>
        <w:t>本级以及</w:t>
      </w:r>
      <w:r>
        <w:rPr>
          <w:rFonts w:hint="eastAsia" w:ascii="宋体" w:hAnsi="宋体" w:cs="宋体"/>
          <w:sz w:val="32"/>
          <w:szCs w:val="32"/>
          <w:lang w:val="en-US" w:eastAsia="zh-CN"/>
        </w:rPr>
        <w:t>36个二级预算单位：包括</w:t>
      </w:r>
      <w:r>
        <w:rPr>
          <w:sz w:val="32"/>
          <w:szCs w:val="32"/>
        </w:rPr>
        <w:t>20</w:t>
      </w:r>
      <w:r>
        <w:rPr>
          <w:rFonts w:hint="eastAsia" w:cs="宋体"/>
          <w:sz w:val="32"/>
          <w:szCs w:val="32"/>
        </w:rPr>
        <w:t>个乡镇中心学校、</w:t>
      </w:r>
      <w:r>
        <w:rPr>
          <w:sz w:val="32"/>
          <w:szCs w:val="32"/>
        </w:rPr>
        <w:t>4</w:t>
      </w:r>
      <w:r>
        <w:rPr>
          <w:rFonts w:hint="eastAsia" w:cs="宋体"/>
          <w:sz w:val="32"/>
          <w:szCs w:val="32"/>
        </w:rPr>
        <w:t>所市直高中、一职、</w:t>
      </w:r>
      <w:r>
        <w:rPr>
          <w:sz w:val="32"/>
          <w:szCs w:val="32"/>
        </w:rPr>
        <w:t>4</w:t>
      </w:r>
      <w:r>
        <w:rPr>
          <w:rFonts w:hint="eastAsia" w:cs="宋体"/>
          <w:sz w:val="32"/>
          <w:szCs w:val="32"/>
        </w:rPr>
        <w:t>个</w:t>
      </w:r>
      <w:r>
        <w:rPr>
          <w:rFonts w:hint="eastAsia" w:cs="宋体"/>
          <w:sz w:val="32"/>
          <w:szCs w:val="32"/>
          <w:lang w:val="en-US" w:eastAsia="zh-CN"/>
        </w:rPr>
        <w:t>局管小学</w:t>
      </w:r>
      <w:r>
        <w:rPr>
          <w:rFonts w:hint="eastAsia" w:cs="宋体"/>
          <w:sz w:val="32"/>
          <w:szCs w:val="32"/>
        </w:rPr>
        <w:t>、起凤学校、特教学校、机关幼儿园、景云中学、进修学校、教育发展中心</w:t>
      </w:r>
      <w:r>
        <w:rPr>
          <w:rFonts w:hint="eastAsia" w:cs="宋体"/>
          <w:sz w:val="32"/>
          <w:szCs w:val="32"/>
          <w:lang w:eastAsia="zh-CN"/>
        </w:rPr>
        <w:t>、</w:t>
      </w:r>
      <w:r>
        <w:rPr>
          <w:rFonts w:hint="eastAsia" w:cs="宋体"/>
          <w:sz w:val="32"/>
          <w:szCs w:val="32"/>
          <w:lang w:val="en-US" w:eastAsia="zh-CN"/>
        </w:rPr>
        <w:t>东皋学校。</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5"/>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lang w:val="en-US" w:eastAsia="zh-CN"/>
              </w:rPr>
              <w:t>湘乡市教育局</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87946.99</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2491.31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10707.83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114445.11</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150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13880.61</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142.73</w:t>
            </w: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九、卫生健康支出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both"/>
              <w:rPr>
                <w:rFonts w:hint="eastAsia" w:ascii="宋体" w:hAnsi="宋体" w:eastAsia="宋体" w:cs="宋体"/>
                <w:kern w:val="0"/>
                <w:sz w:val="20"/>
                <w:szCs w:val="20"/>
              </w:rPr>
            </w:pPr>
            <w:r>
              <w:rPr>
                <w:rFonts w:hint="eastAsia" w:ascii="宋体" w:hAnsi="宋体" w:eastAsia="宋体" w:cs="宋体"/>
                <w:kern w:val="0"/>
                <w:sz w:val="20"/>
                <w:szCs w:val="20"/>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十五、商业服务业等支出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十六、金融支出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十七、援助其他地区支出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十八、自然资源海洋气象等支出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十九、住房保障支出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二十、粮油物资储备支出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二十一、国有资本经营预算支出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二十三、其他支出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b/>
                <w:bCs/>
                <w:kern w:val="0"/>
                <w:sz w:val="22"/>
                <w:lang w:val="en-US" w:eastAsia="zh-CN"/>
              </w:rPr>
            </w:pPr>
            <w:r>
              <w:rPr>
                <w:rFonts w:hint="eastAsia" w:ascii="宋体" w:hAnsi="宋体" w:eastAsia="宋体" w:cs="宋体"/>
                <w:b/>
                <w:bCs/>
                <w:kern w:val="0"/>
                <w:sz w:val="22"/>
                <w:lang w:val="en-US" w:eastAsia="zh-CN"/>
              </w:rPr>
              <w:t>314.55</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二十四、债务还本支出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二十五、债务付息支出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2"/>
              </w:rPr>
            </w:pP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二十六、抗疫特别国债安排的支出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115026.74</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115052.40</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943.41</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538.74</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917.42</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1296.43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116887.57</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116887.57</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5"/>
        <w:tblW w:w="27437" w:type="dxa"/>
        <w:tblInd w:w="0" w:type="dxa"/>
        <w:tblLayout w:type="fixed"/>
        <w:tblCellMar>
          <w:top w:w="0" w:type="dxa"/>
          <w:left w:w="0" w:type="dxa"/>
          <w:bottom w:w="0" w:type="dxa"/>
          <w:right w:w="0" w:type="dxa"/>
        </w:tblCellMar>
      </w:tblPr>
      <w:tblGrid>
        <w:gridCol w:w="40"/>
        <w:gridCol w:w="1201"/>
        <w:gridCol w:w="2747"/>
        <w:gridCol w:w="1740"/>
        <w:gridCol w:w="1464"/>
        <w:gridCol w:w="1440"/>
        <w:gridCol w:w="1404"/>
        <w:gridCol w:w="1332"/>
        <w:gridCol w:w="1117"/>
        <w:gridCol w:w="1995"/>
        <w:gridCol w:w="1851"/>
        <w:gridCol w:w="1851"/>
        <w:gridCol w:w="1851"/>
        <w:gridCol w:w="1851"/>
        <w:gridCol w:w="1851"/>
        <w:gridCol w:w="1851"/>
        <w:gridCol w:w="1851"/>
      </w:tblGrid>
      <w:tr>
        <w:tblPrEx>
          <w:tblCellMar>
            <w:top w:w="0" w:type="dxa"/>
            <w:left w:w="0" w:type="dxa"/>
            <w:bottom w:w="0" w:type="dxa"/>
            <w:right w:w="0" w:type="dxa"/>
          </w:tblCellMar>
        </w:tblPrEx>
        <w:trPr>
          <w:gridAfter w:val="7"/>
          <w:wAfter w:w="12957" w:type="dxa"/>
          <w:trHeight w:val="675" w:hRule="atLeast"/>
        </w:trPr>
        <w:tc>
          <w:tcPr>
            <w:tcW w:w="14480"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gridAfter w:val="7"/>
          <w:wAfter w:w="12957" w:type="dxa"/>
          <w:trHeight w:val="285" w:hRule="atLeast"/>
        </w:trPr>
        <w:tc>
          <w:tcPr>
            <w:tcW w:w="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0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74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1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9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gridAfter w:val="7"/>
          <w:wAfter w:w="12957" w:type="dxa"/>
          <w:trHeight w:val="285" w:hRule="atLeast"/>
        </w:trPr>
        <w:tc>
          <w:tcPr>
            <w:tcW w:w="1241"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274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湘乡市教育局</w:t>
            </w:r>
            <w:r>
              <w:rPr>
                <w:rFonts w:hint="eastAsia"/>
              </w:rPr>
              <w:t>　</w:t>
            </w:r>
          </w:p>
        </w:tc>
        <w:tc>
          <w:tcPr>
            <w:tcW w:w="17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6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0"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4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11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99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gridAfter w:val="7"/>
          <w:wAfter w:w="12957" w:type="dxa"/>
          <w:trHeight w:val="450" w:hRule="atLeast"/>
        </w:trPr>
        <w:tc>
          <w:tcPr>
            <w:tcW w:w="398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46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4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33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1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199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gridAfter w:val="7"/>
          <w:wAfter w:w="12957" w:type="dxa"/>
          <w:trHeight w:val="450" w:hRule="atLeast"/>
        </w:trPr>
        <w:tc>
          <w:tcPr>
            <w:tcW w:w="124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74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11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9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gridAfter w:val="7"/>
          <w:wAfter w:w="12957" w:type="dxa"/>
          <w:trHeight w:val="450" w:hRule="atLeast"/>
        </w:trPr>
        <w:tc>
          <w:tcPr>
            <w:tcW w:w="1241"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747"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3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11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99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gridAfter w:val="7"/>
          <w:wAfter w:w="12957" w:type="dxa"/>
          <w:trHeight w:val="450" w:hRule="atLeast"/>
        </w:trPr>
        <w:tc>
          <w:tcPr>
            <w:tcW w:w="398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46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4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4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3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1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199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gridAfter w:val="7"/>
          <w:wAfter w:w="12957" w:type="dxa"/>
          <w:trHeight w:val="450" w:hRule="atLeast"/>
        </w:trPr>
        <w:tc>
          <w:tcPr>
            <w:tcW w:w="398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115,026.74</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87,946.99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2,491.31</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10,707.83</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13,880.61</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114,420.45</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87,759.39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2,491.31</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10,707.83</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13,461.92</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教育管理事务</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5,018.51</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4,349.62</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354.66</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314.23</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2050101</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4,463.85</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4,149.62</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314.23</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2050102</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一般行政管理事务</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269.60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69.60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其他教育管理事务支出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285.06</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285.06</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普通教育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103,587.11</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79,809.80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2,491.31</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9,649.13</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11,636.87</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2050201</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学前教育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3,265.60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3,186.00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79.60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2050202</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小学教育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66,383.73</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52,895.81</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2,186.74</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542.92</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10,758.26</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2050203</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初中教育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14,077.14</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13,260.81</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304.57</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270.20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241.56</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2050204</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高中教育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19,838.29</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10,444.82</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8,756.42</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637.04</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其他普通教育支出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22.36</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22.36</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20503</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职业教育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3,440.79</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1,792.11</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704.04</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944.65</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2050302</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中等职业教育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3,440.79</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1,792.11</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704.04</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944.65</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20507</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特殊教育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433.06</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300.66</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132.40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2050701</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特殊学校教育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433.06</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300.66</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132.40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20508</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进修及培训</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273.88</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182.57</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91.30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2050801</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教师进修</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273.88</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182.57</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91.30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教育费附加安排的支出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937.29</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937.29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2050901</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农村中小学校舍建设</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80.00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其他教育费附加安排的支出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857.29</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857.29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其他教育支出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729.80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387.34</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342.47</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2059999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729.80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387.34</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342.47</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文化旅游体育与传媒支出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150.00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150.00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20703</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体育</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2070399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其他体育支出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其他文化旅游体育与传媒支出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2079999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其他文化旅游体育与传媒支出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社会保障和就业支出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142.73</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105.13</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行政事业单位养老支出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109.20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71.61</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2080502</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事业单位离退休</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109.20</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71.61</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抚恤</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33.53</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33.53</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2080801</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死亡抚恤</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33.53</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33.53</w:t>
            </w:r>
          </w:p>
        </w:tc>
      </w:tr>
      <w:tr>
        <w:tblPrEx>
          <w:tblCellMar>
            <w:top w:w="0" w:type="dxa"/>
            <w:left w:w="0" w:type="dxa"/>
            <w:bottom w:w="0" w:type="dxa"/>
            <w:right w:w="0" w:type="dxa"/>
          </w:tblCellMar>
        </w:tblPrEx>
        <w:trPr>
          <w:gridAfter w:val="7"/>
          <w:wAfter w:w="12957" w:type="dxa"/>
          <w:trHeight w:val="9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313.56</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313.56</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313.56</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313.56</w:t>
            </w:r>
          </w:p>
        </w:tc>
      </w:tr>
      <w:tr>
        <w:tblPrEx>
          <w:tblCellMar>
            <w:top w:w="0" w:type="dxa"/>
            <w:left w:w="0" w:type="dxa"/>
            <w:bottom w:w="0" w:type="dxa"/>
            <w:right w:w="0" w:type="dxa"/>
          </w:tblCellMar>
        </w:tblPrEx>
        <w:trPr>
          <w:gridAfter w:val="7"/>
          <w:wAfter w:w="12957" w:type="dxa"/>
          <w:trHeight w:val="450" w:hRule="atLeast"/>
        </w:trPr>
        <w:tc>
          <w:tcPr>
            <w:tcW w:w="124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2299999</w:t>
            </w:r>
          </w:p>
        </w:tc>
        <w:tc>
          <w:tcPr>
            <w:tcW w:w="274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其他支出</w:t>
            </w:r>
          </w:p>
        </w:tc>
        <w:tc>
          <w:tcPr>
            <w:tcW w:w="17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313.56</w:t>
            </w:r>
          </w:p>
        </w:tc>
        <w:tc>
          <w:tcPr>
            <w:tcW w:w="146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4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3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1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99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313.56</w:t>
            </w:r>
          </w:p>
        </w:tc>
      </w:tr>
      <w:tr>
        <w:tblPrEx>
          <w:tblCellMar>
            <w:top w:w="0" w:type="dxa"/>
            <w:left w:w="0" w:type="dxa"/>
            <w:bottom w:w="0" w:type="dxa"/>
            <w:right w:w="0" w:type="dxa"/>
          </w:tblCellMar>
        </w:tblPrEx>
        <w:trPr>
          <w:trHeight w:val="615" w:hRule="atLeast"/>
        </w:trPr>
        <w:tc>
          <w:tcPr>
            <w:tcW w:w="1448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c>
          <w:tcPr>
            <w:tcW w:w="1851" w:type="dxa"/>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c>
          <w:tcPr>
            <w:tcW w:w="1851" w:type="dxa"/>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c>
          <w:tcPr>
            <w:tcW w:w="1851" w:type="dxa"/>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c>
          <w:tcPr>
            <w:tcW w:w="1851" w:type="dxa"/>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c>
          <w:tcPr>
            <w:tcW w:w="1851" w:type="dxa"/>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c>
          <w:tcPr>
            <w:tcW w:w="1851" w:type="dxa"/>
            <w:tcBorders>
              <w:top w:val="nil"/>
              <w:left w:val="nil"/>
              <w:bottom w:val="nil"/>
              <w:right w:val="nil"/>
            </w:tcBorders>
            <w:shd w:val="clear" w:color="auto" w:fill="auto"/>
            <w:tcMar>
              <w:top w:w="15" w:type="dxa"/>
              <w:left w:w="15" w:type="dxa"/>
              <w:bottom w:w="0" w:type="dxa"/>
              <w:right w:w="15" w:type="dxa"/>
            </w:tcMar>
            <w:vAlign w:val="center"/>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851" w:type="dxa"/>
            <w:tcBorders>
              <w:top w:val="nil"/>
              <w:left w:val="nil"/>
              <w:bottom w:val="nil"/>
              <w:right w:val="nil"/>
            </w:tcBorders>
            <w:shd w:val="clear" w:color="auto" w:fill="auto"/>
            <w:tcMar>
              <w:top w:w="15" w:type="dxa"/>
              <w:left w:w="15" w:type="dxa"/>
              <w:bottom w:w="0" w:type="dxa"/>
              <w:right w:w="15" w:type="dxa"/>
            </w:tcMar>
            <w:vAlign w:val="center"/>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0" w:type="dxa"/>
            <w:bottom w:w="0" w:type="dxa"/>
            <w:right w:w="0" w:type="dxa"/>
          </w:tblCellMar>
        </w:tblPrEx>
        <w:trPr>
          <w:trHeight w:val="615" w:hRule="atLeast"/>
        </w:trPr>
        <w:tc>
          <w:tcPr>
            <w:tcW w:w="0" w:type="auto"/>
            <w:gridSpan w:val="10"/>
          </w:tcPr>
          <w:p>
            <w:pPr>
              <w:rPr>
                <w:rFonts w:ascii="宋体" w:hAnsi="宋体" w:eastAsia="宋体" w:cs="宋体"/>
                <w:sz w:val="24"/>
                <w:szCs w:val="24"/>
              </w:rPr>
            </w:pPr>
          </w:p>
        </w:tc>
        <w:tc>
          <w:tcPr>
            <w:tcW w:w="1851" w:type="dxa"/>
          </w:tcPr>
          <w:p>
            <w:pPr>
              <w:rPr>
                <w:rFonts w:ascii="宋体" w:hAnsi="宋体" w:eastAsia="宋体" w:cs="宋体"/>
                <w:sz w:val="24"/>
                <w:szCs w:val="24"/>
              </w:rPr>
            </w:pPr>
          </w:p>
        </w:tc>
        <w:tc>
          <w:tcPr>
            <w:tcW w:w="1851" w:type="dxa"/>
          </w:tcPr>
          <w:p>
            <w:pPr>
              <w:rPr>
                <w:rFonts w:ascii="宋体" w:hAnsi="宋体" w:eastAsia="宋体" w:cs="宋体"/>
                <w:sz w:val="24"/>
                <w:szCs w:val="24"/>
              </w:rPr>
            </w:pPr>
          </w:p>
        </w:tc>
        <w:tc>
          <w:tcPr>
            <w:tcW w:w="1851" w:type="dxa"/>
          </w:tcPr>
          <w:p>
            <w:pPr>
              <w:rPr>
                <w:rFonts w:ascii="宋体" w:hAnsi="宋体" w:eastAsia="宋体" w:cs="宋体"/>
                <w:sz w:val="24"/>
                <w:szCs w:val="24"/>
              </w:rPr>
            </w:pPr>
          </w:p>
        </w:tc>
        <w:tc>
          <w:tcPr>
            <w:tcW w:w="1851" w:type="dxa"/>
          </w:tcPr>
          <w:p>
            <w:pPr>
              <w:rPr>
                <w:rFonts w:ascii="宋体" w:hAnsi="宋体" w:eastAsia="宋体" w:cs="宋体"/>
                <w:sz w:val="24"/>
                <w:szCs w:val="24"/>
              </w:rPr>
            </w:pPr>
          </w:p>
        </w:tc>
        <w:tc>
          <w:tcPr>
            <w:tcW w:w="1851" w:type="dxa"/>
          </w:tcPr>
          <w:p>
            <w:pPr>
              <w:rPr>
                <w:rFonts w:ascii="宋体" w:hAnsi="宋体" w:eastAsia="宋体" w:cs="宋体"/>
                <w:sz w:val="24"/>
                <w:szCs w:val="24"/>
              </w:rPr>
            </w:pPr>
          </w:p>
        </w:tc>
        <w:tc>
          <w:tcPr>
            <w:tcW w:w="1851" w:type="dxa"/>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851" w:type="dxa"/>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5"/>
        <w:tblW w:w="13183" w:type="dxa"/>
        <w:tblInd w:w="93" w:type="dxa"/>
        <w:tblLayout w:type="fixed"/>
        <w:tblCellMar>
          <w:top w:w="0" w:type="dxa"/>
          <w:left w:w="108" w:type="dxa"/>
          <w:bottom w:w="0" w:type="dxa"/>
          <w:right w:w="108" w:type="dxa"/>
        </w:tblCellMar>
      </w:tblPr>
      <w:tblGrid>
        <w:gridCol w:w="1024"/>
        <w:gridCol w:w="240"/>
        <w:gridCol w:w="1404"/>
        <w:gridCol w:w="1491"/>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3183"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2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24"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湘乡市教育局</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0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2668"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0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0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26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2668"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9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115052.4</w:t>
            </w:r>
          </w:p>
        </w:tc>
        <w:tc>
          <w:tcPr>
            <w:tcW w:w="1679"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88343.75</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26708.65</w:t>
            </w: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ascii="宋体" w:hAnsi="宋体" w:eastAsia="宋体" w:cs="宋体"/>
                <w:kern w:val="0"/>
                <w:sz w:val="24"/>
                <w:szCs w:val="24"/>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ascii="宋体" w:hAnsi="宋体" w:eastAsia="宋体" w:cs="宋体"/>
                <w:kern w:val="0"/>
                <w:sz w:val="24"/>
                <w:szCs w:val="24"/>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ascii="宋体" w:hAnsi="宋体" w:eastAsia="宋体" w:cs="宋体"/>
                <w:kern w:val="0"/>
                <w:sz w:val="24"/>
                <w:szCs w:val="24"/>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Arial" w:hAnsi="Arial" w:eastAsiaTheme="minorEastAsia" w:cstheme="minorBidi"/>
                <w:color w:val="000000"/>
                <w:kern w:val="2"/>
                <w:sz w:val="20"/>
                <w:szCs w:val="24"/>
                <w:lang w:val="en-US" w:eastAsia="zh-CN" w:bidi="ar-SA"/>
              </w:rPr>
            </w:pPr>
            <w:r>
              <w:rPr>
                <w:rFonts w:hint="default" w:ascii="Arial" w:hAnsi="Arial"/>
                <w:color w:val="000000"/>
                <w:sz w:val="20"/>
                <w:szCs w:val="24"/>
              </w:rPr>
              <w:t>114445.11</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Arial" w:hAnsi="Arial" w:eastAsiaTheme="minorEastAsia" w:cstheme="minorBidi"/>
                <w:color w:val="000000"/>
                <w:kern w:val="2"/>
                <w:sz w:val="20"/>
                <w:szCs w:val="24"/>
                <w:lang w:val="en-US" w:eastAsia="zh-CN" w:bidi="ar-SA"/>
              </w:rPr>
            </w:pPr>
            <w:r>
              <w:rPr>
                <w:rFonts w:hint="default" w:ascii="Arial" w:hAnsi="Arial"/>
                <w:color w:val="000000"/>
                <w:sz w:val="20"/>
                <w:szCs w:val="24"/>
              </w:rPr>
              <w:t>87936.47</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Arial" w:hAnsi="Arial" w:eastAsiaTheme="minorEastAsia" w:cstheme="minorBidi"/>
                <w:color w:val="000000"/>
                <w:kern w:val="2"/>
                <w:sz w:val="20"/>
                <w:szCs w:val="24"/>
                <w:lang w:val="en-US" w:eastAsia="zh-CN" w:bidi="ar-SA"/>
              </w:rPr>
            </w:pPr>
            <w:r>
              <w:rPr>
                <w:rFonts w:hint="default" w:ascii="Arial" w:hAnsi="Arial"/>
                <w:color w:val="000000"/>
                <w:sz w:val="20"/>
                <w:szCs w:val="24"/>
              </w:rPr>
              <w:t>26508.65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教育管理事务</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Arial" w:hAnsi="Arial" w:eastAsiaTheme="minorEastAsia" w:cstheme="minorBidi"/>
                <w:color w:val="000000"/>
                <w:kern w:val="2"/>
                <w:sz w:val="20"/>
                <w:szCs w:val="24"/>
                <w:lang w:val="en-US" w:eastAsia="zh-CN" w:bidi="ar-SA"/>
              </w:rPr>
            </w:pPr>
            <w:r>
              <w:rPr>
                <w:rFonts w:hint="default" w:ascii="Arial" w:hAnsi="Arial"/>
                <w:color w:val="000000"/>
                <w:sz w:val="20"/>
                <w:szCs w:val="24"/>
              </w:rPr>
              <w:t>4999.99</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Arial" w:hAnsi="Arial" w:eastAsiaTheme="minorEastAsia" w:cstheme="minorBidi"/>
                <w:color w:val="000000"/>
                <w:kern w:val="2"/>
                <w:sz w:val="20"/>
                <w:szCs w:val="24"/>
                <w:lang w:val="en-US" w:eastAsia="zh-CN" w:bidi="ar-SA"/>
              </w:rPr>
            </w:pPr>
            <w:r>
              <w:rPr>
                <w:rFonts w:hint="default" w:ascii="Arial" w:hAnsi="Arial"/>
                <w:color w:val="000000"/>
                <w:sz w:val="20"/>
                <w:szCs w:val="24"/>
              </w:rPr>
              <w:t>2279.07</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Arial" w:hAnsi="Arial" w:eastAsiaTheme="minorEastAsia" w:cstheme="minorBidi"/>
                <w:color w:val="000000"/>
                <w:kern w:val="2"/>
                <w:sz w:val="20"/>
                <w:szCs w:val="24"/>
                <w:lang w:val="en-US" w:eastAsia="zh-CN" w:bidi="ar-SA"/>
              </w:rPr>
            </w:pPr>
            <w:r>
              <w:rPr>
                <w:rFonts w:hint="default" w:ascii="Arial" w:hAnsi="Arial"/>
                <w:color w:val="000000"/>
                <w:sz w:val="20"/>
                <w:szCs w:val="24"/>
              </w:rPr>
              <w:t>2720.92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2050101</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4463.85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2232.64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2231.21</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2050102</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一般行政管理事务</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251.08</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251.08</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其他教育管理事务支出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285.06</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46.43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238.62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普通教育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103507.98</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81413.16</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22094.82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2050201</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学前教育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3265.6</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3235.6</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2050202</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小学教育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66099.25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44440.21</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21659.04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2050203</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初中教育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14069.36</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13790.88</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278.48</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2050204</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高中教育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20051.41</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19937.94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113.47</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其他普通教育支出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22.36</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8.54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13.82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20503</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职业教育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3591.61</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3062.64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528.97</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2050302</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中等职业教育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3591.61</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3062.64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528.97</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20507</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特殊教育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434.62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295.89</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138.72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2050701</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特殊学校教育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434.62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295.89</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138.72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20508</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进修及培训</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284.35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284.35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2050801</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教师进修</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284.35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284.35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教育费附加安排的支出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937.29</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902.29</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2050901</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农村中小学校舍建设</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80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80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其他教育费附加安排的支出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857.29</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822.29</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其他教育支出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689.27</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566.34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122.93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2059999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689.27</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566.34</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122.93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文化旅游体育与传媒支出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20703</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体育</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2070399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其他体育支出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其他文化旅游体育与传媒支出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2079999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其他文化旅游体育与传媒支出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社会保障和就业支出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142.73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142.73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行政事业单位养老支出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109.2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109.2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2080502</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事业单位离退休</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109.2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109.2</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抚恤</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33.53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33.53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2080801</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死亡抚恤</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33.53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33.53</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314.55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264.55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314.55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264.55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2299999</w:t>
            </w:r>
          </w:p>
        </w:tc>
        <w:tc>
          <w:tcPr>
            <w:tcW w:w="1404" w:type="dxa"/>
            <w:tcBorders>
              <w:top w:val="nil"/>
              <w:left w:val="nil"/>
              <w:bottom w:val="single" w:color="auto" w:sz="4" w:space="0"/>
              <w:right w:val="single" w:color="auto" w:sz="4" w:space="0"/>
            </w:tcBorders>
            <w:shd w:val="clear" w:color="000000" w:fill="FFFFFF"/>
            <w:noWrap/>
            <w:vAlign w:val="top"/>
          </w:tcPr>
          <w:p>
            <w:pPr>
              <w:spacing w:beforeLines="0" w:afterLines="0"/>
              <w:jc w:val="lef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其他支出</w:t>
            </w:r>
          </w:p>
        </w:tc>
        <w:tc>
          <w:tcPr>
            <w:tcW w:w="1491"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314.55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264.55</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Arial" w:hAnsi="Arial" w:eastAsiaTheme="minorEastAsia" w:cstheme="minorBidi"/>
                <w:color w:val="000000"/>
                <w:kern w:val="2"/>
                <w:sz w:val="20"/>
                <w:szCs w:val="24"/>
                <w:lang w:val="en-US" w:eastAsia="zh-CN" w:bidi="ar-SA"/>
              </w:rPr>
            </w:pPr>
            <w:r>
              <w:rPr>
                <w:rFonts w:hint="default" w:ascii="Arial" w:hAnsi="Arial"/>
                <w:color w:val="000000"/>
                <w:sz w:val="20"/>
                <w:szCs w:val="24"/>
              </w:rPr>
              <w:t>50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1679"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2308" w:type="dxa"/>
            <w:tcBorders>
              <w:top w:val="nil"/>
              <w:left w:val="nil"/>
              <w:bottom w:val="single" w:color="auto" w:sz="4" w:space="0"/>
              <w:right w:val="single" w:color="auto" w:sz="4" w:space="0"/>
            </w:tcBorders>
            <w:shd w:val="clear" w:color="auto" w:fill="auto"/>
            <w:noWrap/>
            <w:vAlign w:val="top"/>
          </w:tcPr>
          <w:p>
            <w:pPr>
              <w:spacing w:beforeLines="0" w:afterLines="0"/>
              <w:jc w:val="right"/>
              <w:rPr>
                <w:rFonts w:hint="eastAsia"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0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0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0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04" w:type="dxa"/>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30" w:hRule="atLeast"/>
        </w:trPr>
        <w:tc>
          <w:tcPr>
            <w:tcW w:w="13183"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5"/>
        <w:tblW w:w="15521" w:type="dxa"/>
        <w:tblInd w:w="93" w:type="dxa"/>
        <w:tblLayout w:type="fixed"/>
        <w:tblCellMar>
          <w:top w:w="0" w:type="dxa"/>
          <w:left w:w="108" w:type="dxa"/>
          <w:bottom w:w="0" w:type="dxa"/>
          <w:right w:w="108" w:type="dxa"/>
        </w:tblCellMar>
      </w:tblPr>
      <w:tblGrid>
        <w:gridCol w:w="3591"/>
        <w:gridCol w:w="436"/>
        <w:gridCol w:w="1209"/>
        <w:gridCol w:w="381"/>
        <w:gridCol w:w="2911"/>
        <w:gridCol w:w="631"/>
        <w:gridCol w:w="435"/>
        <w:gridCol w:w="1571"/>
        <w:gridCol w:w="1392"/>
        <w:gridCol w:w="1392"/>
        <w:gridCol w:w="1572"/>
      </w:tblGrid>
      <w:tr>
        <w:tblPrEx>
          <w:tblCellMar>
            <w:top w:w="0" w:type="dxa"/>
            <w:left w:w="108" w:type="dxa"/>
            <w:bottom w:w="0" w:type="dxa"/>
            <w:right w:w="108" w:type="dxa"/>
          </w:tblCellMar>
        </w:tblPrEx>
        <w:trPr>
          <w:trHeight w:val="285" w:hRule="atLeast"/>
        </w:trPr>
        <w:tc>
          <w:tcPr>
            <w:tcW w:w="3591"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2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1" w:type="dxa"/>
            <w:tcBorders>
              <w:top w:val="nil"/>
              <w:left w:val="nil"/>
              <w:bottom w:val="nil"/>
              <w:right w:val="nil"/>
            </w:tcBorders>
            <w:shd w:val="clear" w:color="000000" w:fill="FFFFFF"/>
            <w:noWrap/>
            <w:vAlign w:val="center"/>
          </w:tcPr>
          <w:p>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湘乡市教育局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92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23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85"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87946.99</w:t>
            </w: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87759.39</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87759.39</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150</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150</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37.6</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37.6</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0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87946.99</w:t>
            </w: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87946.99</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87946.99</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1"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20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87946.99</w:t>
            </w:r>
            <w:r>
              <w:rPr>
                <w:rFonts w:hint="eastAsia" w:ascii="宋体" w:hAnsi="宋体" w:eastAsia="宋体" w:cs="宋体"/>
                <w:kern w:val="0"/>
                <w:sz w:val="22"/>
              </w:rPr>
              <w:t>　　</w:t>
            </w:r>
          </w:p>
        </w:tc>
        <w:tc>
          <w:tcPr>
            <w:tcW w:w="329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87946.99</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87946.99</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湘乡市教育局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5"/>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87,946.99</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63820.24</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24,126.75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87,759.39</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63,782.64</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23,976.75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教育管理事务</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4,349.62</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2,183.08</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2,166.54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行政运行</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4,149.62</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2,183.08</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1,966.54</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2050102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一般行政管理事务</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普通教育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79,809.80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59,221.54</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20,588.27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学前教育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3,186.00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3,156.00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小学教育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52,895.81</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32,629.85</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20,265.96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2050203</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初中教育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13,260.81</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12,982.33</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278.48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2050204</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高中教育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10,444.82</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10,444.82</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2050299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其他普通教育支出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22.36</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8.54</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13.82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20503</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职业教育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1,792.11</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1,734.11</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58.00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2050302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中等职业教育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1,792.11</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1,734.11</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58.00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20507</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特殊教育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300.66</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161.93</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138.72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2050701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特殊学校教育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300.66</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161.93</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138.72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20508</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进修及培训</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182.57</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182.57</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2050801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教师进修</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182.57</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182.57</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教育费附加安排的支出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937.29</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35.00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902.29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农村中小学校舍建设</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2050999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其他教育费附加安排的支出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857.29</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35.00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822.29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其他教育支出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387.34</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264.41</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122.93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2059999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其他教育支出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387.34</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264.41</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122.93</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文化旅游体育与传媒支出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150.00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20703</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体育</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2070399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其他体育支出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50.00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其他文化旅游体育与传媒支出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2079999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其他文化旅游体育与传媒支出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100.00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社会保障和就业支出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行政事业单位养老支出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行政单位离退休</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事业单位离退休</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37.60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2080505</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机关事业单位基本养老保险缴费支出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抚恤</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2080801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死亡抚恤</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20827</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财政对其他社会保险基金的补助</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2082701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财政对失业保险基金的补助</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2082702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财政对工伤保险基金的补助</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2082799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其他财政对社会保险基金的补助</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其他社会保障和就业支出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2089999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其他社会保障和就业支出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卫生健康支出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行政事业单位医疗</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2101102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事业单位医疗</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财政对基本医疗保险基金的补助</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2101299</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财政对其他基本医疗保险基金的补助</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住房保障支出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住房改革支出</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2210201</w:t>
            </w:r>
          </w:p>
        </w:tc>
        <w:tc>
          <w:tcPr>
            <w:tcW w:w="3527" w:type="dxa"/>
            <w:tcBorders>
              <w:top w:val="nil"/>
              <w:left w:val="nil"/>
              <w:bottom w:val="single" w:color="auto" w:sz="4" w:space="0"/>
              <w:right w:val="single" w:color="auto" w:sz="4" w:space="0"/>
            </w:tcBorders>
            <w:shd w:val="clear" w:color="auto" w:fill="auto"/>
            <w:vAlign w:val="top"/>
          </w:tcPr>
          <w:p>
            <w:pPr>
              <w:spacing w:beforeLines="0" w:afterLines="0"/>
              <w:jc w:val="lef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 xml:space="preserve">  住房公积金</w:t>
            </w:r>
          </w:p>
        </w:tc>
        <w:tc>
          <w:tcPr>
            <w:tcW w:w="3000"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492" w:type="dxa"/>
            <w:tcBorders>
              <w:top w:val="nil"/>
              <w:left w:val="nil"/>
              <w:bottom w:val="single" w:color="auto" w:sz="4" w:space="0"/>
              <w:right w:val="single" w:color="auto" w:sz="4"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c>
          <w:tcPr>
            <w:tcW w:w="3000" w:type="dxa"/>
            <w:tcBorders>
              <w:top w:val="nil"/>
              <w:left w:val="nil"/>
              <w:bottom w:val="single" w:color="auto" w:sz="4" w:space="0"/>
              <w:right w:val="single" w:color="auto" w:sz="8" w:space="0"/>
            </w:tcBorders>
            <w:shd w:val="clear" w:color="auto" w:fill="auto"/>
            <w:vAlign w:val="top"/>
          </w:tcPr>
          <w:p>
            <w:pPr>
              <w:spacing w:beforeLines="0" w:afterLines="0"/>
              <w:jc w:val="right"/>
              <w:rPr>
                <w:rFonts w:hint="default" w:ascii="ËÎÌå" w:hAnsi="ËÎÌå" w:eastAsia="ËÎÌå" w:cstheme="minorBidi"/>
                <w:color w:val="000000"/>
                <w:kern w:val="2"/>
                <w:sz w:val="22"/>
                <w:szCs w:val="24"/>
                <w:lang w:val="en-US" w:eastAsia="zh-CN" w:bidi="ar-SA"/>
              </w:rPr>
            </w:pPr>
            <w:r>
              <w:rPr>
                <w:rFonts w:hint="default" w:ascii="ËÎÌå" w:hAnsi="ËÎÌå" w:eastAsia="ËÎÌå"/>
                <w:color w:val="000000"/>
                <w:sz w:val="22"/>
                <w:szCs w:val="24"/>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5"/>
        <w:tblW w:w="0" w:type="auto"/>
        <w:tblInd w:w="0" w:type="dxa"/>
        <w:tblLayout w:type="fixed"/>
        <w:tblCellMar>
          <w:top w:w="0" w:type="dxa"/>
          <w:left w:w="108" w:type="dxa"/>
          <w:bottom w:w="0" w:type="dxa"/>
          <w:right w:w="108" w:type="dxa"/>
        </w:tblCellMar>
      </w:tblPr>
      <w:tblGrid>
        <w:gridCol w:w="1105"/>
        <w:gridCol w:w="3060"/>
        <w:gridCol w:w="1591"/>
        <w:gridCol w:w="1086"/>
        <w:gridCol w:w="1979"/>
        <w:gridCol w:w="1128"/>
        <w:gridCol w:w="132"/>
        <w:gridCol w:w="745"/>
        <w:gridCol w:w="3347"/>
        <w:gridCol w:w="1441"/>
      </w:tblGrid>
      <w:tr>
        <w:tblPrEx>
          <w:tblCellMar>
            <w:top w:w="0" w:type="dxa"/>
            <w:left w:w="108" w:type="dxa"/>
            <w:bottom w:w="0" w:type="dxa"/>
            <w:right w:w="108" w:type="dxa"/>
          </w:tblCellMar>
        </w:tblPrEx>
        <w:trPr>
          <w:trHeight w:val="960" w:hRule="atLeast"/>
        </w:trPr>
        <w:tc>
          <w:tcPr>
            <w:tcW w:w="15614"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湘乡市教育局</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1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9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8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97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26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3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59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59373.98</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2142.23</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59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20625.77</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1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691.65</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59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5544.36</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2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163.26</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2304.22</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16.87</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41"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default" w:ascii="Arial" w:hAnsi="Arial" w:cs="Arial" w:eastAsiaTheme="minorEastAsia"/>
                <w:i w:val="0"/>
                <w:iCs w:val="0"/>
                <w:color w:val="000000"/>
                <w:kern w:val="2"/>
                <w:sz w:val="20"/>
                <w:szCs w:val="20"/>
                <w:u w:val="none"/>
                <w:lang w:val="en-US" w:eastAsia="zh-CN" w:bidi="ar-SA"/>
              </w:rPr>
            </w:pPr>
            <w:r>
              <w:rPr>
                <w:rFonts w:hint="default" w:ascii="Arial" w:hAnsi="Arial" w:eastAsia="宋体" w:cs="Arial"/>
                <w:i w:val="0"/>
                <w:iCs w:val="0"/>
                <w:color w:val="000000"/>
                <w:kern w:val="0"/>
                <w:sz w:val="20"/>
                <w:szCs w:val="20"/>
                <w:u w:val="none"/>
                <w:lang w:val="en-US" w:eastAsia="zh-CN" w:bidi="ar"/>
              </w:rPr>
              <w:t>59.82</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160.96</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4.53</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10073.95</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39.22</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29.43</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7756.55</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129.29</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1008.4</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23.15</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3814.74</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12.13</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16.38</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852.29</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90.83</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6548.15</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170.28</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672.47</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5.31</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2244.21</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7.11</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95.48</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64.13</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20.39</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24.62</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1.92</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37.25</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343.17</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191.68</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211.06</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5.27</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1534.57</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335.94</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70.04</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4.58</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40.82</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45.42</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0.02</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10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6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197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12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18.59</w:t>
            </w:r>
          </w:p>
        </w:tc>
        <w:tc>
          <w:tcPr>
            <w:tcW w:w="87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3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16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59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61618.19</w:t>
            </w:r>
          </w:p>
        </w:tc>
        <w:tc>
          <w:tcPr>
            <w:tcW w:w="8417"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41"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2202.05</w:t>
            </w:r>
          </w:p>
        </w:tc>
      </w:tr>
      <w:tr>
        <w:tblPrEx>
          <w:tblCellMar>
            <w:top w:w="0" w:type="dxa"/>
            <w:left w:w="108" w:type="dxa"/>
            <w:bottom w:w="0" w:type="dxa"/>
            <w:right w:w="108" w:type="dxa"/>
          </w:tblCellMar>
        </w:tblPrEx>
        <w:trPr>
          <w:trHeight w:val="284" w:hRule="exact"/>
        </w:trPr>
        <w:tc>
          <w:tcPr>
            <w:tcW w:w="15614" w:type="dxa"/>
            <w:gridSpan w:val="10"/>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val="en-US" w:eastAsia="zh-CN"/>
        </w:rPr>
        <w:t>湘乡市教育局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55.33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24.97</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20.39</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4.58</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30.36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28.63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24.97</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20.39</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4.58</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3.66</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5"/>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此表无数据</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5"/>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此表无数据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9"/>
        <w:rPr>
          <w:sz w:val="72"/>
          <w:szCs w:val="72"/>
        </w:rPr>
        <w:sectPr>
          <w:pgSz w:w="16838" w:h="11906" w:orient="landscape"/>
          <w:pgMar w:top="720" w:right="720" w:bottom="720" w:left="720" w:header="851" w:footer="992" w:gutter="0"/>
          <w:cols w:space="425" w:num="1"/>
          <w:docGrid w:type="lines" w:linePitch="312" w:charSpace="0"/>
        </w:sectPr>
      </w:pPr>
    </w:p>
    <w:p>
      <w:pPr>
        <w:pStyle w:val="9"/>
        <w:rPr>
          <w:sz w:val="72"/>
          <w:szCs w:val="72"/>
        </w:rPr>
      </w:pPr>
    </w:p>
    <w:p>
      <w:pPr>
        <w:pStyle w:val="9"/>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第三部分</w:t>
      </w:r>
    </w:p>
    <w:p>
      <w:pPr>
        <w:pStyle w:val="9"/>
        <w:jc w:val="center"/>
        <w:rPr>
          <w:sz w:val="70"/>
          <w:szCs w:val="70"/>
        </w:rPr>
      </w:pPr>
    </w:p>
    <w:p>
      <w:pPr>
        <w:pStyle w:val="9"/>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9"/>
        <w:rPr>
          <w:rFonts w:asciiTheme="minorEastAsia" w:hAnsiTheme="minorEastAsia" w:eastAsiaTheme="minorEastAsia"/>
          <w:sz w:val="32"/>
          <w:szCs w:val="32"/>
        </w:rPr>
      </w:pPr>
    </w:p>
    <w:p>
      <w:pPr>
        <w:pStyle w:val="9"/>
        <w:rPr>
          <w:rFonts w:hAnsi="黑体"/>
          <w:b/>
          <w:sz w:val="32"/>
          <w:szCs w:val="32"/>
        </w:rPr>
      </w:pPr>
      <w:r>
        <w:rPr>
          <w:rFonts w:hint="eastAsia" w:hAnsi="黑体"/>
          <w:b/>
          <w:sz w:val="32"/>
          <w:szCs w:val="32"/>
        </w:rPr>
        <w:t>一、收入支出决算总体情况说明</w:t>
      </w:r>
    </w:p>
    <w:p>
      <w:pPr>
        <w:pStyle w:val="9"/>
        <w:ind w:firstLine="640" w:firstLineChars="200"/>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32"/>
          <w:szCs w:val="32"/>
          <w:lang w:val="en-US" w:eastAsia="zh-CN"/>
        </w:rPr>
        <w:t>116887.58</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1989.34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1.73</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是1、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教职员工工资福利</w:t>
      </w:r>
      <w:r>
        <w:rPr>
          <w:rFonts w:hint="eastAsia" w:ascii="仿宋_GB2312" w:hAnsi="仿宋_GB2312" w:eastAsia="仿宋_GB2312" w:cs="仿宋_GB2312"/>
          <w:color w:val="auto"/>
          <w:sz w:val="32"/>
          <w:szCs w:val="32"/>
          <w:lang w:val="en-US" w:eastAsia="zh-CN"/>
        </w:rPr>
        <w:t>增加。2、专项追加。</w:t>
      </w:r>
    </w:p>
    <w:p>
      <w:pPr>
        <w:pStyle w:val="9"/>
        <w:rPr>
          <w:rFonts w:hAnsi="黑体"/>
          <w:b/>
          <w:sz w:val="32"/>
          <w:szCs w:val="32"/>
        </w:rPr>
      </w:pPr>
      <w:r>
        <w:rPr>
          <w:rFonts w:hint="eastAsia" w:hAnsi="黑体"/>
          <w:b/>
          <w:sz w:val="32"/>
          <w:szCs w:val="32"/>
        </w:rPr>
        <w:t>二、收入决算情况说明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Theme="minorEastAsia" w:hAnsiTheme="minorEastAsia" w:eastAsiaTheme="minorEastAsia"/>
          <w:sz w:val="32"/>
          <w:szCs w:val="32"/>
          <w:lang w:val="en-US" w:eastAsia="zh-CN"/>
        </w:rPr>
        <w:t>115026.74</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87946.99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76.46</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2491.31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2.17</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10707.83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9.31</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13880.6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12.06</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三、支出决算情况说明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Theme="minorEastAsia" w:hAnsiTheme="minorEastAsia" w:eastAsiaTheme="minorEastAsia"/>
          <w:sz w:val="32"/>
          <w:szCs w:val="32"/>
          <w:lang w:val="en-US" w:eastAsia="zh-CN"/>
        </w:rPr>
        <w:t>115052.40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88343.75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76.79</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26708.65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23.21</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四、财政拨款收入支出决算总体情况说明</w:t>
      </w:r>
    </w:p>
    <w:p>
      <w:pPr>
        <w:pStyle w:val="9"/>
        <w:ind w:firstLine="640"/>
        <w:rPr>
          <w:rFonts w:hint="eastAsia" w:ascii="仿宋_GB2312" w:hAnsi="仿宋_GB2312" w:eastAsia="仿宋_GB2312" w:cs="仿宋_GB2312"/>
          <w:color w:val="auto"/>
          <w:sz w:val="32"/>
          <w:szCs w:val="32"/>
          <w:lang w:val="en-US"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87946.99</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4611.11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5.53</w:t>
      </w:r>
      <w:r>
        <w:rPr>
          <w:rFonts w:hint="eastAsia" w:asciiTheme="minorEastAsia" w:hAnsiTheme="minorEastAsia" w:eastAsiaTheme="minorEastAsia"/>
          <w:sz w:val="32"/>
          <w:szCs w:val="32"/>
        </w:rPr>
        <w:t>%，主要是因为因为</w:t>
      </w:r>
      <w:r>
        <w:rPr>
          <w:rFonts w:hint="eastAsia" w:asciiTheme="minorEastAsia" w:hAnsiTheme="minorEastAsia" w:eastAsiaTheme="minorEastAsia"/>
          <w:sz w:val="32"/>
          <w:szCs w:val="32"/>
          <w:lang w:val="en-US" w:eastAsia="zh-CN"/>
        </w:rPr>
        <w:t>是1、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教职员工工资福利</w:t>
      </w:r>
      <w:r>
        <w:rPr>
          <w:rFonts w:hint="eastAsia" w:ascii="仿宋_GB2312" w:hAnsi="仿宋_GB2312" w:eastAsia="仿宋_GB2312" w:cs="仿宋_GB2312"/>
          <w:color w:val="auto"/>
          <w:sz w:val="32"/>
          <w:szCs w:val="32"/>
          <w:lang w:val="en-US" w:eastAsia="zh-CN"/>
        </w:rPr>
        <w:t>增加。2、专项追加。</w:t>
      </w:r>
    </w:p>
    <w:p>
      <w:pPr>
        <w:pStyle w:val="9"/>
        <w:ind w:firstLine="640"/>
        <w:rPr>
          <w:rFonts w:hAnsi="黑体"/>
          <w:b/>
          <w:sz w:val="32"/>
          <w:szCs w:val="32"/>
        </w:rPr>
      </w:pPr>
      <w:r>
        <w:rPr>
          <w:rFonts w:hint="eastAsia" w:hAnsi="黑体"/>
          <w:b/>
          <w:sz w:val="32"/>
          <w:szCs w:val="32"/>
        </w:rPr>
        <w:t>五、一般公共预算财政拨款支出决算情况说明</w:t>
      </w:r>
    </w:p>
    <w:p>
      <w:pPr>
        <w:pStyle w:val="9"/>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87946.99</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76.44</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1800.95</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2.09</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教职员工工资福利</w:t>
      </w:r>
      <w:r>
        <w:rPr>
          <w:rFonts w:hint="eastAsia" w:ascii="仿宋_GB2312" w:hAnsi="仿宋_GB2312" w:eastAsia="仿宋_GB2312" w:cs="仿宋_GB2312"/>
          <w:color w:val="auto"/>
          <w:sz w:val="32"/>
          <w:szCs w:val="32"/>
          <w:lang w:val="en-US" w:eastAsia="zh-CN"/>
        </w:rPr>
        <w:t>增加。2、专项追加。</w:t>
      </w:r>
    </w:p>
    <w:p>
      <w:pPr>
        <w:pStyle w:val="9"/>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87946.99</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sz w:val="32"/>
          <w:szCs w:val="32"/>
          <w:lang w:val="en-US" w:eastAsia="zh-CN"/>
        </w:rPr>
        <w:t>教</w:t>
      </w:r>
      <w:r>
        <w:rPr>
          <w:rFonts w:hint="eastAsia" w:asciiTheme="minorEastAsia" w:hAnsiTheme="minorEastAsia" w:eastAsiaTheme="minorEastAsia"/>
          <w:sz w:val="32"/>
          <w:szCs w:val="32"/>
        </w:rPr>
        <w:t>育（类）支出</w:t>
      </w:r>
      <w:r>
        <w:rPr>
          <w:rFonts w:hint="eastAsia" w:asciiTheme="minorEastAsia" w:hAnsiTheme="minorEastAsia" w:eastAsiaTheme="minorEastAsia"/>
          <w:sz w:val="32"/>
          <w:szCs w:val="32"/>
          <w:lang w:val="en-US" w:eastAsia="zh-CN"/>
        </w:rPr>
        <w:t>87759.39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99.79</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val="en-US" w:eastAsia="zh-CN"/>
        </w:rPr>
        <w:t>文化旅游体育与传媒支出150万元，占0.17%，社会保障和就业支出37.6万元，占0.04%</w:t>
      </w:r>
    </w:p>
    <w:p>
      <w:pPr>
        <w:pStyle w:val="9"/>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Theme="minorEastAsia" w:hAnsiTheme="minorEastAsia" w:eastAsiaTheme="minorEastAsia"/>
          <w:sz w:val="32"/>
          <w:szCs w:val="32"/>
          <w:lang w:val="en-US" w:eastAsia="zh-CN"/>
        </w:rPr>
        <w:t>65315.27</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87946.99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134.65</w:t>
      </w:r>
      <w:r>
        <w:rPr>
          <w:rFonts w:hint="eastAsia" w:asciiTheme="minorEastAsia" w:hAnsiTheme="minorEastAsia" w:eastAsiaTheme="minorEastAsia"/>
          <w:sz w:val="32"/>
          <w:szCs w:val="32"/>
        </w:rPr>
        <w:t>%，其中：</w:t>
      </w:r>
    </w:p>
    <w:p>
      <w:pPr>
        <w:pStyle w:val="9"/>
        <w:ind w:firstLine="960" w:firstLineChars="30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1、</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教育支出（类）教育管理事务（款）行政运行（项）.</w:t>
      </w:r>
    </w:p>
    <w:p>
      <w:pPr>
        <w:pStyle w:val="9"/>
        <w:ind w:firstLine="800" w:firstLineChars="25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17854.38.</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4149.62</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23.24</w:t>
      </w:r>
      <w:r>
        <w:rPr>
          <w:rFonts w:hint="eastAsia" w:asciiTheme="minorEastAsia" w:hAnsiTheme="minorEastAsia" w:eastAsiaTheme="minorEastAsia"/>
          <w:color w:val="000000" w:themeColor="text1"/>
          <w:sz w:val="32"/>
          <w:szCs w:val="32"/>
          <w14:textFill>
            <w14:solidFill>
              <w14:schemeClr w14:val="tx1"/>
            </w14:solidFill>
          </w14:textFill>
        </w:rPr>
        <w:t>%，决算数</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小于</w:t>
      </w:r>
      <w:r>
        <w:rPr>
          <w:rFonts w:hint="eastAsia" w:asciiTheme="minorEastAsia" w:hAnsiTheme="minorEastAsia" w:eastAsiaTheme="minorEastAsia"/>
          <w:color w:val="000000" w:themeColor="text1"/>
          <w:sz w:val="32"/>
          <w:szCs w:val="32"/>
          <w14:textFill>
            <w14:solidFill>
              <w14:schemeClr w14:val="tx1"/>
            </w14:solidFill>
          </w14:textFill>
        </w:rPr>
        <w:t>年初预算数的主要原因是：</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1）指标未严格按功能科目代码归置。（2)财政资金调度困难，预算未执行到位</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2、</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教育支出（类）普通教育（款）学前教育（项）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167.8</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3186</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1898.69</w:t>
      </w:r>
      <w:r>
        <w:rPr>
          <w:rFonts w:hint="eastAsia" w:asciiTheme="minorEastAsia" w:hAnsiTheme="minorEastAsia" w:eastAsiaTheme="minorEastAsia"/>
          <w:color w:val="000000" w:themeColor="text1"/>
          <w:sz w:val="32"/>
          <w:szCs w:val="32"/>
          <w14:textFill>
            <w14:solidFill>
              <w14:schemeClr w14:val="tx1"/>
            </w14:solidFill>
          </w14:textFill>
        </w:rPr>
        <w:t>%，决算数大于年初预算数的主要原因是：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2021年新建了东办中心幼儿园并如期开园。</w:t>
      </w:r>
    </w:p>
    <w:p>
      <w:pPr>
        <w:pStyle w:val="9"/>
        <w:ind w:firstLine="800" w:firstLineChars="250"/>
        <w:rPr>
          <w:rFonts w:hint="default" w:asciiTheme="minorEastAsia" w:hAnsiTheme="minorEastAsia" w:eastAsiaTheme="minorEastAsia"/>
          <w:color w:val="000000" w:themeColor="text1"/>
          <w:sz w:val="32"/>
          <w:szCs w:val="32"/>
          <w:lang w:val="en-US"/>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3</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教育支出（类）普通教育（款）小学教育（项）.</w:t>
      </w:r>
    </w:p>
    <w:p>
      <w:pPr>
        <w:pStyle w:val="9"/>
        <w:ind w:firstLine="800" w:firstLineChars="25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27579.79</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52895.81</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191.79</w:t>
      </w:r>
      <w:r>
        <w:rPr>
          <w:rFonts w:hint="eastAsia" w:asciiTheme="minorEastAsia" w:hAnsiTheme="minorEastAsia" w:eastAsiaTheme="minorEastAsia"/>
          <w:color w:val="000000" w:themeColor="text1"/>
          <w:sz w:val="32"/>
          <w:szCs w:val="32"/>
          <w14:textFill>
            <w14:solidFill>
              <w14:schemeClr w14:val="tx1"/>
            </w14:solidFill>
          </w14:textFill>
        </w:rPr>
        <w:t>%，决算数大于年初预算数的主要原因是：</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1）、上级专项追加。（2）、人员工资福利待遇提高。（3)、因教育局是一级预算，二级单位独立核算，指标未严格按功能科目代码归置</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4</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教育支出（类）普通教育（款）初中教育（项）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9561.81</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13260.81</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138.69</w:t>
      </w:r>
      <w:r>
        <w:rPr>
          <w:rFonts w:hint="eastAsia" w:asciiTheme="minorEastAsia" w:hAnsiTheme="minorEastAsia" w:eastAsiaTheme="minorEastAsia"/>
          <w:color w:val="000000" w:themeColor="text1"/>
          <w:sz w:val="32"/>
          <w:szCs w:val="32"/>
          <w14:textFill>
            <w14:solidFill>
              <w14:schemeClr w14:val="tx1"/>
            </w14:solidFill>
          </w14:textFill>
        </w:rPr>
        <w:t>%，决算数</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大</w:t>
      </w:r>
      <w:r>
        <w:rPr>
          <w:rFonts w:hint="eastAsia" w:asciiTheme="minorEastAsia" w:hAnsiTheme="minorEastAsia" w:eastAsiaTheme="minorEastAsia"/>
          <w:color w:val="000000" w:themeColor="text1"/>
          <w:sz w:val="32"/>
          <w:szCs w:val="32"/>
          <w14:textFill>
            <w14:solidFill>
              <w14:schemeClr w14:val="tx1"/>
            </w14:solidFill>
          </w14:textFill>
        </w:rPr>
        <w:t>于年初预算数的主要原因是：</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1）、2021年新建了东台中学。（2）、人员工资福利待遇提高。</w:t>
      </w:r>
    </w:p>
    <w:p>
      <w:pPr>
        <w:pStyle w:val="9"/>
        <w:ind w:firstLine="960" w:firstLineChars="3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5</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教育支出（类）普通教育（款）高中教育（项）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8534.71</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10444.82</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122.38</w:t>
      </w:r>
      <w:r>
        <w:rPr>
          <w:rFonts w:hint="eastAsia" w:asciiTheme="minorEastAsia" w:hAnsiTheme="minorEastAsia" w:eastAsiaTheme="minorEastAsia"/>
          <w:color w:val="000000" w:themeColor="text1"/>
          <w:sz w:val="32"/>
          <w:szCs w:val="32"/>
          <w14:textFill>
            <w14:solidFill>
              <w14:schemeClr w14:val="tx1"/>
            </w14:solidFill>
          </w14:textFill>
        </w:rPr>
        <w:t>%，决算数大于年初预算数的主要原因是：</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1）、人员工资福利待遇提高。（2）、政府加大了对高中教育的投入。</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6</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教育支出（类）普通教育（款）其他普通教育支出（项）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98.57</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22.36</w:t>
      </w:r>
      <w:r>
        <w:rPr>
          <w:rFonts w:hint="eastAsia" w:asciiTheme="minorEastAsia" w:hAnsiTheme="minorEastAsia" w:eastAsiaTheme="minorEastAsia"/>
          <w:color w:val="000000" w:themeColor="text1"/>
          <w:sz w:val="32"/>
          <w:szCs w:val="32"/>
          <w14:textFill>
            <w14:solidFill>
              <w14:schemeClr w14:val="tx1"/>
            </w14:solidFill>
          </w14:textFill>
        </w:rPr>
        <w:t>万元，决算数</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小</w:t>
      </w:r>
      <w:r>
        <w:rPr>
          <w:rFonts w:hint="eastAsia" w:asciiTheme="minorEastAsia" w:hAnsiTheme="minorEastAsia" w:eastAsiaTheme="minorEastAsia"/>
          <w:color w:val="000000" w:themeColor="text1"/>
          <w:sz w:val="32"/>
          <w:szCs w:val="32"/>
          <w14:textFill>
            <w14:solidFill>
              <w14:schemeClr w14:val="tx1"/>
            </w14:solidFill>
          </w14:textFill>
        </w:rPr>
        <w:t>于年初预算数的主要原因是：</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1）、收入和支出未严格按功能科目代码归置。（2）、财政资金调度困难，预算未执行到位。</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7</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教育支出（类）职业教育（款）中等职业教育（项）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931.63</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1792.11</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192.36</w:t>
      </w:r>
      <w:r>
        <w:rPr>
          <w:rFonts w:hint="eastAsia" w:asciiTheme="minorEastAsia" w:hAnsiTheme="minorEastAsia" w:eastAsiaTheme="minorEastAsia"/>
          <w:color w:val="000000" w:themeColor="text1"/>
          <w:sz w:val="32"/>
          <w:szCs w:val="32"/>
          <w14:textFill>
            <w14:solidFill>
              <w14:schemeClr w14:val="tx1"/>
            </w14:solidFill>
          </w14:textFill>
        </w:rPr>
        <w:t>%，决算数大于年初预算数的主要原因是：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上级和本级政府加大了对职业教育的投入。（2）、人员工资福利待遇提高。</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8</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教育支出（类）特殊教育（款）特殊学校教育（项）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140.36</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300.65</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214.20</w:t>
      </w:r>
      <w:r>
        <w:rPr>
          <w:rFonts w:hint="eastAsia" w:asciiTheme="minorEastAsia" w:hAnsiTheme="minorEastAsia" w:eastAsiaTheme="minorEastAsia"/>
          <w:color w:val="000000" w:themeColor="text1"/>
          <w:sz w:val="32"/>
          <w:szCs w:val="32"/>
          <w14:textFill>
            <w14:solidFill>
              <w14:schemeClr w14:val="tx1"/>
            </w14:solidFill>
          </w14:textFill>
        </w:rPr>
        <w:t>%，决算数大于年初预算数的主要原因是：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上级和本级政府加大了对特教学校教育的投入。</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9</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教育支出（类）教育费附加安排的支出（款）农村中小学校舍建设（项）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0</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937.29</w:t>
      </w:r>
      <w:r>
        <w:rPr>
          <w:rFonts w:hint="eastAsia" w:asciiTheme="minorEastAsia" w:hAnsiTheme="minorEastAsia" w:eastAsiaTheme="minorEastAsia"/>
          <w:color w:val="000000" w:themeColor="text1"/>
          <w:sz w:val="32"/>
          <w:szCs w:val="32"/>
          <w14:textFill>
            <w14:solidFill>
              <w14:schemeClr w14:val="tx1"/>
            </w14:solidFill>
          </w14:textFill>
        </w:rPr>
        <w:t>万元，决算数大于年初预算数的主要原因是：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本级教育专项经费的投入。</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10</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教育支出（类）其他教育支出（款）其他教育支出（项）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260.8</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387.34</w:t>
      </w:r>
      <w:r>
        <w:rPr>
          <w:rFonts w:hint="eastAsia" w:asciiTheme="minorEastAsia" w:hAnsiTheme="minorEastAsia" w:eastAsiaTheme="minorEastAsia"/>
          <w:color w:val="000000" w:themeColor="text1"/>
          <w:sz w:val="32"/>
          <w:szCs w:val="32"/>
          <w14:textFill>
            <w14:solidFill>
              <w14:schemeClr w14:val="tx1"/>
            </w14:solidFill>
          </w14:textFill>
        </w:rPr>
        <w:t>万元，完成年初预算的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148.52</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14:textFill>
            <w14:solidFill>
              <w14:schemeClr w14:val="tx1"/>
            </w14:solidFill>
          </w14:textFill>
        </w:rPr>
        <w:t>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本级教育专项经费的投入和上级专项追加。</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11</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社会保障和就业支出（类）行政事业单位养老支出（款）事业单位离退休（项）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0</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37.60</w:t>
      </w:r>
      <w:r>
        <w:rPr>
          <w:rFonts w:hint="eastAsia" w:asciiTheme="minorEastAsia" w:hAnsiTheme="minorEastAsia" w:eastAsiaTheme="minorEastAsia"/>
          <w:color w:val="000000" w:themeColor="text1"/>
          <w:sz w:val="32"/>
          <w:szCs w:val="32"/>
          <w14:textFill>
            <w14:solidFill>
              <w14:schemeClr w14:val="tx1"/>
            </w14:solidFill>
          </w14:textFill>
        </w:rPr>
        <w:t>万元，决算数</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大</w:t>
      </w:r>
      <w:r>
        <w:rPr>
          <w:rFonts w:hint="eastAsia" w:asciiTheme="minorEastAsia" w:hAnsiTheme="minorEastAsia" w:eastAsiaTheme="minorEastAsia"/>
          <w:color w:val="000000" w:themeColor="text1"/>
          <w:sz w:val="32"/>
          <w:szCs w:val="32"/>
          <w14:textFill>
            <w14:solidFill>
              <w14:schemeClr w14:val="tx1"/>
            </w14:solidFill>
          </w14:textFill>
        </w:rPr>
        <w:t>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收入和支出未严格按功能科目代码归置。</w:t>
      </w:r>
    </w:p>
    <w:p>
      <w:pPr>
        <w:pStyle w:val="9"/>
        <w:ind w:firstLine="800" w:firstLineChars="25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12</w:t>
      </w:r>
      <w:r>
        <w:rPr>
          <w:rFonts w:hint="eastAsia" w:asciiTheme="minorEastAsia" w:hAnsiTheme="minorEastAsia" w:eastAsiaTheme="minorEastAsia"/>
          <w:color w:val="000000" w:themeColor="text1"/>
          <w:sz w:val="32"/>
          <w:szCs w:val="32"/>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文化旅游体育与传媒支出（类）体育（款）其他教育教育支出（项）</w:t>
      </w:r>
      <w:r>
        <w:rPr>
          <w:rFonts w:hint="eastAsia" w:asciiTheme="minorEastAsia" w:hAnsiTheme="minorEastAsia" w:eastAsiaTheme="minorEastAsia"/>
          <w:color w:val="000000" w:themeColor="text1"/>
          <w:sz w:val="32"/>
          <w:szCs w:val="32"/>
          <w14:textFill>
            <w14:solidFill>
              <w14:schemeClr w14:val="tx1"/>
            </w14:solidFill>
          </w14:textFill>
        </w:rPr>
        <w:t>。</w:t>
      </w:r>
    </w:p>
    <w:p>
      <w:pPr>
        <w:pStyle w:val="9"/>
        <w:ind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0</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50</w:t>
      </w:r>
      <w:r>
        <w:rPr>
          <w:rFonts w:hint="eastAsia" w:asciiTheme="minorEastAsia" w:hAnsiTheme="minorEastAsia" w:eastAsiaTheme="minorEastAsia"/>
          <w:color w:val="000000" w:themeColor="text1"/>
          <w:sz w:val="32"/>
          <w:szCs w:val="32"/>
          <w14:textFill>
            <w14:solidFill>
              <w14:schemeClr w14:val="tx1"/>
            </w14:solidFill>
          </w14:textFill>
        </w:rPr>
        <w:t>万元，决算数大于年初预算数的主要原因是：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上级专项追加。</w:t>
      </w:r>
    </w:p>
    <w:p>
      <w:pPr>
        <w:pStyle w:val="9"/>
        <w:numPr>
          <w:ilvl w:val="0"/>
          <w:numId w:val="2"/>
        </w:numPr>
        <w:ind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文化旅游体育与传媒支出（类）其他文化旅游体育与传媒支出（款）其他文化旅游体育与传媒支出（项）</w:t>
      </w: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0</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100</w:t>
      </w:r>
      <w:r>
        <w:rPr>
          <w:rFonts w:hint="eastAsia" w:asciiTheme="minorEastAsia" w:hAnsiTheme="minorEastAsia" w:eastAsiaTheme="minorEastAsia"/>
          <w:color w:val="000000" w:themeColor="text1"/>
          <w:sz w:val="32"/>
          <w:szCs w:val="32"/>
          <w14:textFill>
            <w14:solidFill>
              <w14:schemeClr w14:val="tx1"/>
            </w14:solidFill>
          </w14:textFill>
        </w:rPr>
        <w:t>万元，决算数大于年初预算数的主要原因是：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上级专项追加。</w:t>
      </w:r>
    </w:p>
    <w:p>
      <w:pPr>
        <w:pStyle w:val="9"/>
        <w:numPr>
          <w:ilvl w:val="0"/>
          <w:numId w:val="2"/>
        </w:numPr>
        <w:ind w:left="0" w:leftChars="0" w:firstLine="800" w:firstLineChars="250"/>
        <w:rPr>
          <w:rFonts w:hint="eastAsia"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教育支出（类）教育管理事务（款）一般行政管理事务支出（项）.</w:t>
      </w: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0</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200</w:t>
      </w:r>
      <w:r>
        <w:rPr>
          <w:rFonts w:hint="eastAsia" w:asciiTheme="minorEastAsia" w:hAnsiTheme="minorEastAsia" w:eastAsiaTheme="minorEastAsia"/>
          <w:color w:val="000000" w:themeColor="text1"/>
          <w:sz w:val="32"/>
          <w:szCs w:val="32"/>
          <w14:textFill>
            <w14:solidFill>
              <w14:schemeClr w14:val="tx1"/>
            </w14:solidFill>
          </w14:textFill>
        </w:rPr>
        <w:t>万元，决算数大于年初预算数的主要原因是：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收入和支出未严格按功能科目代码归置。</w:t>
      </w:r>
    </w:p>
    <w:p>
      <w:pPr>
        <w:pStyle w:val="9"/>
        <w:numPr>
          <w:ilvl w:val="0"/>
          <w:numId w:val="2"/>
        </w:numPr>
        <w:ind w:left="0" w:leftChars="0" w:firstLine="800" w:firstLineChars="250"/>
        <w:rPr>
          <w:rFonts w:hint="default" w:asciiTheme="minorEastAsia" w:hAnsiTheme="minorEastAsia" w:eastAsiaTheme="minorEastAsia"/>
          <w:color w:val="000000" w:themeColor="text1"/>
          <w:sz w:val="32"/>
          <w:szCs w:val="32"/>
          <w:lang w:val="en-US" w:eastAsia="zh-CN"/>
          <w14:textFill>
            <w14:solidFill>
              <w14:schemeClr w14:val="tx1"/>
            </w14:solidFill>
          </w14:textFill>
        </w:rPr>
      </w:pPr>
      <w:r>
        <w:rPr>
          <w:rFonts w:hint="eastAsia" w:asciiTheme="minorEastAsia" w:hAnsiTheme="minorEastAsia" w:eastAsiaTheme="minorEastAsia"/>
          <w:color w:val="000000" w:themeColor="text1"/>
          <w:sz w:val="32"/>
          <w:szCs w:val="32"/>
          <w:lang w:val="en-US" w:eastAsia="zh-CN"/>
          <w14:textFill>
            <w14:solidFill>
              <w14:schemeClr w14:val="tx1"/>
            </w14:solidFill>
          </w14:textFill>
        </w:rPr>
        <w:t>教育支出（类）进修及培训（款）教师进修（项）</w:t>
      </w:r>
      <w:r>
        <w:rPr>
          <w:rFonts w:hint="eastAsia" w:asciiTheme="minorEastAsia" w:hAnsiTheme="minorEastAsia" w:eastAsiaTheme="minorEastAsia"/>
          <w:color w:val="000000" w:themeColor="text1"/>
          <w:sz w:val="32"/>
          <w:szCs w:val="32"/>
          <w14:textFill>
            <w14:solidFill>
              <w14:schemeClr w14:val="tx1"/>
            </w14:solidFill>
          </w14:textFill>
        </w:rPr>
        <w:t>年初预算为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185.41</w:t>
      </w:r>
      <w:r>
        <w:rPr>
          <w:rFonts w:hint="eastAsia" w:asciiTheme="minorEastAsia" w:hAnsiTheme="minorEastAsia" w:eastAsiaTheme="minorEastAsia"/>
          <w:color w:val="000000" w:themeColor="text1"/>
          <w:sz w:val="32"/>
          <w:szCs w:val="32"/>
          <w14:textFill>
            <w14:solidFill>
              <w14:schemeClr w14:val="tx1"/>
            </w14:solidFill>
          </w14:textFill>
        </w:rPr>
        <w:t>万元，支出决算为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182.57</w:t>
      </w:r>
      <w:r>
        <w:rPr>
          <w:rFonts w:hint="eastAsia" w:asciiTheme="minorEastAsia" w:hAnsiTheme="minorEastAsia" w:eastAsiaTheme="minorEastAsia"/>
          <w:color w:val="000000" w:themeColor="text1"/>
          <w:sz w:val="32"/>
          <w:szCs w:val="32"/>
          <w14:textFill>
            <w14:solidFill>
              <w14:schemeClr w14:val="tx1"/>
            </w14:solidFill>
          </w14:textFill>
        </w:rPr>
        <w:t>万元，决算数</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小</w:t>
      </w:r>
      <w:r>
        <w:rPr>
          <w:rFonts w:hint="eastAsia" w:asciiTheme="minorEastAsia" w:hAnsiTheme="minorEastAsia" w:eastAsiaTheme="minorEastAsia"/>
          <w:color w:val="000000" w:themeColor="text1"/>
          <w:sz w:val="32"/>
          <w:szCs w:val="32"/>
          <w14:textFill>
            <w14:solidFill>
              <w14:schemeClr w14:val="tx1"/>
            </w14:solidFill>
          </w14:textFill>
        </w:rPr>
        <w:t>于年初预算数的主要原因是：</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人员异动。</w:t>
      </w:r>
    </w:p>
    <w:p>
      <w:pPr>
        <w:pStyle w:val="9"/>
        <w:numPr>
          <w:numId w:val="0"/>
        </w:numPr>
        <w:rPr>
          <w:rFonts w:hint="eastAsia" w:asciiTheme="minorEastAsia" w:hAnsiTheme="minorEastAsia" w:eastAsiaTheme="minorEastAsia"/>
          <w:color w:val="000000" w:themeColor="text1"/>
          <w:sz w:val="32"/>
          <w:szCs w:val="32"/>
          <w:lang w:val="en-US" w:eastAsia="zh-CN"/>
          <w14:textFill>
            <w14:solidFill>
              <w14:schemeClr w14:val="tx1"/>
            </w14:solidFill>
          </w14:textFill>
        </w:rPr>
      </w:pPr>
    </w:p>
    <w:p>
      <w:pPr>
        <w:pStyle w:val="9"/>
        <w:ind w:firstLine="640" w:firstLineChars="200"/>
        <w:rPr>
          <w:rFonts w:hAnsi="黑体"/>
          <w:b/>
          <w:color w:val="000000" w:themeColor="text1"/>
          <w:sz w:val="32"/>
          <w:szCs w:val="32"/>
          <w14:textFill>
            <w14:solidFill>
              <w14:schemeClr w14:val="tx1"/>
            </w14:solidFill>
          </w14:textFill>
        </w:rPr>
      </w:pPr>
      <w:r>
        <w:rPr>
          <w:rFonts w:hint="eastAsia" w:hAnsi="黑体"/>
          <w:b/>
          <w:color w:val="000000" w:themeColor="text1"/>
          <w:sz w:val="32"/>
          <w:szCs w:val="32"/>
          <w14:textFill>
            <w14:solidFill>
              <w14:schemeClr w14:val="tx1"/>
            </w14:solidFill>
          </w14:textFill>
        </w:rPr>
        <w:t>六、一般公共预算财政拨款基本支出决算情况说明</w:t>
      </w:r>
    </w:p>
    <w:p>
      <w:pPr>
        <w:pStyle w:val="9"/>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color w:val="000000" w:themeColor="text1"/>
          <w:sz w:val="32"/>
          <w:szCs w:val="32"/>
          <w14:textFill>
            <w14:solidFill>
              <w14:schemeClr w14:val="tx1"/>
            </w14:solidFill>
          </w14:textFill>
        </w:rPr>
        <w:t>2021年度财政拨款基本支出</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63820.24</w:t>
      </w:r>
      <w:r>
        <w:rPr>
          <w:rFonts w:hint="eastAsia" w:asciiTheme="minorEastAsia" w:hAnsiTheme="minorEastAsia" w:eastAsiaTheme="minorEastAsia"/>
          <w:color w:val="000000" w:themeColor="text1"/>
          <w:sz w:val="32"/>
          <w:szCs w:val="32"/>
          <w14:textFill>
            <w14:solidFill>
              <w14:schemeClr w14:val="tx1"/>
            </w14:solidFill>
          </w14:textFill>
        </w:rPr>
        <w:t>万元，其中：人员经费</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61618.19</w:t>
      </w:r>
      <w:r>
        <w:rPr>
          <w:rFonts w:hint="eastAsia" w:asciiTheme="minorEastAsia" w:hAnsiTheme="minorEastAsia" w:eastAsiaTheme="minorEastAsia"/>
          <w:color w:val="000000" w:themeColor="text1"/>
          <w:sz w:val="32"/>
          <w:szCs w:val="32"/>
          <w14:textFill>
            <w14:solidFill>
              <w14:schemeClr w14:val="tx1"/>
            </w14:solidFill>
          </w14:textFill>
        </w:rPr>
        <w:t>万元，占基本支出的</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96.55</w:t>
      </w:r>
      <w:r>
        <w:rPr>
          <w:rFonts w:hint="eastAsia" w:asciiTheme="minorEastAsia" w:hAnsiTheme="minorEastAsia" w:eastAsiaTheme="minorEastAsia"/>
          <w:color w:val="000000" w:themeColor="text1"/>
          <w:sz w:val="32"/>
          <w:szCs w:val="32"/>
          <w14:textFill>
            <w14:solidFill>
              <w14:schemeClr w14:val="tx1"/>
            </w14:solidFill>
          </w14:textFill>
        </w:rPr>
        <w:t>%,主要包括基本工资、津贴补贴、奖金、伙食补助费</w:t>
      </w:r>
      <w:r>
        <w:rPr>
          <w:rFonts w:hint="eastAsia" w:asciiTheme="minorEastAsia" w:hAnsiTheme="minorEastAsia" w:eastAsiaTheme="minorEastAsia"/>
          <w:color w:val="000000" w:themeColor="text1"/>
          <w:sz w:val="32"/>
          <w:szCs w:val="32"/>
          <w:lang w:eastAsia="zh-CN"/>
          <w14:textFill>
            <w14:solidFill>
              <w14:schemeClr w14:val="tx1"/>
            </w14:solidFill>
          </w14:textFill>
        </w:rPr>
        <w:t>、</w:t>
      </w:r>
      <w:r>
        <w:rPr>
          <w:rFonts w:hint="eastAsia" w:asciiTheme="minorEastAsia" w:hAnsiTheme="minorEastAsia" w:eastAsiaTheme="minorEastAsia"/>
          <w:color w:val="000000" w:themeColor="text1"/>
          <w:sz w:val="32"/>
          <w:szCs w:val="32"/>
          <w:lang w:val="en-US" w:eastAsia="zh-CN"/>
          <w14:textFill>
            <w14:solidFill>
              <w14:schemeClr w14:val="tx1"/>
            </w14:solidFill>
          </w14:textFill>
        </w:rPr>
        <w:t>绩效工资、机关事业单位基本养老保险缴费、职业年金缴费、职工基本医疗保险缴费、公务员医疗补助缴费、其它社会保障缴费、住房公积金、医疗费、其它工资福利支出、离休费、退休费、抚</w:t>
      </w:r>
      <w:r>
        <w:rPr>
          <w:rFonts w:hint="eastAsia" w:asciiTheme="minorEastAsia" w:hAnsiTheme="minorEastAsia" w:eastAsiaTheme="minorEastAsia"/>
          <w:sz w:val="32"/>
          <w:szCs w:val="32"/>
          <w:lang w:val="en-US" w:eastAsia="zh-CN"/>
        </w:rPr>
        <w:t>恤金、生活补助、救济费、医疗费补助、助学金、奖励金、其他对个人和家庭的补助</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2202.05</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3.45</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水费、电费、邮电费、物业管理费、差旅费、维修费、租赁费、会议费、培训费、公务接待费、专用材料费、专用燃料费、劳务费、委托业务费、工会费、福利费、公务用车运行维修费、其他交通费用、税金及附加费用、其它商品和服务支出、资本性支出、其他支出。</w:t>
      </w:r>
    </w:p>
    <w:p>
      <w:pPr>
        <w:pStyle w:val="9"/>
        <w:rPr>
          <w:rFonts w:hAnsi="黑体"/>
          <w:b/>
          <w:sz w:val="32"/>
          <w:szCs w:val="32"/>
        </w:rPr>
      </w:pPr>
      <w:r>
        <w:rPr>
          <w:rFonts w:hint="eastAsia" w:hAnsi="黑体"/>
          <w:b/>
          <w:sz w:val="32"/>
          <w:szCs w:val="32"/>
        </w:rPr>
        <w:t>七、一般公共预算财政拨款“三公”经费支出决算情况说明</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55.33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28.63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51.74</w:t>
      </w:r>
      <w:r>
        <w:rPr>
          <w:rFonts w:hint="eastAsia" w:asciiTheme="minorEastAsia" w:hAnsiTheme="minorEastAsia" w:eastAsiaTheme="minorEastAsia"/>
          <w:sz w:val="32"/>
          <w:szCs w:val="32"/>
        </w:rPr>
        <w:t>%，其中：</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30.36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3.66</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12.06</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val="en-US" w:eastAsia="zh-CN"/>
        </w:rPr>
        <w:t>遵照文件章程，厉行节约</w:t>
      </w:r>
      <w:r>
        <w:rPr>
          <w:rFonts w:hint="eastAsia" w:asciiTheme="minorEastAsia" w:hAnsiTheme="minorEastAsia" w:eastAsiaTheme="minorEastAsia"/>
          <w:sz w:val="32"/>
          <w:szCs w:val="32"/>
        </w:rPr>
        <w:t>，与上年相比减少</w:t>
      </w:r>
      <w:r>
        <w:rPr>
          <w:rFonts w:hint="eastAsia" w:asciiTheme="minorEastAsia" w:hAnsiTheme="minorEastAsia" w:eastAsiaTheme="minorEastAsia"/>
          <w:sz w:val="32"/>
          <w:szCs w:val="32"/>
          <w:lang w:val="en-US" w:eastAsia="zh-CN"/>
        </w:rPr>
        <w:t>5.15</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58.46</w:t>
      </w:r>
      <w:r>
        <w:rPr>
          <w:rFonts w:hint="eastAsia" w:asciiTheme="minorEastAsia" w:hAnsiTheme="minorEastAsia" w:eastAsiaTheme="minorEastAsia"/>
          <w:sz w:val="32"/>
          <w:szCs w:val="32"/>
        </w:rPr>
        <w:t>%,减少的主要原因是</w:t>
      </w:r>
      <w:r>
        <w:rPr>
          <w:rFonts w:hint="eastAsia" w:asciiTheme="minorEastAsia" w:hAnsiTheme="minorEastAsia" w:eastAsiaTheme="minorEastAsia"/>
          <w:sz w:val="32"/>
          <w:szCs w:val="32"/>
          <w:lang w:val="en-US" w:eastAsia="zh-CN"/>
        </w:rPr>
        <w:t>规范操作，厉行节约</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20.39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20.39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20.39</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val="en-US" w:eastAsia="zh-CN"/>
        </w:rPr>
        <w:t>教育局原执法执勤用车按规定报废，在2021年新购置公务用车</w:t>
      </w:r>
      <w:r>
        <w:rPr>
          <w:rFonts w:hint="eastAsia" w:asciiTheme="minorEastAsia" w:hAnsiTheme="minorEastAsia" w:eastAsiaTheme="minorEastAsia"/>
          <w:sz w:val="32"/>
          <w:szCs w:val="32"/>
        </w:rPr>
        <w:t>。</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4.58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4.58</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2.04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80.3</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val="en-US" w:eastAsia="zh-CN"/>
        </w:rPr>
        <w:t>2021年公务用车运行维修费预算编制经费增加到4.8万元/台</w:t>
      </w:r>
      <w:r>
        <w:rPr>
          <w:rFonts w:hint="eastAsia" w:asciiTheme="minorEastAsia" w:hAnsiTheme="minorEastAsia" w:eastAsiaTheme="minorEastAsia"/>
          <w:sz w:val="32"/>
          <w:szCs w:val="32"/>
        </w:rPr>
        <w:t>。</w:t>
      </w:r>
    </w:p>
    <w:p>
      <w:pPr>
        <w:pStyle w:val="9"/>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3.66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12.78</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24.97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87.22</w:t>
      </w:r>
      <w:r>
        <w:rPr>
          <w:rFonts w:hint="eastAsia" w:asciiTheme="minorEastAsia" w:hAnsiTheme="minorEastAsia" w:eastAsiaTheme="minorEastAsia"/>
          <w:sz w:val="32"/>
          <w:szCs w:val="32"/>
        </w:rPr>
        <w:t>%。其中：</w:t>
      </w:r>
    </w:p>
    <w:p>
      <w:pPr>
        <w:pStyle w:val="9"/>
        <w:ind w:firstLine="960" w:firstLineChars="3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3.66</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171</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510</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val="en-US" w:eastAsia="zh-CN"/>
        </w:rPr>
        <w:t>专项检查和教育教学管理相关事项</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24.97</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20.39</w:t>
      </w:r>
      <w:r>
        <w:rPr>
          <w:rFonts w:hint="eastAsia" w:asciiTheme="minorEastAsia" w:hAnsiTheme="minorEastAsia"/>
          <w:sz w:val="32"/>
          <w:szCs w:val="32"/>
        </w:rPr>
        <w:t>万元，</w:t>
      </w:r>
      <w:r>
        <w:rPr>
          <w:rFonts w:hint="eastAsia" w:asciiTheme="minorEastAsia" w:hAnsiTheme="minorEastAsia"/>
          <w:sz w:val="32"/>
          <w:szCs w:val="32"/>
          <w:lang w:val="en-US" w:eastAsia="zh-CN"/>
        </w:rPr>
        <w:t>教育局机关</w:t>
      </w:r>
      <w:r>
        <w:rPr>
          <w:rFonts w:hint="eastAsia" w:asciiTheme="minorEastAsia" w:hAnsiTheme="minorEastAsia"/>
          <w:sz w:val="32"/>
          <w:szCs w:val="32"/>
        </w:rPr>
        <w:t>更新公务用车</w:t>
      </w:r>
      <w:r>
        <w:rPr>
          <w:rFonts w:hint="eastAsia" w:asciiTheme="minorEastAsia" w:hAnsiTheme="minorEastAsia"/>
          <w:sz w:val="32"/>
          <w:szCs w:val="32"/>
          <w:lang w:val="en-US" w:eastAsia="zh-CN"/>
        </w:rPr>
        <w:t>1</w:t>
      </w:r>
      <w:r>
        <w:rPr>
          <w:rFonts w:hint="eastAsia" w:asciiTheme="minorEastAsia" w:hAnsiTheme="minorEastAsia"/>
          <w:sz w:val="32"/>
          <w:szCs w:val="32"/>
        </w:rPr>
        <w:t>辆</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4.58</w:t>
      </w:r>
      <w:r>
        <w:rPr>
          <w:rFonts w:hint="eastAsia" w:asciiTheme="minorEastAsia" w:hAnsiTheme="minorEastAsia"/>
          <w:sz w:val="32"/>
          <w:szCs w:val="32"/>
        </w:rPr>
        <w:t>万元，主要是</w:t>
      </w:r>
      <w:r>
        <w:rPr>
          <w:rFonts w:hint="eastAsia" w:asciiTheme="minorEastAsia" w:hAnsiTheme="minorEastAsia"/>
          <w:sz w:val="32"/>
          <w:szCs w:val="32"/>
          <w:lang w:val="en-US" w:eastAsia="zh-CN"/>
        </w:rPr>
        <w:t>教育局机关公务用车</w:t>
      </w:r>
      <w:r>
        <w:rPr>
          <w:rFonts w:hint="eastAsia" w:asciiTheme="minorEastAsia" w:hAnsiTheme="minorEastAsia"/>
          <w:sz w:val="32"/>
          <w:szCs w:val="32"/>
        </w:rPr>
        <w:t>支出，截止2021年12月31日，我单位开支财政拨款的公务用车保有量为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p>
    <w:p>
      <w:pPr>
        <w:pStyle w:val="9"/>
        <w:rPr>
          <w:rFonts w:hAnsi="黑体"/>
          <w:b/>
          <w:sz w:val="32"/>
          <w:szCs w:val="32"/>
        </w:rPr>
      </w:pPr>
      <w:r>
        <w:rPr>
          <w:rFonts w:hint="eastAsia" w:hAnsi="黑体"/>
          <w:b/>
          <w:sz w:val="32"/>
          <w:szCs w:val="32"/>
        </w:rPr>
        <w:t>八、政府性基金预算收入支出决算情况</w:t>
      </w:r>
    </w:p>
    <w:p>
      <w:pPr>
        <w:pStyle w:val="9"/>
        <w:rPr>
          <w:rFonts w:hint="eastAsia" w:asciiTheme="minorEastAsia" w:hAnsiTheme="minorEastAsia" w:eastAsiaTheme="minorEastAsia"/>
          <w:i/>
          <w:color w:val="FF0000"/>
          <w:sz w:val="32"/>
          <w:szCs w:val="32"/>
          <w:lang w:val="en-US" w:eastAsia="zh-CN"/>
        </w:rPr>
      </w:pPr>
      <w:r>
        <w:rPr>
          <w:rFonts w:hint="eastAsia" w:asciiTheme="minorEastAsia" w:hAnsiTheme="minorEastAsia" w:eastAsiaTheme="minorEastAsia"/>
          <w:sz w:val="32"/>
          <w:szCs w:val="32"/>
        </w:rPr>
        <w:t xml:space="preserve">     2021年度政府性基金预算财政拨款收入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val="en-US" w:eastAsia="zh-CN"/>
        </w:rPr>
        <w:t>.</w:t>
      </w:r>
    </w:p>
    <w:p>
      <w:pPr>
        <w:pStyle w:val="9"/>
        <w:rPr>
          <w:rFonts w:hAnsi="黑体"/>
          <w:b/>
          <w:sz w:val="32"/>
          <w:szCs w:val="32"/>
        </w:rPr>
      </w:pPr>
      <w:r>
        <w:rPr>
          <w:rFonts w:hint="eastAsia" w:hAnsi="黑体"/>
          <w:b/>
          <w:sz w:val="32"/>
          <w:szCs w:val="32"/>
        </w:rPr>
        <w:t>九、机关运行经费支出说明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109.98</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比上年决算数减少</w:t>
      </w:r>
      <w:r>
        <w:rPr>
          <w:rFonts w:hint="eastAsia" w:asciiTheme="minorEastAsia" w:hAnsiTheme="minorEastAsia" w:eastAsiaTheme="minorEastAsia"/>
          <w:sz w:val="32"/>
          <w:szCs w:val="32"/>
          <w:lang w:val="en-US" w:eastAsia="zh-CN"/>
        </w:rPr>
        <w:t>136.18</w:t>
      </w:r>
      <w:r>
        <w:rPr>
          <w:rFonts w:hint="eastAsia" w:asciiTheme="minorEastAsia" w:hAnsiTheme="minorEastAsia" w:eastAsiaTheme="minorEastAsia"/>
          <w:sz w:val="32"/>
          <w:szCs w:val="32"/>
        </w:rPr>
        <w:t xml:space="preserve"> 万元，降低</w:t>
      </w:r>
      <w:r>
        <w:rPr>
          <w:rFonts w:hint="eastAsia" w:asciiTheme="minorEastAsia" w:hAnsiTheme="minorEastAsia" w:eastAsiaTheme="minorEastAsia"/>
          <w:sz w:val="32"/>
          <w:szCs w:val="32"/>
          <w:lang w:val="en-US" w:eastAsia="zh-CN"/>
        </w:rPr>
        <w:t>55.32</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val="en-US" w:eastAsia="zh-CN"/>
        </w:rPr>
        <w:t>2021年财政资金调度困难，机关运行经费应付未付</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十、一般性支出情况说明</w:t>
      </w:r>
    </w:p>
    <w:p>
      <w:pPr>
        <w:pStyle w:val="9"/>
        <w:ind w:firstLine="640" w:firstLineChars="200"/>
        <w:rPr>
          <w:rFonts w:hint="default" w:asciiTheme="minorEastAsia" w:hAnsiTheme="minorEastAsia" w:eastAsiaTheme="minorEastAsia"/>
          <w:sz w:val="32"/>
          <w:szCs w:val="32"/>
          <w:lang w:val="en-US"/>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12.93</w:t>
      </w:r>
      <w:r>
        <w:rPr>
          <w:rFonts w:hint="eastAsia" w:asciiTheme="minorEastAsia" w:hAnsiTheme="minorEastAsia" w:eastAsiaTheme="minorEastAsia"/>
          <w:sz w:val="32"/>
          <w:szCs w:val="32"/>
        </w:rPr>
        <w:t>万元，</w:t>
      </w:r>
      <w:r>
        <w:rPr>
          <w:rFonts w:hint="eastAsia" w:cs="黑体" w:asciiTheme="minorEastAsia" w:hAnsiTheme="minorEastAsia"/>
          <w:b w:val="0"/>
          <w:bCs w:val="0"/>
          <w:color w:val="000000"/>
          <w:kern w:val="0"/>
          <w:sz w:val="32"/>
          <w:szCs w:val="32"/>
        </w:rPr>
        <w:t>用于召开</w:t>
      </w:r>
      <w:r>
        <w:rPr>
          <w:rFonts w:hint="eastAsia" w:cs="黑体" w:asciiTheme="minorEastAsia" w:hAnsiTheme="minorEastAsia"/>
          <w:b w:val="0"/>
          <w:bCs w:val="0"/>
          <w:color w:val="000000"/>
          <w:kern w:val="0"/>
          <w:sz w:val="32"/>
          <w:szCs w:val="32"/>
          <w:lang w:val="en-US" w:eastAsia="zh-CN"/>
        </w:rPr>
        <w:t>专项检查和重大活动</w:t>
      </w:r>
      <w:r>
        <w:rPr>
          <w:rFonts w:hint="eastAsia" w:cs="黑体" w:asciiTheme="minorEastAsia" w:hAnsiTheme="minorEastAsia"/>
          <w:b w:val="0"/>
          <w:bCs w:val="0"/>
          <w:color w:val="000000"/>
          <w:kern w:val="0"/>
          <w:sz w:val="32"/>
          <w:szCs w:val="32"/>
        </w:rPr>
        <w:t>会议，人数</w:t>
      </w:r>
      <w:r>
        <w:rPr>
          <w:rFonts w:hint="eastAsia" w:cs="黑体" w:asciiTheme="minorEastAsia" w:hAnsiTheme="minorEastAsia"/>
          <w:b w:val="0"/>
          <w:bCs w:val="0"/>
          <w:color w:val="000000"/>
          <w:kern w:val="0"/>
          <w:sz w:val="32"/>
          <w:szCs w:val="32"/>
          <w:lang w:val="en-US" w:eastAsia="zh-CN"/>
        </w:rPr>
        <w:t>2500</w:t>
      </w:r>
      <w:r>
        <w:rPr>
          <w:rFonts w:hint="eastAsia" w:cs="黑体" w:asciiTheme="minorEastAsia" w:hAnsiTheme="minorEastAsia"/>
          <w:b w:val="0"/>
          <w:bCs w:val="0"/>
          <w:color w:val="000000"/>
          <w:kern w:val="0"/>
          <w:sz w:val="32"/>
          <w:szCs w:val="32"/>
        </w:rPr>
        <w:t>人，内容为</w:t>
      </w:r>
      <w:r>
        <w:rPr>
          <w:rFonts w:hint="eastAsia" w:cs="黑体" w:asciiTheme="minorEastAsia" w:hAnsiTheme="minorEastAsia"/>
          <w:b w:val="0"/>
          <w:bCs w:val="0"/>
          <w:color w:val="000000"/>
          <w:kern w:val="0"/>
          <w:sz w:val="32"/>
          <w:szCs w:val="32"/>
          <w:lang w:val="en-US" w:eastAsia="zh-CN"/>
        </w:rPr>
        <w:t>安全、扶贫、收费、上级督导检查等；</w:t>
      </w:r>
      <w:r>
        <w:rPr>
          <w:rFonts w:hint="eastAsia" w:asciiTheme="minorEastAsia" w:hAnsiTheme="minorEastAsia" w:eastAsiaTheme="minorEastAsia"/>
          <w:b w:val="0"/>
          <w:bCs w:val="0"/>
          <w:sz w:val="32"/>
          <w:szCs w:val="32"/>
        </w:rPr>
        <w:t>开支培训费</w:t>
      </w:r>
      <w:r>
        <w:rPr>
          <w:rFonts w:hint="eastAsia" w:asciiTheme="minorEastAsia" w:hAnsiTheme="minorEastAsia" w:eastAsiaTheme="minorEastAsia"/>
          <w:b w:val="0"/>
          <w:bCs w:val="0"/>
          <w:sz w:val="32"/>
          <w:szCs w:val="32"/>
          <w:lang w:val="en-US" w:eastAsia="zh-CN"/>
        </w:rPr>
        <w:t>68.04</w:t>
      </w:r>
      <w:r>
        <w:rPr>
          <w:rFonts w:hint="eastAsia" w:asciiTheme="minorEastAsia" w:hAnsiTheme="minorEastAsia" w:eastAsiaTheme="minorEastAsia"/>
          <w:b w:val="0"/>
          <w:bCs w:val="0"/>
          <w:sz w:val="32"/>
          <w:szCs w:val="32"/>
        </w:rPr>
        <w:t>万元，</w:t>
      </w:r>
      <w:r>
        <w:rPr>
          <w:rFonts w:hint="eastAsia" w:cs="黑体" w:asciiTheme="minorEastAsia" w:hAnsiTheme="minorEastAsia"/>
          <w:color w:val="000000"/>
          <w:kern w:val="0"/>
          <w:sz w:val="32"/>
          <w:szCs w:val="32"/>
        </w:rPr>
        <w:t>用于开展</w:t>
      </w:r>
      <w:r>
        <w:rPr>
          <w:rFonts w:hint="eastAsia" w:cs="黑体" w:asciiTheme="minorEastAsia" w:hAnsiTheme="minorEastAsia"/>
          <w:color w:val="000000"/>
          <w:kern w:val="0"/>
          <w:sz w:val="32"/>
          <w:szCs w:val="32"/>
          <w:lang w:val="en-US" w:eastAsia="zh-CN"/>
        </w:rPr>
        <w:t>教师和幼师</w:t>
      </w:r>
      <w:r>
        <w:rPr>
          <w:rFonts w:hint="eastAsia" w:cs="黑体" w:asciiTheme="minorEastAsia" w:hAnsiTheme="minorEastAsia"/>
          <w:color w:val="000000"/>
          <w:kern w:val="0"/>
          <w:sz w:val="32"/>
          <w:szCs w:val="32"/>
        </w:rPr>
        <w:t>培训，人数</w:t>
      </w:r>
      <w:r>
        <w:rPr>
          <w:rFonts w:hint="eastAsia" w:cs="黑体" w:asciiTheme="minorEastAsia" w:hAnsiTheme="minorEastAsia"/>
          <w:color w:val="000000"/>
          <w:kern w:val="0"/>
          <w:sz w:val="32"/>
          <w:szCs w:val="32"/>
          <w:lang w:val="en-US" w:eastAsia="zh-CN"/>
        </w:rPr>
        <w:t>3000</w:t>
      </w:r>
      <w:r>
        <w:rPr>
          <w:rFonts w:hint="eastAsia" w:cs="黑体" w:asciiTheme="minorEastAsia" w:hAnsiTheme="minorEastAsia"/>
          <w:color w:val="000000"/>
          <w:kern w:val="0"/>
          <w:sz w:val="32"/>
          <w:szCs w:val="32"/>
        </w:rPr>
        <w:t>人，内容为</w:t>
      </w:r>
      <w:r>
        <w:rPr>
          <w:rFonts w:hint="eastAsia" w:cs="黑体" w:asciiTheme="minorEastAsia" w:hAnsiTheme="minorEastAsia"/>
          <w:color w:val="000000"/>
          <w:kern w:val="0"/>
          <w:sz w:val="32"/>
          <w:szCs w:val="32"/>
          <w:lang w:val="en-US" w:eastAsia="zh-CN"/>
        </w:rPr>
        <w:t>幼师、国培、教师培训等。</w:t>
      </w:r>
    </w:p>
    <w:p>
      <w:pPr>
        <w:pStyle w:val="9"/>
        <w:rPr>
          <w:rFonts w:hAnsi="黑体"/>
          <w:b/>
          <w:sz w:val="32"/>
          <w:szCs w:val="32"/>
        </w:rPr>
      </w:pPr>
      <w:r>
        <w:rPr>
          <w:rFonts w:hint="eastAsia" w:hAnsi="黑体"/>
          <w:b/>
          <w:sz w:val="32"/>
          <w:szCs w:val="32"/>
        </w:rPr>
        <w:t>十一、政府采购支出说明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w:t>
      </w:r>
      <w:r>
        <w:rPr>
          <w:rFonts w:hint="eastAsia" w:asciiTheme="minorEastAsia" w:hAnsiTheme="minorEastAsia" w:eastAsiaTheme="minorEastAsia"/>
          <w:sz w:val="32"/>
          <w:szCs w:val="32"/>
          <w:lang w:val="en-US" w:eastAsia="zh-CN"/>
        </w:rPr>
        <w:t>3738.83</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1878.7</w:t>
      </w:r>
      <w:r>
        <w:rPr>
          <w:rFonts w:hint="eastAsia" w:asciiTheme="minorEastAsia" w:hAnsiTheme="minorEastAsia" w:eastAsiaTheme="minorEastAsia"/>
          <w:sz w:val="32"/>
          <w:szCs w:val="32"/>
        </w:rPr>
        <w:t xml:space="preserve"> 万元、政府采购工程支出</w:t>
      </w:r>
      <w:r>
        <w:rPr>
          <w:rFonts w:hint="eastAsia" w:asciiTheme="minorEastAsia" w:hAnsiTheme="minorEastAsia" w:eastAsiaTheme="minorEastAsia"/>
          <w:sz w:val="32"/>
          <w:szCs w:val="32"/>
          <w:lang w:val="en-US" w:eastAsia="zh-CN"/>
        </w:rPr>
        <w:t>1860.12</w:t>
      </w:r>
      <w:r>
        <w:rPr>
          <w:rFonts w:hint="eastAsia" w:asciiTheme="minorEastAsia" w:hAnsiTheme="minorEastAsia" w:eastAsiaTheme="minorEastAsia"/>
          <w:sz w:val="32"/>
          <w:szCs w:val="32"/>
        </w:rPr>
        <w:t xml:space="preserve"> 万元、政府采购服务支出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5.26</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0.14</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5.26</w:t>
      </w:r>
      <w:r>
        <w:rPr>
          <w:rFonts w:hint="eastAsia" w:asciiTheme="minorEastAsia" w:hAnsiTheme="minorEastAsia" w:eastAsiaTheme="minorEastAsia"/>
          <w:sz w:val="32"/>
          <w:szCs w:val="32"/>
        </w:rPr>
        <w:t>万元，占授予中小企业合同金额的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%；货物采购授予中小企业合同金额占货物支出金额的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%，工程采购授予中小企业合同金额占工程支出金额的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%，服务采购授予中小企业合同金额占服务支出金额的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9"/>
        <w:rPr>
          <w:rFonts w:hAnsi="黑体"/>
          <w:b/>
          <w:sz w:val="32"/>
          <w:szCs w:val="32"/>
        </w:rPr>
      </w:pPr>
      <w:r>
        <w:rPr>
          <w:rFonts w:hint="eastAsia" w:hAnsi="黑体"/>
          <w:b/>
          <w:sz w:val="32"/>
          <w:szCs w:val="32"/>
        </w:rPr>
        <w:t>十二、国有资产占用情况说明</w:t>
      </w:r>
    </w:p>
    <w:p>
      <w:pPr>
        <w:pStyle w:val="9"/>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9"/>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hint="default" w:cs="黑体" w:asciiTheme="minorEastAsia" w:hAnsiTheme="minorEastAsia" w:eastAsiaTheme="minorEastAsia"/>
          <w:color w:val="000000"/>
          <w:kern w:val="0"/>
          <w:sz w:val="32"/>
          <w:szCs w:val="32"/>
          <w:lang w:val="en-US" w:eastAsia="zh-CN"/>
        </w:rPr>
      </w:pPr>
      <w:bookmarkStart w:id="3" w:name="_GoBack"/>
      <w:r>
        <w:rPr>
          <w:rFonts w:hint="eastAsia" w:cs="黑体" w:asciiTheme="minorEastAsia" w:hAnsiTheme="minorEastAsia"/>
          <w:color w:val="000000"/>
          <w:kern w:val="0"/>
          <w:sz w:val="32"/>
          <w:szCs w:val="32"/>
        </w:rPr>
        <w:t>根据预算绩效管理要求，</w:t>
      </w:r>
      <w:r>
        <w:rPr>
          <w:rFonts w:hint="eastAsia" w:cs="黑体" w:asciiTheme="minorEastAsia" w:hAnsiTheme="minorEastAsia"/>
          <w:color w:val="000000"/>
          <w:kern w:val="0"/>
          <w:sz w:val="32"/>
          <w:szCs w:val="32"/>
          <w:lang w:val="en-US" w:eastAsia="zh-CN"/>
        </w:rPr>
        <w:t>我部门</w:t>
      </w:r>
      <w:r>
        <w:rPr>
          <w:rFonts w:hint="eastAsia" w:cs="黑体" w:asciiTheme="minorEastAsia" w:hAnsiTheme="minorEastAsia"/>
          <w:color w:val="000000"/>
          <w:kern w:val="0"/>
          <w:sz w:val="32"/>
          <w:szCs w:val="32"/>
        </w:rPr>
        <w:t>组织对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年度一般公共预算项目支出开展</w:t>
      </w:r>
      <w:r>
        <w:rPr>
          <w:rFonts w:hint="eastAsia" w:cs="黑体" w:asciiTheme="minorEastAsia" w:hAnsiTheme="minorEastAsia"/>
          <w:color w:val="000000"/>
          <w:kern w:val="0"/>
          <w:sz w:val="32"/>
          <w:szCs w:val="32"/>
          <w:lang w:val="en-US" w:eastAsia="zh-CN"/>
        </w:rPr>
        <w:t>了</w:t>
      </w:r>
      <w:r>
        <w:rPr>
          <w:rFonts w:hint="eastAsia" w:cs="黑体" w:asciiTheme="minorEastAsia" w:hAnsiTheme="minorEastAsia"/>
          <w:color w:val="000000"/>
          <w:kern w:val="0"/>
          <w:sz w:val="32"/>
          <w:szCs w:val="32"/>
        </w:rPr>
        <w:t>绩效自评，其中，一级项目</w:t>
      </w:r>
      <w:r>
        <w:rPr>
          <w:rFonts w:hint="eastAsia" w:cs="黑体" w:asciiTheme="minorEastAsia" w:hAnsiTheme="minorEastAsia"/>
          <w:color w:val="000000"/>
          <w:kern w:val="0"/>
          <w:sz w:val="32"/>
          <w:szCs w:val="32"/>
          <w:lang w:val="en-US" w:eastAsia="zh-CN"/>
        </w:rPr>
        <w:t>3</w:t>
      </w:r>
      <w:r>
        <w:rPr>
          <w:rFonts w:hint="eastAsia" w:cs="黑体" w:asciiTheme="minorEastAsia" w:hAnsiTheme="minorEastAsia"/>
          <w:color w:val="000000"/>
          <w:kern w:val="0"/>
          <w:sz w:val="32"/>
          <w:szCs w:val="32"/>
        </w:rPr>
        <w:t>个，共涉及资金</w:t>
      </w:r>
      <w:r>
        <w:rPr>
          <w:rFonts w:hint="eastAsia" w:cs="黑体" w:asciiTheme="minorEastAsia" w:hAnsiTheme="minorEastAsia"/>
          <w:color w:val="000000"/>
          <w:kern w:val="0"/>
          <w:sz w:val="32"/>
          <w:szCs w:val="32"/>
          <w:lang w:val="en-US" w:eastAsia="zh-CN"/>
        </w:rPr>
        <w:t>189</w:t>
      </w:r>
      <w:r>
        <w:rPr>
          <w:rFonts w:hint="eastAsia" w:cs="黑体" w:asciiTheme="minorEastAsia" w:hAnsiTheme="minorEastAsia"/>
          <w:color w:val="000000"/>
          <w:kern w:val="0"/>
          <w:sz w:val="32"/>
          <w:szCs w:val="32"/>
        </w:rPr>
        <w:t>万元，占一般公共预算项目支出总额的</w:t>
      </w:r>
      <w:r>
        <w:rPr>
          <w:rFonts w:hint="eastAsia" w:cs="黑体" w:asciiTheme="minorEastAsia" w:hAnsiTheme="minorEastAsia"/>
          <w:color w:val="000000"/>
          <w:kern w:val="0"/>
          <w:sz w:val="32"/>
          <w:szCs w:val="32"/>
          <w:lang w:val="en-US" w:eastAsia="zh-CN"/>
        </w:rPr>
        <w:t>46.32</w:t>
      </w:r>
      <w:r>
        <w:rPr>
          <w:rFonts w:cs="黑体" w:asciiTheme="minorEastAsia" w:hAnsiTheme="minorEastAsia"/>
          <w:color w:val="000000"/>
          <w:kern w:val="0"/>
          <w:sz w:val="32"/>
          <w:szCs w:val="32"/>
        </w:rPr>
        <w:t>%</w:t>
      </w:r>
      <w:r>
        <w:rPr>
          <w:rFonts w:hint="eastAsia" w:cs="黑体" w:asciiTheme="minorEastAsia" w:hAnsiTheme="minorEastAsia"/>
          <w:color w:val="000000"/>
          <w:kern w:val="0"/>
          <w:sz w:val="32"/>
          <w:szCs w:val="32"/>
        </w:rPr>
        <w:t>。</w:t>
      </w:r>
      <w:r>
        <w:rPr>
          <w:rFonts w:hint="eastAsia" w:cs="黑体" w:asciiTheme="minorEastAsia" w:hAnsiTheme="minorEastAsia"/>
          <w:color w:val="000000"/>
          <w:kern w:val="0"/>
          <w:sz w:val="32"/>
          <w:szCs w:val="32"/>
          <w:lang w:val="en-US" w:eastAsia="zh-CN"/>
        </w:rPr>
        <w:t>同时接受了上级部门对乡村小规模和寄宿制学校建设专项的绩效评价。</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lang w:val="en-US" w:eastAsia="zh-CN"/>
        </w:rPr>
        <w:t>财政局正在</w:t>
      </w:r>
      <w:r>
        <w:rPr>
          <w:rFonts w:hint="eastAsia" w:cs="黑体" w:asciiTheme="minorEastAsia" w:hAnsiTheme="minorEastAsia"/>
          <w:color w:val="000000"/>
          <w:kern w:val="0"/>
          <w:sz w:val="32"/>
          <w:szCs w:val="32"/>
        </w:rPr>
        <w:t>组织对</w:t>
      </w:r>
      <w:r>
        <w:rPr>
          <w:rFonts w:hint="eastAsia" w:cs="黑体" w:asciiTheme="minorEastAsia" w:hAnsiTheme="minorEastAsia"/>
          <w:color w:val="000000"/>
          <w:kern w:val="0"/>
          <w:sz w:val="32"/>
          <w:szCs w:val="32"/>
          <w:lang w:val="en-US" w:eastAsia="zh-CN"/>
        </w:rPr>
        <w:t>教育局教师招聘考试专项支出、基础教育奖励专项支出、初中毕业会考、体育测试专项支出三</w:t>
      </w:r>
      <w:r>
        <w:rPr>
          <w:rFonts w:hint="eastAsia" w:cs="黑体" w:asciiTheme="minorEastAsia" w:hAnsiTheme="minorEastAsia"/>
          <w:color w:val="000000"/>
          <w:kern w:val="0"/>
          <w:sz w:val="32"/>
          <w:szCs w:val="32"/>
        </w:rPr>
        <w:t>个项目开展</w:t>
      </w:r>
      <w:r>
        <w:rPr>
          <w:rFonts w:hint="eastAsia" w:cs="黑体" w:asciiTheme="minorEastAsia" w:hAnsiTheme="minorEastAsia"/>
          <w:color w:val="000000"/>
          <w:kern w:val="0"/>
          <w:sz w:val="32"/>
          <w:szCs w:val="32"/>
          <w:lang w:val="en-US" w:eastAsia="zh-CN"/>
        </w:rPr>
        <w:t>了现场</w:t>
      </w:r>
      <w:r>
        <w:rPr>
          <w:rFonts w:hint="eastAsia" w:cs="黑体" w:asciiTheme="minorEastAsia" w:hAnsiTheme="minorEastAsia"/>
          <w:color w:val="000000"/>
          <w:kern w:val="0"/>
          <w:sz w:val="32"/>
          <w:szCs w:val="32"/>
        </w:rPr>
        <w:t>评价，涉及一般公共预算支出</w:t>
      </w:r>
      <w:r>
        <w:rPr>
          <w:rFonts w:hint="eastAsia" w:cs="黑体" w:asciiTheme="minorEastAsia" w:hAnsiTheme="minorEastAsia"/>
          <w:color w:val="000000"/>
          <w:kern w:val="0"/>
          <w:sz w:val="32"/>
          <w:szCs w:val="32"/>
          <w:lang w:val="en-US" w:eastAsia="zh-CN"/>
        </w:rPr>
        <w:t>189</w:t>
      </w:r>
      <w:r>
        <w:rPr>
          <w:rFonts w:hint="eastAsia" w:cs="黑体" w:asciiTheme="minorEastAsia" w:hAnsiTheme="minorEastAsia"/>
          <w:color w:val="000000"/>
          <w:kern w:val="0"/>
          <w:sz w:val="32"/>
          <w:szCs w:val="32"/>
        </w:rPr>
        <w:t>万元。</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lang w:val="en-US" w:eastAsia="zh-CN"/>
        </w:rPr>
        <w:t>财政局正在</w:t>
      </w:r>
      <w:r>
        <w:rPr>
          <w:rFonts w:hint="eastAsia" w:cs="黑体" w:asciiTheme="minorEastAsia" w:hAnsiTheme="minorEastAsia"/>
          <w:color w:val="000000"/>
          <w:kern w:val="0"/>
          <w:sz w:val="32"/>
          <w:szCs w:val="32"/>
        </w:rPr>
        <w:t>组织对</w:t>
      </w:r>
      <w:r>
        <w:rPr>
          <w:rFonts w:hint="eastAsia" w:cs="黑体" w:asciiTheme="minorEastAsia" w:hAnsiTheme="minorEastAsia"/>
          <w:color w:val="000000"/>
          <w:kern w:val="0"/>
          <w:sz w:val="32"/>
          <w:szCs w:val="32"/>
          <w:lang w:val="en-US" w:eastAsia="zh-CN"/>
        </w:rPr>
        <w:t>教育局</w:t>
      </w:r>
      <w:r>
        <w:rPr>
          <w:rFonts w:hint="eastAsia" w:cs="黑体" w:asciiTheme="minorEastAsia" w:hAnsiTheme="minorEastAsia"/>
          <w:color w:val="000000"/>
          <w:kern w:val="0"/>
          <w:sz w:val="32"/>
          <w:szCs w:val="32"/>
        </w:rPr>
        <w:t>开展整体支出绩效评价，涉及一般公共预算支出</w:t>
      </w:r>
      <w:r>
        <w:rPr>
          <w:rFonts w:hint="eastAsia" w:cs="黑体" w:asciiTheme="minorEastAsia" w:hAnsiTheme="minorEastAsia"/>
          <w:color w:val="000000"/>
          <w:kern w:val="0"/>
          <w:sz w:val="32"/>
          <w:szCs w:val="32"/>
          <w:lang w:val="en-US" w:eastAsia="zh-CN"/>
        </w:rPr>
        <w:t>73455.33</w:t>
      </w:r>
      <w:r>
        <w:rPr>
          <w:rFonts w:cs="黑体" w:asciiTheme="minorEastAsia" w:hAnsiTheme="minorEastAsia"/>
          <w:color w:val="000000"/>
          <w:kern w:val="0"/>
          <w:sz w:val="32"/>
          <w:szCs w:val="32"/>
        </w:rPr>
        <w:t xml:space="preserve"> </w:t>
      </w:r>
      <w:r>
        <w:rPr>
          <w:rFonts w:hint="eastAsia" w:cs="黑体" w:asciiTheme="minorEastAsia" w:hAnsiTheme="minorEastAsia"/>
          <w:color w:val="000000"/>
          <w:kern w:val="0"/>
          <w:sz w:val="32"/>
          <w:szCs w:val="32"/>
        </w:rPr>
        <w:t>万元。</w:t>
      </w:r>
    </w:p>
    <w:p>
      <w:pPr>
        <w:pStyle w:val="9"/>
        <w:jc w:val="center"/>
        <w:rPr>
          <w:sz w:val="72"/>
          <w:szCs w:val="72"/>
        </w:rPr>
      </w:pPr>
    </w:p>
    <w:bookmarkEnd w:id="3"/>
    <w:p>
      <w:pPr>
        <w:pStyle w:val="9"/>
        <w:jc w:val="center"/>
        <w:rPr>
          <w:sz w:val="72"/>
          <w:szCs w:val="72"/>
        </w:rPr>
      </w:pPr>
    </w:p>
    <w:p>
      <w:pPr>
        <w:pStyle w:val="9"/>
        <w:jc w:val="center"/>
        <w:rPr>
          <w:sz w:val="72"/>
          <w:szCs w:val="72"/>
        </w:rPr>
      </w:pPr>
    </w:p>
    <w:p>
      <w:pPr>
        <w:pStyle w:val="9"/>
        <w:rPr>
          <w:sz w:val="72"/>
          <w:szCs w:val="72"/>
        </w:rPr>
      </w:pPr>
    </w:p>
    <w:p>
      <w:pPr>
        <w:pStyle w:val="9"/>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spacing w:line="600" w:lineRule="exact"/>
        <w:ind w:firstLine="660"/>
        <w:rPr>
          <w:rFonts w:eastAsia="Times New Roman"/>
          <w:sz w:val="32"/>
          <w:szCs w:val="32"/>
        </w:rPr>
      </w:pPr>
      <w:r>
        <w:rPr>
          <w:rFonts w:eastAsia="Times New Roman"/>
          <w:sz w:val="32"/>
          <w:szCs w:val="32"/>
        </w:rPr>
        <w:t>1</w:t>
      </w:r>
      <w:r>
        <w:rPr>
          <w:rFonts w:hint="eastAsia" w:ascii="宋体" w:hAnsi="宋体"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Times New Roman"/>
          <w:sz w:val="32"/>
          <w:szCs w:val="32"/>
        </w:rPr>
      </w:pPr>
      <w:r>
        <w:rPr>
          <w:rFonts w:eastAsia="Times New Roman"/>
          <w:sz w:val="32"/>
          <w:szCs w:val="32"/>
        </w:rPr>
        <w:t>2</w:t>
      </w:r>
      <w:r>
        <w:rPr>
          <w:rFonts w:hint="eastAsia" w:ascii="宋体" w:hAnsi="宋体" w:cs="宋体"/>
          <w:sz w:val="32"/>
          <w:szCs w:val="32"/>
        </w:rPr>
        <w:t>、</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经费：纳入省财政预算管理的</w:t>
      </w:r>
      <w:r>
        <w:rPr>
          <w:rFonts w:eastAsia="Times New Roman"/>
          <w:sz w:val="32"/>
          <w:szCs w:val="32"/>
        </w:rPr>
        <w:t>“</w:t>
      </w:r>
      <w:r>
        <w:rPr>
          <w:rFonts w:hint="eastAsia" w:ascii="宋体" w:hAnsi="宋体" w:cs="宋体"/>
          <w:sz w:val="32"/>
          <w:szCs w:val="32"/>
        </w:rPr>
        <w:t>三公</w:t>
      </w:r>
      <w:r>
        <w:rPr>
          <w:rFonts w:eastAsia="Times New Roman"/>
          <w:sz w:val="32"/>
          <w:szCs w:val="32"/>
        </w:rPr>
        <w:t>“</w:t>
      </w:r>
      <w:r>
        <w:rPr>
          <w:rFonts w:hint="eastAsia" w:ascii="宋体" w:hAnsi="宋体"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spacing w:line="600" w:lineRule="exact"/>
        <w:jc w:val="left"/>
        <w:rPr>
          <w:rFonts w:ascii="黑体" w:hAnsi="黑体" w:eastAsia="黑体" w:cs="黑体"/>
          <w:sz w:val="32"/>
          <w:szCs w:val="32"/>
        </w:rPr>
      </w:pPr>
      <w:r>
        <w:rPr>
          <w:rFonts w:ascii="黑体" w:hAnsi="黑体" w:eastAsia="黑体" w:cs="黑体"/>
          <w:sz w:val="32"/>
          <w:szCs w:val="32"/>
        </w:rPr>
        <w:t xml:space="preserve"> </w:t>
      </w: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p>
    <w:p>
      <w:pPr>
        <w:pStyle w:val="9"/>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hint="eastAsia" w:ascii="黑体" w:eastAsia="黑体" w:cs="黑体"/>
          <w:color w:val="000000"/>
          <w:kern w:val="0"/>
          <w:sz w:val="70"/>
          <w:szCs w:val="70"/>
          <w:lang w:eastAsia="zh-CN"/>
        </w:rPr>
      </w:pPr>
      <w:r>
        <w:rPr>
          <w:rFonts w:hint="eastAsia" w:ascii="黑体" w:eastAsia="黑体" w:cs="黑体"/>
          <w:color w:val="000000"/>
          <w:kern w:val="0"/>
          <w:sz w:val="70"/>
          <w:szCs w:val="70"/>
          <w:lang w:eastAsia="zh-CN"/>
        </w:rPr>
        <w:object>
          <v:shape id="_x0000_i1027" o:spt="75" type="#_x0000_t75" style="height:65.4pt;width:72.6pt;" o:ole="t" filled="f" o:preferrelative="t" stroked="f" coordsize="21600,21600">
            <v:fill on="f" focussize="0,0"/>
            <v:stroke on="f"/>
            <v:imagedata r:id="rId5" o:title=""/>
            <o:lock v:ext="edit" aspectratio="t"/>
            <w10:wrap type="none"/>
            <w10:anchorlock/>
          </v:shape>
          <o:OLEObject Type="Embed" ProgID="Word.Document.12" ShapeID="_x0000_i1027" DrawAspect="Icon" ObjectID="_1468075725" r:id="rId4">
            <o:LockedField>false</o:LockedField>
          </o:OLEObject>
        </w:object>
      </w:r>
    </w:p>
    <w:p>
      <w:pPr>
        <w:ind w:firstLine="640" w:firstLineChars="200"/>
        <w:jc w:val="center"/>
        <w:rPr>
          <w:rFonts w:hint="eastAsia" w:cs="黑体" w:asciiTheme="minorEastAsia" w:hAnsiTheme="minorEastAsia" w:eastAsiaTheme="minorEastAsia"/>
          <w:color w:val="000000"/>
          <w:kern w:val="0"/>
          <w:sz w:val="32"/>
          <w:szCs w:val="32"/>
          <w:lang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ËÎÌå">
    <w:altName w:val="Times New Roman"/>
    <w:panose1 w:val="00000000000000000000"/>
    <w:charset w:val="00"/>
    <w:family w:val="auto"/>
    <w:pitch w:val="default"/>
    <w:sig w:usb0="00000000" w:usb1="00000000" w:usb2="00000000" w:usb3="00000000" w:csb0="00000001" w:csb1="00000000"/>
  </w:font>
  <w:font w:name="方正小标宋_GBK">
    <w:altName w:val="Arial Unicode MS"/>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D95D8E"/>
    <w:multiLevelType w:val="singleLevel"/>
    <w:tmpl w:val="58D95D8E"/>
    <w:lvl w:ilvl="0" w:tentative="0">
      <w:start w:val="1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NzQyMzkxNjAxNDc0MTNlZmRmYjQ5MDY1NGM5M2UifQ=="/>
  </w:docVars>
  <w:rsids>
    <w:rsidRoot w:val="00172A27"/>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1BC779FF"/>
    <w:rsid w:val="3E3F4D6C"/>
    <w:rsid w:val="45A0614B"/>
    <w:rsid w:val="4A0F3F1D"/>
    <w:rsid w:val="4F193E7C"/>
    <w:rsid w:val="5106201A"/>
    <w:rsid w:val="57BD7605"/>
    <w:rsid w:val="5B632599"/>
    <w:rsid w:val="64E83DE8"/>
    <w:rsid w:val="77A43B27"/>
    <w:rsid w:val="7E484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paragraph" w:customStyle="1" w:styleId="9">
    <w:name w:val="Defaul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0">
    <w:name w:val="List Paragraph"/>
    <w:basedOn w:val="1"/>
    <w:qFormat/>
    <w:uiPriority w:val="34"/>
    <w:pPr>
      <w:ind w:firstLine="420" w:firstLineChars="200"/>
    </w:pPr>
  </w:style>
  <w:style w:type="character" w:customStyle="1" w:styleId="11">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34</Pages>
  <Words>9565</Words>
  <Characters>14111</Characters>
  <Lines>1</Lines>
  <Paragraphs>1</Paragraphs>
  <TotalTime>4</TotalTime>
  <ScaleCrop>false</ScaleCrop>
  <LinksUpToDate>false</LinksUpToDate>
  <CharactersWithSpaces>15532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Lenovo</cp:lastModifiedBy>
  <cp:lastPrinted>2022-09-02T07:27:24Z</cp:lastPrinted>
  <dcterms:modified xsi:type="dcterms:W3CDTF">2022-09-03T13:05:30Z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E25706D3967A4791B37ECEE87ACD41BD</vt:lpwstr>
  </property>
</Properties>
</file>