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2020年度</w:t>
      </w:r>
    </w:p>
    <w:p>
      <w:pPr>
        <w:pStyle w:val="11"/>
        <w:jc w:val="center"/>
        <w:rPr>
          <w:sz w:val="84"/>
          <w:szCs w:val="84"/>
        </w:rPr>
      </w:pPr>
      <w:r>
        <w:rPr>
          <w:rFonts w:hint="eastAsia"/>
          <w:sz w:val="84"/>
          <w:szCs w:val="84"/>
          <w:lang w:eastAsia="zh-CN"/>
        </w:rPr>
        <w:t>湘乡市供销社</w:t>
      </w: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jc w:val="center"/>
        <w:rPr>
          <w:sz w:val="32"/>
          <w:szCs w:val="32"/>
        </w:rPr>
      </w:pPr>
    </w:p>
    <w:p>
      <w:pPr>
        <w:pStyle w:val="11"/>
        <w:spacing w:line="540" w:lineRule="exact"/>
        <w:jc w:val="center"/>
        <w:rPr>
          <w:sz w:val="56"/>
          <w:szCs w:val="56"/>
        </w:rPr>
      </w:pPr>
    </w:p>
    <w:p>
      <w:pPr>
        <w:pStyle w:val="11"/>
        <w:spacing w:line="500" w:lineRule="exact"/>
        <w:jc w:val="center"/>
        <w:rPr>
          <w:b/>
          <w:sz w:val="36"/>
          <w:szCs w:val="28"/>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湘乡市供销社</w:t>
      </w:r>
      <w:r>
        <w:rPr>
          <w:rFonts w:hint="eastAsia"/>
          <w:b/>
          <w:sz w:val="28"/>
          <w:szCs w:val="28"/>
        </w:rPr>
        <w:t>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pStyle w:val="11"/>
        <w:jc w:val="center"/>
        <w:rPr>
          <w:rFonts w:hint="eastAsia"/>
          <w:sz w:val="84"/>
          <w:szCs w:val="84"/>
        </w:rPr>
      </w:pPr>
    </w:p>
    <w:p>
      <w:pPr>
        <w:pStyle w:val="11"/>
        <w:jc w:val="center"/>
        <w:rPr>
          <w:rFonts w:hint="eastAsia"/>
          <w:sz w:val="84"/>
          <w:szCs w:val="84"/>
        </w:rPr>
      </w:pPr>
    </w:p>
    <w:p>
      <w:pPr>
        <w:pStyle w:val="11"/>
        <w:jc w:val="center"/>
        <w:rPr>
          <w:rFonts w:hint="eastAsia"/>
          <w:sz w:val="84"/>
          <w:szCs w:val="84"/>
        </w:rPr>
      </w:pPr>
    </w:p>
    <w:p>
      <w:pPr>
        <w:pStyle w:val="11"/>
        <w:jc w:val="center"/>
        <w:rPr>
          <w:rFonts w:hint="eastAsia"/>
          <w:sz w:val="84"/>
          <w:szCs w:val="84"/>
        </w:rPr>
      </w:pPr>
    </w:p>
    <w:p>
      <w:pPr>
        <w:pStyle w:val="11"/>
        <w:jc w:val="center"/>
        <w:rPr>
          <w:sz w:val="84"/>
          <w:szCs w:val="84"/>
        </w:rPr>
      </w:pPr>
      <w:r>
        <w:rPr>
          <w:rFonts w:hint="eastAsia"/>
          <w:sz w:val="84"/>
          <w:szCs w:val="84"/>
        </w:rPr>
        <w:t>第一部分</w:t>
      </w:r>
    </w:p>
    <w:p>
      <w:pPr>
        <w:pStyle w:val="11"/>
        <w:jc w:val="center"/>
        <w:rPr>
          <w:sz w:val="84"/>
          <w:szCs w:val="84"/>
        </w:rPr>
      </w:pPr>
    </w:p>
    <w:p>
      <w:pPr>
        <w:pStyle w:val="11"/>
        <w:jc w:val="center"/>
        <w:rPr>
          <w:sz w:val="84"/>
          <w:szCs w:val="84"/>
        </w:rPr>
      </w:pPr>
      <w:r>
        <w:rPr>
          <w:rFonts w:hint="eastAsia"/>
          <w:sz w:val="84"/>
          <w:szCs w:val="84"/>
          <w:lang w:eastAsia="zh-CN"/>
        </w:rPr>
        <w:t>湘乡市供销社</w:t>
      </w:r>
      <w:r>
        <w:rPr>
          <w:rFonts w:hint="eastAsia"/>
          <w:sz w:val="84"/>
          <w:szCs w:val="84"/>
        </w:rPr>
        <w:t>单位概况</w:t>
      </w: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ind w:firstLine="800" w:firstLineChars="250"/>
        <w:jc w:val="left"/>
        <w:rPr>
          <w:rFonts w:hint="eastAsia" w:asciiTheme="minorEastAsia" w:hAnsiTheme="minorEastAsia"/>
          <w:sz w:val="32"/>
          <w:szCs w:val="32"/>
          <w:lang w:val="zh-CN"/>
        </w:rPr>
      </w:pPr>
      <w:r>
        <w:rPr>
          <w:rFonts w:hint="eastAsia" w:asciiTheme="minorEastAsia" w:hAnsiTheme="minorEastAsia"/>
          <w:sz w:val="32"/>
          <w:szCs w:val="32"/>
          <w:lang w:val="zh-CN"/>
        </w:rPr>
        <w:t>（一）、贯彻执行全国、省、市供销社和市委、市政府有关农村经济工作的方针、政策、法律、法规。</w:t>
      </w:r>
    </w:p>
    <w:p>
      <w:pPr>
        <w:ind w:firstLine="800" w:firstLineChars="250"/>
        <w:jc w:val="left"/>
        <w:rPr>
          <w:rFonts w:hint="eastAsia" w:asciiTheme="minorEastAsia" w:hAnsiTheme="minorEastAsia"/>
          <w:sz w:val="32"/>
          <w:szCs w:val="32"/>
          <w:lang w:val="zh-CN"/>
        </w:rPr>
      </w:pPr>
      <w:r>
        <w:rPr>
          <w:rFonts w:hint="eastAsia" w:asciiTheme="minorEastAsia" w:hAnsiTheme="minorEastAsia"/>
          <w:sz w:val="32"/>
          <w:szCs w:val="32"/>
          <w:lang w:val="zh-CN"/>
        </w:rPr>
        <w:t>（二）、研究制定全市供销合作社中长期的发展规划，体质改革方案，指导全市供销社的改革和发展，并组织实施，参与研究制定全市农村经济发展的具体规划。</w:t>
      </w:r>
    </w:p>
    <w:p>
      <w:pPr>
        <w:ind w:firstLine="800" w:firstLineChars="250"/>
        <w:jc w:val="left"/>
        <w:rPr>
          <w:rFonts w:hint="eastAsia" w:asciiTheme="minorEastAsia" w:hAnsiTheme="minorEastAsia"/>
          <w:sz w:val="32"/>
          <w:szCs w:val="32"/>
          <w:lang w:val="zh-CN"/>
        </w:rPr>
      </w:pPr>
      <w:r>
        <w:rPr>
          <w:rFonts w:hint="eastAsia" w:asciiTheme="minorEastAsia" w:hAnsiTheme="minorEastAsia"/>
          <w:sz w:val="32"/>
          <w:szCs w:val="32"/>
          <w:lang w:val="zh-CN"/>
        </w:rPr>
        <w:t>（三）、按照政府授权，指导有关农业生产资料和农夫产品的政策性业务经营。</w:t>
      </w:r>
    </w:p>
    <w:p>
      <w:pPr>
        <w:ind w:firstLine="800" w:firstLineChars="250"/>
        <w:jc w:val="left"/>
        <w:rPr>
          <w:rFonts w:hint="eastAsia" w:asciiTheme="minorEastAsia" w:hAnsiTheme="minorEastAsia"/>
          <w:sz w:val="32"/>
          <w:szCs w:val="32"/>
          <w:lang w:val="zh-CN"/>
        </w:rPr>
      </w:pPr>
      <w:r>
        <w:rPr>
          <w:rFonts w:hint="eastAsia" w:asciiTheme="minorEastAsia" w:hAnsiTheme="minorEastAsia"/>
          <w:sz w:val="32"/>
          <w:szCs w:val="32"/>
          <w:lang w:val="zh-CN"/>
        </w:rPr>
        <w:t>（四）、指导基层社供销系统开拓农村市场，推动全市供销合作社组织农民进入市场，发展农业产业化，规模化经营，为农业农村和农民提供综合服务，建立和完善本系统为农业生产和农村经济发展服务体系，预测预报相关的市场信息。</w:t>
      </w:r>
    </w:p>
    <w:p>
      <w:pPr>
        <w:ind w:firstLine="800" w:firstLineChars="250"/>
        <w:jc w:val="left"/>
        <w:rPr>
          <w:rFonts w:hint="eastAsia" w:asciiTheme="minorEastAsia" w:hAnsiTheme="minorEastAsia"/>
          <w:sz w:val="32"/>
          <w:szCs w:val="32"/>
          <w:lang w:val="zh-CN"/>
        </w:rPr>
      </w:pPr>
      <w:r>
        <w:rPr>
          <w:rFonts w:hint="eastAsia" w:asciiTheme="minorEastAsia" w:hAnsiTheme="minorEastAsia"/>
          <w:sz w:val="32"/>
          <w:szCs w:val="32"/>
          <w:lang w:val="zh-CN"/>
        </w:rPr>
        <w:t xml:space="preserve"> （五）、指导和监督全市供销系统社有资产的经营和管理。</w:t>
      </w:r>
    </w:p>
    <w:p>
      <w:pPr>
        <w:ind w:firstLine="800" w:firstLineChars="250"/>
        <w:jc w:val="left"/>
        <w:rPr>
          <w:rFonts w:asciiTheme="minorEastAsia" w:hAnsiTheme="minorEastAsia"/>
          <w:sz w:val="32"/>
          <w:szCs w:val="32"/>
        </w:rPr>
      </w:pPr>
      <w:r>
        <w:rPr>
          <w:rFonts w:hint="eastAsia" w:asciiTheme="minorEastAsia" w:hAnsiTheme="minorEastAsia"/>
          <w:sz w:val="32"/>
          <w:szCs w:val="32"/>
          <w:lang w:val="zh-CN"/>
        </w:rPr>
        <w:t xml:space="preserve"> （六）、完成市委、市政府交办的其他工作任务</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Theme="minorEastAsia" w:hAnsiTheme="minorEastAsia"/>
          <w:bCs/>
          <w:kern w:val="0"/>
          <w:sz w:val="32"/>
          <w:szCs w:val="32"/>
          <w:lang w:eastAsia="zh-CN"/>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湘乡市供销合作总社</w:t>
      </w:r>
      <w:r>
        <w:rPr>
          <w:rFonts w:hint="eastAsia" w:asciiTheme="minorEastAsia" w:hAnsiTheme="minorEastAsia"/>
          <w:bCs/>
          <w:kern w:val="0"/>
          <w:sz w:val="32"/>
          <w:szCs w:val="32"/>
        </w:rPr>
        <w:t>内设机构包括</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办公室、政工人事股、财务统计股、经贸发展股、审计监察股5个股室</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本级机关属参照公务员管理事业单位</w:t>
      </w:r>
      <w:r>
        <w:rPr>
          <w:rFonts w:hint="eastAsia" w:asciiTheme="minorEastAsia" w:hAnsiTheme="minorEastAsia"/>
          <w:bCs/>
          <w:kern w:val="0"/>
          <w:sz w:val="32"/>
          <w:szCs w:val="32"/>
          <w:lang w:eastAsia="zh-CN"/>
        </w:rPr>
        <w:t>）。下设</w:t>
      </w:r>
      <w:r>
        <w:rPr>
          <w:rFonts w:hint="eastAsia" w:asciiTheme="minorEastAsia" w:hAnsiTheme="minorEastAsia"/>
          <w:bCs/>
          <w:kern w:val="0"/>
          <w:sz w:val="32"/>
          <w:szCs w:val="32"/>
          <w:lang w:val="en-US" w:eastAsia="zh-CN"/>
        </w:rPr>
        <w:t>2个股级二级机构，分别为</w:t>
      </w:r>
      <w:r>
        <w:rPr>
          <w:rFonts w:hint="eastAsia" w:asciiTheme="minorEastAsia" w:hAnsiTheme="minorEastAsia"/>
          <w:bCs/>
          <w:kern w:val="0"/>
          <w:sz w:val="32"/>
          <w:szCs w:val="32"/>
          <w:lang w:eastAsia="zh-CN"/>
        </w:rPr>
        <w:t>湘乡市农村专业合作经济指导服务站（定</w:t>
      </w:r>
      <w:r>
        <w:rPr>
          <w:rFonts w:hint="eastAsia" w:asciiTheme="minorEastAsia" w:hAnsiTheme="minorEastAsia"/>
          <w:bCs/>
          <w:kern w:val="0"/>
          <w:sz w:val="32"/>
          <w:szCs w:val="32"/>
        </w:rPr>
        <w:t>额拨款单位</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，未实行单独核算</w:t>
      </w:r>
      <w:r>
        <w:rPr>
          <w:rFonts w:hint="eastAsia" w:asciiTheme="minorEastAsia" w:hAnsiTheme="minorEastAsia"/>
          <w:bCs/>
          <w:kern w:val="0"/>
          <w:sz w:val="32"/>
          <w:szCs w:val="32"/>
          <w:lang w:eastAsia="zh-CN"/>
        </w:rPr>
        <w:t>；</w:t>
      </w:r>
    </w:p>
    <w:p>
      <w:pPr>
        <w:widowControl/>
        <w:spacing w:line="600" w:lineRule="exact"/>
        <w:rPr>
          <w:rFonts w:asciiTheme="minorEastAsia" w:hAnsiTheme="minorEastAsia"/>
          <w:bCs/>
          <w:kern w:val="0"/>
          <w:sz w:val="32"/>
          <w:szCs w:val="32"/>
        </w:rPr>
      </w:pPr>
    </w:p>
    <w:p>
      <w:pPr>
        <w:jc w:val="left"/>
        <w:rPr>
          <w:rFonts w:ascii="仿宋_GB2312" w:eastAsia="仿宋_GB2312" w:hAnsiTheme="minorEastAsia"/>
          <w:sz w:val="28"/>
          <w:szCs w:val="32"/>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湘乡市</w:t>
      </w:r>
      <w:r>
        <w:rPr>
          <w:rFonts w:hint="eastAsia" w:asciiTheme="minorEastAsia" w:hAnsiTheme="minorEastAsia"/>
          <w:bCs/>
          <w:kern w:val="0"/>
          <w:sz w:val="32"/>
          <w:szCs w:val="32"/>
          <w:lang w:val="en-US" w:eastAsia="zh-CN"/>
        </w:rPr>
        <w:t>供销社合作总社机关本级</w:t>
      </w:r>
      <w:r>
        <w:rPr>
          <w:rFonts w:hint="eastAsia" w:asciiTheme="minorEastAsia" w:hAnsiTheme="minorEastAsia"/>
          <w:bCs/>
          <w:kern w:val="0"/>
          <w:sz w:val="32"/>
          <w:szCs w:val="32"/>
          <w:lang w:eastAsia="zh-CN"/>
        </w:rPr>
        <w:t>。</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7"/>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1229.85</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一、</w:t>
            </w:r>
            <w:r>
              <w:rPr>
                <w:rFonts w:hint="eastAsia" w:ascii="宋体" w:hAnsi="宋体" w:eastAsia="宋体" w:cs="宋体"/>
                <w:kern w:val="0"/>
                <w:sz w:val="22"/>
                <w:szCs w:val="22"/>
                <w:lang w:eastAsia="zh-CN"/>
              </w:rPr>
              <w:t>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188.36</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二、</w:t>
            </w:r>
            <w:r>
              <w:rPr>
                <w:rFonts w:hint="eastAsia" w:ascii="宋体" w:hAnsi="宋体" w:eastAsia="宋体" w:cs="宋体"/>
                <w:kern w:val="0"/>
                <w:sz w:val="22"/>
                <w:szCs w:val="22"/>
                <w:lang w:eastAsia="zh-CN"/>
              </w:rPr>
              <w:t>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15.55</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三、</w:t>
            </w:r>
            <w:r>
              <w:rPr>
                <w:rFonts w:hint="eastAsia" w:ascii="宋体" w:hAnsi="宋体" w:eastAsia="宋体" w:cs="宋体"/>
                <w:kern w:val="0"/>
                <w:sz w:val="22"/>
                <w:szCs w:val="22"/>
                <w:lang w:eastAsia="zh-CN"/>
              </w:rPr>
              <w:t>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927.01</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四、</w:t>
            </w:r>
            <w:r>
              <w:rPr>
                <w:rFonts w:hint="eastAsia" w:ascii="宋体" w:hAnsi="宋体" w:eastAsia="宋体" w:cs="宋体"/>
                <w:kern w:val="0"/>
                <w:sz w:val="22"/>
                <w:szCs w:val="22"/>
                <w:lang w:eastAsia="zh-CN"/>
              </w:rPr>
              <w:t>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27.92</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szCs w:val="22"/>
              </w:rPr>
            </w:pPr>
            <w:r>
              <w:rPr>
                <w:rFonts w:hint="eastAsia" w:ascii="宋体" w:hAnsi="宋体" w:eastAsia="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rPr>
            </w:pPr>
            <w:r>
              <w:rPr>
                <w:rFonts w:hint="eastAsia" w:ascii="宋体" w:hAnsi="宋体" w:eastAsia="宋体" w:cs="宋体"/>
                <w:kern w:val="0"/>
                <w:szCs w:val="21"/>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26.92</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1256.77</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1158.85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9.82</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107.74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1266.59</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1266.59</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p>
      <w:pPr>
        <w:widowControl/>
        <w:ind w:firstLine="630" w:firstLineChars="30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部门： </w:t>
      </w:r>
      <w:r>
        <w:rPr>
          <w:rFonts w:hint="eastAsia" w:ascii="宋体" w:hAnsi="宋体" w:eastAsia="宋体" w:cs="宋体"/>
          <w:color w:val="000000"/>
          <w:kern w:val="0"/>
          <w:szCs w:val="21"/>
          <w:lang w:eastAsia="zh-CN"/>
        </w:rPr>
        <w:t>湘乡市供销合作总社</w:t>
      </w:r>
      <w:r>
        <w:rPr>
          <w:rFonts w:hint="eastAsia" w:ascii="宋体" w:hAnsi="宋体" w:eastAsia="宋体" w:cs="宋体"/>
          <w:color w:val="000000"/>
          <w:kern w:val="0"/>
          <w:szCs w:val="21"/>
          <w:lang w:val="en-US" w:eastAsia="zh-CN"/>
        </w:rPr>
        <w:t xml:space="preserve">                                                                                                    </w:t>
      </w:r>
      <w:r>
        <w:rPr>
          <w:rFonts w:hint="eastAsia" w:ascii="宋体" w:hAnsi="宋体" w:eastAsia="宋体" w:cs="宋体"/>
          <w:color w:val="000000"/>
          <w:kern w:val="0"/>
          <w:szCs w:val="21"/>
        </w:rPr>
        <w:t>公开02表</w:t>
      </w:r>
    </w:p>
    <w:p>
      <w:pPr>
        <w:widowControl/>
        <w:ind w:right="630"/>
        <w:jc w:val="right"/>
        <w:rPr>
          <w:rFonts w:ascii="Times New Roman" w:hAnsi="Times New Roman" w:eastAsia="仿宋_GB2312" w:cs="Times New Roman"/>
          <w:color w:val="000000"/>
          <w:kern w:val="0"/>
          <w:szCs w:val="21"/>
        </w:rPr>
      </w:pPr>
      <w:r>
        <w:rPr>
          <w:rFonts w:hint="eastAsia" w:ascii="宋体" w:hAnsi="宋体" w:eastAsia="宋体" w:cs="宋体"/>
          <w:color w:val="000000"/>
          <w:kern w:val="0"/>
          <w:szCs w:val="21"/>
        </w:rPr>
        <w:t>单位：万元</w:t>
      </w:r>
    </w:p>
    <w:tbl>
      <w:tblPr>
        <w:tblStyle w:val="7"/>
        <w:tblW w:w="13813" w:type="dxa"/>
        <w:jc w:val="center"/>
        <w:tblLayout w:type="fixed"/>
        <w:tblCellMar>
          <w:top w:w="0" w:type="dxa"/>
          <w:left w:w="108" w:type="dxa"/>
          <w:bottom w:w="0" w:type="dxa"/>
          <w:right w:w="108" w:type="dxa"/>
        </w:tblCellMar>
      </w:tblPr>
      <w:tblGrid>
        <w:gridCol w:w="2023"/>
        <w:gridCol w:w="3656"/>
        <w:gridCol w:w="1444"/>
        <w:gridCol w:w="1442"/>
        <w:gridCol w:w="1049"/>
        <w:gridCol w:w="1049"/>
        <w:gridCol w:w="1050"/>
        <w:gridCol w:w="1050"/>
        <w:gridCol w:w="1050"/>
      </w:tblGrid>
      <w:tr>
        <w:tblPrEx>
          <w:tblCellMar>
            <w:top w:w="0" w:type="dxa"/>
            <w:left w:w="108" w:type="dxa"/>
            <w:bottom w:w="0" w:type="dxa"/>
            <w:right w:w="108" w:type="dxa"/>
          </w:tblCellMar>
        </w:tblPrEx>
        <w:trPr>
          <w:trHeight w:val="227" w:hRule="atLeast"/>
          <w:jc w:val="center"/>
        </w:trPr>
        <w:tc>
          <w:tcPr>
            <w:tcW w:w="5679"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项    目</w:t>
            </w:r>
          </w:p>
        </w:tc>
        <w:tc>
          <w:tcPr>
            <w:tcW w:w="1444"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本年收入合计</w:t>
            </w:r>
          </w:p>
        </w:tc>
        <w:tc>
          <w:tcPr>
            <w:tcW w:w="144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财政拨款收入</w:t>
            </w:r>
          </w:p>
        </w:tc>
        <w:tc>
          <w:tcPr>
            <w:tcW w:w="1049"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上级补助收入</w:t>
            </w:r>
          </w:p>
        </w:tc>
        <w:tc>
          <w:tcPr>
            <w:tcW w:w="1049"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事业收入</w:t>
            </w:r>
          </w:p>
        </w:tc>
        <w:tc>
          <w:tcPr>
            <w:tcW w:w="105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经营收入</w:t>
            </w:r>
          </w:p>
        </w:tc>
        <w:tc>
          <w:tcPr>
            <w:tcW w:w="105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附属单位上缴收入</w:t>
            </w:r>
          </w:p>
        </w:tc>
        <w:tc>
          <w:tcPr>
            <w:tcW w:w="1050" w:type="dxa"/>
            <w:vMerge w:val="restart"/>
            <w:tcBorders>
              <w:top w:val="single" w:color="auto" w:sz="8" w:space="0"/>
              <w:left w:val="single" w:color="auto" w:sz="4" w:space="0"/>
              <w:bottom w:val="single" w:color="000000" w:sz="4" w:space="0"/>
              <w:right w:val="single" w:color="auto" w:sz="8"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其他收入</w:t>
            </w:r>
          </w:p>
        </w:tc>
      </w:tr>
      <w:tr>
        <w:tblPrEx>
          <w:tblCellMar>
            <w:top w:w="0" w:type="dxa"/>
            <w:left w:w="108" w:type="dxa"/>
            <w:bottom w:w="0" w:type="dxa"/>
            <w:right w:w="108" w:type="dxa"/>
          </w:tblCellMar>
        </w:tblPrEx>
        <w:trPr>
          <w:trHeight w:val="312" w:hRule="atLeast"/>
          <w:jc w:val="center"/>
        </w:trPr>
        <w:tc>
          <w:tcPr>
            <w:tcW w:w="2023"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功能分类科目编码</w:t>
            </w:r>
          </w:p>
        </w:tc>
        <w:tc>
          <w:tcPr>
            <w:tcW w:w="36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科目名称</w:t>
            </w:r>
          </w:p>
        </w:tc>
        <w:tc>
          <w:tcPr>
            <w:tcW w:w="144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jc w:val="center"/>
        </w:trPr>
        <w:tc>
          <w:tcPr>
            <w:tcW w:w="2023" w:type="dxa"/>
            <w:vMerge w:val="continue"/>
            <w:tcBorders>
              <w:top w:val="single" w:color="auto" w:sz="4" w:space="0"/>
              <w:left w:val="single" w:color="auto" w:sz="8" w:space="0"/>
              <w:bottom w:val="single" w:color="000000" w:sz="4" w:space="0"/>
              <w:right w:val="nil"/>
            </w:tcBorders>
            <w:vAlign w:val="center"/>
          </w:tcPr>
          <w:p>
            <w:pPr>
              <w:widowControl/>
              <w:jc w:val="left"/>
              <w:rPr>
                <w:rFonts w:hint="eastAsia" w:ascii="宋体" w:hAnsi="宋体" w:eastAsia="宋体" w:cs="宋体"/>
                <w:kern w:val="0"/>
                <w:sz w:val="21"/>
                <w:szCs w:val="21"/>
              </w:rPr>
            </w:pPr>
          </w:p>
        </w:tc>
        <w:tc>
          <w:tcPr>
            <w:tcW w:w="365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8" w:space="0"/>
            </w:tcBorders>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5679"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栏次</w:t>
            </w:r>
          </w:p>
        </w:tc>
        <w:tc>
          <w:tcPr>
            <w:tcW w:w="14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4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10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10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c>
          <w:tcPr>
            <w:tcW w:w="1050" w:type="dxa"/>
            <w:tcBorders>
              <w:top w:val="nil"/>
              <w:left w:val="nil"/>
              <w:bottom w:val="single" w:color="auto" w:sz="4" w:space="0"/>
              <w:right w:val="single" w:color="auto" w:sz="8"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r>
      <w:tr>
        <w:tblPrEx>
          <w:tblCellMar>
            <w:top w:w="0" w:type="dxa"/>
            <w:left w:w="108" w:type="dxa"/>
            <w:bottom w:w="0" w:type="dxa"/>
            <w:right w:w="108" w:type="dxa"/>
          </w:tblCellMar>
        </w:tblPrEx>
        <w:trPr>
          <w:trHeight w:val="227" w:hRule="atLeast"/>
          <w:jc w:val="center"/>
        </w:trPr>
        <w:tc>
          <w:tcPr>
            <w:tcW w:w="5679"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合计</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1256.77</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1229.85</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社会保障和就业支出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188.36</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161.43</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26.93</w:t>
            </w: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行政事业单位养老支出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177.49</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150.57</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26.92</w:t>
            </w: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2080502</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事业单位离退休</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2080505</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机关事业单位基本养老保险支出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41.67</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41.67</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2080506</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机关事业单位职业年金缴费支出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85.41</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58.48</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4" w:space="0"/>
              <w:right w:val="single" w:color="auto" w:sz="8"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26.92</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20899</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b/>
                <w:bCs/>
                <w:kern w:val="0"/>
                <w:sz w:val="21"/>
                <w:szCs w:val="21"/>
                <w:lang w:eastAsia="zh-CN"/>
              </w:rPr>
              <w:t>其他社会保障和就业支出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10.86</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2089901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其他社会保障和就业支出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卫生健康支出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tabs>
                <w:tab w:val="center" w:pos="490"/>
              </w:tabs>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21011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行政事业单位医疗</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2101102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事业单位医疗</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商业服务业等支出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1024.93</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1024.93</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商业流通事务</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1024.93</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1024.93</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2010201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行政运行</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286.91</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286.91</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2160202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一般行政管理事务</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738.03</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738.03</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住房保障支出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住房改革支出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90"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2210201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住房公积金</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8" w:space="0"/>
            </w:tcBorders>
            <w:shd w:val="clear" w:color="auto" w:fill="auto"/>
            <w:noWrap/>
            <w:vAlign w:val="center"/>
          </w:tcPr>
          <w:p>
            <w:pPr>
              <w:widowControl/>
              <w:jc w:val="right"/>
              <w:rPr>
                <w:rFonts w:hint="eastAsia" w:ascii="宋体" w:hAnsi="宋体" w:eastAsia="宋体" w:cs="宋体"/>
                <w:kern w:val="0"/>
                <w:sz w:val="21"/>
                <w:szCs w:val="21"/>
              </w:rPr>
            </w:pP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hint="eastAsia" w:ascii="Times New Roman" w:hAnsi="Times New Roman" w:eastAsia="黑体" w:cs="Times New Roman"/>
          <w:bCs/>
          <w:kern w:val="0"/>
          <w:sz w:val="32"/>
          <w:szCs w:val="32"/>
          <w:lang w:val="en-US" w:eastAsia="zh-CN"/>
        </w:rPr>
        <w:t xml:space="preserve">   </w:t>
      </w:r>
      <w:r>
        <w:rPr>
          <w:rFonts w:hint="eastAsia" w:ascii="宋体" w:hAnsi="宋体" w:eastAsia="宋体" w:cs="宋体"/>
          <w:kern w:val="0"/>
          <w:sz w:val="24"/>
          <w:szCs w:val="24"/>
        </w:rPr>
        <w:t>注：本表反映部门本年度取得的各项收入情况</w:t>
      </w:r>
      <w:r>
        <w:rPr>
          <w:rFonts w:ascii="Times New Roman" w:hAnsi="Times New Roman" w:eastAsia="仿宋_GB2312" w:cs="Times New Roman"/>
          <w:kern w:val="0"/>
          <w:szCs w:val="21"/>
        </w:rPr>
        <w:t>。</w:t>
      </w:r>
      <w:r>
        <w:rPr>
          <w:rFonts w:ascii="Times New Roman" w:hAnsi="Times New Roman" w:eastAsia="黑体" w:cs="Times New Roman"/>
          <w:bCs/>
          <w:kern w:val="0"/>
          <w:sz w:val="32"/>
          <w:szCs w:val="32"/>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lang w:eastAsia="zh-CN"/>
        </w:rPr>
        <w:t>支出</w:t>
      </w:r>
      <w:r>
        <w:rPr>
          <w:rFonts w:ascii="Times New Roman" w:hAnsi="Times New Roman" w:eastAsia="方正小标宋_GBK" w:cs="Times New Roman"/>
          <w:color w:val="000000"/>
          <w:kern w:val="0"/>
          <w:sz w:val="36"/>
          <w:szCs w:val="36"/>
        </w:rPr>
        <w:t>决算表</w:t>
      </w:r>
    </w:p>
    <w:p>
      <w:pPr>
        <w:widowControl/>
        <w:ind w:firstLine="630" w:firstLineChars="300"/>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部门： </w:t>
      </w:r>
      <w:r>
        <w:rPr>
          <w:rFonts w:hint="eastAsia" w:ascii="宋体" w:hAnsi="宋体" w:eastAsia="宋体" w:cs="宋体"/>
          <w:color w:val="000000"/>
          <w:kern w:val="0"/>
          <w:szCs w:val="21"/>
          <w:lang w:eastAsia="zh-CN"/>
        </w:rPr>
        <w:t>湘乡市供销合作总社</w:t>
      </w:r>
      <w:r>
        <w:rPr>
          <w:rFonts w:hint="eastAsia" w:ascii="宋体" w:hAnsi="宋体" w:eastAsia="宋体" w:cs="宋体"/>
          <w:color w:val="000000"/>
          <w:kern w:val="0"/>
          <w:szCs w:val="21"/>
          <w:lang w:val="en-US" w:eastAsia="zh-CN"/>
        </w:rPr>
        <w:t xml:space="preserve">                                                                                                    </w:t>
      </w:r>
      <w:r>
        <w:rPr>
          <w:rFonts w:hint="eastAsia" w:ascii="宋体" w:hAnsi="宋体" w:eastAsia="宋体" w:cs="宋体"/>
          <w:color w:val="000000"/>
          <w:kern w:val="0"/>
          <w:szCs w:val="21"/>
        </w:rPr>
        <w:t>公开0</w:t>
      </w:r>
      <w:r>
        <w:rPr>
          <w:rFonts w:hint="eastAsia" w:ascii="宋体" w:hAnsi="宋体" w:eastAsia="宋体" w:cs="宋体"/>
          <w:color w:val="000000"/>
          <w:kern w:val="0"/>
          <w:szCs w:val="21"/>
          <w:lang w:val="en-US" w:eastAsia="zh-CN"/>
        </w:rPr>
        <w:t>3</w:t>
      </w:r>
      <w:r>
        <w:rPr>
          <w:rFonts w:hint="eastAsia" w:ascii="宋体" w:hAnsi="宋体" w:eastAsia="宋体" w:cs="宋体"/>
          <w:color w:val="000000"/>
          <w:kern w:val="0"/>
          <w:szCs w:val="21"/>
        </w:rPr>
        <w:t>表</w:t>
      </w:r>
    </w:p>
    <w:p>
      <w:pPr>
        <w:widowControl/>
        <w:ind w:right="630"/>
        <w:jc w:val="right"/>
        <w:rPr>
          <w:rFonts w:ascii="Times New Roman" w:hAnsi="Times New Roman" w:eastAsia="仿宋_GB2312" w:cs="Times New Roman"/>
          <w:color w:val="000000"/>
          <w:kern w:val="0"/>
          <w:szCs w:val="21"/>
        </w:rPr>
      </w:pPr>
      <w:r>
        <w:rPr>
          <w:rFonts w:hint="eastAsia" w:ascii="宋体" w:hAnsi="宋体" w:eastAsia="宋体" w:cs="宋体"/>
          <w:color w:val="000000"/>
          <w:kern w:val="0"/>
          <w:szCs w:val="21"/>
        </w:rPr>
        <w:t>单位：万元</w:t>
      </w:r>
    </w:p>
    <w:tbl>
      <w:tblPr>
        <w:tblStyle w:val="7"/>
        <w:tblW w:w="13190" w:type="dxa"/>
        <w:jc w:val="center"/>
        <w:tblLayout w:type="fixed"/>
        <w:tblCellMar>
          <w:top w:w="0" w:type="dxa"/>
          <w:left w:w="108" w:type="dxa"/>
          <w:bottom w:w="0" w:type="dxa"/>
          <w:right w:w="108" w:type="dxa"/>
        </w:tblCellMar>
      </w:tblPr>
      <w:tblGrid>
        <w:gridCol w:w="2023"/>
        <w:gridCol w:w="3656"/>
        <w:gridCol w:w="1444"/>
        <w:gridCol w:w="1442"/>
        <w:gridCol w:w="1049"/>
        <w:gridCol w:w="1049"/>
        <w:gridCol w:w="1050"/>
        <w:gridCol w:w="1477"/>
      </w:tblGrid>
      <w:tr>
        <w:tblPrEx>
          <w:tblCellMar>
            <w:top w:w="0" w:type="dxa"/>
            <w:left w:w="108" w:type="dxa"/>
            <w:bottom w:w="0" w:type="dxa"/>
            <w:right w:w="108" w:type="dxa"/>
          </w:tblCellMar>
        </w:tblPrEx>
        <w:trPr>
          <w:trHeight w:val="227" w:hRule="atLeast"/>
          <w:jc w:val="center"/>
        </w:trPr>
        <w:tc>
          <w:tcPr>
            <w:tcW w:w="5679" w:type="dxa"/>
            <w:gridSpan w:val="2"/>
            <w:tcBorders>
              <w:top w:val="single" w:color="auto" w:sz="8" w:space="0"/>
              <w:left w:val="single" w:color="auto" w:sz="8" w:space="0"/>
              <w:bottom w:val="single" w:color="auto" w:sz="4" w:space="0"/>
              <w:right w:val="nil"/>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项    目</w:t>
            </w:r>
          </w:p>
        </w:tc>
        <w:tc>
          <w:tcPr>
            <w:tcW w:w="1444"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本年</w:t>
            </w:r>
            <w:r>
              <w:rPr>
                <w:rFonts w:hint="eastAsia" w:ascii="宋体" w:hAnsi="宋体" w:eastAsia="宋体" w:cs="宋体"/>
                <w:kern w:val="0"/>
                <w:sz w:val="21"/>
                <w:szCs w:val="21"/>
                <w:lang w:eastAsia="zh-CN"/>
              </w:rPr>
              <w:t>支出</w:t>
            </w:r>
            <w:r>
              <w:rPr>
                <w:rFonts w:hint="eastAsia" w:ascii="宋体" w:hAnsi="宋体" w:eastAsia="宋体" w:cs="宋体"/>
                <w:kern w:val="0"/>
                <w:sz w:val="21"/>
                <w:szCs w:val="21"/>
              </w:rPr>
              <w:t>合计</w:t>
            </w:r>
          </w:p>
        </w:tc>
        <w:tc>
          <w:tcPr>
            <w:tcW w:w="1442"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基本支出</w:t>
            </w:r>
          </w:p>
        </w:tc>
        <w:tc>
          <w:tcPr>
            <w:tcW w:w="1049"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项目支出</w:t>
            </w:r>
          </w:p>
        </w:tc>
        <w:tc>
          <w:tcPr>
            <w:tcW w:w="1049"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上缴上级支出</w:t>
            </w:r>
          </w:p>
        </w:tc>
        <w:tc>
          <w:tcPr>
            <w:tcW w:w="1050"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经营支出</w:t>
            </w:r>
          </w:p>
        </w:tc>
        <w:tc>
          <w:tcPr>
            <w:tcW w:w="1477" w:type="dxa"/>
            <w:vMerge w:val="restart"/>
            <w:tcBorders>
              <w:top w:val="single" w:color="auto" w:sz="8"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对附属单位补助支</w:t>
            </w:r>
          </w:p>
        </w:tc>
      </w:tr>
      <w:tr>
        <w:tblPrEx>
          <w:tblCellMar>
            <w:top w:w="0" w:type="dxa"/>
            <w:left w:w="108" w:type="dxa"/>
            <w:bottom w:w="0" w:type="dxa"/>
            <w:right w:w="108" w:type="dxa"/>
          </w:tblCellMar>
        </w:tblPrEx>
        <w:trPr>
          <w:trHeight w:val="312" w:hRule="atLeast"/>
          <w:jc w:val="center"/>
        </w:trPr>
        <w:tc>
          <w:tcPr>
            <w:tcW w:w="2023" w:type="dxa"/>
            <w:vMerge w:val="restart"/>
            <w:tcBorders>
              <w:top w:val="single" w:color="auto" w:sz="4" w:space="0"/>
              <w:left w:val="single" w:color="auto" w:sz="8" w:space="0"/>
              <w:bottom w:val="single" w:color="000000" w:sz="4" w:space="0"/>
              <w:right w:val="nil"/>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功能分类科目编码</w:t>
            </w:r>
          </w:p>
        </w:tc>
        <w:tc>
          <w:tcPr>
            <w:tcW w:w="36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科目名称</w:t>
            </w:r>
          </w:p>
        </w:tc>
        <w:tc>
          <w:tcPr>
            <w:tcW w:w="144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77"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312" w:hRule="atLeast"/>
          <w:jc w:val="center"/>
        </w:trPr>
        <w:tc>
          <w:tcPr>
            <w:tcW w:w="2023" w:type="dxa"/>
            <w:vMerge w:val="continue"/>
            <w:tcBorders>
              <w:top w:val="single" w:color="auto" w:sz="4" w:space="0"/>
              <w:left w:val="single" w:color="auto" w:sz="8" w:space="0"/>
              <w:bottom w:val="single" w:color="000000" w:sz="4" w:space="0"/>
              <w:right w:val="nil"/>
            </w:tcBorders>
            <w:vAlign w:val="center"/>
          </w:tcPr>
          <w:p>
            <w:pPr>
              <w:widowControl/>
              <w:jc w:val="left"/>
              <w:rPr>
                <w:rFonts w:hint="eastAsia" w:ascii="宋体" w:hAnsi="宋体" w:eastAsia="宋体" w:cs="宋体"/>
                <w:kern w:val="0"/>
                <w:sz w:val="21"/>
                <w:szCs w:val="21"/>
              </w:rPr>
            </w:pPr>
          </w:p>
        </w:tc>
        <w:tc>
          <w:tcPr>
            <w:tcW w:w="3656"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4"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42"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49"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050"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c>
          <w:tcPr>
            <w:tcW w:w="1477" w:type="dxa"/>
            <w:vMerge w:val="continue"/>
            <w:tcBorders>
              <w:top w:val="single" w:color="auto" w:sz="8" w:space="0"/>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5679" w:type="dxa"/>
            <w:gridSpan w:val="2"/>
            <w:tcBorders>
              <w:top w:val="single" w:color="auto" w:sz="4" w:space="0"/>
              <w:left w:val="single" w:color="auto" w:sz="8"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栏次</w:t>
            </w:r>
          </w:p>
        </w:tc>
        <w:tc>
          <w:tcPr>
            <w:tcW w:w="14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44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04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105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c>
          <w:tcPr>
            <w:tcW w:w="147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r>
      <w:tr>
        <w:tblPrEx>
          <w:tblCellMar>
            <w:top w:w="0" w:type="dxa"/>
            <w:left w:w="108" w:type="dxa"/>
            <w:bottom w:w="0" w:type="dxa"/>
            <w:right w:w="108" w:type="dxa"/>
          </w:tblCellMar>
        </w:tblPrEx>
        <w:trPr>
          <w:trHeight w:val="227" w:hRule="atLeast"/>
          <w:jc w:val="center"/>
        </w:trPr>
        <w:tc>
          <w:tcPr>
            <w:tcW w:w="5679" w:type="dxa"/>
            <w:gridSpan w:val="2"/>
            <w:tcBorders>
              <w:top w:val="nil"/>
              <w:left w:val="single" w:color="auto" w:sz="8" w:space="0"/>
              <w:bottom w:val="single" w:color="auto" w:sz="4" w:space="0"/>
              <w:right w:val="single" w:color="000000" w:sz="4" w:space="0"/>
            </w:tcBorders>
            <w:shd w:val="clear" w:color="auto" w:fill="auto"/>
            <w:noWrap/>
            <w:vAlign w:val="center"/>
          </w:tcPr>
          <w:p>
            <w:pPr>
              <w:widowControl/>
              <w:jc w:val="center"/>
              <w:rPr>
                <w:rFonts w:hint="eastAsia" w:ascii="宋体" w:hAnsi="宋体" w:eastAsia="宋体" w:cs="宋体"/>
                <w:kern w:val="0"/>
                <w:sz w:val="21"/>
                <w:szCs w:val="21"/>
              </w:rPr>
            </w:pPr>
            <w:r>
              <w:rPr>
                <w:rFonts w:hint="eastAsia" w:ascii="宋体" w:hAnsi="宋体" w:eastAsia="宋体" w:cs="宋体"/>
                <w:kern w:val="0"/>
                <w:sz w:val="21"/>
                <w:szCs w:val="21"/>
              </w:rPr>
              <w:t>合计</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1158.85</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518.74</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640.10</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社会保障和就业支出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188.36</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188.36</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行政事业单位养老支出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177.49</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177.49</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2080502</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事业单位离退休</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2080505</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机关事业单位基本养老保险支出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41.67</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41.67</w:t>
            </w: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4"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2080506</w:t>
            </w:r>
          </w:p>
        </w:tc>
        <w:tc>
          <w:tcPr>
            <w:tcW w:w="365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机关事业单位职业年金缴费支出</w:t>
            </w:r>
          </w:p>
        </w:tc>
        <w:tc>
          <w:tcPr>
            <w:tcW w:w="1444"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85.41</w:t>
            </w:r>
          </w:p>
        </w:tc>
        <w:tc>
          <w:tcPr>
            <w:tcW w:w="144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85.41</w:t>
            </w: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20899</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b/>
                <w:bCs/>
                <w:kern w:val="0"/>
                <w:sz w:val="21"/>
                <w:szCs w:val="21"/>
                <w:lang w:eastAsia="zh-CN"/>
              </w:rPr>
              <w:t>其他社会保障和就业支出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10.86</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2089901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其他社会保障和就业支出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10.86</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卫生健康支出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tabs>
                <w:tab w:val="center" w:pos="490"/>
              </w:tabs>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21011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行政事业单位医疗</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2101102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事业单位医疗</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15.55</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15.55</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商业服务业等支出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927.01</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286.90</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640.10</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商业流通事务</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927.01</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286.90</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640.10</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2010201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行政运行</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286.91</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286.91</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2160202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一般行政管理事务</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640.10</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住房保障支出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227"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22102</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b/>
                <w:bCs/>
                <w:kern w:val="0"/>
                <w:sz w:val="21"/>
                <w:szCs w:val="21"/>
                <w:lang w:eastAsia="zh-CN"/>
              </w:rPr>
            </w:pPr>
            <w:r>
              <w:rPr>
                <w:rFonts w:hint="eastAsia" w:ascii="宋体" w:hAnsi="宋体" w:eastAsia="宋体" w:cs="宋体"/>
                <w:b/>
                <w:bCs/>
                <w:kern w:val="0"/>
                <w:sz w:val="21"/>
                <w:szCs w:val="21"/>
                <w:lang w:eastAsia="zh-CN"/>
              </w:rPr>
              <w:t>住房改革支出</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90" w:hRule="atLeast"/>
          <w:jc w:val="center"/>
        </w:trPr>
        <w:tc>
          <w:tcPr>
            <w:tcW w:w="2023" w:type="dxa"/>
            <w:tcBorders>
              <w:top w:val="single" w:color="auto" w:sz="4" w:space="0"/>
              <w:left w:val="single" w:color="auto" w:sz="8" w:space="0"/>
              <w:bottom w:val="single" w:color="auto" w:sz="8" w:space="0"/>
              <w:right w:val="single" w:color="auto" w:sz="4" w:space="0"/>
            </w:tcBorders>
            <w:shd w:val="clear" w:color="auto" w:fill="auto"/>
            <w:noWrap/>
            <w:vAlign w:val="center"/>
          </w:tcPr>
          <w:p>
            <w:pPr>
              <w:widowControl/>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2210201</w:t>
            </w:r>
          </w:p>
        </w:tc>
        <w:tc>
          <w:tcPr>
            <w:tcW w:w="3656" w:type="dxa"/>
            <w:tcBorders>
              <w:top w:val="nil"/>
              <w:left w:val="nil"/>
              <w:bottom w:val="single" w:color="auto" w:sz="8" w:space="0"/>
              <w:right w:val="single" w:color="auto" w:sz="4" w:space="0"/>
            </w:tcBorders>
            <w:shd w:val="clear" w:color="auto" w:fill="auto"/>
            <w:noWrap/>
            <w:vAlign w:val="center"/>
          </w:tcPr>
          <w:p>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住房公积金</w:t>
            </w:r>
          </w:p>
        </w:tc>
        <w:tc>
          <w:tcPr>
            <w:tcW w:w="1444"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442" w:type="dxa"/>
            <w:tcBorders>
              <w:top w:val="nil"/>
              <w:left w:val="nil"/>
              <w:bottom w:val="single" w:color="auto" w:sz="8" w:space="0"/>
              <w:right w:val="single" w:color="auto" w:sz="4" w:space="0"/>
            </w:tcBorders>
            <w:shd w:val="clear" w:color="auto" w:fill="auto"/>
            <w:noWrap/>
            <w:vAlign w:val="center"/>
          </w:tcPr>
          <w:p>
            <w:pPr>
              <w:widowControl/>
              <w:jc w:val="righ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27.92</w:t>
            </w: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49"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050"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7" w:type="dxa"/>
            <w:tcBorders>
              <w:top w:val="nil"/>
              <w:left w:val="nil"/>
              <w:bottom w:val="single" w:color="auto" w:sz="8"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bl>
    <w:p>
      <w:pPr>
        <w:widowControl/>
        <w:rPr>
          <w:rFonts w:ascii="Times New Roman" w:hAnsi="Times New Roman" w:eastAsia="方正小标宋_GBK" w:cs="Times New Roman"/>
          <w:color w:val="000000"/>
          <w:kern w:val="0"/>
          <w:sz w:val="36"/>
          <w:szCs w:val="21"/>
        </w:rPr>
      </w:pPr>
      <w:r>
        <w:rPr>
          <w:rFonts w:ascii="Times New Roman" w:hAnsi="Times New Roman" w:eastAsia="黑体" w:cs="Times New Roman"/>
          <w:bCs/>
          <w:kern w:val="0"/>
          <w:sz w:val="32"/>
          <w:szCs w:val="32"/>
        </w:rPr>
        <w:t xml:space="preserve"> </w:t>
      </w:r>
      <w:r>
        <w:rPr>
          <w:rFonts w:hint="eastAsia" w:ascii="Times New Roman" w:hAnsi="Times New Roman" w:eastAsia="黑体" w:cs="Times New Roman"/>
          <w:bCs/>
          <w:kern w:val="0"/>
          <w:sz w:val="32"/>
          <w:szCs w:val="32"/>
          <w:lang w:val="en-US" w:eastAsia="zh-CN"/>
        </w:rPr>
        <w:t xml:space="preserve">   </w:t>
      </w:r>
      <w:r>
        <w:rPr>
          <w:rFonts w:hint="eastAsia" w:ascii="宋体" w:hAnsi="宋体" w:eastAsia="宋体" w:cs="宋体"/>
          <w:kern w:val="0"/>
          <w:sz w:val="24"/>
          <w:szCs w:val="24"/>
        </w:rPr>
        <w:t>注：本表反映部门本年度各项</w:t>
      </w:r>
      <w:r>
        <w:rPr>
          <w:rFonts w:hint="eastAsia" w:ascii="宋体" w:hAnsi="宋体" w:eastAsia="宋体" w:cs="宋体"/>
          <w:kern w:val="0"/>
          <w:sz w:val="24"/>
          <w:szCs w:val="24"/>
          <w:lang w:eastAsia="zh-CN"/>
        </w:rPr>
        <w:t>支出</w:t>
      </w:r>
      <w:r>
        <w:rPr>
          <w:rFonts w:hint="eastAsia" w:ascii="宋体" w:hAnsi="宋体" w:eastAsia="宋体" w:cs="宋体"/>
          <w:kern w:val="0"/>
          <w:sz w:val="24"/>
          <w:szCs w:val="24"/>
        </w:rPr>
        <w:t>情况</w:t>
      </w:r>
      <w:r>
        <w:rPr>
          <w:rFonts w:ascii="Times New Roman" w:hAnsi="Times New Roman" w:eastAsia="仿宋_GB2312" w:cs="Times New Roman"/>
          <w:kern w:val="0"/>
          <w:szCs w:val="21"/>
        </w:rPr>
        <w:t>。</w:t>
      </w:r>
      <w:r>
        <w:rPr>
          <w:rFonts w:ascii="Times New Roman" w:hAnsi="Times New Roman" w:eastAsia="黑体" w:cs="Times New Roman"/>
          <w:bCs/>
          <w:kern w:val="0"/>
          <w:sz w:val="32"/>
          <w:szCs w:val="32"/>
        </w:rPr>
        <w:br w:type="page"/>
      </w:r>
    </w:p>
    <w:tbl>
      <w:tblPr>
        <w:tblStyle w:val="7"/>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湘乡市供销合作总社</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1229.85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rPr>
              <w:t>一、</w:t>
            </w:r>
            <w:r>
              <w:rPr>
                <w:rFonts w:hint="eastAsia" w:ascii="宋体" w:hAnsi="宋体" w:eastAsia="宋体" w:cs="宋体"/>
                <w:kern w:val="0"/>
                <w:sz w:val="22"/>
                <w:szCs w:val="22"/>
                <w:lang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161.43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161.43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rPr>
              <w:t>二、</w:t>
            </w:r>
            <w:r>
              <w:rPr>
                <w:rFonts w:hint="eastAsia" w:ascii="宋体" w:hAnsi="宋体" w:eastAsia="宋体" w:cs="宋体"/>
                <w:kern w:val="0"/>
                <w:sz w:val="22"/>
                <w:szCs w:val="22"/>
                <w:lang w:eastAsia="zh-CN"/>
              </w:rPr>
              <w:t>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15.55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15.55</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rPr>
              <w:t>三、</w:t>
            </w:r>
            <w:r>
              <w:rPr>
                <w:rFonts w:hint="eastAsia" w:ascii="宋体" w:hAnsi="宋体" w:eastAsia="宋体" w:cs="宋体"/>
                <w:kern w:val="0"/>
                <w:sz w:val="22"/>
                <w:szCs w:val="22"/>
                <w:lang w:eastAsia="zh-CN"/>
              </w:rPr>
              <w:t>商业服务业等支出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927.01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927.01</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rPr>
              <w:t>四、</w:t>
            </w:r>
            <w:r>
              <w:rPr>
                <w:rFonts w:hint="eastAsia" w:ascii="宋体" w:hAnsi="宋体" w:eastAsia="宋体" w:cs="宋体"/>
                <w:kern w:val="0"/>
                <w:sz w:val="22"/>
                <w:szCs w:val="22"/>
                <w:lang w:eastAsia="zh-CN"/>
              </w:rPr>
              <w:t>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27.92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szCs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Cs w:val="21"/>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1229.85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1131.92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1131.92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9.82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107.74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107.74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9.82</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1239.67</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湘乡市供销合作总社</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7"/>
        <w:tblW w:w="4514" w:type="pct"/>
        <w:jc w:val="center"/>
        <w:tblLayout w:type="autofit"/>
        <w:tblCellMar>
          <w:top w:w="0" w:type="dxa"/>
          <w:left w:w="108" w:type="dxa"/>
          <w:bottom w:w="0" w:type="dxa"/>
          <w:right w:w="108" w:type="dxa"/>
        </w:tblCellMar>
      </w:tblPr>
      <w:tblGrid>
        <w:gridCol w:w="2348"/>
        <w:gridCol w:w="3874"/>
        <w:gridCol w:w="2368"/>
        <w:gridCol w:w="2709"/>
        <w:gridCol w:w="2797"/>
      </w:tblGrid>
      <w:tr>
        <w:tblPrEx>
          <w:tblCellMar>
            <w:top w:w="0" w:type="dxa"/>
            <w:left w:w="108" w:type="dxa"/>
            <w:bottom w:w="0" w:type="dxa"/>
            <w:right w:w="108" w:type="dxa"/>
          </w:tblCellMar>
        </w:tblPrEx>
        <w:trPr>
          <w:trHeight w:val="332" w:hRule="atLeast"/>
          <w:jc w:val="center"/>
        </w:trPr>
        <w:tc>
          <w:tcPr>
            <w:tcW w:w="2207" w:type="pct"/>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792" w:type="pct"/>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332" w:hRule="atLeast"/>
          <w:jc w:val="center"/>
        </w:trPr>
        <w:tc>
          <w:tcPr>
            <w:tcW w:w="833" w:type="pct"/>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74"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840"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961" w:type="pct"/>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990" w:type="pct"/>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32" w:hRule="atLeast"/>
          <w:jc w:val="center"/>
        </w:trPr>
        <w:tc>
          <w:tcPr>
            <w:tcW w:w="833" w:type="pct"/>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74"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840"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61"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90" w:type="pct"/>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833" w:type="pct"/>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374" w:type="pct"/>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840"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61" w:type="pct"/>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990" w:type="pct"/>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02" w:hRule="atLeast"/>
          <w:jc w:val="center"/>
        </w:trPr>
        <w:tc>
          <w:tcPr>
            <w:tcW w:w="2207" w:type="pct"/>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840"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961"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990" w:type="pct"/>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332" w:hRule="atLeast"/>
          <w:jc w:val="center"/>
        </w:trPr>
        <w:tc>
          <w:tcPr>
            <w:tcW w:w="2207" w:type="pct"/>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kern w:val="0"/>
                <w:sz w:val="21"/>
                <w:szCs w:val="21"/>
                <w:lang w:val="en-US" w:eastAsia="zh-CN"/>
              </w:rPr>
              <w:t>1131.92</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rPr>
            </w:pPr>
            <w:r>
              <w:rPr>
                <w:rFonts w:hint="eastAsia" w:ascii="宋体" w:hAnsi="宋体" w:eastAsia="宋体" w:cs="宋体"/>
                <w:kern w:val="0"/>
                <w:sz w:val="21"/>
                <w:szCs w:val="21"/>
                <w:lang w:val="en-US" w:eastAsia="zh-CN"/>
              </w:rPr>
              <w:t>491.82</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640.10</w:t>
            </w: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w:t>
            </w:r>
          </w:p>
        </w:tc>
        <w:tc>
          <w:tcPr>
            <w:tcW w:w="3874"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社会保障和就业支出</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kern w:val="0"/>
                <w:sz w:val="21"/>
                <w:szCs w:val="21"/>
                <w:lang w:val="en-US" w:eastAsia="zh-CN"/>
              </w:rPr>
              <w:t>161.43</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kern w:val="0"/>
                <w:sz w:val="21"/>
                <w:szCs w:val="21"/>
                <w:lang w:val="en-US" w:eastAsia="zh-CN"/>
              </w:rPr>
              <w:t>161.43</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20805</w:t>
            </w:r>
          </w:p>
        </w:tc>
        <w:tc>
          <w:tcPr>
            <w:tcW w:w="3874"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行政事业单位养老支出</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kern w:val="0"/>
                <w:sz w:val="21"/>
                <w:szCs w:val="21"/>
                <w:lang w:val="en-US" w:eastAsia="zh-CN"/>
              </w:rPr>
              <w:t>150.57</w:t>
            </w:r>
            <w:r>
              <w:rPr>
                <w:rFonts w:hint="eastAsia" w:ascii="宋体" w:hAnsi="宋体" w:eastAsia="宋体" w:cs="宋体"/>
                <w:kern w:val="0"/>
                <w:sz w:val="21"/>
                <w:szCs w:val="21"/>
              </w:rPr>
              <w:t>　</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宋体" w:hAnsi="宋体" w:eastAsia="宋体" w:cs="宋体"/>
                <w:kern w:val="0"/>
                <w:sz w:val="21"/>
                <w:szCs w:val="21"/>
                <w:lang w:val="en-US" w:eastAsia="zh-CN"/>
              </w:rPr>
              <w:t>150.57</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2080502</w:t>
            </w:r>
          </w:p>
        </w:tc>
        <w:tc>
          <w:tcPr>
            <w:tcW w:w="3874"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事业单位离退休</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50.41</w:t>
            </w:r>
            <w:r>
              <w:rPr>
                <w:rFonts w:hint="eastAsia" w:ascii="宋体" w:hAnsi="宋体" w:eastAsia="宋体" w:cs="宋体"/>
                <w:kern w:val="0"/>
                <w:sz w:val="21"/>
                <w:szCs w:val="21"/>
              </w:rPr>
              <w:t>　</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2080505</w:t>
            </w:r>
          </w:p>
        </w:tc>
        <w:tc>
          <w:tcPr>
            <w:tcW w:w="3874"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机关事业单位基本养老保险支出</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41.67</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41.67</w:t>
            </w:r>
            <w:r>
              <w:rPr>
                <w:rFonts w:hint="eastAsia" w:ascii="宋体" w:hAnsi="宋体" w:eastAsia="宋体" w:cs="宋体"/>
                <w:kern w:val="0"/>
                <w:sz w:val="21"/>
                <w:szCs w:val="21"/>
              </w:rPr>
              <w:t>　</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2080506</w:t>
            </w:r>
          </w:p>
        </w:tc>
        <w:tc>
          <w:tcPr>
            <w:tcW w:w="3874"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机关事业单位职业年金缴费支出</w:t>
            </w:r>
          </w:p>
        </w:tc>
        <w:tc>
          <w:tcPr>
            <w:tcW w:w="2368"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58.481</w:t>
            </w:r>
          </w:p>
        </w:tc>
        <w:tc>
          <w:tcPr>
            <w:tcW w:w="2709"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rPr>
            </w:pPr>
            <w:r>
              <w:rPr>
                <w:rFonts w:hint="eastAsia" w:ascii="宋体" w:hAnsi="宋体" w:eastAsia="宋体" w:cs="宋体"/>
                <w:kern w:val="0"/>
                <w:sz w:val="21"/>
                <w:szCs w:val="21"/>
                <w:lang w:val="en-US" w:eastAsia="zh-CN"/>
              </w:rPr>
              <w:t>58.48</w:t>
            </w:r>
          </w:p>
        </w:tc>
        <w:tc>
          <w:tcPr>
            <w:tcW w:w="2797"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20899</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其他社会保障和就业支出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10.86</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10.86</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2089901</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其他社会保障和就业支出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10.86</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10.86</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210</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卫生健康支出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tabs>
                <w:tab w:val="center" w:pos="490"/>
              </w:tabs>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21011</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行政事业单位医疗</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2101102</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事业单位医疗</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15.55</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216</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商业服务业等支出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927.01</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286.90</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640.10</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21602</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商业流通事务</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927.01</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286.90</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640.10</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2010201</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行政运行</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286.91</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286.91</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2160202</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一般行政管理事务</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640.10</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640.10</w:t>
            </w: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221</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住房保障支出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27.92</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27.92</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22102</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b/>
                <w:bCs/>
                <w:kern w:val="0"/>
                <w:sz w:val="21"/>
                <w:szCs w:val="21"/>
                <w:lang w:eastAsia="zh-CN"/>
              </w:rPr>
              <w:t>住房改革支出</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27.92</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27.92</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2348"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both"/>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2210201</w:t>
            </w:r>
          </w:p>
        </w:tc>
        <w:tc>
          <w:tcPr>
            <w:tcW w:w="3874"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宋体" w:hAnsi="宋体" w:eastAsia="宋体" w:cs="宋体"/>
                <w:kern w:val="0"/>
                <w:sz w:val="21"/>
                <w:szCs w:val="21"/>
                <w:lang w:eastAsia="zh-CN"/>
              </w:rPr>
              <w:t>住房公积金</w:t>
            </w:r>
          </w:p>
        </w:tc>
        <w:tc>
          <w:tcPr>
            <w:tcW w:w="2368"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kern w:val="0"/>
                <w:sz w:val="21"/>
                <w:szCs w:val="21"/>
                <w:lang w:val="en-US" w:eastAsia="zh-CN"/>
              </w:rPr>
              <w:t>27.92</w:t>
            </w:r>
          </w:p>
        </w:tc>
        <w:tc>
          <w:tcPr>
            <w:tcW w:w="2709" w:type="dxa"/>
            <w:tcBorders>
              <w:top w:val="nil"/>
              <w:left w:val="nil"/>
              <w:bottom w:val="single" w:color="auto" w:sz="8"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rPr>
            </w:pPr>
            <w:r>
              <w:rPr>
                <w:rFonts w:hint="eastAsia" w:ascii="宋体" w:hAnsi="宋体" w:eastAsia="宋体" w:cs="宋体"/>
                <w:kern w:val="0"/>
                <w:sz w:val="21"/>
                <w:szCs w:val="21"/>
                <w:lang w:val="en-US" w:eastAsia="zh-CN"/>
              </w:rPr>
              <w:t>27.92</w:t>
            </w:r>
          </w:p>
        </w:tc>
        <w:tc>
          <w:tcPr>
            <w:tcW w:w="2797"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32" w:hRule="atLeast"/>
          <w:jc w:val="center"/>
        </w:trPr>
        <w:tc>
          <w:tcPr>
            <w:tcW w:w="5000" w:type="pct"/>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7"/>
        <w:tblW w:w="4909" w:type="pct"/>
        <w:tblInd w:w="0" w:type="dxa"/>
        <w:tblLayout w:type="fixed"/>
        <w:tblCellMar>
          <w:top w:w="0" w:type="dxa"/>
          <w:left w:w="108" w:type="dxa"/>
          <w:bottom w:w="0" w:type="dxa"/>
          <w:right w:w="108" w:type="dxa"/>
        </w:tblCellMar>
      </w:tblPr>
      <w:tblGrid>
        <w:gridCol w:w="740"/>
        <w:gridCol w:w="3365"/>
        <w:gridCol w:w="1460"/>
        <w:gridCol w:w="439"/>
        <w:gridCol w:w="2313"/>
        <w:gridCol w:w="949"/>
        <w:gridCol w:w="741"/>
        <w:gridCol w:w="4209"/>
        <w:gridCol w:w="1114"/>
      </w:tblGrid>
      <w:tr>
        <w:tblPrEx>
          <w:tblCellMar>
            <w:top w:w="0" w:type="dxa"/>
            <w:left w:w="108" w:type="dxa"/>
            <w:bottom w:w="0" w:type="dxa"/>
            <w:right w:w="108" w:type="dxa"/>
          </w:tblCellMar>
        </w:tblPrEx>
        <w:trPr>
          <w:trHeight w:val="561" w:hRule="atLeast"/>
        </w:trPr>
        <w:tc>
          <w:tcPr>
            <w:tcW w:w="5000" w:type="pct"/>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ind w:left="14070" w:hanging="14070" w:hangingChars="67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eastAsia="zh-CN"/>
              </w:rPr>
              <w:t>湘乡市供销合作总社</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2081" w:hRule="atLeast"/>
        </w:trPr>
        <w:tc>
          <w:tcPr>
            <w:tcW w:w="2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109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476"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75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309"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241"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37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36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376.99</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58.59</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90.75</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10.25</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0.28</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74.43</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14.81</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41.05</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0.18</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41.67</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58.48</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0.09</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15.55</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5.56</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4.93</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27.92</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6.44</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56.24</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30.99</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0.07</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1.53</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22.18</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13.43</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0.53</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13.18</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2.53</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241" w:type="pct"/>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97"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4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754"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309"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14.93</w:t>
            </w:r>
          </w:p>
        </w:tc>
        <w:tc>
          <w:tcPr>
            <w:tcW w:w="241"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372"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38" w:type="pct"/>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476"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460.15</w:t>
            </w:r>
            <w:bookmarkStart w:id="3" w:name="_GoBack"/>
            <w:bookmarkEnd w:id="3"/>
          </w:p>
        </w:tc>
        <w:tc>
          <w:tcPr>
            <w:tcW w:w="2821" w:type="pct"/>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363"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58.59</w:t>
            </w:r>
          </w:p>
        </w:tc>
      </w:tr>
      <w:tr>
        <w:tblPrEx>
          <w:tblCellMar>
            <w:top w:w="0" w:type="dxa"/>
            <w:left w:w="108" w:type="dxa"/>
            <w:bottom w:w="0" w:type="dxa"/>
            <w:right w:w="108" w:type="dxa"/>
          </w:tblCellMar>
        </w:tblPrEx>
        <w:trPr>
          <w:trHeight w:val="284" w:hRule="exact"/>
        </w:trPr>
        <w:tc>
          <w:tcPr>
            <w:tcW w:w="5000" w:type="pct"/>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湘乡市供销合作总社</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2.12</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2.12</w:t>
            </w: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1.53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1.53</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湘乡市供销合作总社</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说明：</w:t>
      </w:r>
      <w:r>
        <w:rPr>
          <w:rFonts w:hint="eastAsia" w:ascii="Times New Roman" w:hAnsi="Times New Roman" w:eastAsia="仿宋_GB2312" w:cs="Times New Roman"/>
          <w:color w:val="000000"/>
          <w:kern w:val="0"/>
          <w:szCs w:val="21"/>
          <w:lang w:eastAsia="zh-CN"/>
        </w:rPr>
        <w:t>湘乡市供销合作总社本年</w:t>
      </w:r>
      <w:r>
        <w:rPr>
          <w:rFonts w:hint="eastAsia" w:ascii="Times New Roman" w:hAnsi="Times New Roman" w:eastAsia="仿宋_GB2312" w:cs="Times New Roman"/>
          <w:kern w:val="0"/>
          <w:szCs w:val="21"/>
        </w:rPr>
        <w:t>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Times New Roman" w:hAnsi="Times New Roman" w:eastAsia="仿宋_GB2312" w:cs="Times New Roman"/>
                <w:color w:val="000000"/>
                <w:kern w:val="0"/>
                <w:szCs w:val="21"/>
                <w:lang w:eastAsia="zh-CN"/>
              </w:rPr>
              <w:t>湘乡市供销合作总社</w:t>
            </w:r>
            <w:r>
              <w:rPr>
                <w:rFonts w:ascii="Times New Roman" w:hAnsi="Times New Roman" w:eastAsia="仿宋_GB2312" w:cs="Times New Roman"/>
                <w:color w:val="000000"/>
                <w:kern w:val="0"/>
                <w:szCs w:val="21"/>
              </w:rPr>
              <w:t xml:space="preserve"> </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single" w:color="auto" w:sz="8" w:space="0"/>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说明：</w:t>
            </w:r>
            <w:r>
              <w:rPr>
                <w:rFonts w:hint="eastAsia" w:ascii="宋体" w:hAnsi="宋体" w:eastAsia="宋体" w:cs="宋体"/>
                <w:kern w:val="0"/>
                <w:sz w:val="24"/>
                <w:szCs w:val="24"/>
                <w:lang w:eastAsia="zh-CN"/>
              </w:rPr>
              <w:t>湘乡市供销合作总社本年</w:t>
            </w:r>
            <w:r>
              <w:rPr>
                <w:rFonts w:hint="eastAsia" w:ascii="宋体" w:hAnsi="宋体" w:eastAsia="宋体" w:cs="宋体"/>
                <w:kern w:val="0"/>
                <w:sz w:val="24"/>
                <w:szCs w:val="24"/>
              </w:rPr>
              <w:t>没有国有资本经营预算财政拨款支出，故本表无数据。</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hint="eastAsia" w:asciiTheme="minorEastAsia" w:hAnsiTheme="minorEastAsia" w:eastAsiaTheme="minorEastAsia"/>
          <w:sz w:val="32"/>
          <w:szCs w:val="32"/>
          <w:lang w:val="en-US"/>
        </w:rPr>
      </w:pPr>
      <w:r>
        <w:rPr>
          <w:rFonts w:hint="eastAsia" w:asciiTheme="minorEastAsia" w:hAnsiTheme="minorEastAsia" w:eastAsiaTheme="minorEastAsia"/>
          <w:sz w:val="32"/>
          <w:szCs w:val="32"/>
          <w:lang w:val="en-US"/>
        </w:rPr>
        <w:t>2020年收入</w:t>
      </w:r>
      <w:r>
        <w:rPr>
          <w:rFonts w:hint="eastAsia" w:asciiTheme="minorEastAsia" w:hAnsiTheme="minorEastAsia" w:eastAsiaTheme="minorEastAsia"/>
          <w:sz w:val="32"/>
          <w:szCs w:val="32"/>
          <w:lang w:val="en-US" w:eastAsia="zh-CN"/>
        </w:rPr>
        <w:t>总计</w:t>
      </w:r>
      <w:r>
        <w:rPr>
          <w:rFonts w:hint="eastAsia" w:asciiTheme="minorEastAsia" w:hAnsiTheme="minorEastAsia" w:eastAsiaTheme="minorEastAsia"/>
          <w:sz w:val="32"/>
          <w:szCs w:val="32"/>
          <w:lang w:val="en-US"/>
        </w:rPr>
        <w:t>1,25</w:t>
      </w:r>
      <w:r>
        <w:rPr>
          <w:rFonts w:hint="eastAsia" w:asciiTheme="minorEastAsia" w:hAnsiTheme="minorEastAsia" w:eastAsiaTheme="minorEastAsia"/>
          <w:sz w:val="32"/>
          <w:szCs w:val="32"/>
          <w:lang w:val="en-US" w:eastAsia="zh-CN"/>
        </w:rPr>
        <w:t>6.77</w:t>
      </w:r>
      <w:r>
        <w:rPr>
          <w:rFonts w:hint="eastAsia" w:asciiTheme="minorEastAsia" w:hAnsiTheme="minorEastAsia" w:eastAsiaTheme="minorEastAsia"/>
          <w:sz w:val="32"/>
          <w:szCs w:val="32"/>
          <w:lang w:val="en-US"/>
        </w:rPr>
        <w:t>万元，比上年增192万元，增长18.04%。主要原因是：2019年政府全面深入推进综改拨款多。</w:t>
      </w:r>
      <w:r>
        <w:rPr>
          <w:rFonts w:hint="eastAsia" w:ascii="新宋体" w:hAnsi="新宋体" w:eastAsia="新宋体"/>
          <w:sz w:val="32"/>
          <w:lang w:val="en-US"/>
        </w:rPr>
        <w:t>其中：一般公共预算财政拨款收入完成</w:t>
      </w:r>
      <w:r>
        <w:rPr>
          <w:rFonts w:hint="eastAsia" w:ascii="新宋体" w:hAnsi="新宋体" w:eastAsia="新宋体"/>
          <w:sz w:val="28"/>
          <w:lang w:val="en-US"/>
        </w:rPr>
        <w:t>1,230</w:t>
      </w:r>
      <w:r>
        <w:rPr>
          <w:rFonts w:hint="eastAsia" w:ascii="新宋体" w:hAnsi="新宋体" w:eastAsia="新宋体"/>
          <w:sz w:val="32"/>
          <w:lang w:val="en-US"/>
        </w:rPr>
        <w:t>万元，比上年</w:t>
      </w:r>
      <w:r>
        <w:rPr>
          <w:rFonts w:hint="eastAsia" w:ascii="新宋体" w:hAnsi="新宋体" w:eastAsia="新宋体"/>
          <w:sz w:val="32"/>
          <w:lang w:val="en-US" w:eastAsia="zh-CN"/>
        </w:rPr>
        <w:t>增</w:t>
      </w:r>
      <w:r>
        <w:rPr>
          <w:rFonts w:hint="eastAsia" w:ascii="新宋体" w:hAnsi="新宋体" w:eastAsia="新宋体"/>
          <w:sz w:val="28"/>
          <w:lang w:val="en-US"/>
        </w:rPr>
        <w:t>165</w:t>
      </w:r>
      <w:r>
        <w:rPr>
          <w:rFonts w:hint="eastAsia" w:ascii="新宋体" w:hAnsi="新宋体" w:eastAsia="新宋体"/>
          <w:sz w:val="32"/>
          <w:lang w:val="en-US"/>
        </w:rPr>
        <w:t>万元，增长</w:t>
      </w:r>
      <w:r>
        <w:rPr>
          <w:rFonts w:hint="eastAsia" w:ascii="新宋体" w:hAnsi="新宋体" w:eastAsia="新宋体"/>
          <w:sz w:val="32"/>
          <w:lang w:val="en-US" w:eastAsia="zh-CN"/>
        </w:rPr>
        <w:t>15.51</w:t>
      </w:r>
      <w:r>
        <w:rPr>
          <w:rFonts w:hint="eastAsia" w:ascii="新宋体" w:hAnsi="新宋体" w:eastAsia="新宋体"/>
          <w:sz w:val="32"/>
          <w:lang w:val="zh-CN"/>
        </w:rPr>
        <w:t>%，变化的主要原因是：</w:t>
      </w:r>
      <w:r>
        <w:rPr>
          <w:rFonts w:hint="eastAsia" w:ascii="新宋体" w:hAnsi="新宋体" w:eastAsia="新宋体"/>
          <w:sz w:val="28"/>
          <w:lang w:val="en-US"/>
        </w:rPr>
        <w:t>2019年政府全面深入推进综改拨款多</w:t>
      </w:r>
      <w:r>
        <w:rPr>
          <w:rFonts w:hint="eastAsia" w:ascii="新宋体" w:hAnsi="新宋体" w:eastAsia="新宋体"/>
          <w:sz w:val="32"/>
          <w:lang w:val="zh-CN"/>
        </w:rPr>
        <w:t>。</w:t>
      </w:r>
      <w:r>
        <w:rPr>
          <w:rFonts w:hint="eastAsia" w:ascii="新宋体" w:hAnsi="新宋体" w:eastAsia="新宋体"/>
          <w:sz w:val="32"/>
          <w:lang w:val="en-US"/>
        </w:rPr>
        <w:t>其他收入完成</w:t>
      </w:r>
      <w:r>
        <w:rPr>
          <w:rFonts w:hint="eastAsia" w:ascii="新宋体" w:hAnsi="新宋体" w:eastAsia="新宋体"/>
          <w:sz w:val="28"/>
          <w:lang w:val="en-US"/>
        </w:rPr>
        <w:t>27</w:t>
      </w:r>
      <w:r>
        <w:rPr>
          <w:rFonts w:hint="eastAsia" w:ascii="新宋体" w:hAnsi="新宋体" w:eastAsia="新宋体"/>
          <w:sz w:val="32"/>
          <w:lang w:val="en-US"/>
        </w:rPr>
        <w:t>万元，比上年</w:t>
      </w:r>
      <w:r>
        <w:rPr>
          <w:rFonts w:hint="eastAsia" w:ascii="新宋体" w:hAnsi="新宋体" w:eastAsia="新宋体"/>
          <w:sz w:val="32"/>
          <w:lang w:val="en-US" w:eastAsia="zh-CN"/>
        </w:rPr>
        <w:t>增</w:t>
      </w:r>
      <w:r>
        <w:rPr>
          <w:rFonts w:hint="eastAsia" w:ascii="新宋体" w:hAnsi="新宋体" w:eastAsia="新宋体"/>
          <w:sz w:val="28"/>
          <w:lang w:val="en-US"/>
        </w:rPr>
        <w:t>27</w:t>
      </w:r>
      <w:r>
        <w:rPr>
          <w:rFonts w:hint="eastAsia" w:ascii="新宋体" w:hAnsi="新宋体" w:eastAsia="新宋体"/>
          <w:sz w:val="32"/>
          <w:lang w:val="en-US"/>
        </w:rPr>
        <w:t>万元，增长</w:t>
      </w:r>
      <w:r>
        <w:rPr>
          <w:rFonts w:hint="eastAsia" w:ascii="新宋体" w:hAnsi="新宋体" w:eastAsia="新宋体"/>
          <w:sz w:val="32"/>
          <w:lang w:val="en-US" w:eastAsia="zh-CN"/>
        </w:rPr>
        <w:t>100</w:t>
      </w:r>
      <w:r>
        <w:rPr>
          <w:rFonts w:hint="eastAsia" w:ascii="新宋体" w:hAnsi="新宋体" w:eastAsia="新宋体"/>
          <w:sz w:val="32"/>
          <w:lang w:val="zh-CN"/>
        </w:rPr>
        <w:t>%，变化的主要原因是：同级其他单位拨款。</w:t>
      </w:r>
    </w:p>
    <w:p>
      <w:pPr>
        <w:pStyle w:val="11"/>
        <w:ind w:firstLine="640" w:firstLineChars="200"/>
        <w:rPr>
          <w:rFonts w:asciiTheme="minorEastAsia" w:hAnsiTheme="minorEastAsia" w:eastAsiaTheme="minorEastAsia"/>
          <w:sz w:val="32"/>
          <w:szCs w:val="32"/>
        </w:rPr>
      </w:pPr>
      <w:r>
        <w:rPr>
          <w:rFonts w:hint="eastAsia" w:ascii="新宋体" w:hAnsi="新宋体" w:eastAsia="新宋体"/>
          <w:sz w:val="32"/>
          <w:lang w:val="en-US"/>
        </w:rPr>
        <w:t>2020年</w:t>
      </w:r>
      <w:r>
        <w:rPr>
          <w:rFonts w:hint="eastAsia" w:ascii="新宋体" w:hAnsi="新宋体" w:eastAsia="新宋体"/>
          <w:sz w:val="32"/>
          <w:lang w:val="en-US" w:eastAsia="zh-CN"/>
        </w:rPr>
        <w:t>支出总计</w:t>
      </w:r>
      <w:r>
        <w:rPr>
          <w:rFonts w:hint="eastAsia" w:ascii="新宋体" w:hAnsi="新宋体" w:eastAsia="新宋体"/>
          <w:sz w:val="28"/>
          <w:lang w:val="en-US" w:eastAsia="zh-CN"/>
        </w:rPr>
        <w:t>1158.85</w:t>
      </w:r>
      <w:r>
        <w:rPr>
          <w:rFonts w:hint="eastAsia" w:ascii="新宋体" w:hAnsi="新宋体" w:eastAsia="新宋体"/>
          <w:sz w:val="32"/>
          <w:lang w:val="en-US"/>
        </w:rPr>
        <w:t>万元，比上年增</w:t>
      </w:r>
      <w:r>
        <w:rPr>
          <w:rFonts w:hint="eastAsia" w:ascii="新宋体" w:hAnsi="新宋体" w:eastAsia="新宋体"/>
          <w:sz w:val="28"/>
          <w:lang w:val="en-US"/>
        </w:rPr>
        <w:t>507</w:t>
      </w:r>
      <w:r>
        <w:rPr>
          <w:rFonts w:hint="eastAsia" w:ascii="新宋体" w:hAnsi="新宋体" w:eastAsia="新宋体"/>
          <w:sz w:val="32"/>
          <w:lang w:val="en-US"/>
        </w:rPr>
        <w:t>万元，增长</w:t>
      </w:r>
      <w:r>
        <w:rPr>
          <w:rFonts w:hint="eastAsia" w:ascii="新宋体" w:hAnsi="新宋体" w:eastAsia="新宋体"/>
          <w:sz w:val="28"/>
          <w:lang w:val="en-US"/>
        </w:rPr>
        <w:t>77.81</w:t>
      </w:r>
      <w:r>
        <w:rPr>
          <w:rFonts w:hint="eastAsia" w:ascii="新宋体" w:hAnsi="新宋体" w:eastAsia="新宋体"/>
          <w:sz w:val="32"/>
          <w:lang w:val="en-US"/>
        </w:rPr>
        <w:t>%；</w:t>
      </w:r>
      <w:r>
        <w:rPr>
          <w:rFonts w:hint="eastAsia" w:ascii="新宋体" w:hAnsi="新宋体" w:eastAsia="新宋体"/>
          <w:sz w:val="32"/>
          <w:lang w:val="zh-CN"/>
        </w:rPr>
        <w:t>变化的主要原因</w:t>
      </w:r>
      <w:r>
        <w:rPr>
          <w:rFonts w:hint="eastAsia" w:ascii="新宋体" w:hAnsi="新宋体" w:eastAsia="新宋体"/>
          <w:sz w:val="32"/>
          <w:lang w:val="en-US"/>
        </w:rPr>
        <w:t>：</w:t>
      </w:r>
      <w:r>
        <w:rPr>
          <w:rFonts w:hint="eastAsia" w:ascii="新宋体" w:hAnsi="新宋体" w:eastAsia="新宋体"/>
          <w:sz w:val="28"/>
          <w:lang w:val="en-US"/>
        </w:rPr>
        <w:t>2020年除了结余资金支出，又是综改的收官之年，支出大</w:t>
      </w:r>
      <w:r>
        <w:rPr>
          <w:rFonts w:hint="eastAsia" w:ascii="新宋体" w:hAnsi="新宋体" w:eastAsia="新宋体"/>
          <w:sz w:val="32"/>
          <w:lang w:val="en-US"/>
        </w:rPr>
        <w:t>。</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1256.77</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1229.85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98</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26.92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新宋体" w:hAnsi="新宋体" w:eastAsia="新宋体"/>
          <w:sz w:val="28"/>
          <w:lang w:val="en-US" w:eastAsia="zh-CN"/>
        </w:rPr>
        <w:t>1158.85</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u w:val="none"/>
          <w:lang w:val="en-US" w:eastAsia="zh-CN"/>
        </w:rPr>
        <w:t>518.74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640.10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55</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rPr>
          <w:rFonts w:hAnsi="黑体"/>
          <w:b/>
          <w:sz w:val="32"/>
          <w:szCs w:val="32"/>
        </w:rPr>
      </w:pPr>
      <w:r>
        <w:rPr>
          <w:rFonts w:hint="eastAsia" w:hAnsi="黑体"/>
          <w:b/>
          <w:sz w:val="32"/>
          <w:szCs w:val="32"/>
        </w:rPr>
        <w:t>四、财政拨款收入支出决算总体情况说明</w:t>
      </w:r>
    </w:p>
    <w:p>
      <w:pPr>
        <w:pStyle w:val="11"/>
        <w:ind w:firstLine="64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1229.85</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rPr>
        <w:t>165万元，增长</w:t>
      </w:r>
      <w:r>
        <w:rPr>
          <w:rFonts w:hint="eastAsia" w:asciiTheme="minorEastAsia" w:hAnsiTheme="minorEastAsia" w:eastAsiaTheme="minorEastAsia"/>
          <w:sz w:val="32"/>
          <w:szCs w:val="32"/>
          <w:lang w:val="en-US" w:eastAsia="zh-CN"/>
        </w:rPr>
        <w:t>15.51</w:t>
      </w:r>
      <w:r>
        <w:rPr>
          <w:rFonts w:hint="eastAsia" w:asciiTheme="minorEastAsia" w:hAnsiTheme="minorEastAsia" w:eastAsiaTheme="minorEastAsia"/>
          <w:sz w:val="32"/>
          <w:szCs w:val="32"/>
          <w:lang w:val="zh-CN"/>
        </w:rPr>
        <w:t>%，变化的主要原因是：</w:t>
      </w:r>
      <w:r>
        <w:rPr>
          <w:rFonts w:hint="eastAsia" w:asciiTheme="minorEastAsia" w:hAnsiTheme="minorEastAsia" w:eastAsiaTheme="minorEastAsia"/>
          <w:sz w:val="32"/>
          <w:szCs w:val="32"/>
          <w:lang w:val="en-US"/>
        </w:rPr>
        <w:t>政府全面深入推进</w:t>
      </w:r>
      <w:r>
        <w:rPr>
          <w:rFonts w:hint="eastAsia" w:asciiTheme="minorEastAsia" w:hAnsiTheme="minorEastAsia" w:eastAsiaTheme="minorEastAsia"/>
          <w:sz w:val="32"/>
          <w:szCs w:val="32"/>
          <w:lang w:val="en-US" w:eastAsia="zh-CN"/>
        </w:rPr>
        <w:t>供销社</w:t>
      </w:r>
      <w:r>
        <w:rPr>
          <w:rFonts w:hint="eastAsia" w:asciiTheme="minorEastAsia" w:hAnsiTheme="minorEastAsia" w:eastAsiaTheme="minorEastAsia"/>
          <w:sz w:val="32"/>
          <w:szCs w:val="32"/>
          <w:lang w:val="en-US"/>
        </w:rPr>
        <w:t>综</w:t>
      </w:r>
      <w:r>
        <w:rPr>
          <w:rFonts w:hint="eastAsia" w:asciiTheme="minorEastAsia" w:hAnsiTheme="minorEastAsia" w:eastAsiaTheme="minorEastAsia"/>
          <w:sz w:val="32"/>
          <w:szCs w:val="32"/>
          <w:lang w:val="en-US" w:eastAsia="zh-CN"/>
        </w:rPr>
        <w:t>合</w:t>
      </w:r>
      <w:r>
        <w:rPr>
          <w:rFonts w:hint="eastAsia" w:asciiTheme="minorEastAsia" w:hAnsiTheme="minorEastAsia" w:eastAsiaTheme="minorEastAsia"/>
          <w:sz w:val="32"/>
          <w:szCs w:val="32"/>
          <w:lang w:val="en-US"/>
        </w:rPr>
        <w:t>改</w:t>
      </w:r>
      <w:r>
        <w:rPr>
          <w:rFonts w:hint="eastAsia" w:asciiTheme="minorEastAsia" w:hAnsiTheme="minorEastAsia" w:eastAsiaTheme="minorEastAsia"/>
          <w:sz w:val="32"/>
          <w:szCs w:val="32"/>
          <w:lang w:val="en-US" w:eastAsia="zh-CN"/>
        </w:rPr>
        <w:t>革工作。</w:t>
      </w:r>
    </w:p>
    <w:p>
      <w:pPr>
        <w:pStyle w:val="11"/>
        <w:ind w:firstLine="640"/>
        <w:rPr>
          <w:rFonts w:hint="eastAsia" w:asciiTheme="minorEastAsia" w:hAnsiTheme="minorEastAsia" w:eastAsiaTheme="minorEastAsia"/>
          <w:sz w:val="32"/>
          <w:szCs w:val="32"/>
        </w:rPr>
      </w:pPr>
      <w:r>
        <w:rPr>
          <w:rFonts w:hint="eastAsia" w:ascii="新宋体" w:hAnsi="新宋体" w:eastAsia="新宋体"/>
          <w:sz w:val="32"/>
          <w:lang w:val="en-US"/>
        </w:rPr>
        <w:t>20</w:t>
      </w:r>
      <w:r>
        <w:rPr>
          <w:rFonts w:hint="eastAsia" w:ascii="新宋体" w:hAnsi="新宋体" w:eastAsia="新宋体"/>
          <w:sz w:val="32"/>
          <w:lang w:val="en-US" w:eastAsia="zh-CN"/>
        </w:rPr>
        <w:t>20</w:t>
      </w:r>
      <w:r>
        <w:rPr>
          <w:rFonts w:hint="eastAsia" w:ascii="新宋体" w:hAnsi="新宋体" w:eastAsia="新宋体"/>
          <w:sz w:val="32"/>
          <w:lang w:val="en-US"/>
        </w:rPr>
        <w:t>年度财政拨款支出</w:t>
      </w:r>
      <w:r>
        <w:rPr>
          <w:rFonts w:hint="eastAsia" w:ascii="新宋体" w:hAnsi="新宋体" w:eastAsia="新宋体"/>
          <w:sz w:val="32"/>
          <w:lang w:val="en-US" w:eastAsia="zh-CN"/>
        </w:rPr>
        <w:t>总计1131.93</w:t>
      </w:r>
      <w:r>
        <w:rPr>
          <w:rFonts w:hint="eastAsia" w:ascii="新宋体" w:hAnsi="新宋体" w:eastAsia="新宋体"/>
          <w:sz w:val="32"/>
          <w:lang w:val="en-US"/>
        </w:rPr>
        <w:t>万元，占本年支出合计的</w:t>
      </w:r>
      <w:r>
        <w:rPr>
          <w:rFonts w:hint="eastAsia" w:ascii="新宋体" w:hAnsi="新宋体" w:eastAsia="新宋体"/>
          <w:sz w:val="32"/>
          <w:lang w:val="en-US" w:eastAsia="zh-CN"/>
        </w:rPr>
        <w:t>98</w:t>
      </w:r>
      <w:r>
        <w:rPr>
          <w:rFonts w:hint="eastAsia" w:ascii="新宋体" w:hAnsi="新宋体" w:eastAsia="新宋体"/>
          <w:sz w:val="32"/>
          <w:lang w:val="en-US"/>
        </w:rPr>
        <w:t>%，与201</w:t>
      </w:r>
      <w:r>
        <w:rPr>
          <w:rFonts w:hint="eastAsia" w:ascii="新宋体" w:hAnsi="新宋体" w:eastAsia="新宋体"/>
          <w:sz w:val="32"/>
          <w:lang w:val="en-US" w:eastAsia="zh-CN"/>
        </w:rPr>
        <w:t>9</w:t>
      </w:r>
      <w:r>
        <w:rPr>
          <w:rFonts w:hint="eastAsia" w:ascii="新宋体" w:hAnsi="新宋体" w:eastAsia="新宋体"/>
          <w:sz w:val="32"/>
          <w:lang w:val="en-US"/>
        </w:rPr>
        <w:t>年相比，财政拨款支出增加</w:t>
      </w:r>
      <w:r>
        <w:rPr>
          <w:rFonts w:hint="eastAsia" w:ascii="新宋体" w:hAnsi="新宋体" w:eastAsia="新宋体"/>
          <w:sz w:val="32"/>
          <w:lang w:val="en-US" w:eastAsia="zh-CN"/>
        </w:rPr>
        <w:t>480.2</w:t>
      </w:r>
      <w:r>
        <w:rPr>
          <w:rFonts w:hint="eastAsia" w:ascii="新宋体" w:hAnsi="新宋体" w:eastAsia="新宋体"/>
          <w:sz w:val="32"/>
          <w:lang w:val="en-US"/>
        </w:rPr>
        <w:t>万元，增长</w:t>
      </w:r>
      <w:r>
        <w:rPr>
          <w:rFonts w:hint="eastAsia" w:ascii="新宋体" w:hAnsi="新宋体" w:eastAsia="新宋体"/>
          <w:sz w:val="32"/>
          <w:lang w:val="en-US" w:eastAsia="zh-CN"/>
        </w:rPr>
        <w:t>73.68</w:t>
      </w:r>
      <w:r>
        <w:rPr>
          <w:rFonts w:hint="eastAsia" w:ascii="新宋体" w:hAnsi="新宋体" w:eastAsia="新宋体"/>
          <w:sz w:val="32"/>
          <w:lang w:val="en-US"/>
        </w:rPr>
        <w:t>%，</w:t>
      </w:r>
      <w:r>
        <w:rPr>
          <w:rFonts w:hint="eastAsia" w:ascii="新宋体" w:hAnsi="新宋体" w:eastAsia="新宋体"/>
          <w:sz w:val="32"/>
          <w:lang w:val="en-US" w:eastAsia="zh-CN"/>
        </w:rPr>
        <w:t>原因是2019年结余资金419.82万元用于本年支出，本年财政增加了综改资金投入。</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新宋体" w:hAnsi="新宋体" w:eastAsia="新宋体"/>
          <w:sz w:val="32"/>
          <w:lang w:val="en-US" w:eastAsia="zh-CN"/>
        </w:rPr>
        <w:t>1131.93</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98</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480.2</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73.68</w:t>
      </w:r>
      <w:r>
        <w:rPr>
          <w:rFonts w:hint="eastAsia" w:asciiTheme="minorEastAsia" w:hAnsiTheme="minorEastAsia" w:eastAsiaTheme="minorEastAsia"/>
          <w:sz w:val="32"/>
          <w:szCs w:val="32"/>
        </w:rPr>
        <w:t>%，主要是</w:t>
      </w:r>
      <w:r>
        <w:rPr>
          <w:rFonts w:hint="eastAsia" w:ascii="新宋体" w:hAnsi="新宋体" w:eastAsia="新宋体"/>
          <w:sz w:val="32"/>
          <w:lang w:val="en-US" w:eastAsia="zh-CN"/>
        </w:rPr>
        <w:t>2019年结余资金419.82万元用于本年支出，本年财政增加了综改资金投入。</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新宋体" w:hAnsi="新宋体" w:eastAsia="新宋体"/>
          <w:sz w:val="32"/>
          <w:lang w:val="en-US" w:eastAsia="zh-CN"/>
        </w:rPr>
        <w:t>1131.93</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val="en-US" w:eastAsia="zh-CN"/>
        </w:rPr>
        <w:t>社会保障和就业支出161.44万元，占15%；卫生健康支出15.55万元，占1%；商业和服务业支出927.02万元，占82%；住房保障和就业支出27.92万元，占2%。</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664.19</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1131.93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170</w:t>
      </w:r>
      <w:r>
        <w:rPr>
          <w:rFonts w:hint="eastAsia" w:asciiTheme="minorEastAsia" w:hAnsiTheme="minorEastAsia" w:eastAsiaTheme="minorEastAsia"/>
          <w:sz w:val="32"/>
          <w:szCs w:val="32"/>
        </w:rPr>
        <w:t>%，其中：</w:t>
      </w:r>
    </w:p>
    <w:p>
      <w:pPr>
        <w:pStyle w:val="11"/>
        <w:ind w:firstLine="800" w:firstLineChars="250"/>
        <w:rPr>
          <w:rFonts w:hint="eastAsia" w:asciiTheme="minorEastAsia" w:hAnsiTheme="minorEastAsia" w:eastAsiaTheme="minorEastAsia"/>
          <w:sz w:val="32"/>
          <w:szCs w:val="32"/>
          <w:lang w:val="en-US"/>
        </w:rPr>
      </w:pPr>
      <w:r>
        <w:rPr>
          <w:rFonts w:hint="eastAsia" w:asciiTheme="minorEastAsia" w:hAnsiTheme="minorEastAsia" w:eastAsiaTheme="minorEastAsia"/>
          <w:sz w:val="32"/>
          <w:szCs w:val="32"/>
        </w:rPr>
        <w:t>1、</w:t>
      </w:r>
      <w:r>
        <w:rPr>
          <w:rFonts w:hint="eastAsia" w:asciiTheme="minorEastAsia" w:hAnsiTheme="minorEastAsia" w:eastAsiaTheme="minorEastAsia"/>
          <w:sz w:val="32"/>
          <w:szCs w:val="32"/>
          <w:lang w:val="en-US" w:eastAsia="zh-CN"/>
        </w:rPr>
        <w:t>社会保障和就业支出-行政事业单位养老支出-事业单位离退休</w:t>
      </w:r>
      <w:r>
        <w:rPr>
          <w:rFonts w:hint="eastAsia" w:asciiTheme="minorEastAsia" w:hAnsiTheme="minorEastAsia" w:eastAsiaTheme="minorEastAsia"/>
          <w:sz w:val="32"/>
          <w:szCs w:val="32"/>
          <w:lang w:val="en-US"/>
        </w:rPr>
        <w:t>。</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rPr>
        <w:t>年初预算为</w:t>
      </w:r>
      <w:r>
        <w:rPr>
          <w:rFonts w:hint="eastAsia" w:asciiTheme="minorEastAsia" w:hAnsiTheme="minorEastAsia" w:eastAsiaTheme="minorEastAsia"/>
          <w:sz w:val="32"/>
          <w:szCs w:val="32"/>
          <w:lang w:val="en-US" w:eastAsia="zh-CN"/>
        </w:rPr>
        <w:t>16</w:t>
      </w:r>
      <w:r>
        <w:rPr>
          <w:rFonts w:hint="eastAsia" w:asciiTheme="minorEastAsia" w:hAnsiTheme="minorEastAsia" w:eastAsiaTheme="minorEastAsia"/>
          <w:sz w:val="32"/>
          <w:szCs w:val="32"/>
          <w:lang w:val="en-US"/>
        </w:rPr>
        <w:t>万元，支出决算为</w:t>
      </w:r>
      <w:r>
        <w:rPr>
          <w:rFonts w:hint="eastAsia" w:asciiTheme="minorEastAsia" w:hAnsiTheme="minorEastAsia" w:eastAsiaTheme="minorEastAsia"/>
          <w:sz w:val="32"/>
          <w:szCs w:val="32"/>
          <w:lang w:val="en-US" w:eastAsia="zh-CN"/>
        </w:rPr>
        <w:t>50.41</w:t>
      </w:r>
      <w:r>
        <w:rPr>
          <w:rFonts w:hint="eastAsia" w:asciiTheme="minorEastAsia" w:hAnsiTheme="minorEastAsia" w:eastAsiaTheme="minorEastAsia"/>
          <w:sz w:val="32"/>
          <w:szCs w:val="32"/>
          <w:lang w:val="en-US"/>
        </w:rPr>
        <w:t>万元，完成年初预算的</w:t>
      </w:r>
      <w:r>
        <w:rPr>
          <w:rFonts w:hint="eastAsia" w:asciiTheme="minorEastAsia" w:hAnsiTheme="minorEastAsia" w:eastAsiaTheme="minorEastAsia"/>
          <w:sz w:val="32"/>
          <w:szCs w:val="32"/>
          <w:lang w:val="en-US" w:eastAsia="zh-CN"/>
        </w:rPr>
        <w:t>313</w:t>
      </w:r>
      <w:r>
        <w:rPr>
          <w:rFonts w:hint="eastAsia" w:asciiTheme="minorEastAsia" w:hAnsiTheme="minorEastAsia" w:eastAsiaTheme="minorEastAsia"/>
          <w:sz w:val="32"/>
          <w:szCs w:val="32"/>
          <w:lang w:val="en-US"/>
        </w:rPr>
        <w:t>%，决算数大于年初预算数的主要原因是：</w:t>
      </w:r>
      <w:r>
        <w:rPr>
          <w:rFonts w:hint="eastAsia" w:asciiTheme="minorEastAsia" w:hAnsiTheme="minorEastAsia" w:eastAsiaTheme="minorEastAsia"/>
          <w:sz w:val="32"/>
          <w:szCs w:val="32"/>
          <w:lang w:val="en-US" w:eastAsia="zh-CN"/>
        </w:rPr>
        <w:t>离退休人员政策标准提高；离退休支部经费支出放在该科目；离休人员医疗统筹税务代扣10万放在该科目，离退休人员发放的一个半月综治奖放在该科目。</w:t>
      </w:r>
    </w:p>
    <w:p>
      <w:pPr>
        <w:pStyle w:val="11"/>
        <w:ind w:firstLine="800" w:firstLineChars="250"/>
        <w:rPr>
          <w:rFonts w:hint="eastAsia" w:asciiTheme="minorEastAsia" w:hAnsiTheme="minorEastAsia" w:eastAsiaTheme="minorEastAsia"/>
          <w:sz w:val="32"/>
          <w:szCs w:val="32"/>
          <w:lang w:val="en-US"/>
        </w:rPr>
      </w:pPr>
      <w:r>
        <w:rPr>
          <w:rFonts w:hint="eastAsia" w:asciiTheme="minorEastAsia" w:hAnsiTheme="minorEastAsia" w:eastAsiaTheme="minorEastAsia"/>
          <w:sz w:val="32"/>
          <w:szCs w:val="32"/>
        </w:rPr>
        <w:t>2、</w:t>
      </w:r>
      <w:r>
        <w:rPr>
          <w:rFonts w:hint="eastAsia" w:asciiTheme="minorEastAsia" w:hAnsiTheme="minorEastAsia" w:eastAsiaTheme="minorEastAsia"/>
          <w:sz w:val="32"/>
          <w:szCs w:val="32"/>
          <w:lang w:val="en-US" w:eastAsia="zh-CN"/>
        </w:rPr>
        <w:t>社会保障和就业支出-行政事业单位养老支出-机关事业单位基本养老保险缴费支出</w:t>
      </w:r>
      <w:r>
        <w:rPr>
          <w:rFonts w:hint="eastAsia" w:asciiTheme="minorEastAsia" w:hAnsiTheme="minorEastAsia" w:eastAsiaTheme="minorEastAsia"/>
          <w:sz w:val="32"/>
          <w:szCs w:val="32"/>
          <w:lang w:val="en-US"/>
        </w:rPr>
        <w:t>。</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rPr>
        <w:t>年初预算</w:t>
      </w:r>
      <w:r>
        <w:rPr>
          <w:rFonts w:hint="eastAsia" w:asciiTheme="minorEastAsia" w:hAnsiTheme="minorEastAsia" w:eastAsiaTheme="minorEastAsia"/>
          <w:sz w:val="32"/>
          <w:szCs w:val="32"/>
          <w:lang w:val="en-US" w:eastAsia="zh-CN"/>
        </w:rPr>
        <w:t>18.94</w:t>
      </w:r>
      <w:r>
        <w:rPr>
          <w:rFonts w:hint="eastAsia" w:asciiTheme="minorEastAsia" w:hAnsiTheme="minorEastAsia" w:eastAsiaTheme="minorEastAsia"/>
          <w:sz w:val="32"/>
          <w:szCs w:val="32"/>
          <w:lang w:val="en-US"/>
        </w:rPr>
        <w:t>万元，支出决算为</w:t>
      </w:r>
      <w:r>
        <w:rPr>
          <w:rFonts w:hint="eastAsia" w:asciiTheme="minorEastAsia" w:hAnsiTheme="minorEastAsia" w:eastAsiaTheme="minorEastAsia"/>
          <w:sz w:val="32"/>
          <w:szCs w:val="32"/>
          <w:lang w:val="en-US" w:eastAsia="zh-CN"/>
        </w:rPr>
        <w:t>41.67</w:t>
      </w:r>
      <w:r>
        <w:rPr>
          <w:rFonts w:hint="eastAsia" w:asciiTheme="minorEastAsia" w:hAnsiTheme="minorEastAsia" w:eastAsiaTheme="minorEastAsia"/>
          <w:sz w:val="32"/>
          <w:szCs w:val="32"/>
          <w:lang w:val="en-US"/>
        </w:rPr>
        <w:t>万元，完成年初预算的</w:t>
      </w:r>
      <w:r>
        <w:rPr>
          <w:rFonts w:hint="eastAsia" w:asciiTheme="minorEastAsia" w:hAnsiTheme="minorEastAsia" w:eastAsiaTheme="minorEastAsia"/>
          <w:sz w:val="32"/>
          <w:szCs w:val="32"/>
          <w:lang w:val="en-US" w:eastAsia="zh-CN"/>
        </w:rPr>
        <w:t>220</w:t>
      </w:r>
      <w:r>
        <w:rPr>
          <w:rFonts w:hint="eastAsia" w:asciiTheme="minorEastAsia" w:hAnsiTheme="minorEastAsia" w:eastAsiaTheme="minorEastAsia"/>
          <w:sz w:val="32"/>
          <w:szCs w:val="32"/>
          <w:lang w:val="en-US"/>
        </w:rPr>
        <w:t>%，决算数大于年初预算数的主要原因是：</w:t>
      </w:r>
      <w:r>
        <w:rPr>
          <w:rFonts w:hint="eastAsia" w:asciiTheme="minorEastAsia" w:hAnsiTheme="minorEastAsia" w:eastAsiaTheme="minorEastAsia"/>
          <w:sz w:val="32"/>
          <w:szCs w:val="32"/>
          <w:lang w:val="en-US" w:eastAsia="zh-CN"/>
        </w:rPr>
        <w:t>2个下设股级二级机构职工的养老保险统一由财政资金汇缴，计入总支出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3、社会保障和就业支出-行政事业单位养老支出-机关事业单位职业年金缴费支出。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年初预算为0万元，支出决算为58.49万元，决算数大于年初预算数的主要原因是：该部分支出为二级机构2014年10月至2020年的职业年金缴费支出，财政无预算。</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4、社会保障和就业支出-其他社会保障和就业支出-其他社会保障和就业支出。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年初预算为4.99万元，支出决算为10.86万元，完成年初预算的218%，决算数大于年初预算数的主要原因是：工资提标，保险基数提高，供销系统遗留改制问题较多，用于维稳突发事件支出计入该科目。</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5、卫生健康支出-行政事业单位医疗-政事业单位医疗。</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9.5万元，支出决算为15.56万元，完成年初预算的164%，决算数大于年初预算数的主要原因是：职工三年一次大的体检支出及公务员医疗保险、商业医保记在该科目。2个下设股级二级机构职工的医疗保险统一由财政资金汇缴，计入总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6、商业服务业等支出-商业流通事务-行政运行。</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年初预算为195.04万元，支出决算为286.91万元，完成年初预算的147%，决算数大于年初预算数的主要原因是：为职工伙食补助、住房公积金、综治奖励支出。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7、商业服务业等支出-商业流通事务-一般行政管理事务。</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年初预算为405万元，支出决算为640.10万元，完成年初预算的158%，决算数大于年初预算数的主要原因是：全面深入推进综合改革支出。</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8、住房保障支出-住房改革支出-住房公积金</w:t>
      </w:r>
    </w:p>
    <w:p>
      <w:pPr>
        <w:pStyle w:val="11"/>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年初预算为14.74万元，支出决算为27.92万元，完成年初预算的189%，决算数大于年初预算数的主要原因是：单位部分把其他工资福利支出计入了公积金基数，按12%的标准配缴公积金。</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val="en-US" w:eastAsia="zh-CN"/>
        </w:rPr>
        <w:t>2020</w:t>
      </w:r>
      <w:r>
        <w:rPr>
          <w:rFonts w:hint="eastAsia" w:asciiTheme="minorEastAsia" w:hAnsiTheme="minorEastAsia" w:eastAsiaTheme="minorEastAsia"/>
          <w:sz w:val="32"/>
          <w:szCs w:val="32"/>
          <w:lang w:val="en-US"/>
        </w:rPr>
        <w:t>年度财政拨款基本支出</w:t>
      </w:r>
      <w:r>
        <w:rPr>
          <w:rFonts w:hint="eastAsia" w:asciiTheme="minorEastAsia" w:hAnsiTheme="minorEastAsia" w:eastAsiaTheme="minorEastAsia"/>
          <w:sz w:val="32"/>
          <w:szCs w:val="32"/>
          <w:lang w:val="en-US" w:eastAsia="zh-CN"/>
        </w:rPr>
        <w:t>491.82</w:t>
      </w:r>
      <w:r>
        <w:rPr>
          <w:rFonts w:hint="eastAsia" w:asciiTheme="minorEastAsia" w:hAnsiTheme="minorEastAsia" w:eastAsiaTheme="minorEastAsia"/>
          <w:sz w:val="32"/>
          <w:szCs w:val="32"/>
          <w:lang w:val="en-US"/>
        </w:rPr>
        <w:t>万元，其中：人员经费</w:t>
      </w:r>
      <w:r>
        <w:rPr>
          <w:rFonts w:hint="eastAsia" w:asciiTheme="minorEastAsia" w:hAnsiTheme="minorEastAsia" w:eastAsiaTheme="minorEastAsia"/>
          <w:sz w:val="32"/>
          <w:szCs w:val="32"/>
          <w:lang w:val="en-US" w:eastAsia="zh-CN"/>
        </w:rPr>
        <w:t>433.23</w:t>
      </w:r>
      <w:r>
        <w:rPr>
          <w:rFonts w:hint="eastAsia" w:asciiTheme="minorEastAsia" w:hAnsiTheme="minorEastAsia" w:eastAsiaTheme="minorEastAsia"/>
          <w:sz w:val="32"/>
          <w:szCs w:val="32"/>
          <w:lang w:val="en-US"/>
        </w:rPr>
        <w:t>万元，占基本支出的</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lang w:val="en-US"/>
        </w:rPr>
        <w:t>%,主要包括基本工资、津贴补贴、</w:t>
      </w:r>
      <w:r>
        <w:rPr>
          <w:rFonts w:hint="eastAsia" w:asciiTheme="minorEastAsia" w:hAnsiTheme="minorEastAsia" w:eastAsiaTheme="minorEastAsia"/>
          <w:sz w:val="32"/>
          <w:szCs w:val="32"/>
          <w:lang w:val="en-US" w:eastAsia="zh-CN"/>
        </w:rPr>
        <w:t>绩效工资、</w:t>
      </w:r>
      <w:r>
        <w:rPr>
          <w:rFonts w:hint="eastAsia" w:asciiTheme="minorEastAsia" w:hAnsiTheme="minorEastAsia" w:eastAsiaTheme="minorEastAsia"/>
          <w:sz w:val="32"/>
          <w:szCs w:val="32"/>
          <w:lang w:val="en-US"/>
        </w:rPr>
        <w:t>奖金、伙食补助费</w:t>
      </w:r>
      <w:r>
        <w:rPr>
          <w:rFonts w:hint="eastAsia" w:asciiTheme="minorEastAsia" w:hAnsiTheme="minorEastAsia" w:eastAsiaTheme="minorEastAsia"/>
          <w:sz w:val="32"/>
          <w:szCs w:val="32"/>
          <w:lang w:val="en-US" w:eastAsia="zh-CN"/>
        </w:rPr>
        <w:t>、五险一金、对个人和家庭的补助等</w:t>
      </w:r>
      <w:r>
        <w:rPr>
          <w:rFonts w:hint="eastAsia" w:asciiTheme="minorEastAsia" w:hAnsiTheme="minorEastAsia" w:eastAsiaTheme="minorEastAsia"/>
          <w:sz w:val="32"/>
          <w:szCs w:val="32"/>
          <w:lang w:val="en-US"/>
        </w:rPr>
        <w:t>；公用经费</w:t>
      </w:r>
      <w:r>
        <w:rPr>
          <w:rFonts w:hint="eastAsia" w:asciiTheme="minorEastAsia" w:hAnsiTheme="minorEastAsia" w:eastAsiaTheme="minorEastAsia"/>
          <w:sz w:val="32"/>
          <w:szCs w:val="32"/>
          <w:lang w:val="en-US" w:eastAsia="zh-CN"/>
        </w:rPr>
        <w:t>58.59</w:t>
      </w:r>
      <w:r>
        <w:rPr>
          <w:rFonts w:hint="eastAsia" w:asciiTheme="minorEastAsia" w:hAnsiTheme="minorEastAsia" w:eastAsiaTheme="minorEastAsia"/>
          <w:sz w:val="32"/>
          <w:szCs w:val="32"/>
          <w:lang w:val="en-US"/>
        </w:rPr>
        <w:t>万元，占基本支出的</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lang w:val="en-US"/>
        </w:rPr>
        <w:t>%，主要包括办公费、印刷费、咨询费、手续费</w:t>
      </w:r>
      <w:r>
        <w:rPr>
          <w:rFonts w:hint="eastAsia" w:asciiTheme="minorEastAsia" w:hAnsiTheme="minorEastAsia" w:eastAsiaTheme="minorEastAsia"/>
          <w:sz w:val="32"/>
          <w:szCs w:val="32"/>
          <w:lang w:val="en-US" w:eastAsia="zh-CN"/>
        </w:rPr>
        <w:t>、水电费、差旅费、会议费、培训费、公务接待费、工会经费、扶贫、信访、党建、综改经费。</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2.12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72</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2.12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72</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少于预算数的</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rPr>
        <w:t>：严格按接待文件执行，厉行节约</w:t>
      </w:r>
      <w:r>
        <w:rPr>
          <w:rFonts w:hint="eastAsia" w:asciiTheme="minorEastAsia" w:hAnsiTheme="minorEastAsia" w:eastAsiaTheme="minorEastAsia"/>
          <w:sz w:val="32"/>
          <w:szCs w:val="32"/>
          <w:lang w:val="zh-CN"/>
        </w:rPr>
        <w:t>。</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0.65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30.01</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val="en-US"/>
        </w:rPr>
        <w:t>严格按接待文件执行，厉行节约</w:t>
      </w:r>
      <w:r>
        <w:rPr>
          <w:rFonts w:hint="eastAsia" w:asciiTheme="minorEastAsia" w:hAnsiTheme="minorEastAsia" w:eastAsiaTheme="minorEastAsia"/>
          <w:sz w:val="32"/>
          <w:szCs w:val="32"/>
        </w:rPr>
        <w:t>。</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w:t>
      </w:r>
    </w:p>
    <w:p>
      <w:pPr>
        <w:pStyle w:val="11"/>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1.53</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25</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300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综合改革工作的上级及兄弟单位的调研和各基层点的来访</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eastAsia="zh-CN"/>
        </w:rPr>
        <w:t>，</w:t>
      </w:r>
      <w:r>
        <w:rPr>
          <w:rFonts w:hint="eastAsia" w:asciiTheme="minorEastAsia" w:hAnsiTheme="minorEastAsia"/>
          <w:sz w:val="32"/>
          <w:szCs w:val="32"/>
        </w:rPr>
        <w:t>截止2020年12月31日，我单位开支财政拨款的公务用车保有量为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1"/>
        <w:rPr>
          <w:rFonts w:hAnsi="黑体"/>
          <w:b/>
          <w:sz w:val="32"/>
          <w:szCs w:val="32"/>
        </w:rPr>
      </w:pPr>
      <w:r>
        <w:rPr>
          <w:rFonts w:hint="eastAsia" w:hAnsi="黑体"/>
          <w:b/>
          <w:sz w:val="32"/>
          <w:szCs w:val="32"/>
        </w:rPr>
        <w:t>八、政府性基金预算收入支出决算情况</w:t>
      </w:r>
    </w:p>
    <w:p>
      <w:pPr>
        <w:pStyle w:val="11"/>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2020年度</w:t>
      </w:r>
      <w:r>
        <w:rPr>
          <w:rFonts w:hint="eastAsia" w:asciiTheme="minorEastAsia" w:hAnsiTheme="minorEastAsia" w:eastAsiaTheme="minorEastAsia"/>
          <w:sz w:val="32"/>
          <w:szCs w:val="32"/>
          <w:lang w:eastAsia="zh-CN"/>
        </w:rPr>
        <w:t>本单位无政府性基金收支。</w:t>
      </w:r>
    </w:p>
    <w:p>
      <w:pPr>
        <w:pStyle w:val="11"/>
        <w:rPr>
          <w:rFonts w:hAnsi="黑体"/>
          <w:b/>
          <w:sz w:val="32"/>
          <w:szCs w:val="32"/>
        </w:rPr>
      </w:pPr>
      <w:r>
        <w:rPr>
          <w:rFonts w:hint="eastAsia" w:hAnsi="黑体"/>
          <w:b/>
          <w:sz w:val="32"/>
          <w:szCs w:val="32"/>
        </w:rPr>
        <w:t>九、关于机关运行经费支出说明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58.58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比</w:t>
      </w:r>
      <w:r>
        <w:rPr>
          <w:rFonts w:hint="eastAsia" w:asciiTheme="minorEastAsia" w:hAnsiTheme="minorEastAsia" w:eastAsiaTheme="minorEastAsia"/>
          <w:sz w:val="32"/>
          <w:szCs w:val="32"/>
        </w:rPr>
        <w:t>上年决算数</w:t>
      </w:r>
      <w:r>
        <w:rPr>
          <w:rFonts w:hint="eastAsia" w:asciiTheme="minorEastAsia" w:hAnsiTheme="minorEastAsia" w:eastAsiaTheme="minorEastAsia"/>
          <w:sz w:val="32"/>
          <w:szCs w:val="32"/>
          <w:lang w:val="en-US"/>
        </w:rPr>
        <w:t>减247万元，下降80.83%，</w:t>
      </w:r>
      <w:r>
        <w:rPr>
          <w:rFonts w:hint="eastAsia" w:asciiTheme="minorEastAsia" w:hAnsiTheme="minorEastAsia" w:eastAsiaTheme="minorEastAsia"/>
          <w:sz w:val="32"/>
          <w:szCs w:val="32"/>
          <w:lang w:val="zh-CN"/>
        </w:rPr>
        <w:t>变化的主要原因：</w:t>
      </w:r>
      <w:r>
        <w:rPr>
          <w:rFonts w:hint="eastAsia" w:asciiTheme="minorEastAsia" w:hAnsiTheme="minorEastAsia" w:eastAsiaTheme="minorEastAsia"/>
          <w:sz w:val="32"/>
          <w:szCs w:val="32"/>
          <w:lang w:val="en-US" w:eastAsia="zh-CN"/>
        </w:rPr>
        <w:t>去年</w:t>
      </w:r>
      <w:r>
        <w:rPr>
          <w:rFonts w:hint="eastAsia" w:asciiTheme="minorEastAsia" w:hAnsiTheme="minorEastAsia" w:eastAsiaTheme="minorEastAsia"/>
          <w:sz w:val="32"/>
          <w:szCs w:val="32"/>
          <w:lang w:val="en-US"/>
        </w:rPr>
        <w:t>综改经费没单独预算，支出时</w:t>
      </w:r>
      <w:r>
        <w:rPr>
          <w:rFonts w:hint="eastAsia" w:asciiTheme="minorEastAsia" w:hAnsiTheme="minorEastAsia" w:eastAsiaTheme="minorEastAsia"/>
          <w:sz w:val="32"/>
          <w:szCs w:val="32"/>
          <w:lang w:val="en-US" w:eastAsia="zh-CN"/>
        </w:rPr>
        <w:t>列</w:t>
      </w:r>
      <w:r>
        <w:rPr>
          <w:rFonts w:hint="eastAsia" w:asciiTheme="minorEastAsia" w:hAnsiTheme="minorEastAsia" w:eastAsiaTheme="minorEastAsia"/>
          <w:sz w:val="32"/>
          <w:szCs w:val="32"/>
          <w:lang w:val="en-US"/>
        </w:rPr>
        <w:t>在其他商品服务支出科目</w:t>
      </w:r>
      <w:r>
        <w:rPr>
          <w:rFonts w:hint="eastAsia" w:asciiTheme="minorEastAsia" w:hAnsiTheme="minorEastAsia" w:eastAsiaTheme="minorEastAsia"/>
          <w:sz w:val="32"/>
          <w:szCs w:val="32"/>
          <w:lang w:val="en-US" w:eastAsia="zh-CN"/>
        </w:rPr>
        <w:t>。</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十、一般性支出情况</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人；开支培训费</w:t>
      </w:r>
      <w:r>
        <w:rPr>
          <w:rFonts w:hint="eastAsia" w:asciiTheme="minorEastAsia" w:hAnsiTheme="minorEastAsia" w:eastAsiaTheme="minorEastAsia"/>
          <w:sz w:val="32"/>
          <w:szCs w:val="32"/>
          <w:lang w:val="en-US" w:eastAsia="zh-CN"/>
        </w:rPr>
        <w:t>0.07</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eastAsia="zh-CN"/>
        </w:rPr>
        <w:t>综合改革业务</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23</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各基层社代表综合改革业务</w:t>
      </w:r>
      <w:r>
        <w:rPr>
          <w:rFonts w:hint="eastAsia" w:asciiTheme="minorEastAsia" w:hAnsiTheme="minorEastAsia" w:eastAsiaTheme="minorEastAsia"/>
          <w:sz w:val="32"/>
          <w:szCs w:val="32"/>
        </w:rPr>
        <w:t>培训</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十一、关于政府采购支出说明</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1"/>
        <w:rPr>
          <w:rFonts w:hAnsi="黑体"/>
          <w:b/>
          <w:sz w:val="32"/>
          <w:szCs w:val="32"/>
        </w:rPr>
      </w:pPr>
      <w:r>
        <w:rPr>
          <w:rFonts w:hint="eastAsia" w:hAnsi="黑体"/>
          <w:b/>
          <w:sz w:val="32"/>
          <w:szCs w:val="32"/>
        </w:rPr>
        <w:t>十二、关于国有资产占用情况说明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截至2020年12月31日，本单位共有车辆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1"/>
        <w:rPr>
          <w:rFonts w:hAnsi="黑体"/>
          <w:b/>
          <w:sz w:val="32"/>
          <w:szCs w:val="32"/>
        </w:rPr>
      </w:pPr>
      <w:r>
        <w:rPr>
          <w:rFonts w:hint="eastAsia" w:hAnsi="黑体"/>
          <w:b/>
          <w:sz w:val="32"/>
          <w:szCs w:val="32"/>
        </w:rPr>
        <w:t>十三、关于2020年度预算绩效情况的说明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本部门预算绩效管理开展情况、绩效目标和绩效评价报告等……（</w:t>
      </w:r>
    </w:p>
    <w:p>
      <w:pPr>
        <w:pStyle w:val="11"/>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按照财政绩效部门要求已公开或其他有关部门要求需随同部门决算一同公开的绩效信息，请作为附件公开）</w:t>
      </w:r>
    </w:p>
    <w:p>
      <w:pPr>
        <w:pStyle w:val="11"/>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w:t>
      </w:r>
    </w:p>
    <w:p>
      <w:pPr>
        <w:pStyle w:val="11"/>
        <w:jc w:val="both"/>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rFonts w:hint="eastAsia"/>
          <w:sz w:val="72"/>
          <w:szCs w:val="72"/>
        </w:rPr>
      </w:pPr>
    </w:p>
    <w:p>
      <w:pPr>
        <w:pStyle w:val="11"/>
        <w:jc w:val="center"/>
        <w:rPr>
          <w:rFonts w:hint="eastAsia"/>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一、</w:t>
      </w:r>
      <w:r>
        <w:rPr>
          <w:rFonts w:hint="eastAsia" w:cs="黑体" w:asciiTheme="minorEastAsia" w:hAnsiTheme="minorEastAsia"/>
          <w:color w:val="000000"/>
          <w:kern w:val="0"/>
          <w:sz w:val="32"/>
          <w:szCs w:val="32"/>
        </w:rPr>
        <w:t>财政拨款收入：指本年度从本级财政部门取得的财政拨款，包括一般公共预算财政拨款和政府性基金预算财政拨款。</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二</w:t>
      </w:r>
      <w:r>
        <w:rPr>
          <w:rFonts w:hint="eastAsia" w:cs="黑体" w:asciiTheme="minorEastAsia" w:hAnsiTheme="minorEastAsia"/>
          <w:color w:val="000000"/>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、项目支出：指在基本支出之外为完成特定行政任务和事业发展目标所发生的支出。</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机关运行经费：为保障行政单位(含参照公务员法管理的事业单位)运行用于购买货物和服务等的各项公用经费，包括办公及印刷费、</w:t>
      </w:r>
      <w:r>
        <w:rPr>
          <w:rFonts w:hint="eastAsia" w:cs="黑体" w:asciiTheme="minorEastAsia" w:hAnsiTheme="minorEastAsia"/>
          <w:color w:val="000000"/>
          <w:kern w:val="0"/>
          <w:sz w:val="32"/>
          <w:szCs w:val="32"/>
          <w:lang w:eastAsia="zh-CN"/>
        </w:rPr>
        <w:t>咨询费、手续费、水费、</w:t>
      </w:r>
      <w:r>
        <w:rPr>
          <w:rFonts w:hint="eastAsia" w:cs="黑体" w:asciiTheme="minorEastAsia" w:hAnsiTheme="minorEastAsia"/>
          <w:color w:val="000000"/>
          <w:kern w:val="0"/>
          <w:sz w:val="32"/>
          <w:szCs w:val="32"/>
        </w:rPr>
        <w:t>邮电费、差旅费、</w:t>
      </w:r>
      <w:r>
        <w:rPr>
          <w:rFonts w:hint="eastAsia" w:cs="黑体" w:asciiTheme="minorEastAsia" w:hAnsiTheme="minorEastAsia"/>
          <w:color w:val="000000"/>
          <w:kern w:val="0"/>
          <w:sz w:val="32"/>
          <w:szCs w:val="32"/>
          <w:lang w:eastAsia="zh-CN"/>
        </w:rPr>
        <w:t>维修费、</w:t>
      </w:r>
      <w:r>
        <w:rPr>
          <w:rFonts w:hint="eastAsia" w:cs="黑体" w:asciiTheme="minorEastAsia" w:hAnsiTheme="minorEastAsia"/>
          <w:color w:val="000000"/>
          <w:kern w:val="0"/>
          <w:sz w:val="32"/>
          <w:szCs w:val="32"/>
        </w:rPr>
        <w:t>会议费、</w:t>
      </w:r>
      <w:r>
        <w:rPr>
          <w:rFonts w:hint="eastAsia" w:cs="黑体" w:asciiTheme="minorEastAsia" w:hAnsiTheme="minorEastAsia"/>
          <w:color w:val="000000"/>
          <w:kern w:val="0"/>
          <w:sz w:val="32"/>
          <w:szCs w:val="32"/>
          <w:lang w:eastAsia="zh-CN"/>
        </w:rPr>
        <w:t>培训费、公务接待费、劳务费、工会经</w:t>
      </w:r>
      <w:r>
        <w:rPr>
          <w:rFonts w:hint="eastAsia" w:cs="黑体" w:asciiTheme="minorEastAsia" w:hAnsiTheme="minorEastAsia"/>
          <w:color w:val="000000"/>
          <w:kern w:val="0"/>
          <w:sz w:val="32"/>
          <w:szCs w:val="32"/>
        </w:rPr>
        <w:t>费、</w:t>
      </w:r>
      <w:r>
        <w:rPr>
          <w:rFonts w:hint="eastAsia" w:cs="黑体" w:asciiTheme="minorEastAsia" w:hAnsiTheme="minorEastAsia"/>
          <w:color w:val="000000"/>
          <w:kern w:val="0"/>
          <w:sz w:val="32"/>
          <w:szCs w:val="32"/>
          <w:lang w:eastAsia="zh-CN"/>
        </w:rPr>
        <w:t>税金及附加、</w:t>
      </w:r>
      <w:r>
        <w:rPr>
          <w:rFonts w:hint="eastAsia" w:cs="黑体" w:asciiTheme="minorEastAsia" w:hAnsiTheme="minorEastAsia"/>
          <w:color w:val="000000"/>
          <w:kern w:val="0"/>
          <w:sz w:val="32"/>
          <w:szCs w:val="32"/>
        </w:rPr>
        <w:t>及其他</w:t>
      </w:r>
      <w:r>
        <w:rPr>
          <w:rFonts w:hint="eastAsia" w:cs="黑体" w:asciiTheme="minorEastAsia" w:hAnsiTheme="minorEastAsia"/>
          <w:color w:val="000000"/>
          <w:kern w:val="0"/>
          <w:sz w:val="32"/>
          <w:szCs w:val="32"/>
          <w:lang w:eastAsia="zh-CN"/>
        </w:rPr>
        <w:t>商品和服务支出</w:t>
      </w:r>
      <w:r>
        <w:rPr>
          <w:rFonts w:hint="eastAsia" w:cs="黑体" w:asciiTheme="minorEastAsia" w:hAnsiTheme="minorEastAsia"/>
          <w:color w:val="000000"/>
          <w:kern w:val="0"/>
          <w:sz w:val="32"/>
          <w:szCs w:val="32"/>
        </w:rPr>
        <w:t>费用。</w:t>
      </w:r>
    </w:p>
    <w:p>
      <w:pPr>
        <w:ind w:firstLine="640" w:firstLineChars="200"/>
        <w:jc w:val="left"/>
        <w:rPr>
          <w:rFonts w:hint="default" w:cs="黑体" w:asciiTheme="minorEastAsia" w:hAnsiTheme="minorEastAsia" w:eastAsiaTheme="minorEastAsia"/>
          <w:color w:val="000000"/>
          <w:kern w:val="0"/>
          <w:sz w:val="32"/>
          <w:szCs w:val="32"/>
          <w:lang w:val="en-US" w:eastAsia="zh-CN"/>
        </w:rPr>
      </w:pPr>
      <w:r>
        <w:rPr>
          <w:rFonts w:hint="eastAsia" w:cs="黑体" w:asciiTheme="minorEastAsia" w:hAnsiTheme="minorEastAsia"/>
          <w:color w:val="000000"/>
          <w:kern w:val="0"/>
          <w:sz w:val="32"/>
          <w:szCs w:val="32"/>
          <w:lang w:eastAsia="zh-CN"/>
        </w:rPr>
        <w:t>六、其他商品和服务支出</w:t>
      </w:r>
      <w:r>
        <w:rPr>
          <w:rFonts w:hint="eastAsia" w:cs="黑体" w:asciiTheme="minorEastAsia" w:hAnsiTheme="minorEastAsia"/>
          <w:color w:val="000000"/>
          <w:kern w:val="0"/>
          <w:sz w:val="32"/>
          <w:szCs w:val="32"/>
          <w:lang w:val="en-US" w:eastAsia="zh-CN"/>
        </w:rPr>
        <w:t>:包含了单位的信访维稳经费、党建经费、精准扶贫经费、综合改革专项支出。</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工资福利支出(支出经济分类科目类级)：反映单位开支的在职职工和编制外长期聘用人员的各类劳动报酬，以及为上述人员缴纳的各项社会保险费等。</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商品和服务支出(支出经济分类科目类级)：反映单位购买商品和服务的支出(不包括用于购置固定资产的支出、战略性和应急储备支出)。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、对个人和家庭的补助(支出经济分类科目类级)：反映用于对个人和家庭的补助支出。</w:t>
      </w:r>
      <w:r>
        <w:rPr>
          <w:rFonts w:hint="eastAsia" w:cs="黑体" w:asciiTheme="minorEastAsia" w:hAnsiTheme="minorEastAsia"/>
          <w:color w:val="000000"/>
          <w:kern w:val="0"/>
          <w:sz w:val="32"/>
          <w:szCs w:val="32"/>
          <w:lang w:eastAsia="zh-CN"/>
        </w:rPr>
        <w:t>一、</w:t>
      </w:r>
      <w:r>
        <w:rPr>
          <w:rFonts w:hint="eastAsia" w:cs="黑体" w:asciiTheme="minorEastAsia" w:hAnsiTheme="minorEastAsia"/>
          <w:color w:val="000000"/>
          <w:kern w:val="0"/>
          <w:sz w:val="32"/>
          <w:szCs w:val="32"/>
        </w:rPr>
        <w:t>、财政拨款收入：指本年度从本级财政部门取得的财政拨款，包括一般公共预算财政拨款和政府性基金预算财政拨款。</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二</w:t>
      </w:r>
      <w:r>
        <w:rPr>
          <w:rFonts w:hint="eastAsia" w:cs="黑体" w:asciiTheme="minorEastAsia" w:hAnsiTheme="minorEastAsia"/>
          <w:color w:val="000000"/>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、项目支出：指在基本支出之外为完成特定行政任务和事业发展目标所发生的支出。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机关运行经费：为保障行政单位(含参照公务员法管理的事业单位)运行用于购买货物和服务等的各项公用经费，包括办公及印刷费、</w:t>
      </w:r>
      <w:r>
        <w:rPr>
          <w:rFonts w:hint="eastAsia" w:cs="黑体" w:asciiTheme="minorEastAsia" w:hAnsiTheme="minorEastAsia"/>
          <w:color w:val="000000"/>
          <w:kern w:val="0"/>
          <w:sz w:val="32"/>
          <w:szCs w:val="32"/>
          <w:lang w:eastAsia="zh-CN"/>
        </w:rPr>
        <w:t>咨询费、手续费、水费、</w:t>
      </w:r>
      <w:r>
        <w:rPr>
          <w:rFonts w:hint="eastAsia" w:cs="黑体" w:asciiTheme="minorEastAsia" w:hAnsiTheme="minorEastAsia"/>
          <w:color w:val="000000"/>
          <w:kern w:val="0"/>
          <w:sz w:val="32"/>
          <w:szCs w:val="32"/>
        </w:rPr>
        <w:t>邮电费、差旅费、</w:t>
      </w:r>
      <w:r>
        <w:rPr>
          <w:rFonts w:hint="eastAsia" w:cs="黑体" w:asciiTheme="minorEastAsia" w:hAnsiTheme="minorEastAsia"/>
          <w:color w:val="000000"/>
          <w:kern w:val="0"/>
          <w:sz w:val="32"/>
          <w:szCs w:val="32"/>
          <w:lang w:eastAsia="zh-CN"/>
        </w:rPr>
        <w:t>维修费、</w:t>
      </w:r>
      <w:r>
        <w:rPr>
          <w:rFonts w:hint="eastAsia" w:cs="黑体" w:asciiTheme="minorEastAsia" w:hAnsiTheme="minorEastAsia"/>
          <w:color w:val="000000"/>
          <w:kern w:val="0"/>
          <w:sz w:val="32"/>
          <w:szCs w:val="32"/>
        </w:rPr>
        <w:t>会议费、</w:t>
      </w:r>
      <w:r>
        <w:rPr>
          <w:rFonts w:hint="eastAsia" w:cs="黑体" w:asciiTheme="minorEastAsia" w:hAnsiTheme="minorEastAsia"/>
          <w:color w:val="000000"/>
          <w:kern w:val="0"/>
          <w:sz w:val="32"/>
          <w:szCs w:val="32"/>
          <w:lang w:eastAsia="zh-CN"/>
        </w:rPr>
        <w:t>培训费、公务接待费、劳务费、工会经</w:t>
      </w:r>
      <w:r>
        <w:rPr>
          <w:rFonts w:hint="eastAsia" w:cs="黑体" w:asciiTheme="minorEastAsia" w:hAnsiTheme="minorEastAsia"/>
          <w:color w:val="000000"/>
          <w:kern w:val="0"/>
          <w:sz w:val="32"/>
          <w:szCs w:val="32"/>
        </w:rPr>
        <w:t>费、</w:t>
      </w:r>
      <w:r>
        <w:rPr>
          <w:rFonts w:hint="eastAsia" w:cs="黑体" w:asciiTheme="minorEastAsia" w:hAnsiTheme="minorEastAsia"/>
          <w:color w:val="000000"/>
          <w:kern w:val="0"/>
          <w:sz w:val="32"/>
          <w:szCs w:val="32"/>
          <w:lang w:eastAsia="zh-CN"/>
        </w:rPr>
        <w:t>税金及附加、</w:t>
      </w:r>
      <w:r>
        <w:rPr>
          <w:rFonts w:hint="eastAsia" w:cs="黑体" w:asciiTheme="minorEastAsia" w:hAnsiTheme="minorEastAsia"/>
          <w:color w:val="000000"/>
          <w:kern w:val="0"/>
          <w:sz w:val="32"/>
          <w:szCs w:val="32"/>
        </w:rPr>
        <w:t>及其他</w:t>
      </w:r>
      <w:r>
        <w:rPr>
          <w:rFonts w:hint="eastAsia" w:cs="黑体" w:asciiTheme="minorEastAsia" w:hAnsiTheme="minorEastAsia"/>
          <w:color w:val="000000"/>
          <w:kern w:val="0"/>
          <w:sz w:val="32"/>
          <w:szCs w:val="32"/>
          <w:lang w:eastAsia="zh-CN"/>
        </w:rPr>
        <w:t>商品和服务支出</w:t>
      </w:r>
      <w:r>
        <w:rPr>
          <w:rFonts w:hint="eastAsia" w:cs="黑体" w:asciiTheme="minorEastAsia" w:hAnsiTheme="minorEastAsia"/>
          <w:color w:val="000000"/>
          <w:kern w:val="0"/>
          <w:sz w:val="32"/>
          <w:szCs w:val="32"/>
        </w:rPr>
        <w:t>费用。</w:t>
      </w:r>
    </w:p>
    <w:p>
      <w:pPr>
        <w:widowControl/>
        <w:jc w:val="left"/>
        <w:rPr>
          <w:rFonts w:hint="eastAsia" w:cs="黑体" w:asciiTheme="minorEastAsia" w:hAnsiTheme="minorEastAsia"/>
          <w:color w:val="000000"/>
          <w:kern w:val="0"/>
          <w:sz w:val="32"/>
          <w:szCs w:val="32"/>
          <w:lang w:val="en-US" w:eastAsia="zh-CN"/>
        </w:rPr>
      </w:pPr>
      <w:r>
        <w:rPr>
          <w:rFonts w:hint="eastAsia" w:cs="黑体" w:asciiTheme="minorEastAsia" w:hAnsiTheme="minorEastAsia"/>
          <w:color w:val="000000"/>
          <w:kern w:val="0"/>
          <w:sz w:val="32"/>
          <w:szCs w:val="32"/>
          <w:lang w:eastAsia="zh-CN"/>
        </w:rPr>
        <w:t>六、其他商品和服务支出</w:t>
      </w:r>
      <w:r>
        <w:rPr>
          <w:rFonts w:hint="eastAsia" w:cs="黑体" w:asciiTheme="minorEastAsia" w:hAnsiTheme="minorEastAsia"/>
          <w:color w:val="000000"/>
          <w:kern w:val="0"/>
          <w:sz w:val="32"/>
          <w:szCs w:val="32"/>
          <w:lang w:val="en-US" w:eastAsia="zh-CN"/>
        </w:rPr>
        <w:t>:包含了单位的信访维稳经费、党建经费、精准扶贫经费、综合改革专项支出。</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工资福利支出(支出经济分类科目类级)：反映单位开支的在职职工和编制外长期聘用人员的各类劳动报酬，以及为上述人员缴纳的各项社会保险费等。</w:t>
      </w:r>
    </w:p>
    <w:p>
      <w:pPr>
        <w:widowControl/>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商品和服务支出(支出经济分类科目类级)：反映单位购买商品和服务的支出(不包括用于购置固定资产的支出、战略性和应急储备支出)。</w:t>
      </w:r>
    </w:p>
    <w:p>
      <w:pPr>
        <w:widowControl/>
        <w:jc w:val="left"/>
        <w:rPr>
          <w:rFonts w:eastAsia="黑体" w:cs="黑体" w:asciiTheme="minorEastAsia" w:hAnsiTheme="minorEastAsia"/>
          <w:color w:val="000000"/>
          <w:kern w:val="0"/>
          <w:sz w:val="28"/>
          <w:szCs w:val="32"/>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、对个人和家庭的补助(支出经济分类科目类级)：反映用于对个人和家庭的补助支出。</w:t>
      </w:r>
      <w:r>
        <w:rPr>
          <w:rFonts w:hint="eastAsia" w:asciiTheme="minorEastAsia" w:hAnsiTheme="minorEastAsia"/>
          <w:sz w:val="28"/>
          <w:szCs w:val="32"/>
        </w:rPr>
        <w:t>（名词解释应包含本部门专有名词，如省财政厅应有对“财政事务”科目的解释）</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2020年度部门整体支出绩效评价报告</w:t>
      </w: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pacing w:val="20"/>
          <w:w w:val="80"/>
          <w:sz w:val="44"/>
          <w:szCs w:val="44"/>
        </w:rPr>
      </w:pPr>
    </w:p>
    <w:p>
      <w:pPr>
        <w:spacing w:before="156" w:beforeLines="50" w:after="156" w:afterLines="50" w:line="360" w:lineRule="auto"/>
        <w:jc w:val="center"/>
        <w:rPr>
          <w:rFonts w:hint="eastAsia" w:ascii="华文仿宋" w:hAnsi="华文仿宋" w:eastAsia="华文仿宋" w:cs="华文仿宋"/>
          <w:b/>
          <w:color w:val="auto"/>
          <w:sz w:val="36"/>
          <w:szCs w:val="36"/>
        </w:rPr>
      </w:pPr>
      <w:r>
        <w:rPr>
          <w:rFonts w:hint="eastAsia" w:ascii="华文仿宋" w:hAnsi="华文仿宋" w:eastAsia="华文仿宋" w:cs="华文仿宋"/>
          <w:b/>
          <w:color w:val="auto"/>
          <w:sz w:val="36"/>
          <w:szCs w:val="36"/>
          <w:lang w:eastAsia="zh-CN"/>
        </w:rPr>
        <w:t>湘乡市供销合作总社</w:t>
      </w:r>
      <w:r>
        <w:rPr>
          <w:rFonts w:hint="eastAsia" w:ascii="华文仿宋" w:hAnsi="华文仿宋" w:eastAsia="华文仿宋" w:cs="华文仿宋"/>
          <w:b/>
          <w:color w:val="auto"/>
          <w:sz w:val="36"/>
          <w:szCs w:val="36"/>
        </w:rPr>
        <w:t>20</w:t>
      </w:r>
      <w:r>
        <w:rPr>
          <w:rFonts w:hint="eastAsia" w:ascii="华文仿宋" w:hAnsi="华文仿宋" w:eastAsia="华文仿宋" w:cs="华文仿宋"/>
          <w:b/>
          <w:color w:val="auto"/>
          <w:sz w:val="36"/>
          <w:szCs w:val="36"/>
          <w:lang w:val="en-US" w:eastAsia="zh-CN"/>
        </w:rPr>
        <w:t>20</w:t>
      </w:r>
      <w:r>
        <w:rPr>
          <w:rFonts w:hint="eastAsia" w:ascii="华文仿宋" w:hAnsi="华文仿宋" w:eastAsia="华文仿宋" w:cs="华文仿宋"/>
          <w:b/>
          <w:color w:val="auto"/>
          <w:sz w:val="36"/>
          <w:szCs w:val="36"/>
        </w:rPr>
        <w:t>年度部门整体支出</w:t>
      </w:r>
    </w:p>
    <w:p>
      <w:pPr>
        <w:spacing w:before="156" w:beforeLines="50" w:after="156" w:afterLines="50" w:line="360" w:lineRule="auto"/>
        <w:jc w:val="center"/>
        <w:rPr>
          <w:rFonts w:hint="eastAsia" w:ascii="华文仿宋" w:hAnsi="华文仿宋" w:eastAsia="华文仿宋" w:cs="华文仿宋"/>
          <w:b/>
          <w:color w:val="auto"/>
          <w:sz w:val="36"/>
          <w:szCs w:val="36"/>
        </w:rPr>
      </w:pPr>
      <w:r>
        <w:rPr>
          <w:rFonts w:hint="eastAsia" w:ascii="华文仿宋" w:hAnsi="华文仿宋" w:eastAsia="华文仿宋" w:cs="华文仿宋"/>
          <w:b/>
          <w:color w:val="auto"/>
          <w:sz w:val="36"/>
          <w:szCs w:val="36"/>
        </w:rPr>
        <w:t>绩效自评报告</w:t>
      </w:r>
    </w:p>
    <w:p>
      <w:pPr>
        <w:spacing w:before="312" w:beforeLines="100" w:after="156" w:afterLines="50" w:line="360" w:lineRule="auto"/>
        <w:jc w:val="center"/>
        <w:rPr>
          <w:rFonts w:hint="eastAsia" w:ascii="华文仿宋" w:hAnsi="华文仿宋" w:eastAsia="华文仿宋" w:cs="华文仿宋"/>
          <w:b/>
          <w:bCs/>
          <w:color w:val="auto"/>
          <w:sz w:val="28"/>
          <w:szCs w:val="28"/>
        </w:rPr>
      </w:pPr>
      <w:r>
        <w:rPr>
          <w:rFonts w:hint="eastAsia" w:ascii="华文仿宋" w:hAnsi="华文仿宋" w:eastAsia="华文仿宋" w:cs="华文仿宋"/>
          <w:b/>
          <w:bCs/>
          <w:color w:val="auto"/>
          <w:sz w:val="28"/>
          <w:szCs w:val="28"/>
        </w:rPr>
        <w:t>一、概</w:t>
      </w:r>
      <w:r>
        <w:rPr>
          <w:rFonts w:hint="eastAsia" w:ascii="华文仿宋" w:hAnsi="华文仿宋" w:eastAsia="华文仿宋" w:cs="华文仿宋"/>
          <w:b/>
          <w:bCs/>
          <w:color w:val="auto"/>
          <w:sz w:val="28"/>
          <w:szCs w:val="28"/>
          <w:lang w:val="en-US" w:eastAsia="zh-CN"/>
        </w:rPr>
        <w:t xml:space="preserve"> </w:t>
      </w:r>
      <w:r>
        <w:rPr>
          <w:rFonts w:hint="eastAsia" w:ascii="华文仿宋" w:hAnsi="华文仿宋" w:eastAsia="华文仿宋" w:cs="华文仿宋"/>
          <w:b/>
          <w:bCs/>
          <w:color w:val="auto"/>
          <w:sz w:val="28"/>
          <w:szCs w:val="28"/>
        </w:rPr>
        <w:t>况</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0" w:leftChars="0" w:right="0" w:rightChars="0" w:firstLine="560" w:firstLineChars="200"/>
        <w:jc w:val="both"/>
        <w:textAlignment w:val="auto"/>
        <w:outlineLvl w:val="9"/>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rPr>
        <w:t>（一）部门基本情况</w:t>
      </w:r>
    </w:p>
    <w:p>
      <w:pPr>
        <w:pStyle w:val="6"/>
        <w:keepNext w:val="0"/>
        <w:keepLines w:val="0"/>
        <w:pageBreakBefore w:val="0"/>
        <w:widowControl/>
        <w:numPr>
          <w:ilvl w:val="0"/>
          <w:numId w:val="0"/>
        </w:numPr>
        <w:shd w:val="clear" w:color="auto" w:fill="auto"/>
        <w:kinsoku/>
        <w:wordWrap/>
        <w:overflowPunct/>
        <w:topLinePunct w:val="0"/>
        <w:autoSpaceDE/>
        <w:autoSpaceDN/>
        <w:bidi w:val="0"/>
        <w:adjustRightInd/>
        <w:snapToGrid/>
        <w:spacing w:before="0" w:after="0" w:line="360" w:lineRule="auto"/>
        <w:ind w:left="0" w:leftChars="0" w:right="0" w:rightChars="0" w:firstLine="560" w:firstLineChars="200"/>
        <w:textAlignment w:val="auto"/>
        <w:outlineLvl w:val="9"/>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eastAsia="zh-CN"/>
        </w:rPr>
        <w:t>湘乡市供销总社</w:t>
      </w:r>
      <w:r>
        <w:rPr>
          <w:rFonts w:hint="eastAsia" w:ascii="华文仿宋" w:hAnsi="华文仿宋" w:eastAsia="华文仿宋" w:cs="华文仿宋"/>
          <w:color w:val="auto"/>
          <w:kern w:val="2"/>
          <w:sz w:val="28"/>
          <w:szCs w:val="28"/>
          <w:lang w:val="en-US" w:eastAsia="zh-CN"/>
        </w:rPr>
        <w:t>单系市人民政府工作部门，</w:t>
      </w:r>
      <w:r>
        <w:rPr>
          <w:rFonts w:hint="eastAsia" w:ascii="华文仿宋" w:hAnsi="华文仿宋" w:eastAsia="华文仿宋" w:cs="华文仿宋"/>
          <w:color w:val="auto"/>
          <w:kern w:val="2"/>
          <w:sz w:val="28"/>
          <w:szCs w:val="28"/>
          <w:lang w:eastAsia="zh-CN"/>
        </w:rPr>
        <w:t>具有</w:t>
      </w:r>
      <w:r>
        <w:rPr>
          <w:rFonts w:hint="eastAsia" w:ascii="华文仿宋" w:hAnsi="华文仿宋" w:eastAsia="华文仿宋" w:cs="华文仿宋"/>
          <w:color w:val="auto"/>
          <w:kern w:val="2"/>
          <w:sz w:val="28"/>
          <w:szCs w:val="28"/>
          <w:lang w:val="en-US" w:eastAsia="zh-CN"/>
        </w:rPr>
        <w:t>60多年的建社历史，2012年7月被人社部、全国供销总社评为“全国供销系统先进集体”，2014年、2019年被评为全国供销系统百强县级社，2014年选为全省供销社综合改革试点县。</w:t>
      </w:r>
      <w:r>
        <w:rPr>
          <w:rFonts w:hint="eastAsia" w:ascii="华文仿宋" w:hAnsi="华文仿宋" w:eastAsia="华文仿宋" w:cs="华文仿宋"/>
          <w:b w:val="0"/>
          <w:i w:val="0"/>
          <w:caps w:val="0"/>
          <w:color w:val="auto"/>
          <w:spacing w:val="0"/>
          <w:sz w:val="28"/>
          <w:szCs w:val="28"/>
          <w:shd w:val="clear" w:color="auto" w:fill="FFFFFF"/>
          <w:lang w:val="en-US" w:eastAsia="zh-CN"/>
        </w:rPr>
        <w:t>供销社不负重托，不辱使命，综合改革整体推进目标任务超前完成，连续四年稳居湘潭第一，受到了省、湘潭的高度肯定。</w:t>
      </w:r>
      <w:r>
        <w:rPr>
          <w:rFonts w:hint="eastAsia" w:ascii="华文仿宋" w:hAnsi="华文仿宋" w:eastAsia="华文仿宋" w:cs="华文仿宋"/>
          <w:color w:val="auto"/>
          <w:kern w:val="2"/>
          <w:sz w:val="28"/>
          <w:szCs w:val="28"/>
          <w:lang w:val="en-US" w:eastAsia="zh-CN"/>
        </w:rPr>
        <w:t>。</w:t>
      </w:r>
    </w:p>
    <w:p>
      <w:pPr>
        <w:pStyle w:val="6"/>
        <w:keepNext w:val="0"/>
        <w:keepLines w:val="0"/>
        <w:pageBreakBefore w:val="0"/>
        <w:widowControl/>
        <w:numPr>
          <w:ilvl w:val="0"/>
          <w:numId w:val="0"/>
        </w:numPr>
        <w:shd w:val="clear" w:color="auto" w:fill="auto"/>
        <w:kinsoku/>
        <w:wordWrap/>
        <w:overflowPunct/>
        <w:topLinePunct w:val="0"/>
        <w:autoSpaceDE/>
        <w:autoSpaceDN/>
        <w:bidi w:val="0"/>
        <w:adjustRightInd/>
        <w:snapToGrid/>
        <w:spacing w:before="0" w:after="0" w:line="360" w:lineRule="auto"/>
        <w:ind w:left="0" w:leftChars="0" w:right="0" w:rightChars="0" w:firstLine="560" w:firstLineChars="200"/>
        <w:textAlignment w:val="auto"/>
        <w:outlineLvl w:val="9"/>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供销社机关本级属参照公务员管理事业单位，内设办公室、政工人事股、财务统计股、经贸发展股、审计监察股5个股室。下设市农村专业合作指导站（财政差额补助）、市供销合作总社资产经营站（自收自支）2个股级二级机构，拥有湘乡市供销社社有资产经营管理有限公司和湘乡市建农商贸有限公司2个全资公司，参股控股公司有4个。</w:t>
      </w:r>
    </w:p>
    <w:p>
      <w:pPr>
        <w:pStyle w:val="6"/>
        <w:keepNext w:val="0"/>
        <w:keepLines w:val="0"/>
        <w:pageBreakBefore w:val="0"/>
        <w:widowControl/>
        <w:numPr>
          <w:ilvl w:val="0"/>
          <w:numId w:val="0"/>
        </w:numPr>
        <w:shd w:val="clear" w:color="auto" w:fill="auto"/>
        <w:kinsoku/>
        <w:wordWrap/>
        <w:overflowPunct/>
        <w:topLinePunct w:val="0"/>
        <w:autoSpaceDE/>
        <w:autoSpaceDN/>
        <w:bidi w:val="0"/>
        <w:adjustRightInd/>
        <w:snapToGrid/>
        <w:spacing w:before="0" w:after="0" w:line="360" w:lineRule="auto"/>
        <w:ind w:left="0" w:leftChars="0" w:right="0" w:rightChars="0" w:firstLine="560" w:firstLineChars="200"/>
        <w:textAlignment w:val="auto"/>
        <w:outlineLvl w:val="9"/>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2020本单位在职人员39人，离退休人员23人。具体为：机关人员编制数23人，在职干部 18人，退休 21人。市农村专业合作指导站编制数3人，在职干部职工9人，退休1人。市供销合作总社资产经营站在职12人，退休1人。供销社机关和2个股级机构编制人员依据工作需要混岗工作。</w:t>
      </w:r>
    </w:p>
    <w:p>
      <w:pPr>
        <w:pStyle w:val="6"/>
        <w:widowControl/>
        <w:numPr>
          <w:ilvl w:val="0"/>
          <w:numId w:val="0"/>
        </w:numPr>
        <w:shd w:val="clear" w:color="auto" w:fill="auto"/>
        <w:spacing w:line="360" w:lineRule="auto"/>
        <w:ind w:left="420" w:leftChars="0" w:right="0" w:rightChars="0"/>
        <w:rPr>
          <w:rFonts w:hint="eastAsia" w:ascii="华文仿宋" w:hAnsi="华文仿宋" w:eastAsia="华文仿宋" w:cs="华文仿宋"/>
          <w:color w:val="auto"/>
          <w:kern w:val="2"/>
          <w:sz w:val="28"/>
          <w:szCs w:val="28"/>
        </w:rPr>
      </w:pPr>
    </w:p>
    <w:p>
      <w:pPr>
        <w:pStyle w:val="6"/>
        <w:widowControl/>
        <w:numPr>
          <w:ilvl w:val="0"/>
          <w:numId w:val="1"/>
        </w:numPr>
        <w:shd w:val="clear" w:color="auto" w:fill="auto"/>
        <w:spacing w:line="360" w:lineRule="auto"/>
        <w:ind w:left="0" w:leftChars="0" w:firstLine="420" w:firstLineChars="0"/>
        <w:rPr>
          <w:rFonts w:hint="eastAsia" w:ascii="华文仿宋" w:hAnsi="华文仿宋" w:eastAsia="华文仿宋" w:cs="华文仿宋"/>
          <w:color w:val="auto"/>
          <w:kern w:val="2"/>
          <w:sz w:val="28"/>
          <w:szCs w:val="28"/>
        </w:rPr>
      </w:pPr>
      <w:r>
        <w:rPr>
          <w:rFonts w:hint="eastAsia" w:ascii="华文仿宋" w:hAnsi="华文仿宋" w:eastAsia="华文仿宋" w:cs="华文仿宋"/>
          <w:color w:val="auto"/>
          <w:kern w:val="2"/>
          <w:sz w:val="28"/>
          <w:szCs w:val="28"/>
          <w:lang w:eastAsia="zh-CN"/>
        </w:rPr>
        <w:t>湘乡市供销合作总社</w:t>
      </w:r>
      <w:r>
        <w:rPr>
          <w:rFonts w:hint="eastAsia" w:ascii="华文仿宋" w:hAnsi="华文仿宋" w:eastAsia="华文仿宋" w:cs="华文仿宋"/>
          <w:color w:val="auto"/>
          <w:kern w:val="2"/>
          <w:sz w:val="28"/>
          <w:szCs w:val="28"/>
        </w:rPr>
        <w:t>主要职能：</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 xml:space="preserve">    1、贯彻执行全国、省、市供销社和市委、市政府有关农村经济工作的方针、政策、法律、法规。</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2、研究制定全市供销社合作社中长期的发展规划，体质改革方案，指导全市供销社的改革和发展，并组织实施，参与研究制作全市农村经济发展的具体规划。</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3、按照政府授权，指导有关农业生产资料和农副产品的政策性业务经营。</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4、指导基层社供销系统开拓农村市场，推动全市供销合作社组织农民进入市场，发展农业产业化，规模化经营，为农业农村和农民提供综合服务，建立和完善本系统为农业生产和农村经济发展服务体系，预测预报相关的市场信息。</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5、指导和监督全市供销系统社有资产的经营和管理。</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r>
        <w:rPr>
          <w:rFonts w:hint="eastAsia" w:ascii="华文仿宋" w:hAnsi="华文仿宋" w:eastAsia="华文仿宋" w:cs="华文仿宋"/>
          <w:color w:val="auto"/>
          <w:kern w:val="2"/>
          <w:sz w:val="28"/>
          <w:szCs w:val="28"/>
          <w:lang w:val="en-US" w:eastAsia="zh-CN"/>
        </w:rPr>
        <w:t>6、完成市委、市政府交办的其他工作任务。</w:t>
      </w:r>
    </w:p>
    <w:p>
      <w:pPr>
        <w:pStyle w:val="6"/>
        <w:widowControl/>
        <w:numPr>
          <w:ilvl w:val="0"/>
          <w:numId w:val="0"/>
        </w:numPr>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uto"/>
        <w:ind w:right="0" w:rightChars="0" w:firstLine="560"/>
        <w:jc w:val="left"/>
        <w:rPr>
          <w:rFonts w:hint="eastAsia" w:ascii="华文仿宋" w:hAnsi="华文仿宋" w:eastAsia="华文仿宋" w:cs="华文仿宋"/>
          <w:color w:val="auto"/>
          <w:kern w:val="2"/>
          <w:sz w:val="28"/>
          <w:szCs w:val="28"/>
          <w:lang w:val="en-US" w:eastAsia="zh-CN"/>
        </w:rPr>
      </w:pPr>
    </w:p>
    <w:p>
      <w:pPr>
        <w:numPr>
          <w:ilvl w:val="0"/>
          <w:numId w:val="0"/>
        </w:numPr>
        <w:spacing w:line="360" w:lineRule="auto"/>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lang w:eastAsia="zh-CN"/>
        </w:rPr>
        <w:t>（三）</w:t>
      </w:r>
      <w:r>
        <w:rPr>
          <w:rFonts w:hint="eastAsia" w:ascii="华文仿宋" w:hAnsi="华文仿宋" w:eastAsia="华文仿宋" w:cs="华文仿宋"/>
          <w:color w:val="auto"/>
          <w:sz w:val="28"/>
          <w:szCs w:val="28"/>
        </w:rPr>
        <w:t>绩效目标</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rPr>
        <w:t>在今年收支预算内，确保完成以下整体目标：</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把深入贯彻落实党的十九大精神作为推进党建工作的源动力，牢固树立“抓好党建就是最大的政绩”的理念，搞好党建工作。</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落实党风廉政建设和反腐败工作。</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建立和完善了信访工作领导小组和领导干部接待制度，明确了工作目标，强化了工作责任。</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认真负责抓好各职能范围的安全管理工作。</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 xml:space="preserve">助力农村脱贫攻坚。                                        </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六、全面深化综合改革工作                                                    1、进一步完善“三大体系”建设。                                                 2、进一步完善达标基层社和村级供销社的建设。                                                                   3、进一步完善电子商务平台建设。                                                 4、进一步完善惠农服务中心建设。                                                      5、进一步完善农村合作经济组织联合会建设。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val="en-US" w:eastAsia="zh-CN"/>
        </w:rPr>
      </w:pPr>
      <w:r>
        <w:rPr>
          <w:rFonts w:hint="eastAsia" w:ascii="华文仿宋" w:hAnsi="华文仿宋" w:eastAsia="华文仿宋" w:cs="华文仿宋"/>
          <w:color w:val="auto"/>
          <w:sz w:val="28"/>
          <w:szCs w:val="28"/>
          <w:lang w:eastAsia="zh-CN"/>
        </w:rPr>
        <w:t>（四）</w:t>
      </w:r>
      <w:r>
        <w:rPr>
          <w:rFonts w:hint="eastAsia" w:ascii="华文仿宋" w:hAnsi="华文仿宋" w:eastAsia="华文仿宋" w:cs="华文仿宋"/>
          <w:color w:val="auto"/>
          <w:sz w:val="28"/>
          <w:szCs w:val="28"/>
          <w:lang w:val="en-US" w:eastAsia="zh-CN"/>
        </w:rPr>
        <w:t>2020年重点工作安排</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1、</w:t>
      </w:r>
      <w:r>
        <w:rPr>
          <w:rFonts w:hint="eastAsia" w:ascii="华文仿宋" w:hAnsi="华文仿宋" w:eastAsia="华文仿宋" w:cs="华文仿宋"/>
          <w:color w:val="auto"/>
          <w:sz w:val="28"/>
          <w:szCs w:val="28"/>
          <w:lang w:eastAsia="zh-CN"/>
        </w:rPr>
        <w:t>把深入贯彻落实党的十九大精神作为推进党建工作的源动力，牢固树立“抓好党建就是最大的政绩”的理念，搞好党建工作。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2、</w:t>
      </w:r>
      <w:r>
        <w:rPr>
          <w:rFonts w:hint="eastAsia" w:ascii="华文仿宋" w:hAnsi="华文仿宋" w:eastAsia="华文仿宋" w:cs="华文仿宋"/>
          <w:color w:val="auto"/>
          <w:sz w:val="28"/>
          <w:szCs w:val="28"/>
          <w:lang w:eastAsia="zh-CN"/>
        </w:rPr>
        <w:t>落实党风廉政建设和反腐败工作。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3、</w:t>
      </w:r>
      <w:r>
        <w:rPr>
          <w:rFonts w:hint="eastAsia" w:ascii="华文仿宋" w:hAnsi="华文仿宋" w:eastAsia="华文仿宋" w:cs="华文仿宋"/>
          <w:color w:val="auto"/>
          <w:sz w:val="28"/>
          <w:szCs w:val="28"/>
          <w:lang w:eastAsia="zh-CN"/>
        </w:rPr>
        <w:t>建立和完善了信访工作领导小组和领导干部接待制度，明确了工作目标，强化了工作责任。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4、</w:t>
      </w:r>
      <w:r>
        <w:rPr>
          <w:rFonts w:hint="eastAsia" w:ascii="华文仿宋" w:hAnsi="华文仿宋" w:eastAsia="华文仿宋" w:cs="华文仿宋"/>
          <w:color w:val="auto"/>
          <w:sz w:val="28"/>
          <w:szCs w:val="28"/>
          <w:lang w:eastAsia="zh-CN"/>
        </w:rPr>
        <w:t>认真负责抓好各职能范围的安全管理工作。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0"/>
        <w:jc w:val="lef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5、</w:t>
      </w:r>
      <w:r>
        <w:rPr>
          <w:rFonts w:hint="eastAsia" w:ascii="华文仿宋" w:hAnsi="华文仿宋" w:eastAsia="华文仿宋" w:cs="华文仿宋"/>
          <w:color w:val="auto"/>
          <w:sz w:val="28"/>
          <w:szCs w:val="28"/>
          <w:lang w:eastAsia="zh-CN"/>
        </w:rPr>
        <w:t xml:space="preserve">助力农村脱贫攻坚。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0"/>
        <w:jc w:val="left"/>
        <w:textAlignment w:val="auto"/>
        <w:outlineLvl w:val="9"/>
        <w:rPr>
          <w:rFonts w:hint="eastAsia" w:ascii="华文仿宋" w:hAnsi="华文仿宋" w:eastAsia="华文仿宋" w:cs="华文仿宋"/>
          <w:b w:val="0"/>
          <w:i w:val="0"/>
          <w:caps w:val="0"/>
          <w:color w:val="auto"/>
          <w:spacing w:val="0"/>
          <w:sz w:val="28"/>
          <w:szCs w:val="28"/>
          <w:shd w:val="clear" w:color="auto" w:fill="FFFFFF"/>
        </w:rPr>
      </w:pPr>
      <w:r>
        <w:rPr>
          <w:rFonts w:hint="eastAsia" w:ascii="华文仿宋" w:hAnsi="华文仿宋" w:eastAsia="华文仿宋" w:cs="华文仿宋"/>
          <w:color w:val="auto"/>
          <w:sz w:val="28"/>
          <w:szCs w:val="28"/>
          <w:lang w:val="en-US" w:eastAsia="zh-CN"/>
        </w:rPr>
        <w:t>6</w:t>
      </w:r>
      <w:r>
        <w:rPr>
          <w:rFonts w:hint="eastAsia" w:ascii="华文仿宋" w:hAnsi="华文仿宋" w:eastAsia="华文仿宋" w:cs="华文仿宋"/>
          <w:color w:val="auto"/>
          <w:sz w:val="28"/>
          <w:szCs w:val="28"/>
          <w:lang w:eastAsia="zh-CN"/>
        </w:rPr>
        <w:t>、全面深化综合改革工作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0"/>
        <w:jc w:val="left"/>
        <w:textAlignment w:val="auto"/>
        <w:outlineLvl w:val="9"/>
        <w:rPr>
          <w:rFonts w:hint="eastAsia" w:ascii="华文仿宋" w:hAnsi="华文仿宋" w:eastAsia="华文仿宋" w:cs="华文仿宋"/>
          <w:b w:val="0"/>
          <w:i w:val="0"/>
          <w:caps w:val="0"/>
          <w:color w:val="auto"/>
          <w:spacing w:val="0"/>
          <w:sz w:val="28"/>
          <w:szCs w:val="28"/>
          <w:shd w:val="clear" w:color="auto" w:fill="FFFFFF"/>
        </w:rPr>
      </w:pPr>
      <w:r>
        <w:rPr>
          <w:rFonts w:hint="eastAsia" w:ascii="华文仿宋" w:hAnsi="华文仿宋" w:eastAsia="华文仿宋" w:cs="华文仿宋"/>
          <w:b w:val="0"/>
          <w:i w:val="0"/>
          <w:caps w:val="0"/>
          <w:color w:val="auto"/>
          <w:spacing w:val="0"/>
          <w:sz w:val="28"/>
          <w:szCs w:val="28"/>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0"/>
        <w:jc w:val="left"/>
        <w:textAlignment w:val="auto"/>
        <w:outlineLvl w:val="9"/>
        <w:rPr>
          <w:rFonts w:hint="eastAsia" w:ascii="华文仿宋" w:hAnsi="华文仿宋" w:eastAsia="华文仿宋" w:cs="华文仿宋"/>
          <w:b w:val="0"/>
          <w:i w:val="0"/>
          <w:caps w:val="0"/>
          <w:color w:val="auto"/>
          <w:spacing w:val="0"/>
          <w:sz w:val="28"/>
          <w:szCs w:val="28"/>
        </w:rPr>
      </w:pPr>
    </w:p>
    <w:p>
      <w:pPr>
        <w:pStyle w:val="6"/>
        <w:widowControl/>
        <w:numPr>
          <w:ilvl w:val="0"/>
          <w:numId w:val="3"/>
        </w:numPr>
        <w:spacing w:line="360" w:lineRule="auto"/>
        <w:jc w:val="center"/>
        <w:rPr>
          <w:rFonts w:hint="eastAsia" w:ascii="华文仿宋" w:hAnsi="华文仿宋" w:eastAsia="华文仿宋" w:cs="华文仿宋"/>
          <w:b/>
          <w:bCs/>
          <w:color w:val="auto"/>
          <w:sz w:val="28"/>
          <w:szCs w:val="28"/>
        </w:rPr>
      </w:pPr>
      <w:r>
        <w:rPr>
          <w:rFonts w:hint="eastAsia" w:ascii="华文仿宋" w:hAnsi="华文仿宋" w:eastAsia="华文仿宋" w:cs="华文仿宋"/>
          <w:b/>
          <w:bCs/>
          <w:color w:val="auto"/>
          <w:sz w:val="28"/>
          <w:szCs w:val="28"/>
        </w:rPr>
        <w:t>部门整体支出管理及使用情况</w:t>
      </w:r>
    </w:p>
    <w:p>
      <w:pPr>
        <w:pStyle w:val="6"/>
        <w:widowControl/>
        <w:spacing w:line="360" w:lineRule="auto"/>
        <w:jc w:val="both"/>
        <w:rPr>
          <w:rFonts w:hint="eastAsia" w:ascii="华文仿宋" w:hAnsi="华文仿宋" w:eastAsia="华文仿宋" w:cs="华文仿宋"/>
          <w:b/>
          <w:bCs/>
          <w:color w:val="auto"/>
          <w:sz w:val="28"/>
          <w:szCs w:val="28"/>
        </w:rPr>
      </w:pPr>
      <w:r>
        <w:rPr>
          <w:rFonts w:hint="eastAsia" w:ascii="华文仿宋" w:hAnsi="华文仿宋" w:eastAsia="华文仿宋" w:cs="华文仿宋"/>
          <w:b/>
          <w:bCs/>
          <w:color w:val="auto"/>
          <w:sz w:val="28"/>
          <w:szCs w:val="28"/>
        </w:rPr>
        <w:t xml:space="preserve">    （一）预算情况</w:t>
      </w:r>
    </w:p>
    <w:p>
      <w:pPr>
        <w:ind w:firstLine="560" w:firstLineChars="200"/>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1、</w:t>
      </w:r>
      <w:r>
        <w:rPr>
          <w:rFonts w:hint="eastAsia" w:ascii="华文仿宋" w:hAnsi="华文仿宋" w:eastAsia="华文仿宋" w:cs="华文仿宋"/>
          <w:color w:val="auto"/>
          <w:sz w:val="28"/>
          <w:szCs w:val="28"/>
          <w:lang w:eastAsia="zh-CN"/>
        </w:rPr>
        <w:t>年初预算：</w:t>
      </w:r>
    </w:p>
    <w:p>
      <w:pPr>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lang w:val="en-US" w:eastAsia="zh-CN"/>
        </w:rPr>
        <w:t xml:space="preserve">    </w:t>
      </w:r>
      <w:r>
        <w:rPr>
          <w:rFonts w:hint="eastAsia" w:ascii="华文仿宋" w:hAnsi="华文仿宋" w:eastAsia="华文仿宋" w:cs="华文仿宋"/>
          <w:color w:val="auto"/>
          <w:sz w:val="28"/>
          <w:szCs w:val="28"/>
          <w:lang w:val="en-US"/>
        </w:rPr>
        <w:t>20</w:t>
      </w:r>
      <w:r>
        <w:rPr>
          <w:rFonts w:hint="eastAsia" w:ascii="华文仿宋" w:hAnsi="华文仿宋" w:eastAsia="华文仿宋" w:cs="华文仿宋"/>
          <w:color w:val="auto"/>
          <w:sz w:val="28"/>
          <w:szCs w:val="28"/>
          <w:lang w:val="en-US" w:eastAsia="zh-CN"/>
        </w:rPr>
        <w:t>20</w:t>
      </w:r>
      <w:r>
        <w:rPr>
          <w:rFonts w:hint="eastAsia" w:ascii="华文仿宋" w:hAnsi="华文仿宋" w:eastAsia="华文仿宋" w:cs="华文仿宋"/>
          <w:color w:val="auto"/>
          <w:sz w:val="28"/>
          <w:szCs w:val="28"/>
        </w:rPr>
        <w:t>年收入总计</w:t>
      </w:r>
      <w:r>
        <w:rPr>
          <w:rFonts w:hint="eastAsia" w:ascii="华文仿宋" w:hAnsi="华文仿宋" w:eastAsia="华文仿宋" w:cs="华文仿宋"/>
          <w:color w:val="auto"/>
          <w:sz w:val="28"/>
          <w:szCs w:val="28"/>
          <w:lang w:val="en-US" w:eastAsia="zh-CN"/>
        </w:rPr>
        <w:t>664.19</w:t>
      </w:r>
      <w:r>
        <w:rPr>
          <w:rFonts w:hint="eastAsia" w:ascii="华文仿宋" w:hAnsi="华文仿宋" w:eastAsia="华文仿宋" w:cs="华文仿宋"/>
          <w:color w:val="auto"/>
          <w:sz w:val="28"/>
          <w:szCs w:val="28"/>
        </w:rPr>
        <w:t>万元。</w:t>
      </w:r>
      <w:r>
        <w:rPr>
          <w:rFonts w:hint="eastAsia" w:ascii="华文仿宋" w:hAnsi="华文仿宋" w:eastAsia="华文仿宋" w:cs="华文仿宋"/>
          <w:color w:val="auto"/>
          <w:sz w:val="28"/>
          <w:szCs w:val="28"/>
          <w:lang w:eastAsia="zh-CN"/>
        </w:rPr>
        <w:t>全部为公共财政拨款。</w:t>
      </w:r>
    </w:p>
    <w:p>
      <w:pPr>
        <w:rPr>
          <w:rFonts w:hint="eastAsia" w:ascii="华文仿宋" w:hAnsi="华文仿宋" w:eastAsia="华文仿宋" w:cs="华文仿宋"/>
          <w:color w:val="auto"/>
          <w:sz w:val="28"/>
          <w:szCs w:val="28"/>
          <w:lang w:val="en-US"/>
        </w:rPr>
      </w:pPr>
      <w:r>
        <w:rPr>
          <w:rFonts w:hint="eastAsia" w:ascii="华文仿宋" w:hAnsi="华文仿宋" w:eastAsia="华文仿宋" w:cs="华文仿宋"/>
          <w:color w:val="auto"/>
          <w:sz w:val="28"/>
          <w:szCs w:val="28"/>
          <w:lang w:val="en-US" w:eastAsia="zh-CN"/>
        </w:rPr>
        <w:t xml:space="preserve">   2020</w:t>
      </w:r>
      <w:r>
        <w:rPr>
          <w:rFonts w:hint="eastAsia" w:ascii="华文仿宋" w:hAnsi="华文仿宋" w:eastAsia="华文仿宋" w:cs="华文仿宋"/>
          <w:color w:val="auto"/>
          <w:sz w:val="28"/>
          <w:szCs w:val="28"/>
        </w:rPr>
        <w:t>年公共预算财政拨款支出</w:t>
      </w:r>
      <w:r>
        <w:rPr>
          <w:rFonts w:hint="eastAsia" w:ascii="华文仿宋" w:hAnsi="华文仿宋" w:eastAsia="华文仿宋" w:cs="华文仿宋"/>
          <w:color w:val="auto"/>
          <w:sz w:val="28"/>
          <w:szCs w:val="28"/>
          <w:lang w:val="en-US" w:eastAsia="zh-CN"/>
        </w:rPr>
        <w:t>664.19</w:t>
      </w:r>
      <w:r>
        <w:rPr>
          <w:rFonts w:hint="eastAsia" w:ascii="华文仿宋" w:hAnsi="华文仿宋" w:eastAsia="华文仿宋" w:cs="华文仿宋"/>
          <w:color w:val="auto"/>
          <w:sz w:val="28"/>
          <w:szCs w:val="28"/>
        </w:rPr>
        <w:t>万元，</w:t>
      </w:r>
      <w:r>
        <w:rPr>
          <w:rFonts w:hint="eastAsia" w:ascii="华文仿宋" w:hAnsi="华文仿宋" w:eastAsia="华文仿宋" w:cs="华文仿宋"/>
          <w:color w:val="auto"/>
          <w:sz w:val="28"/>
          <w:szCs w:val="28"/>
          <w:lang w:eastAsia="zh-CN"/>
        </w:rPr>
        <w:t>其中</w:t>
      </w:r>
      <w:r>
        <w:rPr>
          <w:rFonts w:hint="eastAsia" w:ascii="华文仿宋" w:hAnsi="华文仿宋" w:eastAsia="华文仿宋" w:cs="华文仿宋"/>
          <w:color w:val="auto"/>
          <w:sz w:val="28"/>
          <w:szCs w:val="28"/>
          <w:lang w:val="en-US" w:eastAsia="zh-CN"/>
        </w:rPr>
        <w:t>259.19万元</w:t>
      </w:r>
      <w:r>
        <w:rPr>
          <w:rFonts w:hint="eastAsia" w:ascii="华文仿宋" w:hAnsi="华文仿宋" w:eastAsia="华文仿宋" w:cs="华文仿宋"/>
          <w:color w:val="auto"/>
          <w:sz w:val="28"/>
          <w:szCs w:val="28"/>
        </w:rPr>
        <w:t>基本支出系保障我单位机构正常运转、完成日常工作任务而发生的各项支出。包括用于在职和离退休人员基本工资、津贴补贴等人员经费以及办公费、印刷费、水电费、差旅费、办公设备购置等日常公用经费；</w:t>
      </w:r>
      <w:r>
        <w:rPr>
          <w:rFonts w:hint="eastAsia" w:ascii="华文仿宋" w:hAnsi="华文仿宋" w:eastAsia="华文仿宋" w:cs="华文仿宋"/>
          <w:color w:val="auto"/>
          <w:sz w:val="28"/>
          <w:szCs w:val="28"/>
          <w:lang w:eastAsia="zh-CN"/>
        </w:rPr>
        <w:t>另项目支出</w:t>
      </w:r>
      <w:r>
        <w:rPr>
          <w:rFonts w:hint="eastAsia" w:ascii="华文仿宋" w:hAnsi="华文仿宋" w:eastAsia="华文仿宋" w:cs="华文仿宋"/>
          <w:color w:val="auto"/>
          <w:sz w:val="28"/>
          <w:szCs w:val="28"/>
          <w:lang w:val="en-US" w:eastAsia="zh-CN"/>
        </w:rPr>
        <w:t>405万元，用于综改等工作。</w:t>
      </w:r>
    </w:p>
    <w:p>
      <w:pPr>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lang w:val="en-US"/>
        </w:rPr>
        <w:t xml:space="preserve">    </w:t>
      </w:r>
      <w:r>
        <w:rPr>
          <w:rFonts w:hint="eastAsia" w:ascii="华文仿宋" w:hAnsi="华文仿宋" w:eastAsia="华文仿宋" w:cs="华文仿宋"/>
          <w:color w:val="auto"/>
          <w:sz w:val="28"/>
          <w:szCs w:val="28"/>
          <w:lang w:val="en-US" w:eastAsia="zh-CN"/>
        </w:rPr>
        <w:t xml:space="preserve"> </w:t>
      </w:r>
      <w:r>
        <w:rPr>
          <w:rFonts w:hint="eastAsia" w:ascii="华文仿宋" w:hAnsi="华文仿宋" w:eastAsia="华文仿宋" w:cs="华文仿宋"/>
          <w:color w:val="auto"/>
          <w:sz w:val="28"/>
          <w:szCs w:val="28"/>
          <w:lang w:val="en-US"/>
        </w:rPr>
        <w:t>20</w:t>
      </w:r>
      <w:r>
        <w:rPr>
          <w:rFonts w:hint="eastAsia" w:ascii="华文仿宋" w:hAnsi="华文仿宋" w:eastAsia="华文仿宋" w:cs="华文仿宋"/>
          <w:color w:val="auto"/>
          <w:sz w:val="28"/>
          <w:szCs w:val="28"/>
          <w:lang w:val="en-US" w:eastAsia="zh-CN"/>
        </w:rPr>
        <w:t>20</w:t>
      </w:r>
      <w:r>
        <w:rPr>
          <w:rFonts w:hint="eastAsia" w:ascii="华文仿宋" w:hAnsi="华文仿宋" w:eastAsia="华文仿宋" w:cs="华文仿宋"/>
          <w:color w:val="auto"/>
          <w:sz w:val="28"/>
          <w:szCs w:val="28"/>
        </w:rPr>
        <w:t>年</w:t>
      </w:r>
      <w:r>
        <w:rPr>
          <w:rFonts w:hint="eastAsia" w:ascii="华文仿宋" w:hAnsi="华文仿宋" w:eastAsia="华文仿宋" w:cs="华文仿宋"/>
          <w:color w:val="auto"/>
          <w:sz w:val="28"/>
          <w:szCs w:val="28"/>
          <w:lang w:val="en-US"/>
        </w:rPr>
        <w:t>“</w:t>
      </w:r>
      <w:r>
        <w:rPr>
          <w:rFonts w:hint="eastAsia" w:ascii="华文仿宋" w:hAnsi="华文仿宋" w:eastAsia="华文仿宋" w:cs="华文仿宋"/>
          <w:color w:val="auto"/>
          <w:sz w:val="28"/>
          <w:szCs w:val="28"/>
        </w:rPr>
        <w:t>三公</w:t>
      </w:r>
      <w:r>
        <w:rPr>
          <w:rFonts w:hint="eastAsia" w:ascii="华文仿宋" w:hAnsi="华文仿宋" w:eastAsia="华文仿宋" w:cs="华文仿宋"/>
          <w:color w:val="auto"/>
          <w:sz w:val="28"/>
          <w:szCs w:val="28"/>
          <w:lang w:val="en-US"/>
        </w:rPr>
        <w:t>”</w:t>
      </w:r>
      <w:r>
        <w:rPr>
          <w:rFonts w:hint="eastAsia" w:ascii="华文仿宋" w:hAnsi="华文仿宋" w:eastAsia="华文仿宋" w:cs="华文仿宋"/>
          <w:color w:val="auto"/>
          <w:sz w:val="28"/>
          <w:szCs w:val="28"/>
        </w:rPr>
        <w:t>经费预算合计</w:t>
      </w:r>
      <w:r>
        <w:rPr>
          <w:rFonts w:hint="eastAsia" w:ascii="华文仿宋" w:hAnsi="华文仿宋" w:eastAsia="华文仿宋" w:cs="华文仿宋"/>
          <w:color w:val="auto"/>
          <w:sz w:val="28"/>
          <w:szCs w:val="28"/>
          <w:lang w:val="en-US" w:eastAsia="zh-CN"/>
        </w:rPr>
        <w:t>5.45</w:t>
      </w:r>
      <w:r>
        <w:rPr>
          <w:rFonts w:hint="eastAsia" w:ascii="华文仿宋" w:hAnsi="华文仿宋" w:eastAsia="华文仿宋" w:cs="华文仿宋"/>
          <w:color w:val="auto"/>
          <w:sz w:val="28"/>
          <w:szCs w:val="28"/>
        </w:rPr>
        <w:t>万元，较去年同期</w:t>
      </w:r>
      <w:r>
        <w:rPr>
          <w:rFonts w:hint="eastAsia" w:ascii="华文仿宋" w:hAnsi="华文仿宋" w:eastAsia="华文仿宋" w:cs="华文仿宋"/>
          <w:color w:val="auto"/>
          <w:sz w:val="28"/>
          <w:szCs w:val="28"/>
          <w:lang w:eastAsia="zh-CN"/>
        </w:rPr>
        <w:t>下降</w:t>
      </w:r>
      <w:r>
        <w:rPr>
          <w:rFonts w:hint="eastAsia" w:ascii="华文仿宋" w:hAnsi="华文仿宋" w:eastAsia="华文仿宋" w:cs="华文仿宋"/>
          <w:color w:val="auto"/>
          <w:sz w:val="28"/>
          <w:szCs w:val="28"/>
        </w:rPr>
        <w:t>。</w:t>
      </w:r>
    </w:p>
    <w:p>
      <w:pPr>
        <w:ind w:firstLine="560" w:firstLineChars="200"/>
        <w:rPr>
          <w:rFonts w:hint="eastAsia" w:ascii="华文仿宋" w:hAnsi="华文仿宋" w:eastAsia="华文仿宋" w:cs="华文仿宋"/>
          <w:color w:val="auto"/>
          <w:sz w:val="28"/>
          <w:szCs w:val="28"/>
          <w:lang w:val="en-US" w:eastAsia="zh-CN"/>
        </w:rPr>
      </w:pPr>
      <w:r>
        <w:rPr>
          <w:rFonts w:hint="eastAsia" w:ascii="华文仿宋" w:hAnsi="华文仿宋" w:eastAsia="华文仿宋" w:cs="华文仿宋"/>
          <w:color w:val="auto"/>
          <w:sz w:val="28"/>
          <w:szCs w:val="28"/>
          <w:lang w:val="en-US" w:eastAsia="zh-CN"/>
        </w:rPr>
        <w:t>2、年中追加和调减预算情况</w:t>
      </w:r>
    </w:p>
    <w:p>
      <w:pPr>
        <w:ind w:firstLine="560" w:firstLineChars="200"/>
        <w:rPr>
          <w:rFonts w:hint="eastAsia" w:ascii="华文仿宋" w:hAnsi="华文仿宋" w:eastAsia="华文仿宋" w:cs="华文仿宋"/>
          <w:color w:val="auto"/>
          <w:sz w:val="28"/>
          <w:szCs w:val="28"/>
          <w:lang w:val="en-US" w:eastAsia="zh-CN"/>
        </w:rPr>
      </w:pPr>
      <w:r>
        <w:rPr>
          <w:rFonts w:hint="eastAsia" w:ascii="华文仿宋" w:hAnsi="华文仿宋" w:eastAsia="华文仿宋" w:cs="华文仿宋"/>
          <w:color w:val="auto"/>
          <w:sz w:val="28"/>
          <w:szCs w:val="28"/>
          <w:lang w:eastAsia="zh-CN"/>
        </w:rPr>
        <w:t>年中调增预算收入</w:t>
      </w:r>
      <w:r>
        <w:rPr>
          <w:rFonts w:hint="eastAsia" w:ascii="华文仿宋" w:hAnsi="华文仿宋" w:eastAsia="华文仿宋" w:cs="华文仿宋"/>
          <w:color w:val="auto"/>
          <w:sz w:val="28"/>
          <w:szCs w:val="28"/>
          <w:lang w:val="en-US" w:eastAsia="zh-CN"/>
        </w:rPr>
        <w:t>565.66万元，其中基本支出调增259.55万元，项目支出调增306.11万元）；调增预算支出494.66万元，其中基本支出调增259.55万元，项目支出调增235.11万元。</w:t>
      </w:r>
    </w:p>
    <w:p>
      <w:pPr>
        <w:ind w:firstLine="560" w:firstLineChars="200"/>
        <w:rPr>
          <w:rFonts w:hint="eastAsia" w:ascii="华文仿宋" w:hAnsi="华文仿宋" w:eastAsia="华文仿宋" w:cs="华文仿宋"/>
          <w:color w:val="auto"/>
          <w:sz w:val="28"/>
          <w:szCs w:val="28"/>
          <w:lang w:val="en-US" w:eastAsia="zh-CN"/>
        </w:rPr>
      </w:pPr>
      <w:r>
        <w:rPr>
          <w:rFonts w:hint="eastAsia" w:ascii="华文仿宋" w:hAnsi="华文仿宋" w:eastAsia="华文仿宋" w:cs="华文仿宋"/>
          <w:color w:val="auto"/>
          <w:sz w:val="28"/>
          <w:szCs w:val="28"/>
          <w:lang w:val="en-US" w:eastAsia="zh-CN"/>
        </w:rPr>
        <w:t>3、全年总预算情况</w:t>
      </w:r>
    </w:p>
    <w:p>
      <w:pPr>
        <w:ind w:firstLine="560" w:firstLineChars="200"/>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val="en-US" w:eastAsia="zh-CN"/>
        </w:rPr>
        <w:t>全年预算收入</w:t>
      </w:r>
      <w:r>
        <w:rPr>
          <w:rFonts w:hint="eastAsia" w:ascii="华文仿宋" w:hAnsi="华文仿宋" w:eastAsia="华文仿宋" w:cs="华文仿宋"/>
          <w:color w:val="auto"/>
          <w:kern w:val="2"/>
          <w:sz w:val="28"/>
          <w:szCs w:val="28"/>
          <w:lang w:val="en-US" w:eastAsia="zh-CN"/>
        </w:rPr>
        <w:t>1229.85</w:t>
      </w:r>
      <w:r>
        <w:rPr>
          <w:rFonts w:hint="eastAsia" w:ascii="华文仿宋" w:hAnsi="华文仿宋" w:eastAsia="华文仿宋" w:cs="华文仿宋"/>
          <w:color w:val="auto"/>
          <w:sz w:val="28"/>
          <w:szCs w:val="28"/>
          <w:lang w:val="en-US" w:eastAsia="zh-CN"/>
        </w:rPr>
        <w:t>万元，预算支出1158.85万元，其中518.74万元为基本支出，640.11万元为项目支出。</w:t>
      </w:r>
    </w:p>
    <w:p>
      <w:pPr>
        <w:pStyle w:val="6"/>
        <w:widowControl/>
        <w:spacing w:line="360" w:lineRule="auto"/>
        <w:jc w:val="both"/>
        <w:rPr>
          <w:rFonts w:hint="eastAsia" w:ascii="华文仿宋" w:hAnsi="华文仿宋" w:eastAsia="华文仿宋" w:cs="华文仿宋"/>
          <w:b/>
          <w:bCs/>
          <w:color w:val="auto"/>
          <w:kern w:val="2"/>
          <w:sz w:val="28"/>
          <w:szCs w:val="28"/>
        </w:rPr>
      </w:pPr>
      <w:r>
        <w:rPr>
          <w:rFonts w:hint="eastAsia" w:ascii="华文仿宋" w:hAnsi="华文仿宋" w:eastAsia="华文仿宋" w:cs="华文仿宋"/>
          <w:color w:val="auto"/>
          <w:kern w:val="2"/>
          <w:sz w:val="28"/>
          <w:szCs w:val="28"/>
        </w:rPr>
        <w:t xml:space="preserve">    </w:t>
      </w:r>
      <w:r>
        <w:rPr>
          <w:rFonts w:hint="eastAsia" w:ascii="华文仿宋" w:hAnsi="华文仿宋" w:eastAsia="华文仿宋" w:cs="华文仿宋"/>
          <w:b/>
          <w:bCs/>
          <w:color w:val="auto"/>
          <w:kern w:val="2"/>
          <w:sz w:val="28"/>
          <w:szCs w:val="28"/>
        </w:rPr>
        <w:t>（二）预算执行情况</w:t>
      </w:r>
    </w:p>
    <w:p>
      <w:pPr>
        <w:ind w:firstLine="560" w:firstLineChars="200"/>
        <w:rPr>
          <w:rFonts w:hint="eastAsia" w:ascii="华文仿宋" w:hAnsi="华文仿宋" w:eastAsia="华文仿宋" w:cs="华文仿宋"/>
          <w:color w:val="auto"/>
          <w:kern w:val="2"/>
          <w:sz w:val="28"/>
          <w:szCs w:val="28"/>
        </w:rPr>
      </w:pPr>
      <w:r>
        <w:rPr>
          <w:rFonts w:hint="eastAsia" w:ascii="华文仿宋" w:hAnsi="华文仿宋" w:eastAsia="华文仿宋" w:cs="华文仿宋"/>
          <w:color w:val="auto"/>
          <w:kern w:val="2"/>
          <w:sz w:val="28"/>
          <w:szCs w:val="28"/>
          <w:lang w:val="en-US" w:eastAsia="zh-CN"/>
        </w:rPr>
        <w:t>1、</w:t>
      </w:r>
      <w:r>
        <w:rPr>
          <w:rFonts w:hint="eastAsia" w:ascii="华文仿宋" w:hAnsi="华文仿宋" w:eastAsia="华文仿宋" w:cs="华文仿宋"/>
          <w:color w:val="auto"/>
          <w:kern w:val="2"/>
          <w:sz w:val="28"/>
          <w:szCs w:val="28"/>
        </w:rPr>
        <w:t>20</w:t>
      </w:r>
      <w:r>
        <w:rPr>
          <w:rFonts w:hint="eastAsia" w:ascii="华文仿宋" w:hAnsi="华文仿宋" w:eastAsia="华文仿宋" w:cs="华文仿宋"/>
          <w:color w:val="auto"/>
          <w:kern w:val="2"/>
          <w:sz w:val="28"/>
          <w:szCs w:val="28"/>
          <w:lang w:val="en-US" w:eastAsia="zh-CN"/>
        </w:rPr>
        <w:t>20</w:t>
      </w:r>
      <w:r>
        <w:rPr>
          <w:rFonts w:hint="eastAsia" w:ascii="华文仿宋" w:hAnsi="华文仿宋" w:eastAsia="华文仿宋" w:cs="华文仿宋"/>
          <w:color w:val="auto"/>
          <w:kern w:val="2"/>
          <w:sz w:val="28"/>
          <w:szCs w:val="28"/>
        </w:rPr>
        <w:t>年我</w:t>
      </w:r>
      <w:r>
        <w:rPr>
          <w:rFonts w:hint="eastAsia" w:ascii="华文仿宋" w:hAnsi="华文仿宋" w:eastAsia="华文仿宋" w:cs="华文仿宋"/>
          <w:color w:val="auto"/>
          <w:kern w:val="2"/>
          <w:sz w:val="28"/>
          <w:szCs w:val="28"/>
          <w:lang w:eastAsia="zh-CN"/>
        </w:rPr>
        <w:t>社</w:t>
      </w:r>
      <w:r>
        <w:rPr>
          <w:rFonts w:hint="eastAsia" w:ascii="华文仿宋" w:hAnsi="华文仿宋" w:eastAsia="华文仿宋" w:cs="华文仿宋"/>
          <w:color w:val="auto"/>
          <w:kern w:val="2"/>
          <w:sz w:val="28"/>
          <w:szCs w:val="28"/>
          <w:lang w:val="en-US" w:eastAsia="zh-CN"/>
        </w:rPr>
        <w:t>本年</w:t>
      </w:r>
      <w:r>
        <w:rPr>
          <w:rFonts w:hint="eastAsia" w:ascii="华文仿宋" w:hAnsi="华文仿宋" w:eastAsia="华文仿宋" w:cs="华文仿宋"/>
          <w:color w:val="auto"/>
          <w:kern w:val="2"/>
          <w:sz w:val="28"/>
          <w:szCs w:val="28"/>
        </w:rPr>
        <w:t>财政收入</w:t>
      </w:r>
      <w:r>
        <w:rPr>
          <w:rFonts w:hint="eastAsia" w:ascii="华文仿宋" w:hAnsi="华文仿宋" w:eastAsia="华文仿宋" w:cs="华文仿宋"/>
          <w:color w:val="auto"/>
          <w:kern w:val="2"/>
          <w:sz w:val="28"/>
          <w:szCs w:val="28"/>
          <w:lang w:val="en-US" w:eastAsia="zh-CN"/>
        </w:rPr>
        <w:t>1229.85</w:t>
      </w:r>
      <w:r>
        <w:rPr>
          <w:rFonts w:hint="eastAsia" w:ascii="华文仿宋" w:hAnsi="华文仿宋" w:eastAsia="华文仿宋" w:cs="华文仿宋"/>
          <w:color w:val="auto"/>
          <w:kern w:val="2"/>
          <w:sz w:val="28"/>
          <w:szCs w:val="28"/>
        </w:rPr>
        <w:t>万元，</w:t>
      </w:r>
      <w:r>
        <w:rPr>
          <w:rFonts w:hint="eastAsia" w:ascii="华文仿宋" w:hAnsi="华文仿宋" w:eastAsia="华文仿宋" w:cs="华文仿宋"/>
          <w:color w:val="auto"/>
          <w:kern w:val="2"/>
          <w:sz w:val="28"/>
          <w:szCs w:val="28"/>
          <w:lang w:eastAsia="zh-CN"/>
        </w:rPr>
        <w:t>到位</w:t>
      </w:r>
      <w:r>
        <w:rPr>
          <w:rFonts w:hint="eastAsia" w:ascii="华文仿宋" w:hAnsi="华文仿宋" w:eastAsia="华文仿宋" w:cs="华文仿宋"/>
          <w:color w:val="auto"/>
          <w:kern w:val="2"/>
          <w:sz w:val="28"/>
          <w:szCs w:val="28"/>
          <w:lang w:val="en-US" w:eastAsia="zh-CN"/>
        </w:rPr>
        <w:t>1131.93万元。</w:t>
      </w:r>
    </w:p>
    <w:p>
      <w:pPr>
        <w:ind w:firstLine="560" w:firstLineChars="200"/>
        <w:rPr>
          <w:rFonts w:hint="default" w:ascii="华文仿宋" w:hAnsi="华文仿宋" w:eastAsia="华文仿宋" w:cs="华文仿宋"/>
          <w:color w:val="auto"/>
          <w:kern w:val="2"/>
          <w:sz w:val="28"/>
          <w:szCs w:val="28"/>
          <w:lang w:val="en-US"/>
        </w:rPr>
      </w:pPr>
      <w:r>
        <w:rPr>
          <w:rFonts w:hint="eastAsia" w:ascii="华文仿宋" w:hAnsi="华文仿宋" w:eastAsia="华文仿宋" w:cs="华文仿宋"/>
          <w:color w:val="auto"/>
          <w:kern w:val="2"/>
          <w:sz w:val="28"/>
          <w:szCs w:val="28"/>
          <w:lang w:val="en-US" w:eastAsia="zh-CN"/>
        </w:rPr>
        <w:t>2、</w:t>
      </w:r>
      <w:r>
        <w:rPr>
          <w:rFonts w:hint="eastAsia" w:ascii="华文仿宋" w:hAnsi="华文仿宋" w:eastAsia="华文仿宋" w:cs="华文仿宋"/>
          <w:color w:val="auto"/>
          <w:kern w:val="2"/>
          <w:sz w:val="28"/>
          <w:szCs w:val="28"/>
        </w:rPr>
        <w:t>我</w:t>
      </w:r>
      <w:r>
        <w:rPr>
          <w:rFonts w:hint="eastAsia" w:ascii="华文仿宋" w:hAnsi="华文仿宋" w:eastAsia="华文仿宋" w:cs="华文仿宋"/>
          <w:color w:val="auto"/>
          <w:kern w:val="2"/>
          <w:sz w:val="28"/>
          <w:szCs w:val="28"/>
          <w:lang w:eastAsia="zh-CN"/>
        </w:rPr>
        <w:t>社</w:t>
      </w:r>
      <w:r>
        <w:rPr>
          <w:rFonts w:hint="eastAsia" w:ascii="华文仿宋" w:hAnsi="华文仿宋" w:eastAsia="华文仿宋" w:cs="华文仿宋"/>
          <w:color w:val="auto"/>
          <w:kern w:val="2"/>
          <w:sz w:val="28"/>
          <w:szCs w:val="28"/>
        </w:rPr>
        <w:t>支出</w:t>
      </w:r>
      <w:r>
        <w:rPr>
          <w:rFonts w:hint="eastAsia" w:ascii="华文仿宋" w:hAnsi="华文仿宋" w:eastAsia="华文仿宋" w:cs="华文仿宋"/>
          <w:color w:val="auto"/>
          <w:sz w:val="28"/>
          <w:szCs w:val="28"/>
          <w:lang w:val="en-US" w:eastAsia="zh-CN"/>
        </w:rPr>
        <w:t>1158.85万</w:t>
      </w:r>
      <w:r>
        <w:rPr>
          <w:rFonts w:hint="eastAsia" w:ascii="华文仿宋" w:hAnsi="华文仿宋" w:eastAsia="华文仿宋" w:cs="华文仿宋"/>
          <w:color w:val="auto"/>
          <w:kern w:val="2"/>
          <w:sz w:val="28"/>
          <w:szCs w:val="28"/>
        </w:rPr>
        <w:t>元，</w:t>
      </w:r>
      <w:r>
        <w:rPr>
          <w:rFonts w:hint="eastAsia" w:ascii="华文仿宋" w:hAnsi="华文仿宋" w:eastAsia="华文仿宋" w:cs="华文仿宋"/>
          <w:color w:val="auto"/>
          <w:kern w:val="2"/>
          <w:sz w:val="28"/>
          <w:szCs w:val="28"/>
          <w:lang w:eastAsia="zh-CN"/>
        </w:rPr>
        <w:t>其中</w:t>
      </w:r>
      <w:r>
        <w:rPr>
          <w:rFonts w:hint="eastAsia" w:ascii="华文仿宋" w:hAnsi="华文仿宋" w:eastAsia="华文仿宋" w:cs="华文仿宋"/>
          <w:color w:val="auto"/>
          <w:kern w:val="2"/>
          <w:sz w:val="28"/>
          <w:szCs w:val="28"/>
          <w:lang w:val="en-US" w:eastAsia="zh-CN"/>
        </w:rPr>
        <w:t>1131.93万元</w:t>
      </w:r>
      <w:r>
        <w:rPr>
          <w:rFonts w:hint="eastAsia" w:ascii="华文仿宋" w:hAnsi="华文仿宋" w:eastAsia="华文仿宋" w:cs="华文仿宋"/>
          <w:color w:val="auto"/>
          <w:kern w:val="2"/>
          <w:sz w:val="28"/>
          <w:szCs w:val="28"/>
          <w:lang w:eastAsia="zh-CN"/>
        </w:rPr>
        <w:t>全部为财政拨款</w:t>
      </w:r>
      <w:r>
        <w:rPr>
          <w:rFonts w:hint="eastAsia" w:ascii="华文仿宋" w:hAnsi="华文仿宋" w:eastAsia="华文仿宋" w:cs="华文仿宋"/>
          <w:color w:val="auto"/>
          <w:sz w:val="28"/>
          <w:szCs w:val="28"/>
          <w:lang w:val="en-US" w:eastAsia="zh-CN"/>
        </w:rPr>
        <w:t>支出，26.92万元为其他收入支出。</w:t>
      </w:r>
      <w:r>
        <w:rPr>
          <w:rFonts w:hint="eastAsia" w:ascii="华文仿宋" w:hAnsi="华文仿宋" w:eastAsia="华文仿宋" w:cs="华文仿宋"/>
          <w:color w:val="auto"/>
          <w:kern w:val="2"/>
          <w:sz w:val="28"/>
          <w:szCs w:val="28"/>
        </w:rPr>
        <w:t xml:space="preserve"> </w:t>
      </w:r>
      <w:r>
        <w:rPr>
          <w:rFonts w:hint="eastAsia" w:ascii="华文仿宋" w:hAnsi="华文仿宋" w:eastAsia="华文仿宋" w:cs="华文仿宋"/>
          <w:color w:val="auto"/>
          <w:kern w:val="2"/>
          <w:sz w:val="28"/>
          <w:szCs w:val="28"/>
          <w:lang w:eastAsia="zh-CN"/>
        </w:rPr>
        <w:t>其中工资福利支出</w:t>
      </w:r>
      <w:r>
        <w:rPr>
          <w:rFonts w:hint="eastAsia" w:ascii="华文仿宋" w:hAnsi="华文仿宋" w:eastAsia="华文仿宋" w:cs="华文仿宋"/>
          <w:color w:val="auto"/>
          <w:kern w:val="2"/>
          <w:sz w:val="28"/>
          <w:szCs w:val="28"/>
          <w:lang w:val="en-US" w:eastAsia="zh-CN"/>
        </w:rPr>
        <w:t>403.92万元，商品和服务支出59.09万元，对个人和家庭的补助56.24万元。对企业的补助支出639.60万元。</w:t>
      </w:r>
    </w:p>
    <w:p>
      <w:pPr>
        <w:pStyle w:val="6"/>
        <w:widowControl/>
        <w:spacing w:line="360" w:lineRule="auto"/>
        <w:ind w:left="14" w:hanging="14" w:hangingChars="5"/>
        <w:jc w:val="both"/>
        <w:rPr>
          <w:rFonts w:hint="eastAsia" w:ascii="华文仿宋" w:hAnsi="华文仿宋" w:eastAsia="华文仿宋" w:cs="华文仿宋"/>
          <w:color w:val="auto"/>
          <w:kern w:val="2"/>
          <w:sz w:val="28"/>
          <w:szCs w:val="28"/>
        </w:rPr>
      </w:pPr>
      <w:r>
        <w:rPr>
          <w:rFonts w:hint="eastAsia" w:ascii="华文仿宋" w:hAnsi="华文仿宋" w:eastAsia="华文仿宋" w:cs="华文仿宋"/>
          <w:color w:val="auto"/>
          <w:kern w:val="2"/>
          <w:sz w:val="28"/>
          <w:szCs w:val="28"/>
        </w:rPr>
        <w:t xml:space="preserve">    </w:t>
      </w:r>
      <w:r>
        <w:rPr>
          <w:rFonts w:hint="eastAsia" w:ascii="华文仿宋" w:hAnsi="华文仿宋" w:eastAsia="华文仿宋" w:cs="华文仿宋"/>
          <w:color w:val="auto"/>
          <w:kern w:val="2"/>
          <w:sz w:val="28"/>
          <w:szCs w:val="28"/>
          <w:lang w:val="en-US" w:eastAsia="zh-CN"/>
        </w:rPr>
        <w:t>3</w:t>
      </w:r>
      <w:r>
        <w:rPr>
          <w:rFonts w:hint="eastAsia" w:ascii="华文仿宋" w:hAnsi="华文仿宋" w:eastAsia="华文仿宋" w:cs="华文仿宋"/>
          <w:color w:val="auto"/>
          <w:kern w:val="2"/>
          <w:sz w:val="28"/>
          <w:szCs w:val="28"/>
        </w:rPr>
        <w:t>、“三公经费”支出使用和管理情况</w:t>
      </w:r>
    </w:p>
    <w:p>
      <w:pPr>
        <w:pStyle w:val="6"/>
        <w:widowControl/>
        <w:spacing w:line="360" w:lineRule="auto"/>
        <w:ind w:left="14" w:hanging="14" w:hangingChars="5"/>
        <w:jc w:val="both"/>
        <w:rPr>
          <w:rFonts w:hint="eastAsia" w:ascii="华文仿宋" w:hAnsi="华文仿宋" w:eastAsia="华文仿宋" w:cs="华文仿宋"/>
          <w:color w:val="auto"/>
          <w:kern w:val="2"/>
          <w:sz w:val="28"/>
          <w:szCs w:val="28"/>
        </w:rPr>
      </w:pPr>
      <w:r>
        <w:rPr>
          <w:rFonts w:hint="eastAsia" w:ascii="华文仿宋" w:hAnsi="华文仿宋" w:eastAsia="华文仿宋" w:cs="华文仿宋"/>
          <w:color w:val="auto"/>
          <w:kern w:val="2"/>
          <w:sz w:val="28"/>
          <w:szCs w:val="28"/>
        </w:rPr>
        <w:t xml:space="preserve">     20</w:t>
      </w:r>
      <w:r>
        <w:rPr>
          <w:rFonts w:hint="eastAsia" w:ascii="华文仿宋" w:hAnsi="华文仿宋" w:eastAsia="华文仿宋" w:cs="华文仿宋"/>
          <w:color w:val="auto"/>
          <w:kern w:val="2"/>
          <w:sz w:val="28"/>
          <w:szCs w:val="28"/>
          <w:lang w:val="en-US" w:eastAsia="zh-CN"/>
        </w:rPr>
        <w:t>20</w:t>
      </w:r>
      <w:r>
        <w:rPr>
          <w:rFonts w:hint="eastAsia" w:ascii="华文仿宋" w:hAnsi="华文仿宋" w:eastAsia="华文仿宋" w:cs="华文仿宋"/>
          <w:color w:val="auto"/>
          <w:kern w:val="2"/>
          <w:sz w:val="28"/>
          <w:szCs w:val="28"/>
        </w:rPr>
        <w:t>年“三公经费”实际支出</w:t>
      </w:r>
      <w:r>
        <w:rPr>
          <w:rFonts w:hint="eastAsia" w:ascii="华文仿宋" w:hAnsi="华文仿宋" w:eastAsia="华文仿宋" w:cs="华文仿宋"/>
          <w:color w:val="auto"/>
          <w:kern w:val="2"/>
          <w:sz w:val="28"/>
          <w:szCs w:val="28"/>
          <w:lang w:val="en-US" w:eastAsia="zh-CN"/>
        </w:rPr>
        <w:t>1.53</w:t>
      </w:r>
      <w:r>
        <w:rPr>
          <w:rFonts w:hint="eastAsia" w:ascii="华文仿宋" w:hAnsi="华文仿宋" w:eastAsia="华文仿宋" w:cs="华文仿宋"/>
          <w:color w:val="auto"/>
          <w:kern w:val="2"/>
          <w:sz w:val="28"/>
          <w:szCs w:val="28"/>
        </w:rPr>
        <w:t>万元，其中：公务接待费开支</w:t>
      </w:r>
      <w:r>
        <w:rPr>
          <w:rFonts w:hint="eastAsia" w:ascii="华文仿宋" w:hAnsi="华文仿宋" w:eastAsia="华文仿宋" w:cs="华文仿宋"/>
          <w:color w:val="auto"/>
          <w:kern w:val="2"/>
          <w:sz w:val="28"/>
          <w:szCs w:val="28"/>
          <w:lang w:val="en-US" w:eastAsia="zh-CN"/>
        </w:rPr>
        <w:t>1.53万元</w:t>
      </w:r>
      <w:r>
        <w:rPr>
          <w:rFonts w:hint="eastAsia" w:ascii="华文仿宋" w:hAnsi="华文仿宋" w:eastAsia="华文仿宋" w:cs="华文仿宋"/>
          <w:color w:val="auto"/>
          <w:kern w:val="2"/>
          <w:sz w:val="28"/>
          <w:szCs w:val="28"/>
        </w:rPr>
        <w:t>。</w:t>
      </w:r>
    </w:p>
    <w:p>
      <w:pPr>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rPr>
        <w:t xml:space="preserve">    </w:t>
      </w:r>
      <w:r>
        <w:rPr>
          <w:rFonts w:hint="eastAsia" w:ascii="华文仿宋" w:hAnsi="华文仿宋" w:eastAsia="华文仿宋" w:cs="华文仿宋"/>
          <w:color w:val="auto"/>
          <w:sz w:val="28"/>
          <w:szCs w:val="28"/>
          <w:lang w:val="en-US" w:eastAsia="zh-CN"/>
        </w:rPr>
        <w:t>4</w:t>
      </w:r>
      <w:r>
        <w:rPr>
          <w:rFonts w:hint="eastAsia" w:ascii="华文仿宋" w:hAnsi="华文仿宋" w:eastAsia="华文仿宋" w:cs="华文仿宋"/>
          <w:color w:val="auto"/>
          <w:sz w:val="28"/>
          <w:szCs w:val="28"/>
        </w:rPr>
        <w:t>、年度收支结余情况</w:t>
      </w:r>
    </w:p>
    <w:p>
      <w:pPr>
        <w:ind w:firstLine="560" w:firstLineChars="200"/>
        <w:rPr>
          <w:rFonts w:hint="eastAsia" w:ascii="华文仿宋" w:hAnsi="华文仿宋" w:eastAsia="华文仿宋" w:cs="华文仿宋"/>
          <w:color w:val="auto"/>
          <w:kern w:val="2"/>
          <w:sz w:val="28"/>
          <w:szCs w:val="28"/>
        </w:rPr>
      </w:pPr>
      <w:r>
        <w:rPr>
          <w:rFonts w:hint="eastAsia" w:ascii="华文仿宋" w:hAnsi="华文仿宋" w:eastAsia="华文仿宋" w:cs="华文仿宋"/>
          <w:color w:val="auto"/>
          <w:kern w:val="2"/>
          <w:sz w:val="28"/>
          <w:szCs w:val="28"/>
        </w:rPr>
        <w:t>20</w:t>
      </w:r>
      <w:r>
        <w:rPr>
          <w:rFonts w:hint="eastAsia" w:ascii="华文仿宋" w:hAnsi="华文仿宋" w:eastAsia="华文仿宋" w:cs="华文仿宋"/>
          <w:color w:val="auto"/>
          <w:kern w:val="2"/>
          <w:sz w:val="28"/>
          <w:szCs w:val="28"/>
          <w:lang w:val="en-US" w:eastAsia="zh-CN"/>
        </w:rPr>
        <w:t>20</w:t>
      </w:r>
      <w:r>
        <w:rPr>
          <w:rFonts w:hint="eastAsia" w:ascii="华文仿宋" w:hAnsi="华文仿宋" w:eastAsia="华文仿宋" w:cs="华文仿宋"/>
          <w:color w:val="auto"/>
          <w:kern w:val="2"/>
          <w:sz w:val="28"/>
          <w:szCs w:val="28"/>
        </w:rPr>
        <w:t>年我</w:t>
      </w:r>
      <w:r>
        <w:rPr>
          <w:rFonts w:hint="eastAsia" w:ascii="华文仿宋" w:hAnsi="华文仿宋" w:eastAsia="华文仿宋" w:cs="华文仿宋"/>
          <w:color w:val="auto"/>
          <w:kern w:val="2"/>
          <w:sz w:val="28"/>
          <w:szCs w:val="28"/>
          <w:lang w:eastAsia="zh-CN"/>
        </w:rPr>
        <w:t>社年初结转</w:t>
      </w:r>
      <w:r>
        <w:rPr>
          <w:rFonts w:hint="eastAsia" w:ascii="华文仿宋" w:hAnsi="华文仿宋" w:eastAsia="华文仿宋" w:cs="华文仿宋"/>
          <w:color w:val="auto"/>
          <w:kern w:val="2"/>
          <w:sz w:val="28"/>
          <w:szCs w:val="28"/>
          <w:lang w:val="en-US" w:eastAsia="zh-CN"/>
        </w:rPr>
        <w:t>9.82万元，本年</w:t>
      </w:r>
      <w:r>
        <w:rPr>
          <w:rFonts w:hint="eastAsia" w:ascii="华文仿宋" w:hAnsi="华文仿宋" w:eastAsia="华文仿宋" w:cs="华文仿宋"/>
          <w:color w:val="auto"/>
          <w:kern w:val="2"/>
          <w:sz w:val="28"/>
          <w:szCs w:val="28"/>
          <w:lang w:eastAsia="zh-CN"/>
        </w:rPr>
        <w:t>实际</w:t>
      </w:r>
      <w:r>
        <w:rPr>
          <w:rFonts w:hint="eastAsia" w:ascii="华文仿宋" w:hAnsi="华文仿宋" w:eastAsia="华文仿宋" w:cs="华文仿宋"/>
          <w:color w:val="auto"/>
          <w:kern w:val="2"/>
          <w:sz w:val="28"/>
          <w:szCs w:val="28"/>
        </w:rPr>
        <w:t>收入</w:t>
      </w:r>
      <w:r>
        <w:rPr>
          <w:rFonts w:hint="eastAsia" w:ascii="华文仿宋" w:hAnsi="华文仿宋" w:eastAsia="华文仿宋" w:cs="华文仿宋"/>
          <w:color w:val="auto"/>
          <w:kern w:val="2"/>
          <w:sz w:val="28"/>
          <w:szCs w:val="28"/>
          <w:lang w:val="en-US" w:eastAsia="zh-CN"/>
        </w:rPr>
        <w:t>1256.78</w:t>
      </w:r>
      <w:r>
        <w:rPr>
          <w:rFonts w:hint="eastAsia" w:ascii="华文仿宋" w:hAnsi="华文仿宋" w:eastAsia="华文仿宋" w:cs="华文仿宋"/>
          <w:color w:val="auto"/>
          <w:kern w:val="2"/>
          <w:sz w:val="28"/>
          <w:szCs w:val="28"/>
        </w:rPr>
        <w:t>万元，我</w:t>
      </w:r>
      <w:r>
        <w:rPr>
          <w:rFonts w:hint="eastAsia" w:ascii="华文仿宋" w:hAnsi="华文仿宋" w:eastAsia="华文仿宋" w:cs="华文仿宋"/>
          <w:color w:val="auto"/>
          <w:kern w:val="2"/>
          <w:sz w:val="28"/>
          <w:szCs w:val="28"/>
          <w:lang w:eastAsia="zh-CN"/>
        </w:rPr>
        <w:t>社实际</w:t>
      </w:r>
      <w:r>
        <w:rPr>
          <w:rFonts w:hint="eastAsia" w:ascii="华文仿宋" w:hAnsi="华文仿宋" w:eastAsia="华文仿宋" w:cs="华文仿宋"/>
          <w:color w:val="auto"/>
          <w:kern w:val="2"/>
          <w:sz w:val="28"/>
          <w:szCs w:val="28"/>
        </w:rPr>
        <w:t>支出</w:t>
      </w:r>
      <w:r>
        <w:rPr>
          <w:rFonts w:hint="eastAsia" w:ascii="华文仿宋" w:hAnsi="华文仿宋" w:eastAsia="华文仿宋" w:cs="华文仿宋"/>
          <w:color w:val="auto"/>
          <w:kern w:val="2"/>
          <w:sz w:val="28"/>
          <w:szCs w:val="28"/>
          <w:lang w:val="en-US" w:eastAsia="zh-CN"/>
        </w:rPr>
        <w:t>1158.85</w:t>
      </w:r>
      <w:r>
        <w:rPr>
          <w:rFonts w:hint="eastAsia" w:ascii="华文仿宋" w:hAnsi="华文仿宋" w:eastAsia="华文仿宋" w:cs="华文仿宋"/>
          <w:color w:val="auto"/>
          <w:sz w:val="28"/>
          <w:szCs w:val="28"/>
          <w:lang w:val="en-US" w:eastAsia="zh-CN"/>
        </w:rPr>
        <w:t>万</w:t>
      </w:r>
      <w:r>
        <w:rPr>
          <w:rFonts w:hint="eastAsia" w:ascii="华文仿宋" w:hAnsi="华文仿宋" w:eastAsia="华文仿宋" w:cs="华文仿宋"/>
          <w:color w:val="auto"/>
          <w:kern w:val="2"/>
          <w:sz w:val="28"/>
          <w:szCs w:val="28"/>
        </w:rPr>
        <w:t>元，</w:t>
      </w:r>
      <w:r>
        <w:rPr>
          <w:rFonts w:hint="eastAsia" w:ascii="华文仿宋" w:hAnsi="华文仿宋" w:eastAsia="华文仿宋" w:cs="华文仿宋"/>
          <w:color w:val="auto"/>
          <w:sz w:val="28"/>
          <w:szCs w:val="28"/>
          <w:lang w:val="en-US" w:eastAsia="zh-CN"/>
        </w:rPr>
        <w:t>其中518.74万元为基本支出，640.11万元为项目支出。</w:t>
      </w:r>
      <w:r>
        <w:rPr>
          <w:rFonts w:hint="eastAsia" w:ascii="华文仿宋" w:hAnsi="华文仿宋" w:eastAsia="华文仿宋" w:cs="华文仿宋"/>
          <w:color w:val="auto"/>
          <w:kern w:val="2"/>
          <w:sz w:val="28"/>
          <w:szCs w:val="28"/>
          <w:lang w:eastAsia="zh-CN"/>
        </w:rPr>
        <w:t>年末结余</w:t>
      </w:r>
      <w:r>
        <w:rPr>
          <w:rFonts w:hint="eastAsia" w:ascii="华文仿宋" w:hAnsi="华文仿宋" w:eastAsia="华文仿宋" w:cs="华文仿宋"/>
          <w:color w:val="auto"/>
          <w:kern w:val="2"/>
          <w:sz w:val="28"/>
          <w:szCs w:val="28"/>
          <w:lang w:val="en-US" w:eastAsia="zh-CN"/>
        </w:rPr>
        <w:t>107.75万元，全部为项目支出结转。</w:t>
      </w:r>
    </w:p>
    <w:p>
      <w:pPr>
        <w:pStyle w:val="6"/>
        <w:widowControl/>
        <w:wordWrap w:val="0"/>
        <w:spacing w:line="360" w:lineRule="auto"/>
        <w:ind w:left="0" w:leftChars="0" w:firstLine="0" w:firstLineChars="0"/>
        <w:jc w:val="center"/>
        <w:rPr>
          <w:rFonts w:hint="eastAsia" w:ascii="华文仿宋" w:hAnsi="华文仿宋" w:eastAsia="华文仿宋" w:cs="华文仿宋"/>
          <w:b/>
          <w:bCs/>
          <w:color w:val="auto"/>
          <w:kern w:val="2"/>
          <w:sz w:val="28"/>
          <w:szCs w:val="28"/>
        </w:rPr>
      </w:pPr>
      <w:r>
        <w:rPr>
          <w:rFonts w:hint="eastAsia" w:ascii="华文仿宋" w:hAnsi="华文仿宋" w:eastAsia="华文仿宋" w:cs="华文仿宋"/>
          <w:b/>
          <w:bCs/>
          <w:color w:val="auto"/>
          <w:kern w:val="2"/>
          <w:sz w:val="28"/>
          <w:szCs w:val="28"/>
        </w:rPr>
        <w:t>三、部门整体支出绩效情况</w:t>
      </w:r>
    </w:p>
    <w:p>
      <w:pPr>
        <w:pStyle w:val="6"/>
        <w:widowControl/>
        <w:spacing w:line="360" w:lineRule="auto"/>
        <w:ind w:firstLine="638" w:firstLineChars="228"/>
        <w:jc w:val="both"/>
        <w:rPr>
          <w:rFonts w:hint="eastAsia" w:ascii="华文仿宋" w:hAnsi="华文仿宋" w:eastAsia="华文仿宋" w:cs="华文仿宋"/>
          <w:color w:val="auto"/>
          <w:kern w:val="2"/>
          <w:sz w:val="28"/>
          <w:szCs w:val="28"/>
          <w:lang w:eastAsia="zh-CN"/>
        </w:rPr>
      </w:pPr>
      <w:r>
        <w:rPr>
          <w:rFonts w:hint="eastAsia" w:ascii="华文仿宋" w:hAnsi="华文仿宋" w:eastAsia="华文仿宋" w:cs="华文仿宋"/>
          <w:color w:val="auto"/>
          <w:kern w:val="2"/>
          <w:sz w:val="28"/>
          <w:szCs w:val="28"/>
        </w:rPr>
        <w:t>20</w:t>
      </w:r>
      <w:r>
        <w:rPr>
          <w:rFonts w:hint="eastAsia" w:ascii="华文仿宋" w:hAnsi="华文仿宋" w:eastAsia="华文仿宋" w:cs="华文仿宋"/>
          <w:color w:val="auto"/>
          <w:kern w:val="2"/>
          <w:sz w:val="28"/>
          <w:szCs w:val="28"/>
          <w:lang w:val="en-US" w:eastAsia="zh-CN"/>
        </w:rPr>
        <w:t>20</w:t>
      </w:r>
      <w:r>
        <w:rPr>
          <w:rFonts w:hint="eastAsia" w:ascii="华文仿宋" w:hAnsi="华文仿宋" w:eastAsia="华文仿宋" w:cs="华文仿宋"/>
          <w:color w:val="auto"/>
          <w:kern w:val="2"/>
          <w:sz w:val="28"/>
          <w:szCs w:val="28"/>
        </w:rPr>
        <w:t>年我</w:t>
      </w:r>
      <w:r>
        <w:rPr>
          <w:rFonts w:hint="eastAsia" w:ascii="华文仿宋" w:hAnsi="华文仿宋" w:eastAsia="华文仿宋" w:cs="华文仿宋"/>
          <w:color w:val="auto"/>
          <w:kern w:val="2"/>
          <w:sz w:val="28"/>
          <w:szCs w:val="28"/>
          <w:lang w:eastAsia="zh-CN"/>
        </w:rPr>
        <w:t>社</w:t>
      </w:r>
      <w:r>
        <w:rPr>
          <w:rFonts w:hint="eastAsia" w:ascii="华文仿宋" w:hAnsi="华文仿宋" w:eastAsia="华文仿宋" w:cs="华文仿宋"/>
          <w:color w:val="auto"/>
          <w:kern w:val="2"/>
          <w:sz w:val="28"/>
          <w:szCs w:val="28"/>
          <w:lang w:val="en-US" w:eastAsia="zh-CN"/>
        </w:rPr>
        <w:t>本年</w:t>
      </w:r>
      <w:r>
        <w:rPr>
          <w:rFonts w:hint="eastAsia" w:ascii="华文仿宋" w:hAnsi="华文仿宋" w:eastAsia="华文仿宋" w:cs="华文仿宋"/>
          <w:color w:val="auto"/>
          <w:kern w:val="2"/>
          <w:sz w:val="28"/>
          <w:szCs w:val="28"/>
          <w:lang w:eastAsia="zh-CN"/>
        </w:rPr>
        <w:t>实际</w:t>
      </w:r>
      <w:r>
        <w:rPr>
          <w:rFonts w:hint="eastAsia" w:ascii="华文仿宋" w:hAnsi="华文仿宋" w:eastAsia="华文仿宋" w:cs="华文仿宋"/>
          <w:color w:val="auto"/>
          <w:kern w:val="2"/>
          <w:sz w:val="28"/>
          <w:szCs w:val="28"/>
        </w:rPr>
        <w:t>收入</w:t>
      </w:r>
      <w:r>
        <w:rPr>
          <w:rFonts w:hint="eastAsia" w:ascii="华文仿宋" w:hAnsi="华文仿宋" w:eastAsia="华文仿宋" w:cs="华文仿宋"/>
          <w:color w:val="auto"/>
          <w:kern w:val="2"/>
          <w:sz w:val="28"/>
          <w:szCs w:val="28"/>
          <w:lang w:val="en-US" w:eastAsia="zh-CN"/>
        </w:rPr>
        <w:t>1256.78</w:t>
      </w:r>
      <w:r>
        <w:rPr>
          <w:rFonts w:hint="eastAsia" w:ascii="华文仿宋" w:hAnsi="华文仿宋" w:eastAsia="华文仿宋" w:cs="华文仿宋"/>
          <w:color w:val="auto"/>
          <w:kern w:val="2"/>
          <w:sz w:val="28"/>
          <w:szCs w:val="28"/>
        </w:rPr>
        <w:t>万元，</w:t>
      </w:r>
      <w:r>
        <w:rPr>
          <w:rFonts w:hint="eastAsia" w:ascii="华文仿宋" w:hAnsi="华文仿宋" w:eastAsia="华文仿宋" w:cs="华文仿宋"/>
          <w:color w:val="auto"/>
          <w:kern w:val="2"/>
          <w:sz w:val="28"/>
          <w:szCs w:val="28"/>
          <w:lang w:eastAsia="zh-CN"/>
        </w:rPr>
        <w:t>其中</w:t>
      </w:r>
      <w:r>
        <w:rPr>
          <w:rFonts w:hint="eastAsia" w:ascii="华文仿宋" w:hAnsi="华文仿宋" w:eastAsia="华文仿宋" w:cs="华文仿宋"/>
          <w:color w:val="auto"/>
          <w:sz w:val="28"/>
          <w:szCs w:val="28"/>
          <w:lang w:val="en-US" w:eastAsia="zh-CN"/>
        </w:rPr>
        <w:t>26.92万元为其他收入。</w:t>
      </w:r>
      <w:r>
        <w:rPr>
          <w:rFonts w:hint="eastAsia" w:ascii="华文仿宋" w:hAnsi="华文仿宋" w:eastAsia="华文仿宋" w:cs="华文仿宋"/>
          <w:color w:val="auto"/>
          <w:kern w:val="2"/>
          <w:sz w:val="28"/>
          <w:szCs w:val="28"/>
          <w:lang w:eastAsia="zh-CN"/>
        </w:rPr>
        <w:t>实际</w:t>
      </w:r>
      <w:r>
        <w:rPr>
          <w:rFonts w:hint="eastAsia" w:ascii="华文仿宋" w:hAnsi="华文仿宋" w:eastAsia="华文仿宋" w:cs="华文仿宋"/>
          <w:color w:val="auto"/>
          <w:kern w:val="2"/>
          <w:sz w:val="28"/>
          <w:szCs w:val="28"/>
        </w:rPr>
        <w:t>支出</w:t>
      </w:r>
      <w:r>
        <w:rPr>
          <w:rFonts w:hint="eastAsia" w:ascii="华文仿宋" w:hAnsi="华文仿宋" w:eastAsia="华文仿宋" w:cs="华文仿宋"/>
          <w:color w:val="auto"/>
          <w:kern w:val="2"/>
          <w:sz w:val="28"/>
          <w:szCs w:val="28"/>
          <w:lang w:val="en-US" w:eastAsia="zh-CN"/>
        </w:rPr>
        <w:t>1158.85</w:t>
      </w:r>
      <w:r>
        <w:rPr>
          <w:rFonts w:hint="eastAsia" w:ascii="华文仿宋" w:hAnsi="华文仿宋" w:eastAsia="华文仿宋" w:cs="华文仿宋"/>
          <w:color w:val="auto"/>
          <w:sz w:val="28"/>
          <w:szCs w:val="28"/>
          <w:lang w:val="en-US" w:eastAsia="zh-CN"/>
        </w:rPr>
        <w:t>万</w:t>
      </w:r>
      <w:r>
        <w:rPr>
          <w:rFonts w:hint="eastAsia" w:ascii="华文仿宋" w:hAnsi="华文仿宋" w:eastAsia="华文仿宋" w:cs="华文仿宋"/>
          <w:color w:val="auto"/>
          <w:kern w:val="2"/>
          <w:sz w:val="28"/>
          <w:szCs w:val="28"/>
        </w:rPr>
        <w:t>元，</w:t>
      </w:r>
      <w:r>
        <w:rPr>
          <w:rFonts w:hint="eastAsia" w:ascii="华文仿宋" w:hAnsi="华文仿宋" w:eastAsia="华文仿宋" w:cs="华文仿宋"/>
          <w:color w:val="auto"/>
          <w:sz w:val="28"/>
          <w:szCs w:val="28"/>
          <w:lang w:val="en-US" w:eastAsia="zh-CN"/>
        </w:rPr>
        <w:t>其中518.74万元为基本支出，640.11万元为项目支出。</w:t>
      </w:r>
      <w:r>
        <w:rPr>
          <w:rFonts w:hint="eastAsia" w:ascii="华文仿宋" w:hAnsi="华文仿宋" w:eastAsia="华文仿宋" w:cs="华文仿宋"/>
          <w:color w:val="auto"/>
          <w:kern w:val="2"/>
          <w:sz w:val="28"/>
          <w:szCs w:val="28"/>
          <w:lang w:eastAsia="zh-CN"/>
        </w:rPr>
        <w:t>全年主要绩效如下：</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2020年，在市委、政府的坚强领导下，市供销社坚持以习近平新时代中国特色社会主义思想为指引，全面落实习近平总书记对供销社工作的重要批示精神以及中央、省、市关于供销社综合改革工作要求，坚持稳中求进的工作思路，不断增强“四个意识”，坚定“四个自信”，坚决做到“两个维护”，坚持以人民为中心的发展思想，大胆创新、锐意进取，坚持立足基层、夯实基础、联系实际、尽力而为、量力而行，全社干部职工齐心协力、攻坚克难、奋力拼搏、砥砺前行，圆满完成了市委、政府交给的各项工作任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一、强化党建工作，筑牢政治根基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市社党组认真贯彻落实习近平总书记系列重要讲话，坚持理论学习，注重意识形态，牢固树立“抓好党建就是最大的政绩”的理念。一是主题教育见实效。按照市委“不忘初心、牢记使命”主题教育工作部署，一月份，对主题教育进行了全面总结，以改革创新精神，解决改革发展问题，同时把开展主题教育作为推动改革发展的有力抓手，紧紧围绕守初心、担使命、找差距、抓落实的总要求，坚持将学习教育、调查研究、检视问题、整改落实贯穿始终，全面推进主题教育工作，以主题教育推动党的建设和供销社事业高质量发展，做到两不误、两促进，确保主题教育和各项工作落实取得实实在在的效果。二是加强党性教育。加强政治理论学习是确保党员干部坚定政治方向、全面提高党员素质的根本保证。今年以来，市社开展了党的十九届四中、五中全会精神、《习近平谈治国理政》第三卷、习近平总书记在湖南考察的重要讲话以及对供销社工作的重要批示，召开了“不忘初心、牢记使命”主题教育总结大会，制定了《2020年党组理论学习中心组学习计划》，每月二十日前后，组织党组理论学习中心组开展集中学习，每季度组织1次集体学习研讨。通过学习教育，市社党员干部理论水平有大幅提升、忠诚信仰更坚定、担当精神更牢固、心系群众更务实、作风形象更精神，在增强“四个意识”、坚定“四个自信”、做到“两个维护”上更入心入脑、见行见效。三是开展特色活动。年初，根据工作安排，在系统内着重开展“一查、两评、三学、四做”活动。即：一查：查摆问题；二评：利用批评和自我批评武器，改进作风；三学：学先辈先烈、学党章党规、学中央、省、市重要文件精神；四做：发挥党员先锋模范作用，做忠于祖国、忠诚于党的卫士；深入疫情防控一线，做抗击疫情的勇士；深化综合改革、深入基层群众，做服务三农、扶贫攻坚的战士；严守党规、心存敬畏、手握戒尺，做爱岗敬业、清正廉洁的斗士。组织党员参加“红心献给党 共筑供销情”活动，印发了活动方案，制作了宣传片，我社荣获优秀组织奖，同时参赛作品和获奖作品名列县级市第一，集中展示和弘扬了市供销社党员干部昂扬向上、奋发有为、充满活力的精神风貌。四是基础工作更加扎实。一是开展总支和机关支部的选举工作。今年五月份根据上级要求，选举了中共湘乡市供销合作总社机关总支部委员会和机关支部委员会，总支和支部的工作职责为落实党建各项工作打下了坚实的基础。二是抓好支部规范化标准化建设工作。抓支部“五化”建设，按“五化”标准抓好支部建设，在政工人事股和资产办设立了党员示范岗，加强对党员的政治学习，按月开展主题党日活动。五是积极参与疫情防控。充分发挥党组织战斗堡垒作用，让党旗在防控疫情斗争第一线高高飘扬。支部发出倡议书，号召全体党员捐款捐物，以实际行动为疫情防控工作贡献力量。全体党员同志积极响应，踊跃捐款，所筹措的资金一万多元全部用于购买消毒水、喷雾器、口罩、预防中药等防疫物资，支援所属企业、联点社区。派出党员突击队入驻供销系统五个小区负责疫情防控工作。市社抽调宋俊梅同志到企业指导疫情防控工作，助力企业复工复产，机关党员朱振强同志作为涟滨小区业主委员会负责人，全身心投入到小区防疫工作，牵头制定防控措施，担任防控劝导员，充分发挥了共产党员的先锋模范作用。六是抓好联点党建。党组班子成员和党员干部深入联系村开展扶贫工作，每月到中沙镇西冲村商讨扶贫工作。在联点村开展“四个一”活动，为精准扶贫对象黄胎辉等三户解决饮水工程建设资金6000元，6月份我市普降大雨，在了解到部分村民受灾严重等情况后，市社及时召开现场办公会，为肖正爱、邓林强等5户贫困户解决8000元资金，用于疏通道路，代表党和政府给贫困户送去了温暖，激发了其内生动力，使贫困户增添了战胜困难的信心和决心。疫情期间，市社派驻中沙镇西冲村的驻村第一书记、帮扶队队长李建国同志和驻村帮扶队副队长周柱同志从大年初二开始取消休假，提前到岗到位，坚持在基层疫情一线，认真履职，在人民群众“急难愁盼”上尽职尽责，为脱贫攻坚和疫情防控工作做出了应有贡献。七是加强党风廉政建设。始终坚持“一岗双责”和“100-1=0的政绩理念”，切实把党风廉政建设和反腐败工作摆在首位，列入重要工作日程，逢会必讲廉政建设，逢事必提廉政建设，坚持一级抓一级，逐级负责的原则，制定了《领导班子成员“一岗双责”实施方案》，严守党章、党规，严格执行中央、省、市“899”规定，在上半年省委巡视组期间，多次组织召开党组会议、干部职工大会，专题研究部署巡视整改工作，严格按照省、市委的工作要求，认真落实各项工作，突出责任担当，时常照镜子、正衣冠，达到了不能腐、不敢腐、不想腐的党风廉政建设效果。在今年下半年，按照市纪委巡察整改回头看的工作要求，党组召开专题整改会议，会议指出，该追责的坚决追责，并对存在问题的两名同志进行了严肃的处理，该整改的坚决整改，坚决做到问题整改清零，举一反三，确保整改效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二、深化综合改革，助力乡村振兴</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2020年是深化供销合作社综合改革的攻坚年和第一个五年的收官之年。一年来，市供销社认真贯彻习近平新时代中国特色社会主义思想，紧紧围绕综合改革目标任务，扎实推进深化供销社综合改革各项工作，以服务三农、促进乡村振兴为工作重心，持续改进服务方式，提高服务水平，积极为推进乡村振兴贡献供销力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1、推广粮食生产“九代”服务。以惠农服务中心为龙头，整合为农服务资源，全面实施粮食生产“九代”服务（代育、代耕、代插、代防、代管、代收、代烘、代储及代销），围绕破解“谁来种地”、“地怎么种”等问题，开展土地托管服务，建立13个乡镇土地托管中心，形成“1+N”的土地托管体系，目前全市订单式服务达8万余亩、乡镇土地托管中心完成湘潭目标任务13个，到2021年底，将实现全市乡镇土地托管中心全覆盖。</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2、做好疫情期间的稳供工作。年初，湘乡市供销社顶住疫情防控压力，全力保障春耕农资供应，第一时间成立了疫情防控保供领导小组，多措并举全力保障春耕农资供应，坚决确保农民用上廉价、优质、满意的农资产品，发挥了供销社农资供应主渠道作用，供销社控股的新三湘农资公司自筹资金2千余万元冬储化肥、种子等3万余吨，第一时间投放到全市各网点，保质、保量、保价、保时服务农民，不因疫情的影响贻误农资供应，确保了市场稳定。同时做到三个确保，即：确保农资货源，供应及时，服务到位；确保农资质量，向农民公开承诺，假一罚十，并赔偿全部损失；三是确保农资价格低于去年的价格，低于邻近县市的价格，“让利于民”。此举，得到了广大农民的普遍赞誉。</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3、坚持“两社”融合发展。为增强村级党群服务中心服务功能，根据“两社融合”和推动基层公共服务（一门式）全覆盖相关工作要求，大力发展“互联网+供销”新模式，以“两社融合”为基础，整合益农信息社、惠农服务社现有资源，为农村农民提供“五心服务”，即省心供销服务、贴心金融服务、细心快递服务、暖心就业服务、真心信息服务，把村集体加入到供销经营服务体系、参与农村市场经济，让村集体加入到合作经济组织中来，有效推动了村级集体经济发展，充分彰显供销合作社是党领导下的合作经济组织，在服务“三农”中国家队和综合平台作用。目前已在棋梓镇连云村、育塅乡石磴村、泉塘镇南薮村、东郊乡浒洲村等村进行试点，2021年将在全市铺开，到2021年底全面完成任务。该项工作是全方位为农服务、方便老百姓、促进农民增收的一项重大举措，得到了湘潭市委、湘潭市委组织部的高度肯定和试点村老百姓的高度评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4、助力精准脱贫。今年是脱贫攻坚工作收官之年，市社党组多次召开扶贫工作会议，认真落实市委会议精神，狠抓各项工作落实，全年为联点村解决各项资金达100000万元，确保全村扶贫对象精准脱贫，解决了扶贫对象危房改造、道路建设、饮水和教育等问题，组织开展节日慰问，同时在今年的1月份和10月份在火车站广场举办了第二届和第三届“三农梦 供销情”消费扶贫农产品博览会，积极组织湘乡本地企业及专业合作社、农民个体专业户、贫困户参展，达到繁荣市场、活跃经济、富裕农民，为农产品市场搭建大平台、大舞台、大擂台，促进我市消费扶贫、产业扶贫，提升我市农产品的知名度，提高农产品的附加值，促进一二三产业的融合发展，让农民增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5、落实“两个到户”。为深化综改成果，进一步推进“两个到户”（联结到户、服务到户）工作，提升服务“三农”的能力和水平，9月29日组织召开了全市工作推进会，印发了《关于进一步推进“两个到户”，提升为农服务效能的实施方案》，成立了“两个到户”工作领导小组，由分管副市长担任组长，供销社理事会主任任副组长，成员包括各乡镇（街道）供销社主任和供销专干，这项工作是省综合改革领导小组部署的一项工作，全省建立农户信息数据库，以村为单位建立微信群，各村建立物流服务站、配备物流车，根据农户的要求在线上线下服务到户，现在的农户可以不出门，对买进的商品供销社可以送到家，对卖出的产品供销社可以上门收购，让老百姓省心、省事，极大地方便了老百姓。</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6、构建冷链物流新体系。今年3月，我社组织申报的“县乡村三级冷链物流配送体系”已经获省发改委立项，并申报成功，争取项目资金400万元，在目前已有的八条冷链线路的基础上，拟在全市建立80-120个冷链物流网点，形成了市有总仓、乡（镇）、村有分仓的冷链物流体系，解决了一直困扰农村冷链物流的短板问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7、构建农村金融新服务。今年8月，市供销社牵手农商银行，签订战略合作协议，双方将在项目授信、农业生产、涉农企业、农资、农副产品、日用消费、再生资源、电子商务等多领域开展深入合作，在三年内农商银行给予三亿元的授信支持，重点解决涉农企业及专业合作社、农业大户等融资难的问题，为助力乡村振兴和农民增收，为进一步深化综合改革打下了坚实的基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近年来，在市委、政府的坚强领导下，深化供销社综合改革成效显著，全市实现了“三个全覆盖”，即：基层供销社、惠农服务社、电子商务全覆盖；全市建立了“三个中心”，即：惠农服务中心、电子商务运营中心、市乡村三级物流配送中心；做到了“三个推进”，即：推进“两社融合”，推进“两个到户”，推进“五心服务”；我市的综改经验在全省推介，2019年市供销合作总社获评全国百强县社。</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三、坚持党建引领，全面推进市社发展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1、信访维稳工作。近年来，随着改革与发展的不断深入，供销社的信访矛盾呈现类型多样化、趋向群体化、情况复杂化的特点，针对信访维稳工作形势，多次召开信访维稳工作会议，认真总结了近年来供销系统改革改制后出现的新情况，建立和完善了信访工作领导小组和领导干部接待制度，明确了工作目标，强化了工作责任。设立了信访接待室和群众工作室，制定了五包一工作方案，制作了《接访工作守则》、《来访人须知》《开门接访安排表》和相关的工作制度，做到有领导干部亲自接待处理来访问题，有专人负责做好信访接待登记工作，有专人进行包案处理。同时，进一步加强对重点人员摸排稳控，对信访人反映的诉求，制定了台账，及时掌握了诉求人的矛盾焦点和思想动态，并一对一落实了责任人员和稳控措施，对政府交办的3起信访事项及时进行了答复处理，对省委巡视组2起交办函第一时间进行了妥处；全年接访百余起改制置换职工、原双代员、蚕桑技师等群体的信访诉求，确保了无一越级上访和群体性事件的发生。全年无进京赴省上访人员，为湘乡市的社会稳定贡献了我社的力量。</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2、安全生产工作。认真贯彻落实市安委会各项工作要求，加强对安全生产工作的组织领导，坚持“谁主管、谁负责”的原则，严格执行“安全第一，预防为主”的工作方针，认真负责抓好安全管理工作，履行好各自职责。积极开展安全生产检查，狠抓隐患整改，做到了发现一处就立即整改一处，全年进行了12次安全生产检查，参检人员共计62人次，发现安全隐患6处，及时下达整改通知书，更换过期消防设施等，在隐患排查中发现的问题均得到及时整改。按照市防汛指挥部的要求成立防汛应急分队，有专门的防汛物资仓库，按规定数量备足了防汛物资。2020年我社没有发生安全生产责任事故，实现了“零事故”的目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3、群众工作。深入开展群众工作日主题活动，群众满意度得到了一定的提高，及时部署各项主题活动，在工作中认真执行群众工作制度，做好了民情记录，登记了民情台账，对每月的主题活动及时进行了总结，每月向群工部按时报送1-2条以上信息。班子成员分组带队与驻村干部一起到联系村收集群众的意见和要求，能够当场答复的立即答复，对解决不了的及时做好解释说服工作，涉及到其他部门单位的及时向相关部门反馈。全年，班子成员带队走访了系统离退休老干部和困难职工400多人；机关支部18名党员每月走访慰问中沙镇西冲村的18户结对帮扶对象和18户群众工作联系对象，及时了解、解决他们生产、生活上的困难。全力解决他们的“急难愁盼”问题，上门走访慰问老干部，保持与老干部的联系和沟通，交流思想、倾听意见和建议，得到了老干和离退休职员的好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val="en-US" w:eastAsia="zh-CN"/>
        </w:rPr>
      </w:pPr>
      <w:r>
        <w:rPr>
          <w:rFonts w:hint="eastAsia" w:ascii="华文仿宋" w:hAnsi="华文仿宋" w:eastAsia="华文仿宋" w:cs="华文仿宋"/>
          <w:b w:val="0"/>
          <w:color w:val="auto"/>
          <w:sz w:val="28"/>
          <w:szCs w:val="28"/>
          <w:lang w:val="en-US" w:eastAsia="zh-CN"/>
        </w:rPr>
        <w:t xml:space="preserve">4、政务公开工作。市社始终把政务公开作为重要议事日程抓落实，设立了政务公开栏、监督电话、办公示意图、意见箱，建立了领导值班接待制度、重大事项限时报送制度、信访接待制度；通过供销社网站报道系统政策信息、工作动态，为服务对象搭建了服务平台；凡是“三重一大”的事项，必须集体研究，重大项目建设采取前期调查论证，多方参与，集体决策，及时公开重大事项、财务收支预算、全年工作计划、工作动态、人事任免，在网页上进行了公开，凡是“三重一大”事项必须请纪委派驻组参加，自觉接受监督，确保重大事项及重要活动在阳光下运行。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华文仿宋" w:hAnsi="华文仿宋" w:eastAsia="华文仿宋" w:cs="华文仿宋"/>
          <w:b/>
          <w:bCs/>
          <w:color w:val="auto"/>
          <w:sz w:val="32"/>
          <w:szCs w:val="32"/>
          <w:lang w:eastAsia="zh-CN"/>
        </w:rPr>
      </w:pPr>
      <w:r>
        <w:rPr>
          <w:rFonts w:hint="eastAsia" w:ascii="华文仿宋" w:hAnsi="华文仿宋" w:eastAsia="华文仿宋" w:cs="华文仿宋"/>
          <w:b/>
          <w:bCs/>
          <w:color w:val="auto"/>
          <w:sz w:val="32"/>
          <w:szCs w:val="32"/>
          <w:lang w:eastAsia="zh-CN"/>
        </w:rPr>
        <w:t>四、存在的主要问题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280" w:firstLineChars="100"/>
        <w:jc w:val="both"/>
        <w:textAlignment w:val="auto"/>
        <w:outlineLvl w:val="9"/>
        <w:rPr>
          <w:rFonts w:hint="eastAsia" w:ascii="华文仿宋" w:hAnsi="华文仿宋" w:eastAsia="华文仿宋" w:cs="华文仿宋"/>
          <w:b w:val="0"/>
          <w:bCs w:val="0"/>
          <w:color w:val="auto"/>
          <w:sz w:val="28"/>
          <w:szCs w:val="28"/>
          <w:lang w:eastAsia="zh-CN"/>
        </w:rPr>
      </w:pPr>
      <w:r>
        <w:rPr>
          <w:rFonts w:hint="eastAsia" w:ascii="华文仿宋" w:hAnsi="华文仿宋" w:eastAsia="华文仿宋" w:cs="华文仿宋"/>
          <w:b w:val="0"/>
          <w:bCs w:val="0"/>
          <w:color w:val="auto"/>
          <w:sz w:val="28"/>
          <w:szCs w:val="28"/>
          <w:lang w:eastAsia="zh-CN"/>
        </w:rPr>
        <w:t>单位预算由基本支出和项目支出组成，财政预算时人员经费安排不足，对基本支出中公用经费定额标准的确定与实际执行的差距较大，追加预算困难，单位不得已拆东墙不西墙，科目之间相互调剂，导致基本支出挤占项目经费的情况。</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华文仿宋" w:hAnsi="华文仿宋" w:eastAsia="华文仿宋" w:cs="华文仿宋"/>
          <w:b/>
          <w:bCs/>
          <w:color w:val="auto"/>
          <w:sz w:val="32"/>
          <w:szCs w:val="32"/>
          <w:lang w:eastAsia="zh-CN"/>
        </w:rPr>
      </w:pPr>
      <w:r>
        <w:rPr>
          <w:rFonts w:hint="eastAsia" w:ascii="华文仿宋" w:hAnsi="华文仿宋" w:eastAsia="华文仿宋" w:cs="华文仿宋"/>
          <w:b/>
          <w:bCs/>
          <w:color w:val="auto"/>
          <w:sz w:val="32"/>
          <w:szCs w:val="32"/>
          <w:lang w:eastAsia="zh-CN"/>
        </w:rPr>
        <w:t>改进措施和有关建议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jc w:val="both"/>
        <w:textAlignment w:val="auto"/>
        <w:outlineLvl w:val="9"/>
        <w:rPr>
          <w:rFonts w:hint="default" w:ascii="华文仿宋" w:hAnsi="华文仿宋" w:eastAsia="华文仿宋" w:cs="华文仿宋"/>
          <w:b w:val="0"/>
          <w:bCs w:val="0"/>
          <w:color w:val="auto"/>
          <w:sz w:val="28"/>
          <w:szCs w:val="28"/>
          <w:lang w:val="en-US" w:eastAsia="zh-CN"/>
        </w:rPr>
      </w:pPr>
      <w:r>
        <w:rPr>
          <w:rFonts w:hint="eastAsia" w:ascii="华文仿宋" w:hAnsi="华文仿宋" w:eastAsia="华文仿宋" w:cs="华文仿宋"/>
          <w:b/>
          <w:bCs/>
          <w:color w:val="auto"/>
          <w:sz w:val="32"/>
          <w:szCs w:val="32"/>
          <w:lang w:val="en-US" w:eastAsia="zh-CN"/>
        </w:rPr>
        <w:t xml:space="preserve">  </w:t>
      </w:r>
      <w:r>
        <w:rPr>
          <w:rFonts w:hint="eastAsia" w:ascii="华文仿宋" w:hAnsi="华文仿宋" w:eastAsia="华文仿宋" w:cs="华文仿宋"/>
          <w:b w:val="0"/>
          <w:bCs w:val="0"/>
          <w:color w:val="auto"/>
          <w:sz w:val="28"/>
          <w:szCs w:val="28"/>
          <w:lang w:val="en-US" w:eastAsia="zh-CN"/>
        </w:rPr>
        <w:t>进一步加强内部预算管理意识，按照预算规定的费用项目和用途进行资金使用审核。</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华文仿宋" w:hAnsi="华文仿宋" w:eastAsia="华文仿宋" w:cs="华文仿宋"/>
          <w:b w:val="0"/>
          <w:color w:val="auto"/>
          <w:sz w:val="28"/>
          <w:szCs w:val="28"/>
          <w:highlight w:val="none"/>
          <w:u w:val="none"/>
        </w:rPr>
      </w:pPr>
      <w:r>
        <w:rPr>
          <w:rFonts w:hint="eastAsia" w:ascii="华文仿宋" w:hAnsi="华文仿宋" w:eastAsia="华文仿宋" w:cs="华文仿宋"/>
          <w:b/>
          <w:bCs/>
          <w:color w:val="auto"/>
          <w:sz w:val="28"/>
          <w:szCs w:val="28"/>
          <w:lang w:eastAsia="zh-CN"/>
        </w:rPr>
        <w:t>自评</w:t>
      </w:r>
      <w:r>
        <w:rPr>
          <w:rFonts w:hint="eastAsia" w:ascii="华文仿宋" w:hAnsi="华文仿宋" w:eastAsia="华文仿宋" w:cs="华文仿宋"/>
          <w:b/>
          <w:bCs/>
          <w:color w:val="auto"/>
          <w:sz w:val="28"/>
          <w:szCs w:val="28"/>
        </w:rPr>
        <w:t>结论</w:t>
      </w:r>
      <w:r>
        <w:rPr>
          <w:rFonts w:hint="eastAsia" w:ascii="华文仿宋" w:hAnsi="华文仿宋" w:eastAsia="华文仿宋" w:cs="华文仿宋"/>
          <w:b w:val="0"/>
          <w:color w:val="auto"/>
          <w:sz w:val="28"/>
          <w:szCs w:val="28"/>
        </w:rPr>
        <w:t>：</w:t>
      </w:r>
      <w:r>
        <w:rPr>
          <w:rFonts w:hint="eastAsia" w:ascii="华文仿宋" w:hAnsi="华文仿宋" w:eastAsia="华文仿宋" w:cs="华文仿宋"/>
          <w:b w:val="0"/>
          <w:color w:val="auto"/>
          <w:sz w:val="28"/>
          <w:szCs w:val="28"/>
          <w:lang w:val="en-US" w:eastAsia="zh-CN"/>
        </w:rPr>
        <w:t>对照绩效评价指标体系评分表，项目得分为93分，</w:t>
      </w:r>
      <w:r>
        <w:rPr>
          <w:rFonts w:hint="eastAsia" w:ascii="华文仿宋" w:hAnsi="华文仿宋" w:eastAsia="华文仿宋" w:cs="华文仿宋"/>
          <w:b w:val="0"/>
          <w:color w:val="auto"/>
          <w:sz w:val="28"/>
          <w:szCs w:val="28"/>
        </w:rPr>
        <w:t>我</w:t>
      </w:r>
      <w:r>
        <w:rPr>
          <w:rFonts w:hint="eastAsia" w:ascii="华文仿宋" w:hAnsi="华文仿宋" w:eastAsia="华文仿宋" w:cs="华文仿宋"/>
          <w:b w:val="0"/>
          <w:color w:val="auto"/>
          <w:sz w:val="28"/>
          <w:szCs w:val="28"/>
          <w:lang w:eastAsia="zh-CN"/>
        </w:rPr>
        <w:t>社</w:t>
      </w:r>
      <w:r>
        <w:rPr>
          <w:rFonts w:hint="eastAsia" w:ascii="华文仿宋" w:hAnsi="华文仿宋" w:eastAsia="华文仿宋" w:cs="华文仿宋"/>
          <w:b w:val="0"/>
          <w:color w:val="auto"/>
          <w:sz w:val="28"/>
          <w:szCs w:val="28"/>
        </w:rPr>
        <w:t>20</w:t>
      </w:r>
      <w:r>
        <w:rPr>
          <w:rFonts w:hint="eastAsia" w:ascii="华文仿宋" w:hAnsi="华文仿宋" w:eastAsia="华文仿宋" w:cs="华文仿宋"/>
          <w:b w:val="0"/>
          <w:color w:val="auto"/>
          <w:sz w:val="28"/>
          <w:szCs w:val="28"/>
          <w:lang w:val="en-US" w:eastAsia="zh-CN"/>
        </w:rPr>
        <w:t>20</w:t>
      </w:r>
      <w:r>
        <w:rPr>
          <w:rFonts w:hint="eastAsia" w:ascii="华文仿宋" w:hAnsi="华文仿宋" w:eastAsia="华文仿宋" w:cs="华文仿宋"/>
          <w:b w:val="0"/>
          <w:color w:val="auto"/>
          <w:sz w:val="28"/>
          <w:szCs w:val="28"/>
        </w:rPr>
        <w:t>年各项年初绩效目标基本实现，社会效益</w:t>
      </w:r>
      <w:r>
        <w:rPr>
          <w:rFonts w:hint="eastAsia" w:ascii="华文仿宋" w:hAnsi="华文仿宋" w:eastAsia="华文仿宋" w:cs="华文仿宋"/>
          <w:b w:val="0"/>
          <w:color w:val="auto"/>
          <w:sz w:val="28"/>
          <w:szCs w:val="28"/>
          <w:lang w:val="en-US" w:eastAsia="zh-CN"/>
        </w:rPr>
        <w:t>大大</w:t>
      </w:r>
      <w:r>
        <w:rPr>
          <w:rFonts w:hint="eastAsia" w:ascii="华文仿宋" w:hAnsi="华文仿宋" w:eastAsia="华文仿宋" w:cs="华文仿宋"/>
          <w:b w:val="0"/>
          <w:color w:val="auto"/>
          <w:sz w:val="28"/>
          <w:szCs w:val="28"/>
        </w:rPr>
        <w:t>提高，项目组织管</w:t>
      </w:r>
      <w:r>
        <w:rPr>
          <w:rFonts w:hint="eastAsia" w:ascii="华文仿宋" w:hAnsi="华文仿宋" w:eastAsia="华文仿宋" w:cs="华文仿宋"/>
          <w:b w:val="0"/>
          <w:color w:val="auto"/>
          <w:sz w:val="28"/>
          <w:szCs w:val="28"/>
          <w:highlight w:val="none"/>
          <w:u w:val="none"/>
        </w:rPr>
        <w:t>理和财务管理基本健全规范，未发生违法违规问题</w:t>
      </w:r>
      <w:r>
        <w:rPr>
          <w:rFonts w:hint="eastAsia" w:ascii="华文仿宋" w:hAnsi="华文仿宋" w:eastAsia="华文仿宋" w:cs="华文仿宋"/>
          <w:b w:val="0"/>
          <w:color w:val="auto"/>
          <w:sz w:val="28"/>
          <w:szCs w:val="28"/>
          <w:highlight w:val="none"/>
          <w:u w:val="none"/>
          <w:lang w:eastAsia="zh-CN"/>
        </w:rPr>
        <w:t>，</w:t>
      </w:r>
      <w:r>
        <w:rPr>
          <w:rFonts w:hint="eastAsia" w:ascii="华文仿宋" w:hAnsi="华文仿宋" w:eastAsia="华文仿宋" w:cs="华文仿宋"/>
          <w:b w:val="0"/>
          <w:color w:val="auto"/>
          <w:sz w:val="28"/>
          <w:szCs w:val="28"/>
        </w:rPr>
        <w:t>评价结果为优</w:t>
      </w:r>
      <w:r>
        <w:rPr>
          <w:rFonts w:hint="eastAsia" w:ascii="华文仿宋" w:hAnsi="华文仿宋" w:eastAsia="华文仿宋" w:cs="华文仿宋"/>
          <w:b w:val="0"/>
          <w:color w:val="auto"/>
          <w:sz w:val="28"/>
          <w:szCs w:val="28"/>
          <w:highlight w:val="none"/>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ascii="华文仿宋" w:hAnsi="华文仿宋" w:eastAsia="华文仿宋" w:cs="华文仿宋"/>
          <w:color w:val="auto"/>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280" w:rightChars="0"/>
        <w:jc w:val="center"/>
        <w:textAlignment w:val="auto"/>
        <w:outlineLvl w:val="9"/>
        <w:rPr>
          <w:rFonts w:hint="eastAsia" w:ascii="华文仿宋" w:hAnsi="华文仿宋" w:eastAsia="华文仿宋" w:cs="华文仿宋"/>
          <w:b/>
          <w:bCs/>
          <w:color w:val="0000FF"/>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280" w:firstLine="560" w:firstLineChars="200"/>
        <w:jc w:val="right"/>
        <w:textAlignment w:val="auto"/>
        <w:outlineLvl w:val="9"/>
        <w:rPr>
          <w:rFonts w:hint="eastAsia" w:ascii="华文仿宋" w:hAnsi="华文仿宋" w:eastAsia="华文仿宋" w:cs="华文仿宋"/>
          <w:color w:val="0000FF"/>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280" w:firstLine="560" w:firstLineChars="200"/>
        <w:jc w:val="right"/>
        <w:textAlignment w:val="auto"/>
        <w:outlineLvl w:val="9"/>
        <w:rPr>
          <w:rFonts w:hint="eastAsia" w:ascii="华文仿宋" w:hAnsi="华文仿宋" w:eastAsia="华文仿宋" w:cs="华文仿宋"/>
          <w:color w:val="0000FF"/>
          <w:sz w:val="28"/>
          <w:szCs w:val="28"/>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280" w:firstLine="560" w:firstLineChars="200"/>
        <w:jc w:val="right"/>
        <w:textAlignment w:val="auto"/>
        <w:outlineLvl w:val="9"/>
        <w:rPr>
          <w:rFonts w:hint="eastAsia" w:ascii="华文仿宋" w:hAnsi="华文仿宋" w:eastAsia="华文仿宋" w:cs="华文仿宋"/>
          <w:color w:val="auto"/>
          <w:sz w:val="28"/>
          <w:szCs w:val="28"/>
          <w:lang w:eastAsia="zh-CN"/>
        </w:rPr>
      </w:pPr>
      <w:r>
        <w:rPr>
          <w:rFonts w:hint="eastAsia" w:ascii="华文仿宋" w:hAnsi="华文仿宋" w:eastAsia="华文仿宋" w:cs="华文仿宋"/>
          <w:color w:val="auto"/>
          <w:sz w:val="28"/>
          <w:szCs w:val="28"/>
          <w:lang w:eastAsia="zh-CN"/>
        </w:rPr>
        <w:t>湘乡市供销合作总社</w:t>
      </w:r>
    </w:p>
    <w:p>
      <w:pPr>
        <w:keepNext w:val="0"/>
        <w:keepLines w:val="0"/>
        <w:pageBreakBefore w:val="0"/>
        <w:widowControl w:val="0"/>
        <w:kinsoku/>
        <w:wordWrap/>
        <w:overflowPunct/>
        <w:topLinePunct w:val="0"/>
        <w:autoSpaceDE/>
        <w:autoSpaceDN/>
        <w:bidi w:val="0"/>
        <w:adjustRightInd/>
        <w:snapToGrid/>
        <w:spacing w:line="600" w:lineRule="exact"/>
        <w:ind w:left="0" w:leftChars="0" w:right="280" w:firstLine="560" w:firstLineChars="200"/>
        <w:jc w:val="right"/>
        <w:textAlignment w:val="auto"/>
        <w:outlineLvl w:val="9"/>
        <w:rPr>
          <w:rFonts w:hint="eastAsia" w:ascii="华文仿宋" w:hAnsi="华文仿宋" w:eastAsia="华文仿宋" w:cs="华文仿宋"/>
          <w:color w:val="auto"/>
          <w:sz w:val="28"/>
          <w:szCs w:val="28"/>
        </w:rPr>
      </w:pPr>
      <w:r>
        <w:rPr>
          <w:rFonts w:hint="eastAsia" w:ascii="华文仿宋" w:hAnsi="华文仿宋" w:eastAsia="华文仿宋" w:cs="华文仿宋"/>
          <w:color w:val="auto"/>
          <w:sz w:val="28"/>
          <w:szCs w:val="28"/>
        </w:rPr>
        <w:t>20</w:t>
      </w:r>
      <w:r>
        <w:rPr>
          <w:rFonts w:hint="eastAsia" w:ascii="华文仿宋" w:hAnsi="华文仿宋" w:eastAsia="华文仿宋" w:cs="华文仿宋"/>
          <w:color w:val="auto"/>
          <w:sz w:val="28"/>
          <w:szCs w:val="28"/>
          <w:lang w:val="en-US" w:eastAsia="zh-CN"/>
        </w:rPr>
        <w:t>20</w:t>
      </w:r>
      <w:r>
        <w:rPr>
          <w:rFonts w:hint="eastAsia" w:ascii="华文仿宋" w:hAnsi="华文仿宋" w:eastAsia="华文仿宋" w:cs="华文仿宋"/>
          <w:color w:val="auto"/>
          <w:sz w:val="28"/>
          <w:szCs w:val="28"/>
        </w:rPr>
        <w:t>年</w:t>
      </w:r>
      <w:r>
        <w:rPr>
          <w:rFonts w:hint="eastAsia" w:ascii="华文仿宋" w:hAnsi="华文仿宋" w:eastAsia="华文仿宋" w:cs="华文仿宋"/>
          <w:color w:val="auto"/>
          <w:sz w:val="28"/>
          <w:szCs w:val="28"/>
          <w:lang w:val="en-US" w:eastAsia="zh-CN"/>
        </w:rPr>
        <w:t>4</w:t>
      </w:r>
      <w:r>
        <w:rPr>
          <w:rFonts w:hint="eastAsia" w:ascii="华文仿宋" w:hAnsi="华文仿宋" w:eastAsia="华文仿宋" w:cs="华文仿宋"/>
          <w:color w:val="auto"/>
          <w:sz w:val="28"/>
          <w:szCs w:val="28"/>
        </w:rPr>
        <w:t>月</w:t>
      </w:r>
      <w:r>
        <w:rPr>
          <w:rFonts w:hint="eastAsia" w:ascii="华文仿宋" w:hAnsi="华文仿宋" w:eastAsia="华文仿宋" w:cs="华文仿宋"/>
          <w:color w:val="auto"/>
          <w:sz w:val="28"/>
          <w:szCs w:val="28"/>
          <w:lang w:val="en-US" w:eastAsia="zh-CN"/>
        </w:rPr>
        <w:t>30</w:t>
      </w:r>
      <w:r>
        <w:rPr>
          <w:rFonts w:hint="eastAsia" w:ascii="华文仿宋" w:hAnsi="华文仿宋" w:eastAsia="华文仿宋" w:cs="华文仿宋"/>
          <w:color w:val="auto"/>
          <w:sz w:val="28"/>
          <w:szCs w:val="28"/>
        </w:rPr>
        <w:t>日</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F28F76"/>
    <w:multiLevelType w:val="singleLevel"/>
    <w:tmpl w:val="B1F28F76"/>
    <w:lvl w:ilvl="0" w:tentative="0">
      <w:start w:val="1"/>
      <w:numFmt w:val="chineseCounting"/>
      <w:suff w:val="nothing"/>
      <w:lvlText w:val="%1、"/>
      <w:lvlJc w:val="left"/>
      <w:rPr>
        <w:rFonts w:hint="eastAsia"/>
      </w:rPr>
    </w:lvl>
  </w:abstractNum>
  <w:abstractNum w:abstractNumId="1">
    <w:nsid w:val="591953E8"/>
    <w:multiLevelType w:val="singleLevel"/>
    <w:tmpl w:val="591953E8"/>
    <w:lvl w:ilvl="0" w:tentative="0">
      <w:start w:val="2"/>
      <w:numFmt w:val="chineseCounting"/>
      <w:suff w:val="nothing"/>
      <w:lvlText w:val="%1、"/>
      <w:lvlJc w:val="left"/>
    </w:lvl>
  </w:abstractNum>
  <w:abstractNum w:abstractNumId="2">
    <w:nsid w:val="592FDABB"/>
    <w:multiLevelType w:val="singleLevel"/>
    <w:tmpl w:val="592FDABB"/>
    <w:lvl w:ilvl="0" w:tentative="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mY2UyNGUyZjljY2IwODMxMGI3MGJjMGZmMmU4ZDI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13A73"/>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2D60F6C"/>
    <w:rsid w:val="05EA04C9"/>
    <w:rsid w:val="080C7EC0"/>
    <w:rsid w:val="09335CAD"/>
    <w:rsid w:val="0972662D"/>
    <w:rsid w:val="0ACA6D38"/>
    <w:rsid w:val="0BBE500F"/>
    <w:rsid w:val="0C0177F3"/>
    <w:rsid w:val="0C4A2FA4"/>
    <w:rsid w:val="0D250F4E"/>
    <w:rsid w:val="107923D1"/>
    <w:rsid w:val="10801A87"/>
    <w:rsid w:val="120803DD"/>
    <w:rsid w:val="121955D2"/>
    <w:rsid w:val="137C2A18"/>
    <w:rsid w:val="15A06A69"/>
    <w:rsid w:val="16A54ED4"/>
    <w:rsid w:val="16E16CA4"/>
    <w:rsid w:val="16E57921"/>
    <w:rsid w:val="17AB791D"/>
    <w:rsid w:val="18C636D6"/>
    <w:rsid w:val="1A9677D0"/>
    <w:rsid w:val="1BC336FA"/>
    <w:rsid w:val="202D5948"/>
    <w:rsid w:val="20641668"/>
    <w:rsid w:val="21423AED"/>
    <w:rsid w:val="219E31EB"/>
    <w:rsid w:val="22557CEA"/>
    <w:rsid w:val="2270340F"/>
    <w:rsid w:val="23082752"/>
    <w:rsid w:val="23854EA1"/>
    <w:rsid w:val="24920C98"/>
    <w:rsid w:val="25C84E0B"/>
    <w:rsid w:val="26C93B72"/>
    <w:rsid w:val="29771DD5"/>
    <w:rsid w:val="2B4D693E"/>
    <w:rsid w:val="2D0D0476"/>
    <w:rsid w:val="2EDE62EC"/>
    <w:rsid w:val="30B2597F"/>
    <w:rsid w:val="31E2331D"/>
    <w:rsid w:val="32624B5D"/>
    <w:rsid w:val="33D530BF"/>
    <w:rsid w:val="3497462B"/>
    <w:rsid w:val="34EB5791"/>
    <w:rsid w:val="36414933"/>
    <w:rsid w:val="36AF754C"/>
    <w:rsid w:val="3AE405EA"/>
    <w:rsid w:val="3B040574"/>
    <w:rsid w:val="3CA87C15"/>
    <w:rsid w:val="3EDB37C8"/>
    <w:rsid w:val="40934A79"/>
    <w:rsid w:val="410C06AF"/>
    <w:rsid w:val="41D20753"/>
    <w:rsid w:val="428D3F3D"/>
    <w:rsid w:val="42E54BD4"/>
    <w:rsid w:val="436E4007"/>
    <w:rsid w:val="4452140E"/>
    <w:rsid w:val="44F66194"/>
    <w:rsid w:val="482F651F"/>
    <w:rsid w:val="48A35BCC"/>
    <w:rsid w:val="490173A0"/>
    <w:rsid w:val="4ACE6FA3"/>
    <w:rsid w:val="4D5B412A"/>
    <w:rsid w:val="4D90296E"/>
    <w:rsid w:val="4DA73B9E"/>
    <w:rsid w:val="4EE43ED3"/>
    <w:rsid w:val="51FD4F91"/>
    <w:rsid w:val="538C5423"/>
    <w:rsid w:val="53FB52C2"/>
    <w:rsid w:val="548E05DA"/>
    <w:rsid w:val="55946DDD"/>
    <w:rsid w:val="562E3077"/>
    <w:rsid w:val="56D91AEC"/>
    <w:rsid w:val="56FE5209"/>
    <w:rsid w:val="584B6D9D"/>
    <w:rsid w:val="5CD00F52"/>
    <w:rsid w:val="5CD64F73"/>
    <w:rsid w:val="5E907196"/>
    <w:rsid w:val="5E9A5EC1"/>
    <w:rsid w:val="62854B94"/>
    <w:rsid w:val="69C20875"/>
    <w:rsid w:val="6DC97DE1"/>
    <w:rsid w:val="737C19E8"/>
    <w:rsid w:val="750C3A38"/>
    <w:rsid w:val="79623ACE"/>
    <w:rsid w:val="79C577D7"/>
    <w:rsid w:val="7A1F4131"/>
    <w:rsid w:val="7BAE4BB6"/>
    <w:rsid w:val="7D3510B8"/>
    <w:rsid w:val="7E6E1C37"/>
    <w:rsid w:val="7EE61986"/>
    <w:rsid w:val="7F0D4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unhideWhenUsed/>
    <w:qFormat/>
    <w:uiPriority w:val="0"/>
    <w:pPr>
      <w:spacing w:before="100" w:beforeAutospacing="1" w:after="100" w:afterAutospacing="1"/>
      <w:jc w:val="left"/>
      <w:outlineLvl w:val="0"/>
    </w:pPr>
    <w:rPr>
      <w:rFonts w:hint="eastAsia" w:ascii="宋体" w:hAnsi="宋体" w:eastAsia="宋体"/>
      <w:b/>
      <w:kern w:val="44"/>
      <w:sz w:val="21"/>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default" w:ascii="Arial" w:hAnsi="Arial" w:cs="Arial"/>
      <w:color w:val="333333"/>
      <w:kern w:val="0"/>
      <w:sz w:val="18"/>
      <w:szCs w:val="18"/>
      <w:lang w:val="en-US" w:eastAsia="zh-CN" w:bidi="ar"/>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38</Pages>
  <Words>15927</Words>
  <Characters>18031</Characters>
  <Lines>62</Lines>
  <Paragraphs>17</Paragraphs>
  <TotalTime>12</TotalTime>
  <ScaleCrop>false</ScaleCrop>
  <LinksUpToDate>false</LinksUpToDate>
  <CharactersWithSpaces>19903</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风筝</cp:lastModifiedBy>
  <cp:lastPrinted>2021-07-28T00:12:00Z</cp:lastPrinted>
  <dcterms:modified xsi:type="dcterms:W3CDTF">2022-09-05T03:15:49Z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7F535303D06C40359CB2015945802211</vt:lpwstr>
  </property>
</Properties>
</file>