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2020年度</w:t>
      </w:r>
    </w:p>
    <w:p>
      <w:pPr>
        <w:pStyle w:val="10"/>
        <w:jc w:val="center"/>
        <w:rPr>
          <w:rFonts w:hint="eastAsia"/>
          <w:sz w:val="84"/>
          <w:szCs w:val="84"/>
        </w:rPr>
      </w:pPr>
      <w:r>
        <w:rPr>
          <w:rFonts w:hint="eastAsia"/>
          <w:sz w:val="84"/>
          <w:szCs w:val="84"/>
          <w:lang w:val="en-US" w:eastAsia="zh-CN"/>
        </w:rPr>
        <w:t>湘乡市教育局（本级</w:t>
      </w:r>
      <w:r>
        <w:rPr>
          <w:rFonts w:hint="eastAsia"/>
          <w:sz w:val="84"/>
          <w:szCs w:val="84"/>
        </w:rPr>
        <w:t>）</w:t>
      </w:r>
    </w:p>
    <w:p>
      <w:pPr>
        <w:pStyle w:val="10"/>
        <w:jc w:val="center"/>
        <w:rPr>
          <w:sz w:val="84"/>
          <w:szCs w:val="84"/>
        </w:rPr>
      </w:pP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color w:val="FF0000"/>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40" w:lineRule="exact"/>
        <w:jc w:val="both"/>
        <w:rPr>
          <w:sz w:val="56"/>
          <w:szCs w:val="56"/>
        </w:rPr>
      </w:pPr>
    </w:p>
    <w:p>
      <w:pPr>
        <w:pStyle w:val="10"/>
        <w:spacing w:line="500" w:lineRule="exact"/>
        <w:jc w:val="both"/>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湘乡市教育局（本级）</w:t>
      </w:r>
      <w:r>
        <w:rPr>
          <w:rFonts w:hint="eastAsia"/>
          <w:b/>
          <w:sz w:val="28"/>
          <w:szCs w:val="28"/>
        </w:rPr>
        <w:t>单位概况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rFonts w:hint="eastAsia"/>
          <w:sz w:val="84"/>
          <w:szCs w:val="84"/>
          <w:lang w:val="en-US" w:eastAsia="zh-CN"/>
        </w:rPr>
      </w:pPr>
      <w:r>
        <w:rPr>
          <w:rFonts w:hint="eastAsia"/>
          <w:sz w:val="84"/>
          <w:szCs w:val="84"/>
          <w:lang w:val="en-US" w:eastAsia="zh-CN"/>
        </w:rPr>
        <w:t>湘乡市教育局（本级）</w:t>
      </w:r>
    </w:p>
    <w:p>
      <w:pPr>
        <w:pStyle w:val="10"/>
        <w:jc w:val="center"/>
        <w:rPr>
          <w:sz w:val="84"/>
          <w:szCs w:val="84"/>
        </w:rPr>
      </w:pPr>
      <w:r>
        <w:rPr>
          <w:rFonts w:hint="eastAsia"/>
          <w:sz w:val="84"/>
          <w:szCs w:val="84"/>
          <w:lang w:val="en-US" w:eastAsia="zh-CN"/>
        </w:rPr>
        <w:t>单位</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0" w:leftChars="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ind w:firstLine="800" w:firstLineChars="250"/>
        <w:jc w:val="left"/>
        <w:rPr>
          <w:rFonts w:hint="eastAsia" w:asciiTheme="minorEastAsia" w:hAnsiTheme="minorEastAsia"/>
          <w:sz w:val="32"/>
          <w:szCs w:val="32"/>
        </w:rPr>
      </w:pPr>
      <w:r>
        <w:rPr>
          <w:rFonts w:hint="eastAsia" w:asciiTheme="minorEastAsia" w:hAnsiTheme="minorEastAsia"/>
          <w:sz w:val="32"/>
          <w:szCs w:val="32"/>
        </w:rPr>
        <w:t>（一）贯彻落实国家、省、市关于教育工作的方针政策和法律法规；负责拟订全市教育发展规划，制定教育有关规范性文件并组织实施。</w:t>
      </w:r>
    </w:p>
    <w:p>
      <w:pPr>
        <w:ind w:firstLine="800" w:firstLineChars="250"/>
        <w:jc w:val="left"/>
        <w:rPr>
          <w:rFonts w:hint="eastAsia" w:asciiTheme="minorEastAsia" w:hAnsiTheme="minorEastAsia"/>
          <w:sz w:val="32"/>
          <w:szCs w:val="32"/>
        </w:rPr>
      </w:pPr>
      <w:r>
        <w:rPr>
          <w:rFonts w:hint="eastAsia" w:asciiTheme="minorEastAsia" w:hAnsiTheme="minorEastAsia"/>
          <w:sz w:val="32"/>
          <w:szCs w:val="32"/>
        </w:rPr>
        <w:t>（二）负责统筹规划、协调和指导全市权限范围内各级各类教育，会同有关部门制订学校的设置标准，指导各级各类学校的教育教学改革；负责教育基本信息的统计、分析和发布；指导教育信息化工作和网络信息安全工作。</w:t>
      </w:r>
    </w:p>
    <w:p>
      <w:pPr>
        <w:ind w:firstLine="800" w:firstLineChars="250"/>
        <w:jc w:val="left"/>
        <w:rPr>
          <w:rFonts w:hint="eastAsia" w:asciiTheme="minorEastAsia" w:hAnsiTheme="minorEastAsia"/>
          <w:sz w:val="32"/>
          <w:szCs w:val="32"/>
        </w:rPr>
      </w:pPr>
      <w:r>
        <w:rPr>
          <w:rFonts w:hint="eastAsia" w:asciiTheme="minorEastAsia" w:hAnsiTheme="minorEastAsia"/>
          <w:sz w:val="32"/>
          <w:szCs w:val="32"/>
        </w:rPr>
        <w:t>（三）负责推进义务教育均衡发展和促进教育公平，负责义务教育的宏观指导与协调，指导普通高中教育、学前教育和,特殊教育工作；执行落实基础教育教学基本要求和教学基本文件，全面实施素质教育。</w:t>
      </w:r>
    </w:p>
    <w:p>
      <w:pPr>
        <w:ind w:firstLine="800" w:firstLineChars="250"/>
        <w:jc w:val="left"/>
        <w:rPr>
          <w:rFonts w:hint="eastAsia" w:asciiTheme="minorEastAsia" w:hAnsiTheme="minorEastAsia"/>
          <w:sz w:val="32"/>
          <w:szCs w:val="32"/>
        </w:rPr>
      </w:pPr>
      <w:r>
        <w:rPr>
          <w:rFonts w:hint="eastAsia" w:asciiTheme="minorEastAsia" w:hAnsiTheme="minorEastAsia"/>
          <w:sz w:val="32"/>
          <w:szCs w:val="32"/>
        </w:rPr>
        <w:t>（四）负责全市的教育督导工作，负责组织和指导对中等及中等以下教育的督导检查和评估验收工作，指导基础教育发展水平、质量的监测工作。</w:t>
      </w:r>
    </w:p>
    <w:p>
      <w:pPr>
        <w:ind w:firstLine="800" w:firstLineChars="250"/>
        <w:jc w:val="left"/>
        <w:rPr>
          <w:rFonts w:hint="eastAsia" w:asciiTheme="minorEastAsia" w:hAnsiTheme="minorEastAsia"/>
          <w:sz w:val="32"/>
          <w:szCs w:val="32"/>
        </w:rPr>
      </w:pPr>
      <w:r>
        <w:rPr>
          <w:rFonts w:hint="eastAsia" w:asciiTheme="minorEastAsia" w:hAnsiTheme="minorEastAsia"/>
          <w:sz w:val="32"/>
          <w:szCs w:val="32"/>
        </w:rPr>
        <w:t>（五）负责指导以就业为导向的职业教育的发展与改革，执行国家、省制定的教学指导文件和教学评估标准。</w:t>
      </w:r>
    </w:p>
    <w:p>
      <w:pPr>
        <w:ind w:firstLine="800" w:firstLineChars="250"/>
        <w:jc w:val="left"/>
        <w:rPr>
          <w:rFonts w:hint="eastAsia" w:asciiTheme="minorEastAsia" w:hAnsiTheme="minorEastAsia"/>
          <w:sz w:val="32"/>
          <w:szCs w:val="32"/>
        </w:rPr>
      </w:pPr>
      <w:r>
        <w:rPr>
          <w:rFonts w:hint="eastAsia" w:asciiTheme="minorEastAsia" w:hAnsiTheme="minorEastAsia"/>
          <w:sz w:val="32"/>
          <w:szCs w:val="32"/>
        </w:rPr>
        <w:t>（六）负责管理权限内各学校和培训机构的审批、监督、撒销、合并及其专业设置；负责全市职业教育和继续教育工作。</w:t>
      </w:r>
    </w:p>
    <w:p>
      <w:pPr>
        <w:ind w:firstLine="800" w:firstLineChars="250"/>
        <w:jc w:val="left"/>
        <w:rPr>
          <w:rFonts w:hint="eastAsia" w:asciiTheme="minorEastAsia" w:hAnsiTheme="minorEastAsia"/>
          <w:sz w:val="32"/>
          <w:szCs w:val="32"/>
        </w:rPr>
      </w:pPr>
      <w:r>
        <w:rPr>
          <w:rFonts w:hint="eastAsia" w:asciiTheme="minorEastAsia" w:hAnsiTheme="minorEastAsia"/>
          <w:sz w:val="32"/>
          <w:szCs w:val="32"/>
        </w:rPr>
        <w:t>（七）负责全市教育经费管理；拟订教育经费筹措、教育拨款、教育基建投资的计划和方案；负责统计和监测全市教育经费的投入和使用情况。按有关规定管理教育援助和教育贷款；负责对贫困学生资助的审批与监督工作；负责教育系统内部审计工作；规划、指导全市教育产业和勤工俭学工作；负责监督管理全市学校危房改造和学校建设。</w:t>
      </w:r>
    </w:p>
    <w:p>
      <w:pPr>
        <w:ind w:firstLine="800" w:firstLineChars="250"/>
        <w:jc w:val="left"/>
        <w:rPr>
          <w:rFonts w:hint="eastAsia" w:asciiTheme="minorEastAsia" w:hAnsiTheme="minorEastAsia"/>
          <w:sz w:val="32"/>
          <w:szCs w:val="32"/>
        </w:rPr>
      </w:pPr>
      <w:r>
        <w:rPr>
          <w:rFonts w:hint="eastAsia" w:asciiTheme="minorEastAsia" w:hAnsiTheme="minorEastAsia"/>
          <w:sz w:val="32"/>
          <w:szCs w:val="32"/>
        </w:rPr>
        <w:t>（八）负责指导各级各类学校的思想政治工作、德育工作、体育卫生、艺术教育及国防教育工作；指导和协调教育系统的安全稳定工作，按照“一岗双责”的要求，履行好安全工作职责；会同有关部门进行校车安全监督检查。</w:t>
      </w:r>
    </w:p>
    <w:p>
      <w:pPr>
        <w:ind w:firstLine="800" w:firstLineChars="250"/>
        <w:jc w:val="left"/>
        <w:rPr>
          <w:rFonts w:hint="eastAsia" w:asciiTheme="minorEastAsia" w:hAnsiTheme="minorEastAsia"/>
          <w:sz w:val="32"/>
          <w:szCs w:val="32"/>
        </w:rPr>
      </w:pPr>
      <w:r>
        <w:rPr>
          <w:rFonts w:hint="eastAsia" w:asciiTheme="minorEastAsia" w:hAnsiTheme="minorEastAsia"/>
          <w:sz w:val="32"/>
          <w:szCs w:val="32"/>
        </w:rPr>
        <w:t>（九）负责全市的教师队伍建设工作，会同有关部门研究提出全市各级各类学校编制标准建议，指导教育系统人才队伍建设；承担教师资格认定工作。</w:t>
      </w:r>
    </w:p>
    <w:p>
      <w:pPr>
        <w:ind w:firstLine="800" w:firstLineChars="250"/>
        <w:jc w:val="left"/>
        <w:rPr>
          <w:rFonts w:hint="eastAsia" w:asciiTheme="minorEastAsia" w:hAnsiTheme="minorEastAsia"/>
          <w:sz w:val="32"/>
          <w:szCs w:val="32"/>
        </w:rPr>
      </w:pPr>
      <w:r>
        <w:rPr>
          <w:rFonts w:hint="eastAsia" w:asciiTheme="minorEastAsia" w:hAnsiTheme="minorEastAsia"/>
          <w:sz w:val="32"/>
          <w:szCs w:val="32"/>
        </w:rPr>
        <w:t>（十）负责管理权限内的各类教育的招生考试、学籍、学历工作，会同有关部门制定各类学校招生计划。</w:t>
      </w:r>
    </w:p>
    <w:p>
      <w:pPr>
        <w:ind w:firstLine="800" w:firstLineChars="250"/>
        <w:jc w:val="left"/>
        <w:rPr>
          <w:rFonts w:hint="eastAsia" w:asciiTheme="minorEastAsia" w:hAnsiTheme="minorEastAsia"/>
          <w:sz w:val="32"/>
          <w:szCs w:val="32"/>
        </w:rPr>
      </w:pPr>
      <w:r>
        <w:rPr>
          <w:rFonts w:hint="eastAsia" w:asciiTheme="minorEastAsia" w:hAnsiTheme="minorEastAsia"/>
          <w:sz w:val="32"/>
          <w:szCs w:val="32"/>
        </w:rPr>
        <w:t>（十一）负责统筹管理全市语言文字工作，制定全市语言文字规划并组织实施，指导推广普通话和规范文字及普通话培训工作。</w:t>
      </w:r>
    </w:p>
    <w:p>
      <w:pPr>
        <w:ind w:firstLine="800" w:firstLineChars="250"/>
        <w:jc w:val="left"/>
        <w:rPr>
          <w:rFonts w:hint="eastAsia" w:asciiTheme="minorEastAsia" w:hAnsiTheme="minorEastAsia"/>
          <w:sz w:val="32"/>
          <w:szCs w:val="32"/>
        </w:rPr>
      </w:pPr>
      <w:r>
        <w:rPr>
          <w:rFonts w:hint="eastAsia" w:asciiTheme="minorEastAsia" w:hAnsiTheme="minorEastAsia"/>
          <w:sz w:val="32"/>
          <w:szCs w:val="32"/>
        </w:rPr>
        <w:t>（十二）负责对违反有关教育法律法规的行为进行处罚。</w:t>
      </w:r>
    </w:p>
    <w:p>
      <w:pPr>
        <w:ind w:firstLine="800" w:firstLineChars="250"/>
        <w:jc w:val="left"/>
        <w:rPr>
          <w:rFonts w:hint="eastAsia" w:asciiTheme="minorEastAsia" w:hAnsiTheme="minorEastAsia"/>
          <w:sz w:val="32"/>
          <w:szCs w:val="32"/>
        </w:rPr>
      </w:pPr>
      <w:r>
        <w:rPr>
          <w:rFonts w:hint="eastAsia" w:asciiTheme="minorEastAsia" w:hAnsiTheme="minorEastAsia"/>
          <w:sz w:val="32"/>
          <w:szCs w:val="32"/>
        </w:rPr>
        <w:t>（十三）承担中共湘乡市委教育工作领导小组秘书组职责。</w:t>
      </w:r>
    </w:p>
    <w:p>
      <w:pPr>
        <w:ind w:firstLine="800" w:firstLineChars="250"/>
        <w:jc w:val="left"/>
        <w:rPr>
          <w:rFonts w:ascii="仿宋_GB2312" w:eastAsia="仿宋_GB2312" w:hAnsiTheme="minorEastAsia"/>
          <w:sz w:val="28"/>
          <w:szCs w:val="32"/>
        </w:rPr>
      </w:pPr>
      <w:r>
        <w:rPr>
          <w:rFonts w:hint="eastAsia" w:asciiTheme="minorEastAsia" w:hAnsiTheme="minorEastAsia"/>
          <w:sz w:val="32"/>
          <w:szCs w:val="32"/>
        </w:rPr>
        <w:t>（十四）完成市委、市政府交办的其他任务。</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hint="eastAsia" w:asciiTheme="minorEastAsia" w:hAnsiTheme="minorEastAsia"/>
          <w:bCs/>
          <w:kern w:val="0"/>
          <w:sz w:val="32"/>
          <w:szCs w:val="32"/>
        </w:rPr>
      </w:pPr>
      <w:r>
        <w:rPr>
          <w:rFonts w:hint="eastAsia" w:asciiTheme="minorEastAsia" w:hAnsiTheme="minorEastAsia"/>
          <w:bCs/>
          <w:kern w:val="0"/>
          <w:sz w:val="32"/>
          <w:szCs w:val="32"/>
        </w:rPr>
        <w:t>（一）内设机构设置。湘乡市教育局（本级）内设机构包括：</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1.市委教育工作领导小组秘书组办公室。负责处理市委教育工作领导小组秘书组日常事务；负责协调督促落实领导小组决定事项；负责组织研究全市教育领域和思想政治建设发展规划、教育发展战略规划、重大改革方案等；负责向市委教育工作领导小组提出建议；完成局交办的其他工作。</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2.办公室。负责局机关文电、会务、文书档案、安全、资产等运转、管理工作；负责综合文稿的起草、政务公开、督查督办、机要保密等工作；负责新闻宣传、图书馆建设、外事等工作；负责人大代表建议、政协委员提案的答复办理工作；负责党报党刊、教育报刊的发行及教育信息工作；指导和组织教育系统舆情管理工作；负责机关财务、后勤接待、卫生管理、车辆调度、维修等行政后勤工作；负责教育局网站的维护与更新；负责协调落实市委、市政府的中心工作。</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3.审计股。负责全市教育系统内部审计工作；承担对所属单位的预算执行情况、财务收支、固定资产投资和重大经济合同的审计工作；对所属单位领导进行任中和离任经济责任审计；组织对教育系统经常性的经济活动和重大的经费管理事项进行审计调查；指导和组织对国家、省、湘潭市各类教育专项资金的使用进行审计；受托协助查处教育系统内部有关单位或人员违反财经纪律、法规的行为和案件。</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4.政策法规股（审批服务股）。统筹指导和协调全市教育系统依法行政、依法办事、依法治教的有关工作；会同有关股室做好本级教育行政复议、行政应诉工作；负责权限范围内规范性文件、重大执法案件决定、合同和方案的合法性、公平性审核工作；统筹协调指导全市教育系统法治宣传教育的有关工作；协调指导权限内行政审批事项的统一受理、组织办理、发证和市政务中心窗口服务等具体工作。</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5.基础教育股。负责全市普通中小学以立德树人为根本任务、以教育教学为中心的宏观管理工作；负责贯彻执行国家、省、市关于普通中小学基本教学和管理的政策要求规范；组织指导普通中小学教育教学改革；会同有关方面执行国家、省制定的普通中小学办学标准；负责全市普通中小学学籍管理工作；负责组织全市初中毕业会考；负责颁发普通初中毕业证；负责全市中小学生评先评优的评选及推荐工作；负责制定中小学招生计划并组织实施；参与中小学布局调整、教育信息化及功能室的建、配、管、用、研训工作；指导学校德育教育、艺体教育、心理健康教育、人防教育工作；组织指导有关基础教育教学研究工作。指导中小学民族团结教育；归口管理中小学竞赛活动；指导中小学生的社会实践活动；负责学校卫生工作。</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6.民办教育股。承担民办教育的宏观管理工作；负责拟订全市民办教育事业发展规划和政策措施并组织实施，统筹指导全市民办教育改革和水平提升；协调相关部门规范民办学校办学行为，依法依规查处民办学校的违法行为；负责社会力量办学机构的审批、监督和基本信息的统计与分析等工作。</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7.职成教育股。综合管理与协调全市的职业技术教育和成人教育工作；拟订职业技术教育和成人教育发展规划与管理措施并组织实施；指导职业技术教育和成人教育教学改革；参与指导职业教育和成人教育的科研与技术推广、仪器配备、生产实习基地建设；负责对职业技术教育和成人教育进行检查、督导和评估。</w:t>
      </w:r>
    </w:p>
    <w:p>
      <w:pPr>
        <w:widowControl/>
        <w:spacing w:line="600" w:lineRule="exact"/>
        <w:rPr>
          <w:rFonts w:hint="eastAsia" w:asciiTheme="minorEastAsia" w:hAnsiTheme="minorEastAsia"/>
          <w:bCs/>
          <w:kern w:val="0"/>
          <w:sz w:val="32"/>
          <w:szCs w:val="32"/>
        </w:rPr>
      </w:pPr>
      <w:r>
        <w:rPr>
          <w:rFonts w:hint="eastAsia" w:asciiTheme="minorEastAsia" w:hAnsiTheme="minorEastAsia"/>
          <w:bCs/>
          <w:kern w:val="0"/>
          <w:sz w:val="32"/>
          <w:szCs w:val="32"/>
        </w:rPr>
        <w:t xml:space="preserve">    8.学前教育与特殊教育股。统筹管理学前教育与特殊教育工作；拟订学前教育与特殊教育发展规划并组织实施；督促指导全市幼儿园和特殊教育学校的教育教学改革和水平提升工作；督促指导学前教育与特殊教育招生工作、科研工作；督促指导普及学前三年教育工作；指导和组织普惠性幼儿园的认定及管理工作，规范办园行为；督促指导各级各类残疾儿童就读工作；承担学前教育和特殊教育基本信息的统计、分析和事业发展监测工作；负责幼儿园办学机构的审批、监督等工作。</w:t>
      </w:r>
    </w:p>
    <w:p>
      <w:pPr>
        <w:widowControl/>
        <w:spacing w:line="600" w:lineRule="exact"/>
        <w:rPr>
          <w:rFonts w:hint="eastAsia" w:asciiTheme="minorEastAsia" w:hAnsiTheme="minorEastAsia"/>
          <w:bCs/>
          <w:kern w:val="0"/>
          <w:sz w:val="32"/>
          <w:szCs w:val="32"/>
        </w:rPr>
      </w:pPr>
      <w:r>
        <w:rPr>
          <w:rFonts w:hint="eastAsia" w:asciiTheme="minorEastAsia" w:hAnsiTheme="minorEastAsia"/>
          <w:bCs/>
          <w:kern w:val="0"/>
          <w:sz w:val="32"/>
          <w:szCs w:val="32"/>
        </w:rPr>
        <w:t xml:space="preserve">    9.基建股。指导和督促学校建设、维修、改造（简称“基建”）及校舍安全工作；协调和组织学校基本建设的规划、立项、审批工作，并编制投资预算工作；组织基建项目的招标、政府采购等相关工作；监督工程施工质量和工程变更的签证；组织相关工程竣工验收，及时办理结算相关工作；联系并向市财政投资评审、审计监督等相关部门单位报送资料；负责基建档案管理和教育基建统计工作，编制年度基建报表。</w:t>
      </w:r>
    </w:p>
    <w:p>
      <w:pPr>
        <w:widowControl/>
        <w:spacing w:line="600" w:lineRule="exact"/>
        <w:rPr>
          <w:rFonts w:hint="eastAsia" w:asciiTheme="minorEastAsia" w:hAnsiTheme="minorEastAsia"/>
          <w:bCs/>
          <w:kern w:val="0"/>
          <w:sz w:val="32"/>
          <w:szCs w:val="32"/>
        </w:rPr>
      </w:pPr>
      <w:r>
        <w:rPr>
          <w:rFonts w:hint="eastAsia" w:asciiTheme="minorEastAsia" w:hAnsiTheme="minorEastAsia"/>
          <w:bCs/>
          <w:kern w:val="0"/>
          <w:sz w:val="32"/>
          <w:szCs w:val="32"/>
        </w:rPr>
        <w:t xml:space="preserve">    10.安全监督股。负责全市各级各类学校安全工作的监督、检查和指导工作；全面掌握各中小学、幼儿园安全工作状况，制定安全工作考核目标；组织开展安全工作的宣传和教育活动；指导和督查学校开展禁毒教育和落实突发事件处置预案；负责学校周边环境与综合治理工作；协调处理校园安全事故的调查工作；协助公安、交通部门管理全市中小学（幼儿园）用车工作。</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11.教育督导室。根据国家、省、湘潭市教育督导工作的方针、政策和规章制度，负责拟定并监督实施全市教育督导工作的制度、计划、督导评估指标体系和实施方案；负责组织对市级有关部门、乡镇（街道）贯彻执行教育法律、法规和方针、政策，履行教育职责的情况进行监督、检查和指导；对中等职业教育、普通高中教育、九年义务教育、特殊教育、学前教育、社会力量办学进行督导评估。</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12.计财股。负责拟定全市教育事业发展规划；指导全市中小学布局调整及管理体制的改革；负责全市的教育统计，参与拟定教育经费筹措与使用的计划，编制全市教育经费预算；督促二级预算单位规范收费行为；督促二级预算单位加强后勤、财务和国有资产管理；负责教育经费安排、使用、调度；负责制定全市教育财务管理相关制度并监督执行；负责做好教育实事办理工作；负责中小学生（幼儿）助学金的审批与监督工作。</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13.人事股。负责教育系统人才队伍建设工作；会同有关部门做好编制核定工作；负责人事制度改革、干部选拔任免、资格认定、招聘录用、调配交流、劳动工资、考核奖惩、培养培训、职务评聘、老龄老干、评先评优、表彰奖励等工作；指导和组织公费定向培养生的选拔和分配工作；负责承办离退休与死亡抚恤手续；负责全市的语言文字的管理及推广普通话工作；负责大中专毕业生就业指导工作；负责信访工作；负责联系市关心下一代工作委员会工作。</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机关党委：负责局党委日常工作和基层党组织建设的指导与管理工作；研究和提出全局基层党组织建设的阶段性规划、意见和建议；开展调查研究，了解基层党组织、党员、教职工的意见、建议和要求，了解基层党组织工作中存在的困难、问题，总结基层党组织开展党建工作的经验；负责全局基层党建工作的检查、考核和评比表彰工作；指导教育系统党风廉政建设和党风政风监督工作。</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团工委：负责指导教育系统共青团、少先队工作。</w:t>
      </w:r>
    </w:p>
    <w:p>
      <w:pPr>
        <w:widowControl/>
        <w:spacing w:line="600" w:lineRule="exact"/>
        <w:rPr>
          <w:rFonts w:hint="eastAsia" w:asciiTheme="minorEastAsia" w:hAnsiTheme="minorEastAsia"/>
          <w:bCs/>
          <w:kern w:val="0"/>
          <w:sz w:val="32"/>
          <w:szCs w:val="32"/>
        </w:rPr>
      </w:pPr>
      <w:r>
        <w:rPr>
          <w:rFonts w:hint="eastAsia" w:asciiTheme="minorEastAsia" w:hAnsiTheme="minorEastAsia"/>
          <w:bCs/>
          <w:kern w:val="0"/>
          <w:sz w:val="32"/>
          <w:szCs w:val="32"/>
        </w:rPr>
        <w:t>（二）决算单位构成。湘乡市教育局（本级）2019年部门决算汇总公开单位构成包括：湘乡市教育局</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lang w:val="en-US" w:eastAsia="zh-CN"/>
        </w:rPr>
        <w:t>本级</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以及湘乡市教育局专项资金、湘乡市教育局国债资金专户、湘乡市学生资助中心、农村义务教育。</w:t>
      </w:r>
    </w:p>
    <w:p>
      <w:pPr>
        <w:widowControl/>
        <w:spacing w:line="600" w:lineRule="exact"/>
        <w:rPr>
          <w:rFonts w:asciiTheme="minorEastAsia" w:hAnsiTheme="minorEastAsia"/>
          <w:bCs/>
          <w:kern w:val="0"/>
          <w:sz w:val="32"/>
          <w:szCs w:val="32"/>
        </w:rPr>
      </w:pP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tbl>
      <w:tblPr>
        <w:tblStyle w:val="6"/>
        <w:tblW w:w="14081" w:type="dxa"/>
        <w:tblInd w:w="93" w:type="dxa"/>
        <w:tblLayout w:type="fixed"/>
        <w:tblCellMar>
          <w:top w:w="0" w:type="dxa"/>
          <w:left w:w="108" w:type="dxa"/>
          <w:bottom w:w="0" w:type="dxa"/>
          <w:right w:w="108" w:type="dxa"/>
        </w:tblCellMar>
      </w:tblPr>
      <w:tblGrid>
        <w:gridCol w:w="4126"/>
        <w:gridCol w:w="656"/>
        <w:gridCol w:w="424"/>
        <w:gridCol w:w="697"/>
        <w:gridCol w:w="232"/>
        <w:gridCol w:w="972"/>
        <w:gridCol w:w="3780"/>
        <w:gridCol w:w="675"/>
        <w:gridCol w:w="346"/>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lang w:val="en-US" w:eastAsia="zh-CN"/>
              </w:rPr>
              <w:t>湘乡市教育局（本级）</w:t>
            </w:r>
          </w:p>
        </w:tc>
        <w:tc>
          <w:tcPr>
            <w:tcW w:w="69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4"/>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7107"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6974" w:type="dxa"/>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65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2325"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67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2519"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65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325"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67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519"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232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7,663.60</w:t>
            </w:r>
          </w:p>
        </w:tc>
        <w:tc>
          <w:tcPr>
            <w:tcW w:w="378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232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378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二、外交支出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c>
          <w:tcPr>
            <w:tcW w:w="232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78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三、国防支出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四、上级补助收入</w:t>
            </w: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232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78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四、公共安全支出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五、事业收入</w:t>
            </w: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232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78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五、教育支出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11,676.62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六、经营收入</w:t>
            </w: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w:t>
            </w:r>
          </w:p>
        </w:tc>
        <w:tc>
          <w:tcPr>
            <w:tcW w:w="232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78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六、科学技术支出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w:t>
            </w:r>
          </w:p>
        </w:tc>
        <w:tc>
          <w:tcPr>
            <w:tcW w:w="232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八、其他收入</w:t>
            </w: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w:t>
            </w:r>
          </w:p>
        </w:tc>
        <w:tc>
          <w:tcPr>
            <w:tcW w:w="232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425.64</w:t>
            </w: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九、卫生健康支出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十、节能环保支出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十一、城乡社区支出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十二、农林水支出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十三、交通运输支出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十六、金融支出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w:t>
            </w:r>
          </w:p>
        </w:tc>
        <w:tc>
          <w:tcPr>
            <w:tcW w:w="2325" w:type="dxa"/>
            <w:gridSpan w:val="4"/>
            <w:tcBorders>
              <w:top w:val="single" w:color="auto" w:sz="4" w:space="0"/>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67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w:t>
            </w:r>
          </w:p>
        </w:tc>
        <w:tc>
          <w:tcPr>
            <w:tcW w:w="2519" w:type="dxa"/>
            <w:gridSpan w:val="3"/>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十九、住房保障支出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二十三、其他支出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b/>
                <w:bCs/>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jc w:val="left"/>
              <w:rPr>
                <w:rFonts w:hint="eastAsia" w:ascii="宋体" w:hAnsi="宋体" w:eastAsia="宋体" w:cs="宋体"/>
                <w:i w:val="0"/>
                <w:iCs w:val="0"/>
                <w:color w:val="000000"/>
                <w:sz w:val="22"/>
                <w:szCs w:val="22"/>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lang w:val="en-US" w:eastAsia="zh-CN"/>
              </w:rPr>
            </w:pP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本年收入合计</w:t>
            </w: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w:t>
            </w:r>
          </w:p>
        </w:tc>
        <w:tc>
          <w:tcPr>
            <w:tcW w:w="232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8,109.46</w:t>
            </w: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本年支出合计</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11,711.92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使用非财政拨款结余</w:t>
            </w: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w:t>
            </w:r>
          </w:p>
        </w:tc>
        <w:tc>
          <w:tcPr>
            <w:tcW w:w="232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结余分配</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年初结转和结余</w:t>
            </w: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w:t>
            </w:r>
          </w:p>
        </w:tc>
        <w:tc>
          <w:tcPr>
            <w:tcW w:w="232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9,778.00</w:t>
            </w:r>
          </w:p>
        </w:tc>
        <w:tc>
          <w:tcPr>
            <w:tcW w:w="37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年末结转和结余</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6,175.53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w:t>
            </w:r>
          </w:p>
        </w:tc>
        <w:tc>
          <w:tcPr>
            <w:tcW w:w="2325" w:type="dxa"/>
            <w:gridSpan w:val="4"/>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780" w:type="dxa"/>
            <w:tcBorders>
              <w:top w:val="nil"/>
              <w:left w:val="nil"/>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w:t>
            </w:r>
          </w:p>
        </w:tc>
        <w:tc>
          <w:tcPr>
            <w:tcW w:w="2519" w:type="dxa"/>
            <w:gridSpan w:val="3"/>
            <w:tcBorders>
              <w:top w:val="nil"/>
              <w:left w:val="nil"/>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总计</w:t>
            </w:r>
          </w:p>
        </w:tc>
        <w:tc>
          <w:tcPr>
            <w:tcW w:w="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w:t>
            </w:r>
          </w:p>
        </w:tc>
        <w:tc>
          <w:tcPr>
            <w:tcW w:w="2325"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17,887.46</w:t>
            </w:r>
          </w:p>
        </w:tc>
        <w:tc>
          <w:tcPr>
            <w:tcW w:w="378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总计</w:t>
            </w:r>
          </w:p>
        </w:tc>
        <w:tc>
          <w:tcPr>
            <w:tcW w:w="67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w:t>
            </w:r>
          </w:p>
        </w:tc>
        <w:tc>
          <w:tcPr>
            <w:tcW w:w="2519"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17,887.46</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both"/>
        <w:rPr>
          <w:rFonts w:ascii="黑体" w:hAnsi="黑体" w:eastAsia="黑体"/>
          <w:sz w:val="28"/>
          <w:szCs w:val="28"/>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tbl>
      <w:tblPr>
        <w:tblStyle w:val="6"/>
        <w:tblW w:w="0" w:type="auto"/>
        <w:jc w:val="center"/>
        <w:tblLayout w:type="fixed"/>
        <w:tblCellMar>
          <w:top w:w="0" w:type="dxa"/>
          <w:left w:w="0" w:type="dxa"/>
          <w:bottom w:w="0" w:type="dxa"/>
          <w:right w:w="0" w:type="dxa"/>
        </w:tblCellMar>
      </w:tblPr>
      <w:tblGrid>
        <w:gridCol w:w="175"/>
        <w:gridCol w:w="839"/>
        <w:gridCol w:w="3280"/>
        <w:gridCol w:w="841"/>
        <w:gridCol w:w="539"/>
        <w:gridCol w:w="986"/>
        <w:gridCol w:w="394"/>
        <w:gridCol w:w="1131"/>
        <w:gridCol w:w="249"/>
        <w:gridCol w:w="1276"/>
        <w:gridCol w:w="104"/>
        <w:gridCol w:w="1380"/>
        <w:gridCol w:w="41"/>
        <w:gridCol w:w="1339"/>
        <w:gridCol w:w="188"/>
        <w:gridCol w:w="1192"/>
      </w:tblGrid>
      <w:tr>
        <w:tblPrEx>
          <w:tblCellMar>
            <w:top w:w="0" w:type="dxa"/>
            <w:left w:w="0" w:type="dxa"/>
            <w:bottom w:w="0" w:type="dxa"/>
            <w:right w:w="0" w:type="dxa"/>
          </w:tblCellMar>
        </w:tblPrEx>
        <w:trPr>
          <w:trHeight w:val="435" w:hRule="atLeast"/>
          <w:jc w:val="center"/>
        </w:trPr>
        <w:tc>
          <w:tcPr>
            <w:tcW w:w="13954" w:type="dxa"/>
            <w:gridSpan w:val="16"/>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jc w:val="center"/>
        </w:trPr>
        <w:tc>
          <w:tcPr>
            <w:tcW w:w="17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3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28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84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25"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27"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19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jc w:val="center"/>
        </w:trPr>
        <w:tc>
          <w:tcPr>
            <w:tcW w:w="4294"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color w:val="000000"/>
                <w:sz w:val="20"/>
                <w:szCs w:val="20"/>
              </w:rPr>
              <w:t>部门：</w:t>
            </w:r>
            <w:r>
              <w:rPr>
                <w:rFonts w:hint="eastAsia"/>
                <w:color w:val="000000"/>
                <w:sz w:val="20"/>
                <w:szCs w:val="20"/>
                <w:lang w:val="en-US" w:eastAsia="zh-CN"/>
              </w:rPr>
              <w:t>湘乡市教育局（本级）</w:t>
            </w:r>
            <w:r>
              <w:rPr>
                <w:rFonts w:hint="eastAsia"/>
              </w:rPr>
              <w:t>　</w:t>
            </w:r>
          </w:p>
        </w:tc>
        <w:tc>
          <w:tcPr>
            <w:tcW w:w="84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5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25"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27"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19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jc w:val="center"/>
        </w:trPr>
        <w:tc>
          <w:tcPr>
            <w:tcW w:w="4294"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38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380"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38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38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38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38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38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jc w:val="center"/>
        </w:trPr>
        <w:tc>
          <w:tcPr>
            <w:tcW w:w="101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328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jc w:val="center"/>
        </w:trPr>
        <w:tc>
          <w:tcPr>
            <w:tcW w:w="101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280"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jc w:val="center"/>
        </w:trPr>
        <w:tc>
          <w:tcPr>
            <w:tcW w:w="429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38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38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38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38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3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38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38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jc w:val="center"/>
        </w:trPr>
        <w:tc>
          <w:tcPr>
            <w:tcW w:w="429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8,109.46</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7,683.82</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425.64</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教育支出</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8,088.32</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7,662.69</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425.64</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20501</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教育管理事务</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1,059.49</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1,059.49</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2050101</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683.09</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683.09</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2050102</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376.40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376.40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普通教育</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6,719.09</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6,293.46</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425.64</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2050201</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学前教育</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2050202</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4,051.21</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4,051.21</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2050203</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初中教育</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425.64</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425.64</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2050204</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高中教育</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1,213.48</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1,213.48</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2050299</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其他普通教育支出</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903.77</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903.77</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20503</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职业教育</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83.74</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83.74</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2050302</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中等职业教育</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83.74</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83.74</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20509</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教育费附加安排的支出</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152.00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152.00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2050999</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其他教育费附加安排的支出</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152.00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152.00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20599</w:t>
            </w:r>
          </w:p>
        </w:tc>
        <w:tc>
          <w:tcPr>
            <w:tcW w:w="328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其他教育支出</w:t>
            </w:r>
          </w:p>
        </w:tc>
        <w:tc>
          <w:tcPr>
            <w:tcW w:w="13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74.00</w:t>
            </w:r>
          </w:p>
        </w:tc>
        <w:tc>
          <w:tcPr>
            <w:tcW w:w="13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74.00</w:t>
            </w:r>
          </w:p>
        </w:tc>
        <w:tc>
          <w:tcPr>
            <w:tcW w:w="13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2059999</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其他教育支出</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20899</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2089901</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23401</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基础设施建设</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jc w:val="center"/>
        </w:trPr>
        <w:tc>
          <w:tcPr>
            <w:tcW w:w="101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2340102</w:t>
            </w:r>
          </w:p>
        </w:tc>
        <w:tc>
          <w:tcPr>
            <w:tcW w:w="32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重大疫情防控救治体系建设</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5" w:hRule="atLeast"/>
          <w:jc w:val="center"/>
        </w:trPr>
        <w:tc>
          <w:tcPr>
            <w:tcW w:w="13954" w:type="dxa"/>
            <w:gridSpan w:val="16"/>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6"/>
        <w:tblW w:w="14411" w:type="dxa"/>
        <w:jc w:val="center"/>
        <w:tblLayout w:type="fixed"/>
        <w:tblCellMar>
          <w:top w:w="0" w:type="dxa"/>
          <w:left w:w="108" w:type="dxa"/>
          <w:bottom w:w="0" w:type="dxa"/>
          <w:right w:w="108" w:type="dxa"/>
        </w:tblCellMar>
      </w:tblPr>
      <w:tblGrid>
        <w:gridCol w:w="1098"/>
        <w:gridCol w:w="240"/>
        <w:gridCol w:w="3233"/>
        <w:gridCol w:w="585"/>
        <w:gridCol w:w="738"/>
        <w:gridCol w:w="317"/>
        <w:gridCol w:w="1362"/>
        <w:gridCol w:w="278"/>
        <w:gridCol w:w="1401"/>
        <w:gridCol w:w="239"/>
        <w:gridCol w:w="1440"/>
        <w:gridCol w:w="200"/>
        <w:gridCol w:w="1640"/>
        <w:gridCol w:w="1640"/>
      </w:tblGrid>
      <w:tr>
        <w:tblPrEx>
          <w:tblCellMar>
            <w:top w:w="0" w:type="dxa"/>
            <w:left w:w="108" w:type="dxa"/>
            <w:bottom w:w="0" w:type="dxa"/>
            <w:right w:w="108" w:type="dxa"/>
          </w:tblCellMar>
        </w:tblPrEx>
        <w:trPr>
          <w:trHeight w:val="435" w:hRule="atLeast"/>
          <w:jc w:val="center"/>
        </w:trPr>
        <w:tc>
          <w:tcPr>
            <w:tcW w:w="14411" w:type="dxa"/>
            <w:gridSpan w:val="14"/>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jc w:val="center"/>
        </w:trPr>
        <w:tc>
          <w:tcPr>
            <w:tcW w:w="109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2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8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73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480"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jc w:val="center"/>
        </w:trPr>
        <w:tc>
          <w:tcPr>
            <w:tcW w:w="4571"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湘乡市教育局（本级）</w:t>
            </w:r>
            <w:r>
              <w:rPr>
                <w:rFonts w:hint="eastAsia" w:ascii="宋体" w:hAnsi="宋体" w:eastAsia="宋体" w:cs="宋体"/>
                <w:kern w:val="0"/>
                <w:sz w:val="24"/>
                <w:szCs w:val="24"/>
              </w:rPr>
              <w:t>　</w:t>
            </w:r>
          </w:p>
        </w:tc>
        <w:tc>
          <w:tcPr>
            <w:tcW w:w="58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73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gridSpan w:val="2"/>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79"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480"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jc w:val="center"/>
        </w:trPr>
        <w:tc>
          <w:tcPr>
            <w:tcW w:w="4571"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40"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4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4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4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jc w:val="center"/>
        </w:trPr>
        <w:tc>
          <w:tcPr>
            <w:tcW w:w="133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233"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4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jc w:val="center"/>
        </w:trPr>
        <w:tc>
          <w:tcPr>
            <w:tcW w:w="133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23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jc w:val="center"/>
        </w:trPr>
        <w:tc>
          <w:tcPr>
            <w:tcW w:w="457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4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4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4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4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4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64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jc w:val="center"/>
        </w:trPr>
        <w:tc>
          <w:tcPr>
            <w:tcW w:w="457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11,711.92</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3,902.62</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7,809.30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教育支出</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11,676.62</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3,885.76</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7,790.86</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20501</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教育管理事务</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1,056.33</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1,056.33</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2050101</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1,056.33</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1,056.33</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普通教育</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7,987.79</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1,205.71</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6,782.08</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2050202</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5,647.26</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5,647.26</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2050203</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初中教育</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460.95</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254.70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206.25</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2050204</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高中教育</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853.50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853.50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2050299</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其他普通教育支出</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1,026.07</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951.01</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75.06</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20503</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职业教育</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100.84</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100.84</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2050302</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中等职业教育</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83.74</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83.74</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2050399</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其他职业教育支出</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20509</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教育费附加安排的支出</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1,972.88</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1,522.88</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2050901</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农村中小学校舍建设</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2050999</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其他教育费附加安排的支出</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1,522.88</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1,522.88</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20599</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其他教育支出</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558.78</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558.78</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2059999</w:t>
            </w:r>
          </w:p>
        </w:tc>
        <w:tc>
          <w:tcPr>
            <w:tcW w:w="3233"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其他教育支出</w:t>
            </w:r>
          </w:p>
        </w:tc>
        <w:tc>
          <w:tcPr>
            <w:tcW w:w="1640" w:type="dxa"/>
            <w:gridSpan w:val="3"/>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558.78</w:t>
            </w:r>
          </w:p>
        </w:tc>
        <w:tc>
          <w:tcPr>
            <w:tcW w:w="1640"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558.78</w:t>
            </w:r>
          </w:p>
        </w:tc>
        <w:tc>
          <w:tcPr>
            <w:tcW w:w="1640"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20899</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2089901</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22102</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2210201</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18.44</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23401</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基础设施建设</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18.44</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33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2340102</w:t>
            </w:r>
          </w:p>
        </w:tc>
        <w:tc>
          <w:tcPr>
            <w:tcW w:w="323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重大疫情防控救治体系建设</w:t>
            </w:r>
          </w:p>
        </w:tc>
        <w:tc>
          <w:tcPr>
            <w:tcW w:w="164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18.44</w:t>
            </w:r>
          </w:p>
        </w:tc>
        <w:tc>
          <w:tcPr>
            <w:tcW w:w="164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30" w:hRule="atLeast"/>
          <w:jc w:val="center"/>
        </w:trPr>
        <w:tc>
          <w:tcPr>
            <w:tcW w:w="14411" w:type="dxa"/>
            <w:gridSpan w:val="14"/>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fixed"/>
        <w:tblCellMar>
          <w:top w:w="0" w:type="dxa"/>
          <w:left w:w="108" w:type="dxa"/>
          <w:bottom w:w="0" w:type="dxa"/>
          <w:right w:w="108" w:type="dxa"/>
        </w:tblCellMar>
      </w:tblPr>
      <w:tblGrid>
        <w:gridCol w:w="3558"/>
        <w:gridCol w:w="436"/>
        <w:gridCol w:w="1673"/>
        <w:gridCol w:w="24"/>
        <w:gridCol w:w="3531"/>
        <w:gridCol w:w="510"/>
        <w:gridCol w:w="1447"/>
        <w:gridCol w:w="18"/>
        <w:gridCol w:w="1382"/>
        <w:gridCol w:w="47"/>
        <w:gridCol w:w="1335"/>
        <w:gridCol w:w="112"/>
        <w:gridCol w:w="1448"/>
      </w:tblGrid>
      <w:tr>
        <w:tblPrEx>
          <w:tblCellMar>
            <w:top w:w="0" w:type="dxa"/>
            <w:left w:w="108" w:type="dxa"/>
            <w:bottom w:w="0" w:type="dxa"/>
            <w:right w:w="108" w:type="dxa"/>
          </w:tblCellMar>
        </w:tblPrEx>
        <w:trPr>
          <w:trHeight w:val="285" w:hRule="atLeast"/>
        </w:trPr>
        <w:tc>
          <w:tcPr>
            <w:tcW w:w="3558"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69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31"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510"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465"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8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82"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60"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3"/>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5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55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6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2"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58" w:type="dxa"/>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湘乡市教育局（本级）</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55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6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2"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66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854" w:type="dxa"/>
            <w:gridSpan w:val="10"/>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6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55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5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4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447"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44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44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6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55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5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4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47"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44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44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6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7,663.60</w:t>
            </w: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6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二、外交支出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c>
          <w:tcPr>
            <w:tcW w:w="16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三、国防支出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四、公共安全支出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五、教育支出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11,215.66</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11,215.66</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六、科学技术支出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九、卫生健康支出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十、节能环保支出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十一、城乡社区支出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十二、农林水支出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十三、交通运输支出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十六、金融支出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w:t>
            </w:r>
          </w:p>
        </w:tc>
        <w:tc>
          <w:tcPr>
            <w:tcW w:w="1673" w:type="dxa"/>
            <w:tcBorders>
              <w:top w:val="single" w:color="auto" w:sz="4" w:space="0"/>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十九、住房保障支出</w:t>
            </w:r>
          </w:p>
        </w:tc>
        <w:tc>
          <w:tcPr>
            <w:tcW w:w="51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w:t>
            </w:r>
          </w:p>
        </w:tc>
        <w:tc>
          <w:tcPr>
            <w:tcW w:w="14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1447" w:type="dxa"/>
            <w:gridSpan w:val="3"/>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1447" w:type="dxa"/>
            <w:gridSpan w:val="2"/>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二十三、其他支出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c>
          <w:tcPr>
            <w:tcW w:w="16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w:t>
            </w:r>
          </w:p>
        </w:tc>
        <w:tc>
          <w:tcPr>
            <w:tcW w:w="16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7,683.82</w:t>
            </w: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本年支出合计</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11,250.97</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11,230.74</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w:t>
            </w:r>
          </w:p>
        </w:tc>
        <w:tc>
          <w:tcPr>
            <w:tcW w:w="16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9,326.13</w:t>
            </w: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5,758.98</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5,758.98</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w:t>
            </w:r>
          </w:p>
        </w:tc>
        <w:tc>
          <w:tcPr>
            <w:tcW w:w="16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9,326.13</w:t>
            </w:r>
          </w:p>
        </w:tc>
        <w:tc>
          <w:tcPr>
            <w:tcW w:w="3555" w:type="dxa"/>
            <w:gridSpan w:val="2"/>
            <w:tcBorders>
              <w:top w:val="nil"/>
              <w:left w:val="nil"/>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w:t>
            </w:r>
          </w:p>
        </w:tc>
        <w:tc>
          <w:tcPr>
            <w:tcW w:w="1447"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47" w:type="dxa"/>
            <w:gridSpan w:val="3"/>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4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48"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w:t>
            </w:r>
          </w:p>
        </w:tc>
        <w:tc>
          <w:tcPr>
            <w:tcW w:w="16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555" w:type="dxa"/>
            <w:gridSpan w:val="2"/>
            <w:tcBorders>
              <w:top w:val="nil"/>
              <w:left w:val="nil"/>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w:t>
            </w:r>
          </w:p>
        </w:tc>
        <w:tc>
          <w:tcPr>
            <w:tcW w:w="1447"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47" w:type="dxa"/>
            <w:gridSpan w:val="3"/>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4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48"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w:t>
            </w:r>
          </w:p>
        </w:tc>
        <w:tc>
          <w:tcPr>
            <w:tcW w:w="16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555" w:type="dxa"/>
            <w:gridSpan w:val="2"/>
            <w:tcBorders>
              <w:top w:val="nil"/>
              <w:left w:val="nil"/>
              <w:bottom w:val="single" w:color="auto" w:sz="4" w:space="0"/>
              <w:right w:val="single" w:color="auto"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w:t>
            </w:r>
          </w:p>
        </w:tc>
        <w:tc>
          <w:tcPr>
            <w:tcW w:w="1447"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47" w:type="dxa"/>
            <w:gridSpan w:val="3"/>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47"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48"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402" w:hRule="atLeast"/>
        </w:trPr>
        <w:tc>
          <w:tcPr>
            <w:tcW w:w="3558"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总计</w:t>
            </w:r>
          </w:p>
        </w:tc>
        <w:tc>
          <w:tcPr>
            <w:tcW w:w="4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w:t>
            </w:r>
          </w:p>
        </w:tc>
        <w:tc>
          <w:tcPr>
            <w:tcW w:w="16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17,009.95</w:t>
            </w:r>
          </w:p>
        </w:tc>
        <w:tc>
          <w:tcPr>
            <w:tcW w:w="355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总计</w:t>
            </w:r>
          </w:p>
        </w:tc>
        <w:tc>
          <w:tcPr>
            <w:tcW w:w="5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w:t>
            </w:r>
          </w:p>
        </w:tc>
        <w:tc>
          <w:tcPr>
            <w:tcW w:w="144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17,009.95</w:t>
            </w:r>
          </w:p>
        </w:tc>
        <w:tc>
          <w:tcPr>
            <w:tcW w:w="1447"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16,989.73</w:t>
            </w:r>
          </w:p>
        </w:tc>
        <w:tc>
          <w:tcPr>
            <w:tcW w:w="14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4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585" w:hRule="atLeast"/>
        </w:trPr>
        <w:tc>
          <w:tcPr>
            <w:tcW w:w="15521" w:type="dxa"/>
            <w:gridSpan w:val="13"/>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湘乡市教育局（本级）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164"/>
        <w:gridCol w:w="3164"/>
        <w:gridCol w:w="3164"/>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16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16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164"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16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16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164"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16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16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164"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16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16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164"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11,230.74</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3,646.14</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7,584.61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教育支出</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11,215.66</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3,631.06</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7,584.61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教育管理事务</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1,056.33</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1,056.33</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2050101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1,056.33</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1,056.33</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2050102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2050199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其他教育管理事务支出</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普通教育</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7,526.83</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951.01</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6,575.83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学前教育</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5,647.26</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5,647.26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初中教育</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2050204</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高中教育</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853.50</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853.50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2050299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其他普通教育支出</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1,026.07</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951.01</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75.06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职业教育</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100.84</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100.84</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2050302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中等职业教育</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83.74</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83.74</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2050399</w:t>
            </w:r>
          </w:p>
        </w:tc>
        <w:tc>
          <w:tcPr>
            <w:tcW w:w="352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其他职业教育支出</w:t>
            </w:r>
          </w:p>
        </w:tc>
        <w:tc>
          <w:tcPr>
            <w:tcW w:w="316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17.10</w:t>
            </w:r>
          </w:p>
        </w:tc>
        <w:tc>
          <w:tcPr>
            <w:tcW w:w="316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17.10</w:t>
            </w:r>
          </w:p>
        </w:tc>
        <w:tc>
          <w:tcPr>
            <w:tcW w:w="3164" w:type="dxa"/>
            <w:tcBorders>
              <w:top w:val="single" w:color="auto" w:sz="4" w:space="0"/>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教育费附加安排的支出</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1,972.88</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1,522.88</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2050901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农村中小学校舍建设</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450.00</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2050999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其他教育费附加安排的支出</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1,522.88</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1,522.88</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其他教育支出</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558.78</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558.78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2059999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其他教育支出</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558.78</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558.78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2089901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0.91</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31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14.17</w:t>
            </w:r>
          </w:p>
        </w:tc>
        <w:tc>
          <w:tcPr>
            <w:tcW w:w="3164"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240" w:type="dxa"/>
        <w:tblLayout w:type="fixed"/>
        <w:tblCellMar>
          <w:top w:w="0" w:type="dxa"/>
          <w:left w:w="108" w:type="dxa"/>
          <w:bottom w:w="0" w:type="dxa"/>
          <w:right w:w="108" w:type="dxa"/>
        </w:tblCellMar>
      </w:tblPr>
      <w:tblGrid>
        <w:gridCol w:w="900"/>
        <w:gridCol w:w="3210"/>
        <w:gridCol w:w="1110"/>
        <w:gridCol w:w="975"/>
        <w:gridCol w:w="2385"/>
        <w:gridCol w:w="943"/>
        <w:gridCol w:w="932"/>
        <w:gridCol w:w="4020"/>
        <w:gridCol w:w="899"/>
      </w:tblGrid>
      <w:tr>
        <w:tblPrEx>
          <w:tblCellMar>
            <w:top w:w="0" w:type="dxa"/>
            <w:left w:w="108" w:type="dxa"/>
            <w:bottom w:w="0" w:type="dxa"/>
            <w:right w:w="108" w:type="dxa"/>
          </w:tblCellMar>
        </w:tblPrEx>
        <w:trPr>
          <w:trHeight w:val="113" w:hRule="atLeast"/>
        </w:trPr>
        <w:tc>
          <w:tcPr>
            <w:tcW w:w="1537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湘乡市教育局（本级）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经济分类科目编码</w:t>
            </w:r>
          </w:p>
        </w:tc>
        <w:tc>
          <w:tcPr>
            <w:tcW w:w="32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科目名称</w:t>
            </w:r>
          </w:p>
        </w:tc>
        <w:tc>
          <w:tcPr>
            <w:tcW w:w="11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决算数</w:t>
            </w:r>
          </w:p>
        </w:tc>
        <w:tc>
          <w:tcPr>
            <w:tcW w:w="9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经济分类科目编码</w:t>
            </w:r>
          </w:p>
        </w:tc>
        <w:tc>
          <w:tcPr>
            <w:tcW w:w="23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科目名称</w:t>
            </w:r>
          </w:p>
        </w:tc>
        <w:tc>
          <w:tcPr>
            <w:tcW w:w="9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决算数</w:t>
            </w:r>
          </w:p>
        </w:tc>
        <w:tc>
          <w:tcPr>
            <w:tcW w:w="93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经济分类科目编码</w:t>
            </w:r>
          </w:p>
        </w:tc>
        <w:tc>
          <w:tcPr>
            <w:tcW w:w="40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科目名称</w:t>
            </w:r>
          </w:p>
        </w:tc>
        <w:tc>
          <w:tcPr>
            <w:tcW w:w="89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决算数</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工资福利支出</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405.46</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商品和服务支出</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237.33</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307</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债务利息及费用支出</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30101</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基本工资</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56.50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30201</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办公费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24.45</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30701</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国内债务付息</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30102</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津贴补贴</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63.57</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30202</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印刷费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6.44</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30702</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国外债务付息</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30103</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奖金</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62.28</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30203</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咨询费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2.30</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资本性支出</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8.83</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30106</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伙食补助费</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32.08</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30204</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手续费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6.21</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31001</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房屋建筑物购建</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30107</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绩效工资</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44.01</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30205</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水费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2.00</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31002</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办公设备购置</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3.68</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30108</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机关事业单位基本养老保险缴费</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28.88</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30206</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电费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12.75</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31003</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专用设备购置</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30109</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职业年金缴费</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4.59</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30207</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邮电费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3.41</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31005</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基础设施建设</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30110</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职工基本医疗保险缴费</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44.65</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30208</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取暖费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31006</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大型修缮</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30111</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公务员医疗补助缴费</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12.41</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30209</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物业管理费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3.34</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31007</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信息网络及软件购置更新</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5.14</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30112</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其他社会保障缴费</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0.21</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30211</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差旅费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22.68</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31008</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物资储备</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30113</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住房公积金</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33.08</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30212</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因公出国（境）费用</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31009</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土地补偿</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30114</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医疗费</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1.14</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30213</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维修（护）费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9.97</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31010</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安置补助</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30199</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其他工资福利支出</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22.06</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30214</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租赁费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31011</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地上附着物和青苗补偿</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303</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对个人和家庭的补助</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2,994.52</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30215</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会议费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3.95</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31012</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拆迁补偿</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30301</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离休费</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30216</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培训费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1.22</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31013</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公务用车购置</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30302</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退休费</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30217</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公务接待费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3.19</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31019</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其他交通工具购置</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30303</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退职（役）费</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30218</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专用材料费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31021</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文物和陈列品购置</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30304</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抚恤金</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1.28</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30224</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被装购置费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31022</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无形资产购置</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30305</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生活补助</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4.07</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30225</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专用燃料费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31099</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其他资本性支出</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30306</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救济费</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30226</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劳务费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12.75</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399</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其他支出</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30307</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医疗费补助</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0.10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30227</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委托业务费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2.63</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39906</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赠与</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30308</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助学金</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2,988.07</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30228</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工会经费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78.52</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39907</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国家赔偿费用支出</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30309</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奖励金</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30229</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福利费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4.04</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39908</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对民间非营利组织和群众性自治组织补贴</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30310</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个人农业生产补贴</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30231</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公务用车运行维护费</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2.54</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39999</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其他支出</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30311</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代缴社会保险费</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30239</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其他交通费用</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14.78</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89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30399</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其他对个人和家庭的补助</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1.00</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30240</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税金及附加费用</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0.00</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89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9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32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11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30299</w:t>
            </w:r>
          </w:p>
        </w:tc>
        <w:tc>
          <w:tcPr>
            <w:tcW w:w="238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其他商品和服务支出</w:t>
            </w:r>
          </w:p>
        </w:tc>
        <w:tc>
          <w:tcPr>
            <w:tcW w:w="94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20.15</w:t>
            </w:r>
          </w:p>
        </w:tc>
        <w:tc>
          <w:tcPr>
            <w:tcW w:w="9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40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89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284" w:hRule="exact"/>
        </w:trPr>
        <w:tc>
          <w:tcPr>
            <w:tcW w:w="41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人员经费合计</w:t>
            </w:r>
          </w:p>
        </w:tc>
        <w:tc>
          <w:tcPr>
            <w:tcW w:w="111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3,399.98</w:t>
            </w:r>
          </w:p>
        </w:tc>
        <w:tc>
          <w:tcPr>
            <w:tcW w:w="9255"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公用经费合计</w:t>
            </w:r>
          </w:p>
        </w:tc>
        <w:tc>
          <w:tcPr>
            <w:tcW w:w="89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246.16</w:t>
            </w:r>
          </w:p>
        </w:tc>
      </w:tr>
      <w:tr>
        <w:tblPrEx>
          <w:tblCellMar>
            <w:top w:w="0" w:type="dxa"/>
            <w:left w:w="108" w:type="dxa"/>
            <w:bottom w:w="0" w:type="dxa"/>
            <w:right w:w="108" w:type="dxa"/>
          </w:tblCellMar>
        </w:tblPrEx>
        <w:trPr>
          <w:trHeight w:val="284" w:hRule="exact"/>
        </w:trPr>
        <w:tc>
          <w:tcPr>
            <w:tcW w:w="1537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firstLine="420" w:firstLineChars="2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val="en-US" w:eastAsia="zh-CN"/>
        </w:rPr>
        <w:t>湘乡市教育局（本级）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4.00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0.00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　</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　</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3.00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5.73　</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　</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　</w:t>
            </w:r>
          </w:p>
        </w:tc>
        <w:tc>
          <w:tcPr>
            <w:tcW w:w="122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　</w:t>
            </w:r>
          </w:p>
        </w:tc>
        <w:tc>
          <w:tcPr>
            <w:tcW w:w="1220" w:type="dxa"/>
            <w:tcBorders>
              <w:top w:val="nil"/>
              <w:left w:val="nil"/>
              <w:bottom w:val="single" w:color="auto" w:sz="8"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2.54</w:t>
            </w:r>
          </w:p>
        </w:tc>
        <w:tc>
          <w:tcPr>
            <w:tcW w:w="1220" w:type="dxa"/>
            <w:tcBorders>
              <w:top w:val="nil"/>
              <w:left w:val="single" w:color="auto" w:sz="4" w:space="0"/>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3.19</w:t>
            </w:r>
          </w:p>
        </w:tc>
      </w:tr>
    </w:tbl>
    <w:p>
      <w:pPr>
        <w:widowControl/>
        <w:ind w:left="315" w:leftChars="150" w:right="420" w:rightChars="200" w:firstLine="0" w:firstLineChars="0"/>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ind w:left="286" w:leftChars="136" w:right="420" w:rightChars="200" w:firstLine="0" w:firstLineChars="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湘乡市教育局（本级）</w:t>
      </w:r>
      <w:r>
        <w:rPr>
          <w:rFonts w:ascii="Times New Roman" w:hAnsi="Times New Roman" w:eastAsia="仿宋_GB2312" w:cs="Times New Roman"/>
          <w:color w:val="000000"/>
          <w:kern w:val="0"/>
          <w:szCs w:val="21"/>
        </w:rPr>
        <w:t xml:space="preserve">                                                                                                         公开08表</w:t>
      </w:r>
    </w:p>
    <w:p>
      <w:pPr>
        <w:widowControl/>
        <w:ind w:right="420" w:rightChars="20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75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3333"/>
        <w:gridCol w:w="1717"/>
        <w:gridCol w:w="1717"/>
        <w:gridCol w:w="1717"/>
        <w:gridCol w:w="1717"/>
        <w:gridCol w:w="1717"/>
        <w:gridCol w:w="1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453"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1717"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717"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5151"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17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333"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1717" w:type="dxa"/>
            <w:vMerge w:val="continue"/>
            <w:vAlign w:val="center"/>
          </w:tcPr>
          <w:p>
            <w:pPr>
              <w:widowControl/>
              <w:jc w:val="left"/>
              <w:rPr>
                <w:rFonts w:ascii="Times New Roman" w:hAnsi="Times New Roman" w:eastAsia="仿宋_GB2312" w:cs="Times New Roman"/>
                <w:b/>
                <w:kern w:val="0"/>
                <w:szCs w:val="21"/>
              </w:rPr>
            </w:pPr>
          </w:p>
        </w:tc>
        <w:tc>
          <w:tcPr>
            <w:tcW w:w="1717" w:type="dxa"/>
            <w:vMerge w:val="continue"/>
            <w:vAlign w:val="center"/>
          </w:tcPr>
          <w:p>
            <w:pPr>
              <w:widowControl/>
              <w:jc w:val="left"/>
              <w:rPr>
                <w:rFonts w:ascii="Times New Roman" w:hAnsi="Times New Roman" w:eastAsia="仿宋_GB2312" w:cs="Times New Roman"/>
                <w:b/>
                <w:kern w:val="0"/>
                <w:szCs w:val="21"/>
              </w:rPr>
            </w:pPr>
          </w:p>
        </w:tc>
        <w:tc>
          <w:tcPr>
            <w:tcW w:w="1717"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1717"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1717"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172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3333" w:type="dxa"/>
            <w:vMerge w:val="continue"/>
            <w:vAlign w:val="center"/>
          </w:tcPr>
          <w:p>
            <w:pPr>
              <w:widowControl/>
              <w:jc w:val="left"/>
              <w:rPr>
                <w:rFonts w:ascii="Times New Roman" w:hAnsi="Times New Roman" w:eastAsia="仿宋_GB2312" w:cs="Times New Roman"/>
                <w:kern w:val="0"/>
                <w:szCs w:val="21"/>
              </w:rPr>
            </w:pPr>
          </w:p>
        </w:tc>
        <w:tc>
          <w:tcPr>
            <w:tcW w:w="1717" w:type="dxa"/>
            <w:vMerge w:val="continue"/>
            <w:vAlign w:val="center"/>
          </w:tcPr>
          <w:p>
            <w:pPr>
              <w:widowControl/>
              <w:jc w:val="left"/>
              <w:rPr>
                <w:rFonts w:ascii="Times New Roman" w:hAnsi="Times New Roman" w:eastAsia="仿宋_GB2312" w:cs="Times New Roman"/>
                <w:kern w:val="0"/>
                <w:szCs w:val="21"/>
              </w:rPr>
            </w:pPr>
          </w:p>
        </w:tc>
        <w:tc>
          <w:tcPr>
            <w:tcW w:w="1717" w:type="dxa"/>
            <w:vMerge w:val="continue"/>
            <w:vAlign w:val="center"/>
          </w:tcPr>
          <w:p>
            <w:pPr>
              <w:widowControl/>
              <w:jc w:val="left"/>
              <w:rPr>
                <w:rFonts w:ascii="Times New Roman" w:hAnsi="Times New Roman" w:eastAsia="仿宋_GB2312" w:cs="Times New Roman"/>
                <w:kern w:val="0"/>
                <w:szCs w:val="21"/>
              </w:rPr>
            </w:pPr>
          </w:p>
        </w:tc>
        <w:tc>
          <w:tcPr>
            <w:tcW w:w="1717" w:type="dxa"/>
            <w:vMerge w:val="continue"/>
            <w:vAlign w:val="center"/>
          </w:tcPr>
          <w:p>
            <w:pPr>
              <w:widowControl/>
              <w:jc w:val="left"/>
              <w:rPr>
                <w:rFonts w:ascii="Times New Roman" w:hAnsi="Times New Roman" w:eastAsia="仿宋_GB2312" w:cs="Times New Roman"/>
                <w:kern w:val="0"/>
                <w:szCs w:val="21"/>
              </w:rPr>
            </w:pPr>
          </w:p>
        </w:tc>
        <w:tc>
          <w:tcPr>
            <w:tcW w:w="1717" w:type="dxa"/>
            <w:vMerge w:val="continue"/>
            <w:vAlign w:val="center"/>
          </w:tcPr>
          <w:p>
            <w:pPr>
              <w:widowControl/>
              <w:jc w:val="left"/>
              <w:rPr>
                <w:rFonts w:ascii="Times New Roman" w:hAnsi="Times New Roman" w:eastAsia="仿宋_GB2312" w:cs="Times New Roman"/>
                <w:kern w:val="0"/>
                <w:szCs w:val="21"/>
              </w:rPr>
            </w:pPr>
          </w:p>
        </w:tc>
        <w:tc>
          <w:tcPr>
            <w:tcW w:w="1717" w:type="dxa"/>
            <w:vMerge w:val="continue"/>
            <w:vAlign w:val="center"/>
          </w:tcPr>
          <w:p>
            <w:pPr>
              <w:widowControl/>
              <w:jc w:val="left"/>
              <w:rPr>
                <w:rFonts w:ascii="Times New Roman" w:hAnsi="Times New Roman" w:eastAsia="仿宋_GB2312" w:cs="Times New Roman"/>
                <w:kern w:val="0"/>
                <w:szCs w:val="21"/>
              </w:rPr>
            </w:pPr>
          </w:p>
        </w:tc>
        <w:tc>
          <w:tcPr>
            <w:tcW w:w="172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3333" w:type="dxa"/>
            <w:vMerge w:val="continue"/>
            <w:vAlign w:val="center"/>
          </w:tcPr>
          <w:p>
            <w:pPr>
              <w:widowControl/>
              <w:jc w:val="left"/>
              <w:rPr>
                <w:rFonts w:ascii="Times New Roman" w:hAnsi="Times New Roman" w:eastAsia="仿宋_GB2312" w:cs="Times New Roman"/>
                <w:kern w:val="0"/>
                <w:szCs w:val="21"/>
              </w:rPr>
            </w:pPr>
          </w:p>
        </w:tc>
        <w:tc>
          <w:tcPr>
            <w:tcW w:w="1717" w:type="dxa"/>
            <w:vMerge w:val="continue"/>
            <w:vAlign w:val="center"/>
          </w:tcPr>
          <w:p>
            <w:pPr>
              <w:widowControl/>
              <w:jc w:val="left"/>
              <w:rPr>
                <w:rFonts w:ascii="Times New Roman" w:hAnsi="Times New Roman" w:eastAsia="仿宋_GB2312" w:cs="Times New Roman"/>
                <w:kern w:val="0"/>
                <w:szCs w:val="21"/>
              </w:rPr>
            </w:pPr>
          </w:p>
        </w:tc>
        <w:tc>
          <w:tcPr>
            <w:tcW w:w="1717" w:type="dxa"/>
            <w:vMerge w:val="continue"/>
            <w:vAlign w:val="center"/>
          </w:tcPr>
          <w:p>
            <w:pPr>
              <w:widowControl/>
              <w:jc w:val="left"/>
              <w:rPr>
                <w:rFonts w:ascii="Times New Roman" w:hAnsi="Times New Roman" w:eastAsia="仿宋_GB2312" w:cs="Times New Roman"/>
                <w:kern w:val="0"/>
                <w:szCs w:val="21"/>
              </w:rPr>
            </w:pPr>
          </w:p>
        </w:tc>
        <w:tc>
          <w:tcPr>
            <w:tcW w:w="1717" w:type="dxa"/>
            <w:vMerge w:val="continue"/>
            <w:vAlign w:val="center"/>
          </w:tcPr>
          <w:p>
            <w:pPr>
              <w:widowControl/>
              <w:jc w:val="left"/>
              <w:rPr>
                <w:rFonts w:ascii="Times New Roman" w:hAnsi="Times New Roman" w:eastAsia="仿宋_GB2312" w:cs="Times New Roman"/>
                <w:kern w:val="0"/>
                <w:szCs w:val="21"/>
              </w:rPr>
            </w:pPr>
          </w:p>
        </w:tc>
        <w:tc>
          <w:tcPr>
            <w:tcW w:w="1717" w:type="dxa"/>
            <w:vMerge w:val="continue"/>
            <w:vAlign w:val="center"/>
          </w:tcPr>
          <w:p>
            <w:pPr>
              <w:widowControl/>
              <w:jc w:val="left"/>
              <w:rPr>
                <w:rFonts w:ascii="Times New Roman" w:hAnsi="Times New Roman" w:eastAsia="仿宋_GB2312" w:cs="Times New Roman"/>
                <w:kern w:val="0"/>
                <w:szCs w:val="21"/>
              </w:rPr>
            </w:pPr>
          </w:p>
        </w:tc>
        <w:tc>
          <w:tcPr>
            <w:tcW w:w="1717" w:type="dxa"/>
            <w:vMerge w:val="continue"/>
            <w:vAlign w:val="center"/>
          </w:tcPr>
          <w:p>
            <w:pPr>
              <w:widowControl/>
              <w:jc w:val="left"/>
              <w:rPr>
                <w:rFonts w:ascii="Times New Roman" w:hAnsi="Times New Roman" w:eastAsia="仿宋_GB2312" w:cs="Times New Roman"/>
                <w:kern w:val="0"/>
                <w:szCs w:val="21"/>
              </w:rPr>
            </w:pPr>
          </w:p>
        </w:tc>
        <w:tc>
          <w:tcPr>
            <w:tcW w:w="172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453"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717"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717"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717"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717"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717"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7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453"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20.22</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20.22</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1.78</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18.44</w:t>
            </w:r>
          </w:p>
        </w:tc>
        <w:tc>
          <w:tcPr>
            <w:tcW w:w="1720" w:type="dxa"/>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w:t>
            </w:r>
          </w:p>
        </w:tc>
        <w:tc>
          <w:tcPr>
            <w:tcW w:w="3333"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18.44</w:t>
            </w:r>
          </w:p>
        </w:tc>
        <w:tc>
          <w:tcPr>
            <w:tcW w:w="172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23401</w:t>
            </w:r>
          </w:p>
        </w:tc>
        <w:tc>
          <w:tcPr>
            <w:tcW w:w="3333"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基础设施建设</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18.44</w:t>
            </w:r>
          </w:p>
        </w:tc>
        <w:tc>
          <w:tcPr>
            <w:tcW w:w="172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2340102</w:t>
            </w:r>
          </w:p>
        </w:tc>
        <w:tc>
          <w:tcPr>
            <w:tcW w:w="3333"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重大疫情防控救治体系建设</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20.22</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w:t>
            </w:r>
          </w:p>
        </w:tc>
        <w:tc>
          <w:tcPr>
            <w:tcW w:w="1717"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18.44</w:t>
            </w:r>
          </w:p>
        </w:tc>
        <w:tc>
          <w:tcPr>
            <w:tcW w:w="172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bl>
    <w:p>
      <w:pPr>
        <w:widowControl/>
        <w:ind w:left="315" w:leftChars="150" w:firstLine="0" w:firstLineChars="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tbl>
      <w:tblPr>
        <w:tblStyle w:val="6"/>
        <w:tblW w:w="14190" w:type="dxa"/>
        <w:tblInd w:w="93" w:type="dxa"/>
        <w:tblLayout w:type="autofit"/>
        <w:tblCellMar>
          <w:top w:w="0" w:type="dxa"/>
          <w:left w:w="108" w:type="dxa"/>
          <w:bottom w:w="0" w:type="dxa"/>
          <w:right w:w="108" w:type="dxa"/>
        </w:tblCellMar>
      </w:tblPr>
      <w:tblGrid>
        <w:gridCol w:w="1060"/>
        <w:gridCol w:w="164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8"/>
            <w:tcBorders>
              <w:top w:val="nil"/>
              <w:left w:val="nil"/>
              <w:bottom w:val="nil"/>
              <w:right w:val="nil"/>
            </w:tcBorders>
            <w:shd w:val="clear" w:color="000000" w:fill="FFFFFF"/>
            <w:vAlign w:val="center"/>
          </w:tcPr>
          <w:p>
            <w:pPr>
              <w:widowControl/>
              <w:jc w:val="center"/>
              <w:rPr>
                <w:rFonts w:hint="eastAsia" w:ascii="华文中宋" w:hAnsi="华文中宋" w:eastAsia="华文中宋" w:cs="宋体"/>
                <w:kern w:val="0"/>
                <w:sz w:val="32"/>
                <w:szCs w:val="32"/>
              </w:rPr>
            </w:pPr>
          </w:p>
          <w:p>
            <w:pPr>
              <w:widowControl/>
              <w:jc w:val="center"/>
              <w:rPr>
                <w:rFonts w:hint="eastAsia" w:ascii="华文中宋" w:hAnsi="华文中宋" w:eastAsia="华文中宋" w:cs="宋体"/>
                <w:kern w:val="0"/>
                <w:sz w:val="32"/>
                <w:szCs w:val="32"/>
              </w:rPr>
            </w:pPr>
          </w:p>
          <w:p>
            <w:pPr>
              <w:widowControl/>
              <w:jc w:val="center"/>
              <w:rPr>
                <w:rFonts w:hint="eastAsia" w:ascii="华文中宋" w:hAnsi="华文中宋" w:eastAsia="华文中宋" w:cs="宋体"/>
                <w:kern w:val="0"/>
                <w:sz w:val="32"/>
                <w:szCs w:val="32"/>
              </w:rPr>
            </w:pPr>
          </w:p>
          <w:p>
            <w:pPr>
              <w:widowControl/>
              <w:jc w:val="center"/>
              <w:rPr>
                <w:rFonts w:hint="eastAsia" w:ascii="华文中宋" w:hAnsi="华文中宋" w:eastAsia="华文中宋" w:cs="宋体"/>
                <w:kern w:val="0"/>
                <w:sz w:val="32"/>
                <w:szCs w:val="32"/>
              </w:rPr>
            </w:pPr>
          </w:p>
          <w:p>
            <w:pPr>
              <w:widowControl/>
              <w:jc w:val="center"/>
              <w:rPr>
                <w:rFonts w:hint="eastAsia" w:ascii="华文中宋" w:hAnsi="华文中宋" w:eastAsia="华文中宋" w:cs="宋体"/>
                <w:kern w:val="0"/>
                <w:sz w:val="32"/>
                <w:szCs w:val="32"/>
              </w:rPr>
            </w:pPr>
          </w:p>
          <w:p>
            <w:pPr>
              <w:widowControl/>
              <w:jc w:val="center"/>
              <w:rPr>
                <w:rFonts w:hint="eastAsia" w:ascii="华文中宋" w:hAnsi="华文中宋" w:eastAsia="华文中宋" w:cs="宋体"/>
                <w:kern w:val="0"/>
                <w:sz w:val="32"/>
                <w:szCs w:val="32"/>
              </w:rPr>
            </w:pPr>
          </w:p>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649"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2126"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4835"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湘乡市教育局（本级）</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3"/>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2"/>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3"/>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3"/>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2709"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本表为空白表</w:t>
            </w:r>
            <w:r>
              <w:rPr>
                <w:rFonts w:hint="eastAsia" w:ascii="宋体" w:hAnsi="宋体" w:eastAsia="宋体" w:cs="宋体"/>
                <w:kern w:val="0"/>
                <w:sz w:val="24"/>
                <w:szCs w:val="24"/>
              </w:rPr>
              <w:t>　</w:t>
            </w:r>
          </w:p>
        </w:tc>
        <w:tc>
          <w:tcPr>
            <w:tcW w:w="2126" w:type="dxa"/>
            <w:tcBorders>
              <w:top w:val="nil"/>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kern w:val="0"/>
                <w:sz w:val="20"/>
                <w:szCs w:val="20"/>
                <w:lang w:val="en-US" w:eastAsia="zh-CN"/>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8"/>
            <w:tcBorders>
              <w:top w:val="single" w:color="auto" w:sz="8" w:space="0"/>
              <w:left w:val="nil"/>
              <w:bottom w:val="nil"/>
              <w:right w:val="nil"/>
            </w:tcBorders>
            <w:shd w:val="clear" w:color="auto" w:fill="auto"/>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p>
            <w:pPr>
              <w:widowControl/>
              <w:ind w:firstLine="480" w:firstLineChars="200"/>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湘乡市教育局（本级）</w:t>
            </w:r>
            <w:r>
              <w:rPr>
                <w:rFonts w:hint="eastAsia" w:ascii="宋体" w:hAnsi="宋体" w:eastAsia="宋体" w:cs="宋体"/>
                <w:kern w:val="0"/>
                <w:sz w:val="24"/>
                <w:szCs w:val="24"/>
              </w:rPr>
              <w:t>没有国有资本经营预算财政拨款支出，故本表无数据</w:t>
            </w:r>
            <w:r>
              <w:rPr>
                <w:rFonts w:hint="eastAsia" w:ascii="宋体" w:hAnsi="宋体" w:eastAsia="宋体" w:cs="宋体"/>
                <w:kern w:val="0"/>
                <w:sz w:val="24"/>
                <w:szCs w:val="24"/>
                <w:lang w:eastAsia="zh-CN"/>
              </w:rPr>
              <w:t>。</w:t>
            </w:r>
          </w:p>
        </w:tc>
      </w:tr>
    </w:tbl>
    <w:p>
      <w:pPr>
        <w:pStyle w:val="10"/>
        <w:rPr>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2020年度收、支总计</w:t>
      </w:r>
      <w:r>
        <w:rPr>
          <w:rFonts w:hint="eastAsia" w:asciiTheme="minorEastAsia" w:hAnsiTheme="minorEastAsia" w:eastAsiaTheme="minorEastAsia"/>
          <w:sz w:val="32"/>
          <w:szCs w:val="32"/>
          <w:lang w:val="en-US" w:eastAsia="zh-CN"/>
        </w:rPr>
        <w:t>19,821.38</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10,743.16</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35.15</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受新冠疫情影响，财政收入支出减少。</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8,109.46</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7,683.82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94.75</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425.64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5.25</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11,711.92</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3,902.62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33.32</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7,809.30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66.68</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2020年度财政拨款收、支总计</w:t>
      </w:r>
      <w:r>
        <w:rPr>
          <w:rFonts w:hint="eastAsia" w:asciiTheme="minorEastAsia" w:hAnsiTheme="minorEastAsia" w:eastAsiaTheme="minorEastAsia"/>
          <w:sz w:val="32"/>
          <w:szCs w:val="32"/>
          <w:lang w:val="en-US" w:eastAsia="zh-CN"/>
        </w:rPr>
        <w:t>18,934.79</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3296.06</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14.83</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受新冠疫情影响，财政收入支出减少。</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11,250.97</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96.06</w:t>
      </w:r>
      <w:r>
        <w:rPr>
          <w:rFonts w:hint="eastAsia" w:asciiTheme="minorEastAsia" w:hAnsiTheme="minorEastAsia" w:eastAsiaTheme="minorEastAsia"/>
          <w:sz w:val="32"/>
          <w:szCs w:val="32"/>
        </w:rPr>
        <w:t>%，与上年相比，财政拨款支出增加</w:t>
      </w:r>
      <w:r>
        <w:rPr>
          <w:rFonts w:hint="eastAsia" w:asciiTheme="minorEastAsia" w:hAnsiTheme="minorEastAsia" w:eastAsiaTheme="minorEastAsia"/>
          <w:sz w:val="32"/>
          <w:szCs w:val="32"/>
          <w:lang w:val="en-US" w:eastAsia="zh-CN"/>
        </w:rPr>
        <w:t>1,815.43</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19.24</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专项资金支出增加，如：校舍维修资金、贫困学生补助。</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11,250.97</w:t>
      </w:r>
      <w:r>
        <w:rPr>
          <w:rFonts w:hint="eastAsia" w:asciiTheme="minorEastAsia" w:hAnsiTheme="minorEastAsia" w:eastAsiaTheme="minorEastAsia"/>
          <w:sz w:val="32"/>
          <w:szCs w:val="32"/>
        </w:rPr>
        <w:t>万元，主要用于以下方面：教育（类）支出</w:t>
      </w:r>
      <w:r>
        <w:rPr>
          <w:rFonts w:hint="eastAsia" w:asciiTheme="minorEastAsia" w:hAnsiTheme="minorEastAsia" w:eastAsiaTheme="minorEastAsia"/>
          <w:sz w:val="32"/>
          <w:szCs w:val="32"/>
          <w:lang w:val="en-US" w:eastAsia="zh-CN"/>
        </w:rPr>
        <w:t>11,215.66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99.69</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住房保障</w:t>
      </w:r>
      <w:r>
        <w:rPr>
          <w:rFonts w:hint="eastAsia" w:asciiTheme="minorEastAsia" w:hAnsiTheme="minorEastAsia" w:eastAsiaTheme="minorEastAsia"/>
          <w:sz w:val="32"/>
          <w:szCs w:val="32"/>
          <w:lang w:eastAsia="zh-CN"/>
        </w:rPr>
        <w:t>（类）支出</w:t>
      </w:r>
      <w:r>
        <w:rPr>
          <w:rFonts w:hint="eastAsia" w:asciiTheme="minorEastAsia" w:hAnsiTheme="minorEastAsia" w:eastAsiaTheme="minorEastAsia"/>
          <w:sz w:val="32"/>
          <w:szCs w:val="32"/>
          <w:lang w:val="en-US" w:eastAsia="zh-CN"/>
        </w:rPr>
        <w:t>14.17</w:t>
      </w:r>
      <w:r>
        <w:rPr>
          <w:rFonts w:hint="eastAsia" w:asciiTheme="minorEastAsia" w:hAnsiTheme="minorEastAsia" w:eastAsiaTheme="minorEastAsia"/>
          <w:sz w:val="32"/>
          <w:szCs w:val="32"/>
          <w:lang w:eastAsia="zh-CN"/>
        </w:rPr>
        <w:t>万元，占</w:t>
      </w:r>
      <w:r>
        <w:rPr>
          <w:rFonts w:hint="eastAsia" w:asciiTheme="minorEastAsia" w:hAnsiTheme="minorEastAsia" w:eastAsiaTheme="minorEastAsia"/>
          <w:sz w:val="32"/>
          <w:szCs w:val="32"/>
          <w:lang w:val="en-US" w:eastAsia="zh-CN"/>
        </w:rPr>
        <w:t>0.13</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抗疫特别国债安排</w:t>
      </w:r>
      <w:r>
        <w:rPr>
          <w:rFonts w:hint="eastAsia" w:asciiTheme="minorEastAsia" w:hAnsiTheme="minorEastAsia" w:eastAsiaTheme="minorEastAsia"/>
          <w:sz w:val="32"/>
          <w:szCs w:val="32"/>
          <w:lang w:eastAsia="zh-CN"/>
        </w:rPr>
        <w:t>（类）支出</w:t>
      </w:r>
      <w:r>
        <w:rPr>
          <w:rFonts w:hint="eastAsia" w:asciiTheme="minorEastAsia" w:hAnsiTheme="minorEastAsia" w:eastAsiaTheme="minorEastAsia"/>
          <w:sz w:val="32"/>
          <w:szCs w:val="32"/>
          <w:lang w:val="en-US" w:eastAsia="zh-CN"/>
        </w:rPr>
        <w:t>20.22</w:t>
      </w:r>
      <w:r>
        <w:rPr>
          <w:rFonts w:hint="eastAsia" w:asciiTheme="minorEastAsia" w:hAnsiTheme="minorEastAsia" w:eastAsiaTheme="minorEastAsia"/>
          <w:sz w:val="32"/>
          <w:szCs w:val="32"/>
          <w:lang w:eastAsia="zh-CN"/>
        </w:rPr>
        <w:t>万元，占</w:t>
      </w:r>
      <w:r>
        <w:rPr>
          <w:rFonts w:hint="eastAsia" w:asciiTheme="minorEastAsia" w:hAnsiTheme="minorEastAsia" w:eastAsiaTheme="minorEastAsia"/>
          <w:sz w:val="32"/>
          <w:szCs w:val="32"/>
          <w:lang w:val="en-US" w:eastAsia="zh-CN"/>
        </w:rPr>
        <w:t>0.18</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sz w:val="32"/>
          <w:szCs w:val="32"/>
          <w:lang w:val="en-US" w:eastAsia="zh-CN"/>
        </w:rPr>
        <w:t>701.1</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11,250.97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146.42</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val="en-US" w:eastAsia="zh-CN"/>
        </w:rPr>
        <w:t>教育支出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教育管理事务</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行政运行</w:t>
      </w:r>
      <w:r>
        <w:rPr>
          <w:rFonts w:hint="eastAsia" w:asciiTheme="minorEastAsia" w:hAnsiTheme="minorEastAsia" w:eastAsiaTheme="minorEastAsia"/>
          <w:sz w:val="32"/>
          <w:szCs w:val="32"/>
        </w:rPr>
        <w:t>（项）。</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198.60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1,056.33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531.89</w:t>
      </w:r>
      <w:r>
        <w:rPr>
          <w:rFonts w:hint="eastAsia" w:asciiTheme="minorEastAsia" w:hAnsiTheme="minorEastAsia" w:eastAsiaTheme="minorEastAsia"/>
          <w:sz w:val="32"/>
          <w:szCs w:val="32"/>
        </w:rPr>
        <w:t>%，决算数大于年初预算数的主要原因是：年初预算数只包含湘乡市教育局本级1个核算单位的预算，决算为湘乡市教育局本级以及湘乡市教育局专项资金、湘乡市教育局国债资金专户、湘乡市学生资助中心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农村义务教育专户</w:t>
      </w:r>
      <w:r>
        <w:rPr>
          <w:rFonts w:hint="eastAsia" w:asciiTheme="minorEastAsia" w:hAnsiTheme="minorEastAsia" w:eastAsiaTheme="minorEastAsia"/>
          <w:sz w:val="32"/>
          <w:szCs w:val="32"/>
        </w:rPr>
        <w:t>合并决算，故预决算差额较大。</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w:t>
      </w:r>
      <w:r>
        <w:rPr>
          <w:rFonts w:hint="eastAsia" w:asciiTheme="minorEastAsia" w:hAnsiTheme="minorEastAsia" w:eastAsiaTheme="minorEastAsia"/>
          <w:sz w:val="32"/>
          <w:szCs w:val="32"/>
          <w:lang w:val="en-US" w:eastAsia="zh-CN"/>
        </w:rPr>
        <w:t>教育支出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教育管理事务</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一般行政管理事务</w:t>
      </w:r>
      <w:r>
        <w:rPr>
          <w:rFonts w:hint="eastAsia" w:asciiTheme="minorEastAsia" w:hAnsiTheme="minorEastAsia" w:eastAsiaTheme="minorEastAsia"/>
          <w:sz w:val="32"/>
          <w:szCs w:val="32"/>
        </w:rPr>
        <w:t>（项）。</w:t>
      </w:r>
    </w:p>
    <w:p>
      <w:pPr>
        <w:pStyle w:val="10"/>
        <w:ind w:firstLine="800" w:firstLineChars="250"/>
        <w:rPr>
          <w:rFonts w:hint="default" w:asciiTheme="minorEastAsia" w:hAnsiTheme="minorEastAsia" w:eastAsiaTheme="minorEastAsia"/>
          <w:color w:val="FF0000"/>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450.00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%，决算数小于年初预算数的主要原因是：</w:t>
      </w:r>
      <w:r>
        <w:rPr>
          <w:rFonts w:hint="eastAsia" w:asciiTheme="minorEastAsia" w:hAnsiTheme="minorEastAsia" w:eastAsiaTheme="minorEastAsia"/>
          <w:sz w:val="32"/>
          <w:szCs w:val="32"/>
          <w:lang w:val="en-US" w:eastAsia="zh-CN"/>
        </w:rPr>
        <w:t>年初预算数只包含湘乡市教育局本级1个核算单位的预算，决算为湘乡市教育局本级以及湘乡市教育局专项资金、湘乡市教育局国债资金专户、湘乡市学生资助中心、农村义务教育专户合并决算，因预决算口径差异，故预决算差额较大。</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教育支出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普通教育</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小学教育</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5,647.26</w:t>
      </w:r>
      <w:r>
        <w:rPr>
          <w:rFonts w:hint="eastAsia" w:asciiTheme="minorEastAsia" w:hAnsiTheme="minorEastAsia" w:eastAsiaTheme="minorEastAsia"/>
          <w:sz w:val="32"/>
          <w:szCs w:val="32"/>
        </w:rPr>
        <w:t>万元，决算数大于年初预算数的主要原因是：年初预算数只包含湘乡市教育局本级1个核算单位的预算，决算为湘乡市教育局本级以及湘乡市教育局专项资金、湘乡市教育局国债资金专户、湘乡市学生资助中心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农村义务教育专户</w:t>
      </w:r>
      <w:r>
        <w:rPr>
          <w:rFonts w:hint="eastAsia" w:asciiTheme="minorEastAsia" w:hAnsiTheme="minorEastAsia" w:eastAsiaTheme="minorEastAsia"/>
          <w:sz w:val="32"/>
          <w:szCs w:val="32"/>
        </w:rPr>
        <w:t>合并决算，故预决算差额较大。</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教育支出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普通教育</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高中教育</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853.50</w:t>
      </w:r>
      <w:r>
        <w:rPr>
          <w:rFonts w:hint="eastAsia" w:asciiTheme="minorEastAsia" w:hAnsiTheme="minorEastAsia" w:eastAsiaTheme="minorEastAsia"/>
          <w:sz w:val="32"/>
          <w:szCs w:val="32"/>
        </w:rPr>
        <w:t>万元，决算数大于年初预算数的主要原因是：年初预算数只包含湘乡市教育局本级1个核算单位的预算，决算为湘乡市教育局本级以及湘乡市教育局专项资金、湘乡市教育局国债资金专户、湘乡市学生资助中心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农村义务教育专户</w:t>
      </w:r>
      <w:r>
        <w:rPr>
          <w:rFonts w:hint="eastAsia" w:asciiTheme="minorEastAsia" w:hAnsiTheme="minorEastAsia" w:eastAsiaTheme="minorEastAsia"/>
          <w:sz w:val="32"/>
          <w:szCs w:val="32"/>
        </w:rPr>
        <w:t>合并决算，故预决算差额较大。</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教育支出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普通教育</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其他普通教育支出</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1,206.07</w:t>
      </w:r>
      <w:r>
        <w:rPr>
          <w:rFonts w:hint="eastAsia" w:asciiTheme="minorEastAsia" w:hAnsiTheme="minorEastAsia" w:eastAsiaTheme="minorEastAsia"/>
          <w:sz w:val="32"/>
          <w:szCs w:val="32"/>
        </w:rPr>
        <w:t>万元，决算数大于年初预算数的主要原因是：年初预算数只包含湘乡市教育局本级1个核算单位的预算，决算为湘乡市教育局本级以及湘乡市教育局专项资金、湘乡市教育局国债资金专户、湘乡市学生资助中心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农村义务教育专户</w:t>
      </w:r>
      <w:r>
        <w:rPr>
          <w:rFonts w:hint="eastAsia" w:asciiTheme="minorEastAsia" w:hAnsiTheme="minorEastAsia" w:eastAsiaTheme="minorEastAsia"/>
          <w:sz w:val="32"/>
          <w:szCs w:val="32"/>
        </w:rPr>
        <w:t>合并决算，故预决算差额较大。</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教育支出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职业教育</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中等职业教育</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83.74</w:t>
      </w:r>
      <w:r>
        <w:rPr>
          <w:rFonts w:hint="eastAsia" w:asciiTheme="minorEastAsia" w:hAnsiTheme="minorEastAsia" w:eastAsiaTheme="minorEastAsia"/>
          <w:sz w:val="32"/>
          <w:szCs w:val="32"/>
        </w:rPr>
        <w:t>万元，决算数大于年初预算数的主要原因是：年初预算数只包含湘乡市教育局本级1个核算单位的预算，决算为湘乡市教育局本级以及湘乡市教育局专项资金、湘乡市教育局国债资金专户、湘乡市学生资助中心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农村义务教育专户</w:t>
      </w:r>
      <w:r>
        <w:rPr>
          <w:rFonts w:hint="eastAsia" w:asciiTheme="minorEastAsia" w:hAnsiTheme="minorEastAsia" w:eastAsiaTheme="minorEastAsia"/>
          <w:sz w:val="32"/>
          <w:szCs w:val="32"/>
        </w:rPr>
        <w:t>合并决算，故预决算差额较大。</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教育支出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职业教育</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其他职业教育支出</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17.1</w:t>
      </w:r>
      <w:r>
        <w:rPr>
          <w:rFonts w:hint="eastAsia" w:asciiTheme="minorEastAsia" w:hAnsiTheme="minorEastAsia" w:eastAsiaTheme="minorEastAsia"/>
          <w:sz w:val="32"/>
          <w:szCs w:val="32"/>
        </w:rPr>
        <w:t>万元，决算数大于年初预算数的主要原因是：年初预算数只包含湘乡市教育局本级1个核算单位的预算，决算为湘乡市教育局本级以及湘乡市教育局专项资金、湘乡市教育局国债资金专户、湘乡市学生资助中心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农村义务教育专户</w:t>
      </w:r>
      <w:r>
        <w:rPr>
          <w:rFonts w:hint="eastAsia" w:asciiTheme="minorEastAsia" w:hAnsiTheme="minorEastAsia" w:eastAsiaTheme="minorEastAsia"/>
          <w:sz w:val="32"/>
          <w:szCs w:val="32"/>
        </w:rPr>
        <w:t>合并决算，故预决算差额较大。</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教育支出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教育费附加安排的支出</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农村中小学校舍</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450.00</w:t>
      </w:r>
      <w:r>
        <w:rPr>
          <w:rFonts w:hint="eastAsia" w:asciiTheme="minorEastAsia" w:hAnsiTheme="minorEastAsia" w:eastAsiaTheme="minorEastAsia"/>
          <w:sz w:val="32"/>
          <w:szCs w:val="32"/>
        </w:rPr>
        <w:t>万元，决算数大于年初预算数的主要原因是：年初预算数只包含湘乡市教育局本级1个核算单位的预算，决算为湘乡市教育局本级以及湘乡市教育局专项资金、湘乡市教育局国债资金专户、湘乡市学生资助中心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农村义务教育专户</w:t>
      </w:r>
      <w:r>
        <w:rPr>
          <w:rFonts w:hint="eastAsia" w:asciiTheme="minorEastAsia" w:hAnsiTheme="minorEastAsia" w:eastAsiaTheme="minorEastAsia"/>
          <w:sz w:val="32"/>
          <w:szCs w:val="32"/>
        </w:rPr>
        <w:t>合并决算，故预决算差额较大。</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教育支出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教育费附加安排的支出</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其他教育费附加安排的支出</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1,522.88</w:t>
      </w:r>
      <w:r>
        <w:rPr>
          <w:rFonts w:hint="eastAsia" w:asciiTheme="minorEastAsia" w:hAnsiTheme="minorEastAsia" w:eastAsiaTheme="minorEastAsia"/>
          <w:sz w:val="32"/>
          <w:szCs w:val="32"/>
        </w:rPr>
        <w:t>万元，决算数大于年初预算数的主要原因是：年初预算数只包含湘乡市教育局本级1个核算单位的预算，决算为湘乡市教育局本级以及湘乡市教育局专项资金、湘乡市教育局国债资金专户、湘乡市学生资助中心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农村义务教育专户</w:t>
      </w:r>
      <w:r>
        <w:rPr>
          <w:rFonts w:hint="eastAsia" w:asciiTheme="minorEastAsia" w:hAnsiTheme="minorEastAsia" w:eastAsiaTheme="minorEastAsia"/>
          <w:sz w:val="32"/>
          <w:szCs w:val="32"/>
        </w:rPr>
        <w:t>合并决算，故预决算差额较大。</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教育支出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其他教育支出</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其他教育支出</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558.78</w:t>
      </w:r>
      <w:r>
        <w:rPr>
          <w:rFonts w:hint="eastAsia" w:asciiTheme="minorEastAsia" w:hAnsiTheme="minorEastAsia" w:eastAsiaTheme="minorEastAsia"/>
          <w:sz w:val="32"/>
          <w:szCs w:val="32"/>
        </w:rPr>
        <w:t>万元，决算数大于年初预算数的主要原因是：年初预算数只包含湘乡市教育局本级1个核算单位的预算，决算为湘乡市教育局本级以及湘乡市教育局专项资金、湘乡市教育局国债资金专户、湘乡市学生资助中心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农村义务教育专户</w:t>
      </w:r>
      <w:r>
        <w:rPr>
          <w:rFonts w:hint="eastAsia" w:asciiTheme="minorEastAsia" w:hAnsiTheme="minorEastAsia" w:eastAsiaTheme="minorEastAsia"/>
          <w:sz w:val="32"/>
          <w:szCs w:val="32"/>
        </w:rPr>
        <w:t>合并决算，故预决算差额较大。</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社会保障和就业支出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其他社会保障和就业支出</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其他社会保障和就业支出</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37.99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0.91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2.40</w:t>
      </w:r>
      <w:r>
        <w:rPr>
          <w:rFonts w:hint="eastAsia" w:asciiTheme="minorEastAsia" w:hAnsiTheme="minorEastAsia" w:eastAsiaTheme="minorEastAsia"/>
          <w:sz w:val="32"/>
          <w:szCs w:val="32"/>
        </w:rPr>
        <w:t>%，决算数小于年初预算数的主要原因是：</w:t>
      </w:r>
      <w:r>
        <w:rPr>
          <w:rFonts w:hint="eastAsia" w:asciiTheme="minorEastAsia" w:hAnsiTheme="minorEastAsia" w:eastAsiaTheme="minorEastAsia"/>
          <w:sz w:val="32"/>
          <w:szCs w:val="32"/>
          <w:lang w:val="en-US" w:eastAsia="zh-CN"/>
        </w:rPr>
        <w:t>社保未按月按时缴纳，顺延至2021年度补缴。</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住房保障支出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住房改革支出</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住房公积金</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14.51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14.17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97.66</w:t>
      </w:r>
      <w:r>
        <w:rPr>
          <w:rFonts w:hint="eastAsia" w:asciiTheme="minorEastAsia" w:hAnsiTheme="minorEastAsia" w:eastAsiaTheme="minorEastAsia"/>
          <w:sz w:val="32"/>
          <w:szCs w:val="32"/>
        </w:rPr>
        <w:t>%，决算数小于年初预算数的主要原因是：</w:t>
      </w:r>
      <w:r>
        <w:rPr>
          <w:rFonts w:hint="eastAsia" w:asciiTheme="minorEastAsia" w:hAnsiTheme="minorEastAsia" w:eastAsiaTheme="minorEastAsia"/>
          <w:sz w:val="32"/>
          <w:szCs w:val="32"/>
          <w:lang w:val="en-US" w:eastAsia="zh-CN"/>
        </w:rPr>
        <w:t>社保未按月按时缴纳，顺延至2021年度补缴。</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抗疫特别国债安排的支出</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val="en-US" w:eastAsia="zh-CN"/>
        </w:rPr>
        <w:t>基础设施建设</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重大疫情防控救治体系建设（</w:t>
      </w:r>
      <w:r>
        <w:rPr>
          <w:rFonts w:hint="eastAsia" w:asciiTheme="minorEastAsia" w:hAnsiTheme="minorEastAsia" w:eastAsiaTheme="minorEastAsia"/>
          <w:sz w:val="32"/>
          <w:szCs w:val="32"/>
        </w:rPr>
        <w:t>项）。</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20.22</w:t>
      </w:r>
      <w:r>
        <w:rPr>
          <w:rFonts w:hint="eastAsia" w:asciiTheme="minorEastAsia" w:hAnsiTheme="minorEastAsia" w:eastAsiaTheme="minorEastAsia"/>
          <w:sz w:val="32"/>
          <w:szCs w:val="32"/>
        </w:rPr>
        <w:t>万元，决算数大于年初预算数的主要原因是：年初预算数只包含湘乡市教育局本级1个核算单位的预算，决算为湘乡市教育局本级以及湘乡市教育局专项资金、湘乡市教育局国债资金专户、湘乡市学生资助中心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农村义务教育专户</w:t>
      </w:r>
      <w:r>
        <w:rPr>
          <w:rFonts w:hint="eastAsia" w:asciiTheme="minorEastAsia" w:hAnsiTheme="minorEastAsia" w:eastAsiaTheme="minorEastAsia"/>
          <w:sz w:val="32"/>
          <w:szCs w:val="32"/>
        </w:rPr>
        <w:t>合并决算，故预决算差额较大。</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w:t>
      </w:r>
      <w:r>
        <w:rPr>
          <w:rFonts w:hint="eastAsia" w:asciiTheme="minorEastAsia" w:hAnsiTheme="minorEastAsia" w:eastAsiaTheme="minorEastAsia"/>
          <w:sz w:val="32"/>
          <w:szCs w:val="32"/>
          <w:lang w:val="en-US" w:eastAsia="zh-CN"/>
        </w:rPr>
        <w:t>3,646.14</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3,399.98</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93.25</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绩效工资、机关事业单位基本养老保险缴费、职业年金缴费、职工基本医疗保险缴费、公务员医疗补助缴费、其他社会保障缴费、住房公积金、医疗费、其他工资福利支出、抚恤金、生活补助、医疗费补助、助学金、其他对个人和家庭的补助</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246.16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6.75</w:t>
      </w:r>
      <w:r>
        <w:rPr>
          <w:rFonts w:hint="eastAsia" w:asciiTheme="minorEastAsia" w:hAnsiTheme="minorEastAsia" w:eastAsiaTheme="minorEastAsia"/>
          <w:sz w:val="32"/>
          <w:szCs w:val="32"/>
        </w:rPr>
        <w:t>%，主要包括办公费、印刷费、咨询费、手续费</w:t>
      </w:r>
      <w:r>
        <w:rPr>
          <w:rFonts w:hint="eastAsia" w:asciiTheme="minorEastAsia" w:hAnsiTheme="minorEastAsia" w:eastAsiaTheme="minorEastAsia"/>
          <w:sz w:val="32"/>
          <w:szCs w:val="32"/>
          <w:lang w:val="en-US" w:eastAsia="zh-CN"/>
        </w:rPr>
        <w:t>、水费、电费、邮电费、物业管理费、差旅费、维修（护）费、会议费、培训费、公务接待费、劳务费、委托业务费、工会经费、福利费、公务用车运行维护费、其他交通费用、其他商品和服务支出、办公设备购置、信息网络及软件购置更新</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4.00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5.73</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143.25</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3.66</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366.00</w:t>
      </w:r>
      <w:r>
        <w:rPr>
          <w:rFonts w:hint="eastAsia" w:asciiTheme="minorEastAsia" w:hAnsiTheme="minorEastAsia" w:eastAsiaTheme="minorEastAsia"/>
          <w:sz w:val="32"/>
          <w:szCs w:val="32"/>
        </w:rPr>
        <w:t>%，决算数大于预算数的主要原因是预决数计算口径不一致，预算按《政府预算支出经济分类》科目名称中的“公务接待费”计算，决算以《一般公共预算财政拨款》科目名称中的“公务接待费”计算</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0.47</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12.84</w:t>
      </w:r>
      <w:r>
        <w:rPr>
          <w:rFonts w:hint="eastAsia" w:asciiTheme="minorEastAsia" w:hAnsiTheme="minorEastAsia" w:eastAsiaTheme="minorEastAsia"/>
          <w:sz w:val="32"/>
          <w:szCs w:val="32"/>
        </w:rPr>
        <w:t>%,减少（增长）的主要原因是精简开支，加强内控，公务接待减少。</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3.00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2.54</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84.67</w:t>
      </w:r>
      <w:r>
        <w:rPr>
          <w:rFonts w:hint="eastAsia" w:asciiTheme="minorEastAsia" w:hAnsiTheme="minorEastAsia" w:eastAsiaTheme="minorEastAsia"/>
          <w:sz w:val="32"/>
          <w:szCs w:val="32"/>
        </w:rPr>
        <w:t>%，决算数小于预算数的主要原因是决算数小于年初预算数的主要原因是预算按《政府预算支出经济分类》科目名称中的“公务</w:t>
      </w:r>
      <w:r>
        <w:rPr>
          <w:rFonts w:hint="eastAsia" w:asciiTheme="minorEastAsia" w:hAnsiTheme="minorEastAsia" w:eastAsiaTheme="minorEastAsia"/>
          <w:sz w:val="32"/>
          <w:szCs w:val="32"/>
          <w:lang w:val="en-US" w:eastAsia="zh-CN"/>
        </w:rPr>
        <w:t>用车运行维护</w:t>
      </w:r>
      <w:r>
        <w:rPr>
          <w:rFonts w:hint="eastAsia" w:asciiTheme="minorEastAsia" w:hAnsiTheme="minorEastAsia" w:eastAsiaTheme="minorEastAsia"/>
          <w:sz w:val="32"/>
          <w:szCs w:val="32"/>
        </w:rPr>
        <w:t>费”和“其它交通费”计算，决算以《一般公共预算财政拨款》科目名称中的“公务接待费”计算</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0.41</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13.90</w:t>
      </w:r>
      <w:r>
        <w:rPr>
          <w:rFonts w:hint="eastAsia" w:asciiTheme="minorEastAsia" w:hAnsiTheme="minorEastAsia" w:eastAsiaTheme="minorEastAsia"/>
          <w:sz w:val="32"/>
          <w:szCs w:val="32"/>
        </w:rPr>
        <w:t>%,减少的主要原因是</w:t>
      </w:r>
      <w:r>
        <w:rPr>
          <w:rFonts w:hint="eastAsia" w:asciiTheme="minorEastAsia" w:hAnsiTheme="minorEastAsia" w:eastAsiaTheme="minorEastAsia"/>
          <w:sz w:val="32"/>
          <w:szCs w:val="32"/>
          <w:lang w:val="en-US" w:eastAsia="zh-CN"/>
        </w:rPr>
        <w:t>部分公务用车运行维护费在往来资金列支</w:t>
      </w:r>
      <w:r>
        <w:rPr>
          <w:rFonts w:hint="eastAsia" w:asciiTheme="minorEastAsia" w:hAnsiTheme="minorEastAsia" w:eastAsiaTheme="minorEastAsia"/>
          <w:sz w:val="32"/>
          <w:szCs w:val="32"/>
        </w:rPr>
        <w:t>。</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3.19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55.67</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2.54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44.33</w:t>
      </w:r>
      <w:r>
        <w:rPr>
          <w:rFonts w:hint="eastAsia" w:asciiTheme="minorEastAsia" w:hAnsiTheme="minorEastAsia" w:eastAsiaTheme="minorEastAsia"/>
          <w:sz w:val="32"/>
          <w:szCs w:val="32"/>
        </w:rPr>
        <w:t>%。其中：</w:t>
      </w:r>
    </w:p>
    <w:p>
      <w:pPr>
        <w:pStyle w:val="10"/>
        <w:ind w:firstLine="640" w:firstLineChars="200"/>
        <w:rPr>
          <w:rFonts w:hint="eastAsia" w:asciiTheme="minorEastAsia" w:hAnsiTheme="minorEastAsia" w:eastAsiaTheme="minorEastAsia"/>
          <w:b/>
          <w:sz w:val="32"/>
          <w:szCs w:val="32"/>
          <w:lang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3.19</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300</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580</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val="en-US" w:eastAsia="zh-CN"/>
        </w:rPr>
        <w:t>迎接上级部门检查、接待同级单位学习、联合办公</w:t>
      </w:r>
      <w:r>
        <w:rPr>
          <w:rFonts w:hint="eastAsia" w:asciiTheme="minorEastAsia" w:hAnsiTheme="minorEastAsia" w:eastAsiaTheme="minorEastAsia"/>
          <w:sz w:val="32"/>
          <w:szCs w:val="32"/>
        </w:rPr>
        <w:t>发生的接待支出。</w:t>
      </w:r>
    </w:p>
    <w:p>
      <w:pPr>
        <w:ind w:firstLine="800" w:firstLineChars="250"/>
        <w:rPr>
          <w:rFonts w:hint="eastAsia" w:asciiTheme="minorEastAsia" w:hAnsiTheme="minorEastAsia"/>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2.54</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2.54</w:t>
      </w:r>
      <w:r>
        <w:rPr>
          <w:rFonts w:hint="eastAsia" w:asciiTheme="minorEastAsia" w:hAnsiTheme="minorEastAsia"/>
          <w:sz w:val="32"/>
          <w:szCs w:val="32"/>
        </w:rPr>
        <w:t>万元，主要是</w:t>
      </w:r>
      <w:r>
        <w:rPr>
          <w:rFonts w:hint="eastAsia" w:asciiTheme="minorEastAsia" w:hAnsiTheme="minorEastAsia"/>
          <w:sz w:val="32"/>
          <w:szCs w:val="32"/>
          <w:lang w:val="en-US" w:eastAsia="zh-CN"/>
        </w:rPr>
        <w:t>日常维护修理、加油费</w:t>
      </w:r>
      <w:r>
        <w:rPr>
          <w:rFonts w:hint="eastAsia" w:asciiTheme="minorEastAsia" w:hAnsiTheme="minorEastAsia"/>
          <w:sz w:val="32"/>
          <w:szCs w:val="32"/>
        </w:rPr>
        <w:t>支出，截止2020年12月31日，我单位开支财政拨款的公务用车保有量为</w:t>
      </w:r>
      <w:r>
        <w:rPr>
          <w:rFonts w:hint="eastAsia" w:asciiTheme="minorEastAsia" w:hAnsiTheme="minorEastAsia"/>
          <w:sz w:val="32"/>
          <w:szCs w:val="32"/>
          <w:lang w:val="en-US" w:eastAsia="zh-CN"/>
        </w:rPr>
        <w:t>1</w:t>
      </w:r>
      <w:r>
        <w:rPr>
          <w:rFonts w:hint="eastAsia" w:asciiTheme="minorEastAsia" w:hAnsiTheme="minorEastAsia"/>
          <w:sz w:val="32"/>
          <w:szCs w:val="32"/>
        </w:rPr>
        <w:t>辆。</w:t>
      </w:r>
      <w:r>
        <w:rPr>
          <w:rFonts w:hint="eastAsia" w:asciiTheme="minorEastAsia" w:hAnsiTheme="minorEastAsia"/>
          <w:sz w:val="32"/>
          <w:szCs w:val="32"/>
          <w:lang w:eastAsia="zh-CN"/>
        </w:rPr>
        <w:t>（</w:t>
      </w:r>
      <w:r>
        <w:rPr>
          <w:rFonts w:hint="eastAsia" w:asciiTheme="minorEastAsia" w:hAnsiTheme="minorEastAsia"/>
          <w:sz w:val="32"/>
          <w:szCs w:val="32"/>
        </w:rPr>
        <w:t>本单位现在使用公务用小轿车1</w:t>
      </w:r>
      <w:r>
        <w:rPr>
          <w:rFonts w:hint="eastAsia" w:asciiTheme="minorEastAsia" w:hAnsiTheme="minorEastAsia"/>
          <w:sz w:val="32"/>
          <w:szCs w:val="32"/>
          <w:lang w:val="en-US" w:eastAsia="zh-CN"/>
        </w:rPr>
        <w:t>辆</w:t>
      </w:r>
      <w:r>
        <w:rPr>
          <w:rFonts w:hint="eastAsia" w:asciiTheme="minorEastAsia" w:hAnsiTheme="minorEastAsia"/>
          <w:sz w:val="32"/>
          <w:szCs w:val="32"/>
        </w:rPr>
        <w:t>，产权为湘乡市机关事务中心所有，安排在湘乡市教育局机关使用</w:t>
      </w:r>
      <w:r>
        <w:rPr>
          <w:rFonts w:hint="eastAsia" w:asciiTheme="minorEastAsia" w:hAnsiTheme="minorEastAsia"/>
          <w:sz w:val="32"/>
          <w:szCs w:val="32"/>
          <w:lang w:eastAsia="zh-CN"/>
        </w:rPr>
        <w:t>。）</w:t>
      </w:r>
    </w:p>
    <w:p>
      <w:pPr>
        <w:pStyle w:val="10"/>
        <w:rPr>
          <w:rFonts w:hAnsi="黑体"/>
          <w:b/>
          <w:sz w:val="32"/>
          <w:szCs w:val="32"/>
        </w:rPr>
      </w:pPr>
      <w:r>
        <w:rPr>
          <w:rFonts w:hint="eastAsia" w:hAnsi="黑体"/>
          <w:b/>
          <w:sz w:val="32"/>
          <w:szCs w:val="32"/>
        </w:rPr>
        <w:t>八、政府性基金预算收入支出决算情况</w:t>
      </w:r>
    </w:p>
    <w:p>
      <w:pPr>
        <w:pStyle w:val="1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 xml:space="preserve">     2020年度政府性基金预算财政拨款收入</w:t>
      </w:r>
      <w:r>
        <w:rPr>
          <w:rFonts w:hint="eastAsia" w:asciiTheme="minorEastAsia" w:hAnsiTheme="minorEastAsia" w:eastAsiaTheme="minorEastAsia"/>
          <w:sz w:val="32"/>
          <w:szCs w:val="32"/>
          <w:lang w:val="en-US" w:eastAsia="zh-CN"/>
        </w:rPr>
        <w:t>20.22</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20.22</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1.78</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18.44</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0.00</w:t>
      </w:r>
      <w:r>
        <w:rPr>
          <w:rFonts w:hint="eastAsia" w:asciiTheme="minorEastAsia" w:hAnsiTheme="minorEastAsia" w:eastAsiaTheme="minorEastAsia"/>
          <w:sz w:val="32"/>
          <w:szCs w:val="32"/>
        </w:rPr>
        <w:t>万元。</w:t>
      </w:r>
    </w:p>
    <w:p>
      <w:pPr>
        <w:pStyle w:val="10"/>
        <w:rPr>
          <w:rFonts w:hAnsi="黑体"/>
          <w:b/>
          <w:sz w:val="32"/>
          <w:szCs w:val="32"/>
        </w:rPr>
      </w:pPr>
      <w:r>
        <w:rPr>
          <w:rFonts w:hint="eastAsia" w:hAnsi="黑体"/>
          <w:b/>
          <w:sz w:val="32"/>
          <w:szCs w:val="32"/>
        </w:rPr>
        <w:t>九、关于机关运行经费支出说明</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246.16</w:t>
      </w:r>
      <w:r>
        <w:rPr>
          <w:rFonts w:hint="eastAsia" w:asciiTheme="minorEastAsia" w:hAnsiTheme="minorEastAsia" w:eastAsiaTheme="minorEastAsia"/>
          <w:sz w:val="32"/>
          <w:szCs w:val="32"/>
        </w:rPr>
        <w:t>万元，比年初预算数增加</w:t>
      </w:r>
      <w:bookmarkStart w:id="25" w:name="_GoBack"/>
      <w:bookmarkEnd w:id="25"/>
      <w:r>
        <w:rPr>
          <w:rFonts w:hint="eastAsia" w:asciiTheme="minorEastAsia" w:hAnsiTheme="minorEastAsia" w:eastAsiaTheme="minorEastAsia"/>
          <w:sz w:val="32"/>
          <w:szCs w:val="32"/>
          <w:lang w:val="en-US" w:eastAsia="zh-CN"/>
        </w:rPr>
        <w:t>205.86</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510.82</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val="en-US" w:eastAsia="zh-CN"/>
        </w:rPr>
        <w:t>年初预算数只包含湘乡市教育局本级1个核算单位的预算，决算为湘乡市教育局本级以及湘乡市教育局专项资金、湘乡市教育局国债资金专户、湘乡市学生资助中心、农村义务教育专户合并决算，因预决算口径差异，故预决算差额较大。</w:t>
      </w:r>
    </w:p>
    <w:p>
      <w:pPr>
        <w:pStyle w:val="10"/>
        <w:rPr>
          <w:rFonts w:hAnsi="黑体"/>
          <w:b/>
          <w:sz w:val="32"/>
          <w:szCs w:val="32"/>
        </w:rPr>
      </w:pPr>
      <w:r>
        <w:rPr>
          <w:rFonts w:hint="eastAsia" w:hAnsi="黑体"/>
          <w:b/>
          <w:sz w:val="32"/>
          <w:szCs w:val="32"/>
        </w:rPr>
        <w:t>十、一般性支出情况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2020年本部门开支会议费</w:t>
      </w:r>
      <w:r>
        <w:rPr>
          <w:rFonts w:hint="eastAsia" w:asciiTheme="minorEastAsia" w:hAnsiTheme="minorEastAsia" w:eastAsiaTheme="minorEastAsia"/>
          <w:sz w:val="32"/>
          <w:szCs w:val="32"/>
          <w:lang w:val="en-US" w:eastAsia="zh-CN"/>
        </w:rPr>
        <w:t>3.95</w:t>
      </w:r>
      <w:r>
        <w:rPr>
          <w:rFonts w:hint="eastAsia" w:asciiTheme="minorEastAsia" w:hAnsiTheme="minorEastAsia" w:eastAsiaTheme="minorEastAsia"/>
          <w:sz w:val="32"/>
          <w:szCs w:val="32"/>
        </w:rPr>
        <w:t>万元，用于召开召开</w:t>
      </w:r>
      <w:r>
        <w:rPr>
          <w:rFonts w:hint="eastAsia" w:asciiTheme="minorEastAsia" w:hAnsiTheme="minorEastAsia" w:eastAsiaTheme="minorEastAsia"/>
          <w:sz w:val="32"/>
          <w:szCs w:val="32"/>
          <w:lang w:val="en-US" w:eastAsia="zh-CN"/>
        </w:rPr>
        <w:t>运动会工作相关安排</w:t>
      </w:r>
      <w:r>
        <w:rPr>
          <w:rFonts w:hint="eastAsia" w:asciiTheme="minorEastAsia" w:hAnsiTheme="minorEastAsia" w:eastAsiaTheme="minorEastAsia"/>
          <w:sz w:val="32"/>
          <w:szCs w:val="32"/>
        </w:rPr>
        <w:t>会议，</w:t>
      </w:r>
      <w:r>
        <w:rPr>
          <w:rFonts w:hint="eastAsia" w:asciiTheme="minorEastAsia" w:hAnsiTheme="minorEastAsia" w:eastAsiaTheme="minorEastAsia"/>
          <w:sz w:val="32"/>
          <w:szCs w:val="32"/>
          <w:lang w:val="en-US" w:eastAsia="zh-CN"/>
        </w:rPr>
        <w:t>安全校园会议，好教师评选会议，离退休干部支委补选会议等</w:t>
      </w:r>
      <w:r>
        <w:rPr>
          <w:rFonts w:hint="eastAsia" w:asciiTheme="minorEastAsia" w:hAnsiTheme="minorEastAsia" w:eastAsiaTheme="minorEastAsia"/>
          <w:sz w:val="32"/>
          <w:szCs w:val="32"/>
        </w:rPr>
        <w:t>会议，人数</w:t>
      </w:r>
      <w:r>
        <w:rPr>
          <w:rFonts w:hint="eastAsia" w:asciiTheme="minorEastAsia" w:hAnsiTheme="minorEastAsia" w:eastAsiaTheme="minorEastAsia"/>
          <w:sz w:val="32"/>
          <w:szCs w:val="32"/>
          <w:lang w:val="en-US" w:eastAsia="zh-CN"/>
        </w:rPr>
        <w:t>2300</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val="en-US" w:eastAsia="zh-CN"/>
        </w:rPr>
        <w:t>相关方案研讨、工作安排、纪律强调</w:t>
      </w:r>
      <w:r>
        <w:rPr>
          <w:rFonts w:hint="eastAsia" w:asciiTheme="minorEastAsia" w:hAnsiTheme="minorEastAsia" w:eastAsiaTheme="minorEastAsia"/>
          <w:sz w:val="32"/>
          <w:szCs w:val="32"/>
        </w:rPr>
        <w:t>；开支培训费</w:t>
      </w:r>
      <w:r>
        <w:rPr>
          <w:rFonts w:hint="eastAsia" w:asciiTheme="minorEastAsia" w:hAnsiTheme="minorEastAsia" w:eastAsiaTheme="minorEastAsia"/>
          <w:sz w:val="32"/>
          <w:szCs w:val="32"/>
          <w:lang w:val="en-US" w:eastAsia="zh-CN"/>
        </w:rPr>
        <w:t>1.22</w:t>
      </w:r>
      <w:r>
        <w:rPr>
          <w:rFonts w:hint="eastAsia" w:asciiTheme="minorEastAsia" w:hAnsiTheme="minorEastAsia" w:eastAsiaTheme="minorEastAsia"/>
          <w:sz w:val="32"/>
          <w:szCs w:val="32"/>
        </w:rPr>
        <w:t>万元，用于开展</w:t>
      </w:r>
      <w:r>
        <w:rPr>
          <w:rFonts w:hint="eastAsia" w:asciiTheme="minorEastAsia" w:hAnsiTheme="minorEastAsia" w:eastAsiaTheme="minorEastAsia"/>
          <w:sz w:val="32"/>
          <w:szCs w:val="32"/>
          <w:lang w:val="en-US" w:eastAsia="zh-CN"/>
        </w:rPr>
        <w:t>教育事业经费统计工作</w:t>
      </w:r>
      <w:r>
        <w:rPr>
          <w:rFonts w:hint="eastAsia" w:asciiTheme="minorEastAsia" w:hAnsiTheme="minorEastAsia" w:eastAsiaTheme="minorEastAsia"/>
          <w:sz w:val="32"/>
          <w:szCs w:val="32"/>
        </w:rPr>
        <w:t>培训</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学习安全管理信息元安全教育培训、会计继续教育培训等</w:t>
      </w:r>
      <w:r>
        <w:rPr>
          <w:rFonts w:hint="eastAsia" w:asciiTheme="minorEastAsia" w:hAnsiTheme="minorEastAsia" w:eastAsiaTheme="minorEastAsia"/>
          <w:sz w:val="32"/>
          <w:szCs w:val="32"/>
        </w:rPr>
        <w:t>，人数</w:t>
      </w:r>
      <w:r>
        <w:rPr>
          <w:rFonts w:hint="eastAsia" w:asciiTheme="minorEastAsia" w:hAnsiTheme="minorEastAsia" w:eastAsiaTheme="minorEastAsia"/>
          <w:sz w:val="32"/>
          <w:szCs w:val="32"/>
          <w:lang w:val="en-US" w:eastAsia="zh-CN"/>
        </w:rPr>
        <w:t>3000</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val="en-US" w:eastAsia="zh-CN"/>
        </w:rPr>
        <w:t>经费统计培训、安全教育培训、会计继续教育培训等</w:t>
      </w:r>
      <w:r>
        <w:rPr>
          <w:rFonts w:hint="eastAsia" w:asciiTheme="minorEastAsia" w:hAnsiTheme="minorEastAsia" w:eastAsiaTheme="minorEastAsia"/>
          <w:sz w:val="32"/>
          <w:szCs w:val="32"/>
        </w:rPr>
        <w:t>；举办</w:t>
      </w:r>
      <w:r>
        <w:rPr>
          <w:rFonts w:hint="eastAsia" w:asciiTheme="minorEastAsia" w:hAnsiTheme="minorEastAsia" w:eastAsiaTheme="minorEastAsia"/>
          <w:sz w:val="32"/>
          <w:szCs w:val="32"/>
          <w:lang w:val="en-US" w:eastAsia="zh-CN"/>
        </w:rPr>
        <w:t>安全生产演讲比赛</w:t>
      </w:r>
      <w:r>
        <w:rPr>
          <w:rFonts w:hint="eastAsia" w:asciiTheme="minorEastAsia" w:hAnsiTheme="minorEastAsia" w:eastAsiaTheme="minorEastAsia"/>
          <w:sz w:val="32"/>
          <w:szCs w:val="32"/>
        </w:rPr>
        <w:t>活动，开支</w:t>
      </w:r>
      <w:r>
        <w:rPr>
          <w:rFonts w:hint="eastAsia" w:asciiTheme="minorEastAsia" w:hAnsiTheme="minorEastAsia" w:eastAsiaTheme="minorEastAsia"/>
          <w:sz w:val="32"/>
          <w:szCs w:val="32"/>
          <w:lang w:val="en-US" w:eastAsia="zh-CN"/>
        </w:rPr>
        <w:t>0.4</w:t>
      </w:r>
      <w:r>
        <w:rPr>
          <w:rFonts w:hint="eastAsia" w:asciiTheme="minorEastAsia" w:hAnsiTheme="minorEastAsia" w:eastAsiaTheme="minorEastAsia"/>
          <w:sz w:val="32"/>
          <w:szCs w:val="32"/>
        </w:rPr>
        <w:t>万元，主要是</w:t>
      </w:r>
      <w:r>
        <w:rPr>
          <w:rFonts w:hint="eastAsia" w:asciiTheme="minorEastAsia" w:hAnsiTheme="minorEastAsia" w:eastAsiaTheme="minorEastAsia"/>
          <w:sz w:val="32"/>
          <w:szCs w:val="32"/>
          <w:lang w:val="en-US" w:eastAsia="zh-CN"/>
        </w:rPr>
        <w:t>安全生产培训及宣传；经费统计工作培训，开支0.6万元，主要是教育事业经费统计工作相关培训；安全教育培训，开支0.2万元，主要是学校安全管理信息员安全教育培训等</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十一、关于政府采购支出说明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本部门2020年度政府采购支出总额</w:t>
      </w:r>
      <w:r>
        <w:rPr>
          <w:rFonts w:hint="eastAsia" w:asciiTheme="minorEastAsia" w:hAnsiTheme="minorEastAsia" w:eastAsiaTheme="minorEastAsia"/>
          <w:sz w:val="32"/>
          <w:szCs w:val="32"/>
          <w:lang w:val="en-US" w:eastAsia="zh-CN"/>
        </w:rPr>
        <w:t>3.68</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3.68</w:t>
      </w:r>
      <w:r>
        <w:rPr>
          <w:rFonts w:hint="eastAsia" w:asciiTheme="minorEastAsia" w:hAnsiTheme="minorEastAsia" w:eastAsiaTheme="minorEastAsia"/>
          <w:sz w:val="32"/>
          <w:szCs w:val="32"/>
        </w:rPr>
        <w:t xml:space="preserve"> 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3.68</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十二、关于国有资产占用情况说明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截至2020年12月31日，本单位共有车辆</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辆、其他用车XX辆；单位价值50万元以上通用设备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0"/>
        <w:rPr>
          <w:rFonts w:hAnsi="黑体"/>
          <w:b/>
          <w:sz w:val="32"/>
          <w:szCs w:val="32"/>
        </w:rPr>
      </w:pPr>
      <w:r>
        <w:rPr>
          <w:rFonts w:hint="eastAsia" w:hAnsi="黑体"/>
          <w:b/>
          <w:sz w:val="32"/>
          <w:szCs w:val="32"/>
        </w:rPr>
        <w:t>十三、关于2020年度预算绩效情况的说明</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为加强财政资金管理，强化支出责任，提高财政资金的使用效益，建立科学、合理的财政支出绩效评价管理体系，根据财政部《财政支出绩效评价管理暂行办法》（财预〔2011〕285号）、《党政机关厉行节约反对浪费条例》、</w:t>
      </w:r>
      <w:bookmarkStart w:id="3" w:name="_Hlk70579803"/>
      <w:r>
        <w:rPr>
          <w:rFonts w:hint="eastAsia" w:asciiTheme="minorEastAsia" w:hAnsiTheme="minorEastAsia" w:eastAsiaTheme="minorEastAsia"/>
          <w:sz w:val="32"/>
          <w:szCs w:val="32"/>
        </w:rPr>
        <w:t>《2021年湘乡市预算部门绩效评价评审考核方案》（湘乡财绩〔2021〕3号）</w:t>
      </w:r>
      <w:bookmarkEnd w:id="3"/>
      <w:r>
        <w:rPr>
          <w:rFonts w:hint="eastAsia" w:asciiTheme="minorEastAsia" w:hAnsiTheme="minorEastAsia" w:eastAsiaTheme="minorEastAsia"/>
          <w:sz w:val="32"/>
          <w:szCs w:val="32"/>
        </w:rPr>
        <w:t>等文件的要求，本单位于2021年4月，组织力量运用科学、合理的绩效评价指标、评价标准和评价方法，对本单位的部门预算整体支出进行了绩效评价，本次评价遵循了“科学规范、公正公开、分类管理、绩效相关”的原则。我局财务管理制度健全规范，无违规违纪现象，2020年部门整体支出绩效自评得分98分。本单位根据部门整体支出评价指标表作出的自评结果为优秀</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详情请看第五部分附件）。</w:t>
      </w:r>
    </w:p>
    <w:p>
      <w:pPr>
        <w:pStyle w:val="10"/>
        <w:rPr>
          <w:rFonts w:hAnsi="黑体"/>
          <w:b/>
          <w:color w:val="FF000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一、财政拨款收入：指中央财政当年拨付的资金。</w:t>
      </w:r>
    </w:p>
    <w:p>
      <w:pPr>
        <w:widowControl/>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二、其他收入：指除“财政拨款收入”、“事业收入”、“经营收入”等以外的收入。主要是按规定动用的售房收入、存款利息收入等。</w:t>
      </w:r>
    </w:p>
    <w:p>
      <w:pPr>
        <w:widowControl/>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三、基本支出：指为保障机构正常运转、完成日常工作任务而发生的人员支出和公用支出。</w:t>
      </w:r>
    </w:p>
    <w:p>
      <w:pPr>
        <w:widowControl/>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四、项目支出：指在基本支出之外为完成特定行政任务和事业发展目标所发生的支出。</w:t>
      </w:r>
    </w:p>
    <w:p>
      <w:pPr>
        <w:widowControl/>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五、“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桥过路费、保险费、安全奖励费用等支出；公务接待费反映单位按规定开支的各类公务接待（含外宾接待）支出。</w:t>
      </w:r>
    </w:p>
    <w:p>
      <w:pPr>
        <w:widowControl/>
        <w:ind w:firstLine="640" w:firstLineChars="200"/>
        <w:jc w:val="left"/>
        <w:rPr>
          <w:rFonts w:eastAsia="黑体" w:cs="黑体" w:asciiTheme="minorEastAsia" w:hAnsiTheme="minorEastAsia"/>
          <w:color w:val="000000"/>
          <w:kern w:val="0"/>
          <w:sz w:val="28"/>
          <w:szCs w:val="32"/>
        </w:rPr>
      </w:pPr>
      <w:r>
        <w:rPr>
          <w:rFonts w:hint="eastAsia" w:cs="黑体" w:asciiTheme="minorEastAsia" w:hAnsiTheme="minorEastAsia"/>
          <w:color w:val="000000"/>
          <w:kern w:val="0"/>
          <w:sz w:val="32"/>
          <w:szCs w:val="32"/>
        </w:rPr>
        <w:t>六、机关运行经费：为保障行政单位（含参照公务员法管理的的事业单位）运行用于购买货物和服务的各项资金，包括办公费、印刷费、邮电费、差旅费、会议费、福利费、日常维修费、专用材料费、一般设备购置费、水电费、取暖费、公务用车运行维护费以及其他费用。</w:t>
      </w:r>
    </w:p>
    <w:p>
      <w:pPr>
        <w:pStyle w:val="10"/>
        <w:jc w:val="center"/>
        <w:rPr>
          <w:sz w:val="72"/>
          <w:szCs w:val="72"/>
        </w:rPr>
      </w:pPr>
    </w:p>
    <w:p>
      <w:pPr>
        <w:pStyle w:val="10"/>
        <w:jc w:val="center"/>
        <w:rPr>
          <w:sz w:val="72"/>
          <w:szCs w:val="72"/>
        </w:rPr>
      </w:pPr>
    </w:p>
    <w:p>
      <w:pPr>
        <w:pStyle w:val="10"/>
        <w:jc w:val="both"/>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hint="eastAsia" w:ascii="黑体" w:eastAsia="黑体" w:cs="黑体"/>
          <w:color w:val="000000"/>
          <w:kern w:val="0"/>
          <w:sz w:val="70"/>
          <w:szCs w:val="70"/>
        </w:rPr>
      </w:pPr>
      <w:r>
        <w:rPr>
          <w:rFonts w:hint="eastAsia" w:ascii="黑体" w:eastAsia="黑体" w:cs="黑体"/>
          <w:color w:val="000000"/>
          <w:kern w:val="0"/>
          <w:sz w:val="70"/>
          <w:szCs w:val="70"/>
        </w:rPr>
        <w:t>附件</w:t>
      </w: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spacing w:line="800" w:lineRule="exact"/>
        <w:ind w:firstLine="640" w:firstLineChars="200"/>
        <w:jc w:val="center"/>
        <w:rPr>
          <w:rFonts w:ascii="方正仿宋_GBK" w:hAnsi="宋体" w:eastAsia="方正仿宋_GBK"/>
          <w:color w:val="auto"/>
          <w:kern w:val="0"/>
          <w:sz w:val="32"/>
          <w:szCs w:val="32"/>
          <w:shd w:val="clear" w:color="auto" w:fill="auto"/>
        </w:rPr>
      </w:pPr>
      <w:r>
        <w:rPr>
          <w:rFonts w:ascii="方正仿宋_GBK" w:hAnsi="宋体" w:eastAsia="方正仿宋_GBK" w:cs="Arial"/>
          <w:color w:val="auto"/>
          <w:kern w:val="0"/>
          <w:sz w:val="32"/>
          <w:szCs w:val="32"/>
          <w:shd w:val="clear" w:color="auto" w:fill="auto"/>
        </w:rPr>
        <w:t xml:space="preserve"> </w:t>
      </w:r>
      <w:r>
        <w:rPr>
          <w:rFonts w:hint="eastAsia" w:ascii="方正仿宋_GBK" w:hAnsi="宋体" w:eastAsia="方正仿宋_GBK" w:cs="Arial"/>
          <w:color w:val="auto"/>
          <w:kern w:val="0"/>
          <w:sz w:val="32"/>
          <w:szCs w:val="32"/>
          <w:shd w:val="clear" w:color="auto" w:fill="auto"/>
        </w:rPr>
        <w:t> </w:t>
      </w:r>
    </w:p>
    <w:p>
      <w:pPr>
        <w:spacing w:line="800" w:lineRule="exact"/>
        <w:jc w:val="center"/>
        <w:rPr>
          <w:rFonts w:hint="eastAsia" w:ascii="方正小标宋简体" w:hAnsi="方正小标宋简体" w:eastAsia="方正小标宋简体" w:cs="方正小标宋简体"/>
          <w:color w:val="auto"/>
          <w:w w:val="90"/>
          <w:sz w:val="44"/>
          <w:szCs w:val="44"/>
          <w:shd w:val="clear" w:color="auto" w:fill="auto"/>
        </w:rPr>
      </w:pPr>
      <w:r>
        <w:rPr>
          <w:rFonts w:hint="eastAsia" w:ascii="方正小标宋简体" w:hAnsi="方正小标宋简体" w:eastAsia="方正小标宋简体" w:cs="方正小标宋简体"/>
          <w:color w:val="auto"/>
          <w:w w:val="90"/>
          <w:sz w:val="44"/>
          <w:szCs w:val="44"/>
          <w:shd w:val="clear" w:color="auto" w:fill="auto"/>
        </w:rPr>
        <w:t>2020年度部门整体支出绩效评价自评报告</w:t>
      </w:r>
    </w:p>
    <w:p>
      <w:pPr>
        <w:spacing w:line="800" w:lineRule="exact"/>
        <w:ind w:firstLine="880" w:firstLineChars="200"/>
        <w:jc w:val="center"/>
        <w:rPr>
          <w:rFonts w:ascii="方正仿宋_GBK" w:hAnsi="宋体" w:eastAsia="方正仿宋_GBK"/>
          <w:color w:val="auto"/>
          <w:sz w:val="44"/>
          <w:szCs w:val="44"/>
          <w:shd w:val="clear" w:color="auto" w:fill="auto"/>
        </w:rPr>
      </w:pPr>
    </w:p>
    <w:p>
      <w:pPr>
        <w:ind w:firstLine="640" w:firstLineChars="200"/>
        <w:rPr>
          <w:rFonts w:ascii="方正仿宋_GBK" w:hAnsi="宋体" w:eastAsia="方正仿宋_GBK"/>
          <w:color w:val="auto"/>
          <w:sz w:val="32"/>
          <w:shd w:val="clear" w:color="auto" w:fill="auto"/>
        </w:rPr>
      </w:pPr>
    </w:p>
    <w:p>
      <w:pPr>
        <w:ind w:firstLine="640" w:firstLineChars="200"/>
        <w:rPr>
          <w:rFonts w:ascii="方正仿宋_GBK" w:hAnsi="宋体" w:eastAsia="方正仿宋_GBK"/>
          <w:color w:val="auto"/>
          <w:sz w:val="32"/>
          <w:shd w:val="clear" w:color="auto" w:fill="auto"/>
        </w:rPr>
      </w:pPr>
    </w:p>
    <w:p>
      <w:pPr>
        <w:ind w:firstLine="640" w:firstLineChars="200"/>
        <w:rPr>
          <w:rFonts w:ascii="方正仿宋_GBK" w:hAnsi="宋体" w:eastAsia="方正仿宋_GBK"/>
          <w:color w:val="auto"/>
          <w:sz w:val="32"/>
          <w:shd w:val="clear" w:color="auto" w:fill="auto"/>
        </w:rPr>
      </w:pPr>
    </w:p>
    <w:p>
      <w:pPr>
        <w:ind w:firstLine="640" w:firstLineChars="200"/>
        <w:rPr>
          <w:rFonts w:ascii="方正仿宋_GBK" w:hAnsi="宋体" w:eastAsia="方正仿宋_GBK"/>
          <w:color w:val="auto"/>
          <w:sz w:val="32"/>
          <w:shd w:val="clear" w:color="auto" w:fill="auto"/>
        </w:rPr>
      </w:pPr>
    </w:p>
    <w:p>
      <w:pPr>
        <w:spacing w:before="156" w:beforeLines="50" w:line="348" w:lineRule="auto"/>
        <w:ind w:firstLine="640" w:firstLineChars="200"/>
        <w:rPr>
          <w:rFonts w:ascii="方正仿宋_GBK" w:hAnsi="宋体" w:eastAsia="方正仿宋_GBK" w:cs="方正小标宋简体"/>
          <w:color w:val="auto"/>
          <w:sz w:val="32"/>
          <w:u w:val="single"/>
          <w:shd w:val="clear" w:color="auto" w:fill="auto"/>
        </w:rPr>
      </w:pPr>
      <w:r>
        <w:rPr>
          <w:rFonts w:hint="eastAsia" w:ascii="方正仿宋_GBK" w:hAnsi="宋体" w:eastAsia="方正仿宋_GBK" w:cs="方正小标宋简体"/>
          <w:color w:val="auto"/>
          <w:sz w:val="32"/>
          <w:shd w:val="clear" w:color="auto" w:fill="auto"/>
        </w:rPr>
        <w:t>部门(单位)名称：</w:t>
      </w:r>
      <w:r>
        <w:rPr>
          <w:rFonts w:hint="eastAsia" w:ascii="方正仿宋_GBK" w:hAnsi="宋体" w:eastAsia="方正仿宋_GBK" w:cs="方正小标宋简体"/>
          <w:color w:val="auto"/>
          <w:sz w:val="32"/>
          <w:u w:val="single"/>
          <w:shd w:val="clear" w:color="auto" w:fill="auto"/>
        </w:rPr>
        <w:t xml:space="preserve">    </w:t>
      </w:r>
      <w:r>
        <w:rPr>
          <w:rFonts w:ascii="方正仿宋_GBK" w:hAnsi="宋体" w:eastAsia="方正仿宋_GBK" w:cs="方正小标宋简体"/>
          <w:color w:val="auto"/>
          <w:sz w:val="32"/>
          <w:u w:val="single"/>
          <w:shd w:val="clear" w:color="auto" w:fill="auto"/>
        </w:rPr>
        <w:t xml:space="preserve">   </w:t>
      </w:r>
      <w:r>
        <w:rPr>
          <w:rFonts w:hint="eastAsia" w:ascii="方正仿宋_GBK" w:hAnsi="宋体" w:eastAsia="方正仿宋_GBK" w:cs="方正小标宋简体"/>
          <w:color w:val="auto"/>
          <w:sz w:val="32"/>
          <w:u w:val="single"/>
          <w:shd w:val="clear" w:color="auto" w:fill="auto"/>
        </w:rPr>
        <w:t xml:space="preserve">湘乡市教育局    </w:t>
      </w:r>
      <w:r>
        <w:rPr>
          <w:rFonts w:hint="eastAsia" w:ascii="方正仿宋_GBK" w:hAnsi="宋体" w:eastAsia="方正仿宋_GBK" w:cs="方正小标宋简体"/>
          <w:color w:val="auto"/>
          <w:sz w:val="32"/>
          <w:u w:val="single"/>
          <w:shd w:val="clear" w:color="auto" w:fill="auto"/>
          <w:lang w:val="en-US" w:eastAsia="zh-CN"/>
        </w:rPr>
        <w:t xml:space="preserve">  </w:t>
      </w:r>
      <w:r>
        <w:rPr>
          <w:rFonts w:hint="eastAsia" w:ascii="方正仿宋_GBK" w:hAnsi="宋体" w:eastAsia="方正仿宋_GBK" w:cs="方正小标宋简体"/>
          <w:color w:val="auto"/>
          <w:sz w:val="32"/>
          <w:u w:val="single"/>
          <w:shd w:val="clear" w:color="auto" w:fill="auto"/>
        </w:rPr>
        <w:t xml:space="preserve">   </w:t>
      </w:r>
    </w:p>
    <w:p>
      <w:pPr>
        <w:spacing w:before="156" w:beforeLines="50" w:line="348" w:lineRule="auto"/>
        <w:ind w:firstLine="640" w:firstLineChars="200"/>
        <w:rPr>
          <w:rFonts w:ascii="方正仿宋_GBK" w:hAnsi="宋体" w:eastAsia="方正仿宋_GBK" w:cs="方正小标宋简体"/>
          <w:color w:val="auto"/>
          <w:sz w:val="32"/>
          <w:shd w:val="clear" w:color="auto" w:fill="auto"/>
        </w:rPr>
      </w:pPr>
      <w:r>
        <w:rPr>
          <w:rFonts w:hint="eastAsia" w:ascii="方正仿宋_GBK" w:hAnsi="宋体" w:eastAsia="方正仿宋_GBK" w:cs="方正小标宋简体"/>
          <w:color w:val="auto"/>
          <w:sz w:val="32"/>
          <w:shd w:val="clear" w:color="auto" w:fill="auto"/>
        </w:rPr>
        <w:t>预  算  编  码：</w:t>
      </w:r>
      <w:r>
        <w:rPr>
          <w:rFonts w:hint="eastAsia" w:ascii="方正仿宋_GBK" w:hAnsi="宋体" w:eastAsia="方正仿宋_GBK" w:cs="方正小标宋简体"/>
          <w:color w:val="auto"/>
          <w:sz w:val="32"/>
          <w:u w:val="single"/>
          <w:shd w:val="clear" w:color="auto" w:fill="auto"/>
        </w:rPr>
        <w:t xml:space="preserve">    </w:t>
      </w:r>
      <w:r>
        <w:rPr>
          <w:rFonts w:hint="eastAsia" w:ascii="方正仿宋_GBK" w:hAnsi="宋体" w:eastAsia="方正仿宋_GBK" w:cs="仿宋_GB2312"/>
          <w:color w:val="auto"/>
          <w:kern w:val="0"/>
          <w:sz w:val="32"/>
          <w:szCs w:val="32"/>
          <w:u w:val="single"/>
          <w:shd w:val="clear" w:color="auto" w:fill="auto"/>
        </w:rPr>
        <w:t xml:space="preserve">11430381006234350H   </w:t>
      </w:r>
      <w:r>
        <w:rPr>
          <w:rFonts w:hint="eastAsia" w:ascii="方正仿宋_GBK" w:hAnsi="宋体" w:eastAsia="方正仿宋_GBK" w:cs="方正小标宋简体"/>
          <w:color w:val="auto"/>
          <w:sz w:val="32"/>
          <w:u w:val="single"/>
          <w:shd w:val="clear" w:color="auto" w:fill="auto"/>
        </w:rPr>
        <w:t xml:space="preserve"> </w:t>
      </w:r>
      <w:r>
        <w:rPr>
          <w:rFonts w:hint="eastAsia" w:ascii="方正仿宋_GBK" w:hAnsi="宋体" w:eastAsia="方正仿宋_GBK" w:cs="仿宋_GB2312"/>
          <w:color w:val="auto"/>
          <w:kern w:val="0"/>
          <w:sz w:val="32"/>
          <w:szCs w:val="32"/>
          <w:shd w:val="clear" w:color="auto" w:fill="auto"/>
        </w:rPr>
        <w:t xml:space="preserve">  </w:t>
      </w:r>
      <w:r>
        <w:rPr>
          <w:rFonts w:hint="eastAsia" w:ascii="方正仿宋_GBK" w:hAnsi="宋体" w:eastAsia="方正仿宋_GBK" w:cs="方正小标宋简体"/>
          <w:color w:val="auto"/>
          <w:sz w:val="32"/>
          <w:shd w:val="clear" w:color="auto" w:fill="auto"/>
        </w:rPr>
        <w:t xml:space="preserve">         </w:t>
      </w:r>
    </w:p>
    <w:p>
      <w:pPr>
        <w:spacing w:before="156" w:beforeLines="50" w:line="348" w:lineRule="auto"/>
        <w:ind w:firstLine="640" w:firstLineChars="200"/>
        <w:rPr>
          <w:rFonts w:ascii="方正仿宋_GBK" w:hAnsi="宋体" w:eastAsia="方正仿宋_GBK" w:cs="方正小标宋简体"/>
          <w:color w:val="auto"/>
          <w:sz w:val="32"/>
          <w:u w:val="single"/>
          <w:shd w:val="clear" w:color="auto" w:fill="auto"/>
        </w:rPr>
      </w:pPr>
      <w:r>
        <w:rPr>
          <w:rFonts w:hint="eastAsia" w:ascii="方正仿宋_GBK" w:hAnsi="宋体" w:eastAsia="方正仿宋_GBK" w:cs="方正小标宋简体"/>
          <w:color w:val="auto"/>
          <w:sz w:val="32"/>
          <w:shd w:val="clear" w:color="auto" w:fill="auto"/>
        </w:rPr>
        <w:t>评  价  方  式：</w:t>
      </w:r>
      <w:r>
        <w:rPr>
          <w:rFonts w:hint="eastAsia" w:ascii="方正仿宋_GBK" w:hAnsi="宋体" w:eastAsia="方正仿宋_GBK" w:cs="方正小标宋简体"/>
          <w:color w:val="auto"/>
          <w:sz w:val="32"/>
          <w:u w:val="single"/>
          <w:shd w:val="clear" w:color="auto" w:fill="auto"/>
        </w:rPr>
        <w:t xml:space="preserve">    </w:t>
      </w:r>
      <w:r>
        <w:rPr>
          <w:rFonts w:hint="eastAsia" w:ascii="方正仿宋_GBK" w:hAnsi="宋体" w:eastAsia="方正仿宋_GBK" w:cs="方正小标宋简体"/>
          <w:color w:val="auto"/>
          <w:sz w:val="28"/>
          <w:szCs w:val="28"/>
          <w:u w:val="single"/>
          <w:shd w:val="clear" w:color="auto" w:fill="auto"/>
        </w:rPr>
        <w:t xml:space="preserve">部门（单位）绩效自评      </w:t>
      </w:r>
    </w:p>
    <w:p>
      <w:pPr>
        <w:spacing w:before="156" w:beforeLines="50" w:line="348" w:lineRule="auto"/>
        <w:ind w:firstLine="640" w:firstLineChars="200"/>
        <w:rPr>
          <w:rFonts w:ascii="方正仿宋_GBK" w:hAnsi="宋体" w:eastAsia="方正仿宋_GBK" w:cs="方正小标宋简体"/>
          <w:color w:val="auto"/>
          <w:sz w:val="32"/>
          <w:u w:val="single"/>
          <w:shd w:val="clear" w:color="auto" w:fill="auto"/>
        </w:rPr>
      </w:pPr>
      <w:r>
        <w:rPr>
          <w:rFonts w:hint="eastAsia" w:ascii="方正仿宋_GBK" w:hAnsi="宋体" w:eastAsia="方正仿宋_GBK" w:cs="方正小标宋简体"/>
          <w:color w:val="auto"/>
          <w:sz w:val="32"/>
          <w:szCs w:val="32"/>
          <w:shd w:val="clear" w:color="auto" w:fill="auto"/>
        </w:rPr>
        <w:t>评  价  机  构：</w:t>
      </w:r>
      <w:r>
        <w:rPr>
          <w:rFonts w:hint="eastAsia" w:ascii="方正仿宋_GBK" w:hAnsi="宋体" w:eastAsia="方正仿宋_GBK" w:cs="方正小标宋简体"/>
          <w:color w:val="auto"/>
          <w:sz w:val="32"/>
          <w:szCs w:val="32"/>
          <w:u w:val="single"/>
          <w:shd w:val="clear" w:color="auto" w:fill="auto"/>
        </w:rPr>
        <w:t xml:space="preserve">    </w:t>
      </w:r>
      <w:r>
        <w:rPr>
          <w:rFonts w:hint="eastAsia" w:ascii="方正仿宋_GBK" w:hAnsi="宋体" w:eastAsia="方正仿宋_GBK" w:cs="方正小标宋简体"/>
          <w:color w:val="auto"/>
          <w:sz w:val="28"/>
          <w:szCs w:val="28"/>
          <w:u w:val="single"/>
          <w:shd w:val="clear" w:color="auto" w:fill="auto"/>
        </w:rPr>
        <w:t xml:space="preserve">湘乡市教育局评价组        </w:t>
      </w:r>
    </w:p>
    <w:p>
      <w:pPr>
        <w:spacing w:line="348" w:lineRule="auto"/>
        <w:ind w:firstLine="640" w:firstLineChars="200"/>
        <w:rPr>
          <w:rFonts w:ascii="方正仿宋_GBK" w:hAnsi="宋体" w:eastAsia="方正仿宋_GBK" w:cs="方正小标宋简体"/>
          <w:color w:val="auto"/>
          <w:sz w:val="32"/>
          <w:shd w:val="clear" w:color="auto" w:fill="auto"/>
        </w:rPr>
      </w:pPr>
    </w:p>
    <w:p>
      <w:pPr>
        <w:spacing w:line="348" w:lineRule="auto"/>
        <w:ind w:firstLine="640" w:firstLineChars="200"/>
        <w:rPr>
          <w:rFonts w:ascii="方正仿宋_GBK" w:hAnsi="宋体" w:eastAsia="方正仿宋_GBK" w:cs="方正小标宋简体"/>
          <w:color w:val="auto"/>
          <w:sz w:val="32"/>
          <w:shd w:val="clear" w:color="auto" w:fill="auto"/>
        </w:rPr>
      </w:pPr>
    </w:p>
    <w:p>
      <w:pPr>
        <w:spacing w:line="348" w:lineRule="auto"/>
        <w:ind w:firstLine="640" w:firstLineChars="200"/>
        <w:rPr>
          <w:rFonts w:ascii="方正仿宋_GBK" w:hAnsi="宋体" w:eastAsia="方正仿宋_GBK" w:cs="方正小标宋简体"/>
          <w:color w:val="auto"/>
          <w:sz w:val="32"/>
          <w:shd w:val="clear" w:color="auto" w:fill="auto"/>
        </w:rPr>
      </w:pPr>
    </w:p>
    <w:p>
      <w:pPr>
        <w:spacing w:line="348" w:lineRule="auto"/>
        <w:ind w:firstLine="640" w:firstLineChars="200"/>
        <w:rPr>
          <w:rFonts w:ascii="方正仿宋_GBK" w:hAnsi="宋体" w:eastAsia="方正仿宋_GBK" w:cs="方正小标宋简体"/>
          <w:color w:val="auto"/>
          <w:sz w:val="32"/>
          <w:shd w:val="clear" w:color="auto" w:fill="auto"/>
        </w:rPr>
      </w:pPr>
    </w:p>
    <w:p>
      <w:pPr>
        <w:spacing w:line="348" w:lineRule="auto"/>
        <w:ind w:firstLine="640" w:firstLineChars="200"/>
        <w:rPr>
          <w:rFonts w:ascii="方正仿宋_GBK" w:hAnsi="宋体" w:eastAsia="方正仿宋_GBK" w:cs="方正小标宋简体"/>
          <w:color w:val="auto"/>
          <w:sz w:val="32"/>
          <w:shd w:val="clear" w:color="auto" w:fill="auto"/>
        </w:rPr>
      </w:pPr>
    </w:p>
    <w:p>
      <w:pPr>
        <w:spacing w:line="348" w:lineRule="auto"/>
        <w:ind w:firstLine="640" w:firstLineChars="200"/>
        <w:rPr>
          <w:rFonts w:ascii="方正仿宋_GBK" w:hAnsi="宋体" w:eastAsia="方正仿宋_GBK" w:cs="方正小标宋简体"/>
          <w:color w:val="auto"/>
          <w:sz w:val="32"/>
          <w:shd w:val="clear" w:color="auto" w:fill="auto"/>
        </w:rPr>
      </w:pPr>
    </w:p>
    <w:p>
      <w:pPr>
        <w:spacing w:line="348" w:lineRule="auto"/>
        <w:ind w:firstLine="640" w:firstLineChars="200"/>
        <w:rPr>
          <w:rFonts w:ascii="方正仿宋_GBK" w:hAnsi="宋体" w:eastAsia="方正仿宋_GBK" w:cs="方正小标宋简体"/>
          <w:color w:val="auto"/>
          <w:sz w:val="32"/>
          <w:shd w:val="clear" w:color="auto" w:fill="auto"/>
        </w:rPr>
      </w:pPr>
    </w:p>
    <w:p>
      <w:pPr>
        <w:spacing w:line="348" w:lineRule="auto"/>
        <w:ind w:firstLine="640" w:firstLineChars="200"/>
        <w:jc w:val="center"/>
        <w:rPr>
          <w:rFonts w:ascii="方正仿宋_GBK" w:hAnsi="宋体" w:eastAsia="方正仿宋_GBK" w:cs="方正小标宋简体"/>
          <w:color w:val="auto"/>
          <w:sz w:val="32"/>
          <w:shd w:val="clear" w:color="auto" w:fill="auto"/>
        </w:rPr>
      </w:pPr>
      <w:r>
        <w:rPr>
          <w:rFonts w:hint="eastAsia" w:ascii="方正仿宋_GBK" w:hAnsi="宋体" w:eastAsia="方正仿宋_GBK" w:cs="方正小标宋简体"/>
          <w:color w:val="auto"/>
          <w:sz w:val="32"/>
          <w:shd w:val="clear" w:color="auto" w:fill="auto"/>
        </w:rPr>
        <w:t>报告日期：202</w:t>
      </w:r>
      <w:r>
        <w:rPr>
          <w:rFonts w:ascii="方正仿宋_GBK" w:hAnsi="宋体" w:eastAsia="方正仿宋_GBK" w:cs="方正小标宋简体"/>
          <w:color w:val="auto"/>
          <w:sz w:val="32"/>
          <w:shd w:val="clear" w:color="auto" w:fill="auto"/>
        </w:rPr>
        <w:t>1</w:t>
      </w:r>
      <w:r>
        <w:rPr>
          <w:rFonts w:hint="eastAsia" w:ascii="方正仿宋_GBK" w:hAnsi="宋体" w:eastAsia="方正仿宋_GBK" w:cs="方正小标宋简体"/>
          <w:color w:val="auto"/>
          <w:sz w:val="32"/>
          <w:shd w:val="clear" w:color="auto" w:fill="auto"/>
        </w:rPr>
        <w:t>年5月6日</w:t>
      </w:r>
    </w:p>
    <w:p>
      <w:pPr>
        <w:spacing w:line="600" w:lineRule="exact"/>
        <w:ind w:right="641" w:firstLine="880" w:firstLineChars="200"/>
        <w:jc w:val="center"/>
        <w:rPr>
          <w:rFonts w:ascii="方正仿宋_GBK" w:hAnsi="宋体" w:eastAsia="方正仿宋_GBK"/>
          <w:color w:val="auto"/>
          <w:sz w:val="44"/>
          <w:szCs w:val="44"/>
          <w:shd w:val="clear" w:color="auto" w:fill="auto"/>
        </w:rPr>
      </w:pPr>
    </w:p>
    <w:p>
      <w:pPr>
        <w:shd w:val="clear" w:color="auto" w:fill="FFFFFF"/>
        <w:spacing w:line="640" w:lineRule="exact"/>
        <w:jc w:val="center"/>
        <w:rPr>
          <w:rFonts w:hint="eastAsia" w:ascii="方正小标宋简体" w:hAnsi="方正小标宋简体" w:eastAsia="方正小标宋简体" w:cs="方正小标宋简体"/>
          <w:color w:val="auto"/>
          <w:sz w:val="44"/>
          <w:szCs w:val="44"/>
          <w:shd w:val="clear" w:color="auto" w:fill="auto"/>
        </w:rPr>
      </w:pPr>
      <w:r>
        <w:rPr>
          <w:rFonts w:hint="eastAsia" w:ascii="方正仿宋_GBK" w:hAnsi="宋体" w:eastAsia="方正仿宋_GBK"/>
          <w:color w:val="auto"/>
          <w:sz w:val="44"/>
          <w:szCs w:val="44"/>
          <w:shd w:val="clear" w:color="auto" w:fill="auto"/>
        </w:rPr>
        <w:br w:type="page"/>
      </w:r>
      <w:r>
        <w:rPr>
          <w:rFonts w:hint="eastAsia" w:ascii="方正小标宋简体" w:hAnsi="方正小标宋简体" w:eastAsia="方正小标宋简体" w:cs="方正小标宋简体"/>
          <w:color w:val="auto"/>
          <w:sz w:val="44"/>
          <w:szCs w:val="44"/>
          <w:shd w:val="clear" w:color="auto" w:fill="auto"/>
        </w:rPr>
        <w:t>湘乡市教育局</w:t>
      </w:r>
    </w:p>
    <w:p>
      <w:pPr>
        <w:shd w:val="clear" w:color="auto" w:fill="FFFFFF"/>
        <w:spacing w:line="640" w:lineRule="exact"/>
        <w:jc w:val="center"/>
        <w:rPr>
          <w:rFonts w:hint="eastAsia" w:ascii="方正小标宋简体" w:hAnsi="方正小标宋简体" w:eastAsia="方正小标宋简体" w:cs="方正小标宋简体"/>
          <w:color w:val="auto"/>
          <w:sz w:val="44"/>
          <w:szCs w:val="44"/>
          <w:shd w:val="clear" w:color="auto" w:fill="auto"/>
        </w:rPr>
      </w:pPr>
      <w:r>
        <w:rPr>
          <w:rFonts w:hint="eastAsia" w:ascii="方正小标宋简体" w:hAnsi="方正小标宋简体" w:eastAsia="方正小标宋简体" w:cs="方正小标宋简体"/>
          <w:color w:val="auto"/>
          <w:sz w:val="44"/>
          <w:szCs w:val="44"/>
          <w:shd w:val="clear" w:color="auto" w:fill="auto"/>
        </w:rPr>
        <w:t>2020年度部门整体支出绩效评价报告</w:t>
      </w:r>
    </w:p>
    <w:p>
      <w:pPr>
        <w:shd w:val="clear" w:color="auto" w:fill="FFFFFF"/>
        <w:spacing w:line="580" w:lineRule="exact"/>
        <w:ind w:firstLine="480" w:firstLineChars="200"/>
        <w:jc w:val="left"/>
        <w:rPr>
          <w:rFonts w:ascii="方正仿宋_GBK" w:hAnsi="宋体" w:eastAsia="方正仿宋_GBK"/>
          <w:color w:val="auto"/>
          <w:kern w:val="0"/>
          <w:sz w:val="24"/>
          <w:shd w:val="clear" w:color="auto" w:fill="auto"/>
        </w:rPr>
      </w:pPr>
      <w:r>
        <w:rPr>
          <w:rFonts w:hint="eastAsia" w:ascii="方正仿宋_GBK" w:hAnsi="宋体" w:eastAsia="方正仿宋_GBK"/>
          <w:color w:val="auto"/>
          <w:kern w:val="0"/>
          <w:sz w:val="24"/>
          <w:shd w:val="clear" w:color="auto" w:fill="auto"/>
        </w:rPr>
        <w:t xml:space="preserve"> </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为加强财政资金管理，强化支出责任，提高财政资金的使用效益，建立科学、合理的财政支出绩效评价管理体系，根据财政部《财政支出绩效评价管理暂行办法》（财预〔2011〕285号）、《党政机关厉行节约反对浪费条例》、《2021年湘乡市预算部门绩效评价评审考核方案》（湘乡财绩〔2021〕3号）等文件的要求，本单位于2021年4月，组织力量运用科学、合理的绩效评价指标、评价标准和评价方法，对本单位的部门预算整体支出进行了绩效评价，本次评价遵循了“科学规范、公正公开、分类管理、绩效相关”的原则。现将情况汇报如下：</w:t>
      </w:r>
      <w:bookmarkStart w:id="4" w:name="_Toc30573"/>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黑体_GBK" w:hAnsi="方正黑体_GBK" w:eastAsia="方正黑体_GBK" w:cs="方正黑体_GBK"/>
          <w:color w:val="auto"/>
          <w:kern w:val="0"/>
          <w:sz w:val="32"/>
          <w:szCs w:val="32"/>
          <w:shd w:val="clear" w:color="auto" w:fill="auto"/>
        </w:rPr>
      </w:pPr>
      <w:r>
        <w:rPr>
          <w:rFonts w:hint="eastAsia" w:ascii="方正黑体_GBK" w:hAnsi="方正黑体_GBK" w:eastAsia="方正黑体_GBK" w:cs="方正黑体_GBK"/>
          <w:color w:val="auto"/>
          <w:kern w:val="0"/>
          <w:sz w:val="32"/>
          <w:szCs w:val="32"/>
          <w:shd w:val="clear" w:color="auto" w:fill="auto"/>
        </w:rPr>
        <w:t>一、部门基本情况</w:t>
      </w:r>
      <w:bookmarkEnd w:id="4"/>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1"/>
        <w:rPr>
          <w:rFonts w:hint="eastAsia" w:ascii="方正楷体_GBK" w:hAnsi="方正楷体_GBK" w:eastAsia="方正楷体_GBK" w:cs="方正楷体_GBK"/>
          <w:b/>
          <w:bCs/>
          <w:color w:val="auto"/>
          <w:kern w:val="0"/>
          <w:sz w:val="32"/>
          <w:szCs w:val="32"/>
          <w:shd w:val="clear" w:color="auto" w:fill="auto"/>
        </w:rPr>
      </w:pPr>
      <w:bookmarkStart w:id="5" w:name="_Toc18683"/>
      <w:r>
        <w:rPr>
          <w:rFonts w:hint="eastAsia" w:ascii="方正楷体_GBK" w:hAnsi="方正楷体_GBK" w:eastAsia="方正楷体_GBK" w:cs="方正楷体_GBK"/>
          <w:b/>
          <w:bCs/>
          <w:color w:val="auto"/>
          <w:kern w:val="0"/>
          <w:sz w:val="32"/>
          <w:szCs w:val="32"/>
          <w:shd w:val="clear" w:color="auto" w:fill="auto"/>
        </w:rPr>
        <w:t>（一）部门职责</w:t>
      </w:r>
      <w:bookmarkEnd w:id="5"/>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湘乡市教育局单位机构代码11430381006234350H，办公地址为湘乡市望春门办事处桑枣村。本单位的主要职责是：</w:t>
      </w:r>
      <w:bookmarkStart w:id="6" w:name="OLE_LINK15"/>
      <w:bookmarkStart w:id="7" w:name="_Toc23242"/>
      <w:bookmarkStart w:id="8" w:name="OLE_LINK17"/>
      <w:bookmarkStart w:id="9" w:name="OLE_LINK11"/>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1.</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贯彻落实国家和省关于教育工作的法律、法规，拟订全市教育改革与发展战略、政策和规划，并组织实施。</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2.</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负责各级各类教育的统筹规划和协调管理，贯彻执行国家和省制定的各级各类学校的教育教学改革，负责教育基本信息的统计、分析和发布。</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3.</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负责推进义务教育均衡发展和促进教育公平，负责义务教育的宏观指导与协调；指导普通高中教育、幼儿教育和特殊教育工作；制定基础教育教学基本要求和教学基本文件，组织审定基础教育地方教材，全面实施素质教育。</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4.</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大力发展职业教育，坚持以就业为导向，深化职业教育教学改革，努力提高职业学校办学水平和质量，积极推进体制创新，进一步增强职业教育发展活力；制定职业教育教学指导文件和教学评估标准，指导中等职业教育教材建设和职业指导工作。</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5.</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加强民办教育的统筹规划、综合协调和宏观管理，完善民办教育宏观管理的政策措施，规范办学秩序，促进民办教育事业健康发展。</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6.</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统筹指导成人教育、高等教育自学考试和继续教育等工作。</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7.</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统筹管理本部门教育经费；参与拟订全市教育经费筹措、教育拨款、教育基建投资政策；负责统计和监测全市教育经费的投入和使用情况；按有关规定管理港澳台以及国外政府和组织对我市的教育援助和教育贷款；指导、管理全市资助经济困难学生工作；指导和组织实施教育系统内部审计工作。</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8.</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指导各级各类学校的思想政治工作、德育工作、体育卫生艺术教育以及国防教育工作，指导和协调教育系统的稳定工作。</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9.</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依据《教师法》规定，在职责范围内，主管全市教师工作；贯彻落实各级各类教师资格标准，指导教育系统人才队伍建设。</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10.</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组织、指导全市教育督导工作。</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11.</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统筹管理全市语言文字工作，制定全市语言文字规划并组织实施，指导推广普通话和规范字及普通话师资培训工作。</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12.</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协助市委组织部考察和管理学校领导班子和领导干部。</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13.</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承办市人民政府交办的其他事项。</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1"/>
        <w:rPr>
          <w:rFonts w:hint="eastAsia" w:ascii="方正楷体_GBK" w:hAnsi="方正楷体_GBK" w:eastAsia="方正楷体_GBK" w:cs="方正楷体_GBK"/>
          <w:b/>
          <w:bCs/>
          <w:color w:val="auto"/>
          <w:kern w:val="0"/>
          <w:sz w:val="32"/>
          <w:szCs w:val="32"/>
          <w:shd w:val="clear" w:color="auto" w:fill="auto"/>
        </w:rPr>
      </w:pPr>
      <w:r>
        <w:rPr>
          <w:rFonts w:hint="eastAsia" w:ascii="方正楷体_GBK" w:hAnsi="方正楷体_GBK" w:eastAsia="方正楷体_GBK" w:cs="方正楷体_GBK"/>
          <w:b/>
          <w:bCs/>
          <w:color w:val="auto"/>
          <w:kern w:val="0"/>
          <w:sz w:val="32"/>
          <w:szCs w:val="32"/>
          <w:shd w:val="clear" w:color="auto" w:fill="auto"/>
        </w:rPr>
        <w:t>（二）内设机构</w:t>
      </w:r>
      <w:bookmarkEnd w:id="6"/>
      <w:r>
        <w:rPr>
          <w:rFonts w:hint="eastAsia" w:ascii="方正楷体_GBK" w:hAnsi="方正楷体_GBK" w:eastAsia="方正楷体_GBK" w:cs="方正楷体_GBK"/>
          <w:b/>
          <w:bCs/>
          <w:color w:val="auto"/>
          <w:kern w:val="0"/>
          <w:sz w:val="32"/>
          <w:szCs w:val="32"/>
          <w:shd w:val="clear" w:color="auto" w:fill="auto"/>
        </w:rPr>
        <w:t>和</w:t>
      </w:r>
      <w:bookmarkStart w:id="10" w:name="OLE_LINK16"/>
      <w:r>
        <w:rPr>
          <w:rFonts w:hint="eastAsia" w:ascii="方正楷体_GBK" w:hAnsi="方正楷体_GBK" w:eastAsia="方正楷体_GBK" w:cs="方正楷体_GBK"/>
          <w:b/>
          <w:bCs/>
          <w:color w:val="auto"/>
          <w:kern w:val="0"/>
          <w:sz w:val="32"/>
          <w:szCs w:val="32"/>
          <w:shd w:val="clear" w:color="auto" w:fill="auto"/>
        </w:rPr>
        <w:t>人员编制</w:t>
      </w:r>
      <w:bookmarkEnd w:id="7"/>
      <w:bookmarkEnd w:id="8"/>
      <w:bookmarkEnd w:id="10"/>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1.</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内设机构</w:t>
      </w:r>
      <w:bookmarkEnd w:id="9"/>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湘乡市教育局是市政府工作部门，为正科级。市教育局内设：办公室、市委教育工作领导小组秘书组办公室、审计股、政策法规股（审批服务股）、基础教育股、民办教育股、职成教育股、学前教育与特殊教育股、基建股、安全监督股、教育督导室、计财股、人事股共13个股室和机关党委、团工委。下属教育发展中心、信息化办公室、学生资助中心、档案信息中心共四个二级机构。</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2.</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人员编制</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根据湘乡市机构编制委员会办公室相关文件，核定教育系统的编制总数为5518人。湘乡市编委《关于明确湘乡市教育局所属事业单位有关机构编制事项的通知》（湘机编办[2020]49号）核定的编制人数为5518名（含教育局机关32人），实际在职在编人员5434人。</w:t>
      </w:r>
      <w:bookmarkStart w:id="11" w:name="OLE_LINK12"/>
      <w:bookmarkStart w:id="12" w:name="_Toc27173"/>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1"/>
        <w:rPr>
          <w:rFonts w:hint="eastAsia" w:ascii="方正楷体_GBK" w:hAnsi="方正楷体_GBK" w:eastAsia="方正楷体_GBK" w:cs="方正楷体_GBK"/>
          <w:b/>
          <w:bCs/>
          <w:color w:val="auto"/>
          <w:kern w:val="0"/>
          <w:sz w:val="32"/>
          <w:szCs w:val="32"/>
          <w:shd w:val="clear" w:color="auto" w:fill="auto"/>
        </w:rPr>
      </w:pPr>
      <w:r>
        <w:rPr>
          <w:rFonts w:hint="eastAsia" w:ascii="方正楷体_GBK" w:hAnsi="方正楷体_GBK" w:eastAsia="方正楷体_GBK" w:cs="方正楷体_GBK"/>
          <w:b/>
          <w:bCs/>
          <w:color w:val="auto"/>
          <w:kern w:val="0"/>
          <w:sz w:val="32"/>
          <w:szCs w:val="32"/>
          <w:shd w:val="clear" w:color="auto" w:fill="auto"/>
        </w:rPr>
        <w:t>（三）2020年度重点工作</w:t>
      </w:r>
      <w:bookmarkEnd w:id="11"/>
      <w:bookmarkEnd w:id="12"/>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bookmarkStart w:id="13" w:name="OLE_LINK13"/>
      <w:bookmarkStart w:id="14" w:name="OLE_LINK18"/>
      <w:r>
        <w:rPr>
          <w:rFonts w:hint="eastAsia" w:ascii="方正仿宋_GBK" w:hAnsi="方正仿宋_GBK" w:eastAsia="方正仿宋_GBK" w:cs="方正仿宋_GBK"/>
          <w:color w:val="auto"/>
          <w:kern w:val="0"/>
          <w:sz w:val="32"/>
          <w:szCs w:val="32"/>
          <w:shd w:val="clear" w:color="auto" w:fill="auto"/>
        </w:rPr>
        <w:t>根据湘乡市委市政府下达的2020年工作目标，本单位2020年度重点工作为：</w:t>
      </w:r>
      <w:bookmarkEnd w:id="13"/>
      <w:bookmarkEnd w:id="14"/>
    </w:p>
    <w:p>
      <w:pPr>
        <w:pStyle w:val="11"/>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exact"/>
        <w:ind w:right="0" w:rightChars="0" w:firstLine="640" w:firstLineChars="200"/>
        <w:textAlignment w:val="auto"/>
        <w:rPr>
          <w:rFonts w:hint="eastAsia" w:ascii="方正仿宋_GBK" w:hAnsi="方正仿宋_GBK" w:eastAsia="方正仿宋_GBK" w:cs="方正仿宋_GBK"/>
          <w:b w:val="0"/>
          <w:bCs w:val="0"/>
          <w:color w:val="auto"/>
          <w:sz w:val="32"/>
          <w:szCs w:val="32"/>
          <w:shd w:val="clear" w:color="auto" w:fill="auto"/>
        </w:rPr>
      </w:pPr>
      <w:bookmarkStart w:id="15" w:name="_Toc9520"/>
      <w:r>
        <w:rPr>
          <w:rFonts w:hint="eastAsia" w:ascii="方正仿宋_GBK" w:hAnsi="方正仿宋_GBK" w:eastAsia="方正仿宋_GBK" w:cs="方正仿宋_GBK"/>
          <w:b w:val="0"/>
          <w:bCs w:val="0"/>
          <w:color w:val="auto"/>
          <w:sz w:val="32"/>
          <w:szCs w:val="32"/>
          <w:shd w:val="clear" w:color="auto" w:fill="auto"/>
          <w:lang w:val="en-US" w:eastAsia="zh-CN"/>
        </w:rPr>
        <w:t xml:space="preserve">1. </w:t>
      </w:r>
      <w:r>
        <w:rPr>
          <w:rFonts w:hint="eastAsia" w:ascii="方正仿宋_GBK" w:hAnsi="方正仿宋_GBK" w:eastAsia="方正仿宋_GBK" w:cs="方正仿宋_GBK"/>
          <w:b w:val="0"/>
          <w:bCs w:val="0"/>
          <w:color w:val="auto"/>
          <w:sz w:val="32"/>
          <w:szCs w:val="32"/>
          <w:shd w:val="clear" w:color="auto" w:fill="auto"/>
        </w:rPr>
        <w:t>坚持党的全面领导，全面从严治党向纵深发展。</w:t>
      </w:r>
    </w:p>
    <w:p>
      <w:pPr>
        <w:pStyle w:val="11"/>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exact"/>
        <w:ind w:right="0" w:rightChars="0" w:firstLine="640" w:firstLineChars="200"/>
        <w:textAlignment w:val="auto"/>
        <w:rPr>
          <w:rFonts w:hint="eastAsia" w:ascii="方正仿宋_GBK" w:hAnsi="方正仿宋_GBK" w:eastAsia="方正仿宋_GBK" w:cs="方正仿宋_GBK"/>
          <w:b w:val="0"/>
          <w:bCs w:val="0"/>
          <w:color w:val="auto"/>
          <w:sz w:val="32"/>
          <w:szCs w:val="32"/>
          <w:shd w:val="clear" w:color="auto" w:fill="auto"/>
        </w:rPr>
      </w:pPr>
      <w:r>
        <w:rPr>
          <w:rFonts w:hint="eastAsia" w:ascii="方正仿宋_GBK" w:hAnsi="方正仿宋_GBK" w:eastAsia="方正仿宋_GBK" w:cs="方正仿宋_GBK"/>
          <w:b w:val="0"/>
          <w:bCs w:val="0"/>
          <w:color w:val="auto"/>
          <w:sz w:val="32"/>
          <w:szCs w:val="32"/>
          <w:shd w:val="clear" w:color="auto" w:fill="auto"/>
          <w:lang w:val="en-US" w:eastAsia="zh-CN"/>
        </w:rPr>
        <w:t xml:space="preserve">2. </w:t>
      </w:r>
      <w:r>
        <w:rPr>
          <w:rFonts w:hint="eastAsia" w:ascii="方正仿宋_GBK" w:hAnsi="方正仿宋_GBK" w:eastAsia="方正仿宋_GBK" w:cs="方正仿宋_GBK"/>
          <w:b w:val="0"/>
          <w:bCs w:val="0"/>
          <w:color w:val="auto"/>
          <w:sz w:val="32"/>
          <w:szCs w:val="32"/>
          <w:shd w:val="clear" w:color="auto" w:fill="auto"/>
        </w:rPr>
        <w:t>优先教育民生事业，稳固教育发展根基。</w:t>
      </w:r>
    </w:p>
    <w:p>
      <w:pPr>
        <w:keepNext w:val="0"/>
        <w:keepLines w:val="0"/>
        <w:pageBreakBefore w:val="0"/>
        <w:kinsoku/>
        <w:wordWrap/>
        <w:overflowPunct w:val="0"/>
        <w:topLinePunct w:val="0"/>
        <w:autoSpaceDE/>
        <w:autoSpaceDN/>
        <w:bidi w:val="0"/>
        <w:adjustRightInd w:val="0"/>
        <w:snapToGrid w:val="0"/>
        <w:spacing w:line="600" w:lineRule="exact"/>
        <w:ind w:left="0" w:right="0" w:firstLine="640" w:firstLineChars="200"/>
        <w:textAlignment w:val="auto"/>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（1）学校项目建设实现新跨越</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（2）</w:t>
      </w:r>
      <w:r>
        <w:rPr>
          <w:rFonts w:hint="eastAsia" w:ascii="方正仿宋_GBK" w:hAnsi="方正仿宋_GBK" w:eastAsia="方正仿宋_GBK" w:cs="方正仿宋_GBK"/>
          <w:color w:val="auto"/>
          <w:sz w:val="32"/>
          <w:szCs w:val="32"/>
          <w:shd w:val="clear" w:color="auto" w:fill="auto"/>
        </w:rPr>
        <w:t>实施“明厨亮灶”可视监管工程，食堂改造升级。</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（3）推进市中心机房、“三通两平台”、教育城域网建设工作，完成第二批“三通二平台”建设。</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仿宋_GBK" w:hAnsi="方正仿宋_GBK" w:eastAsia="方正仿宋_GBK" w:cs="方正仿宋_GBK"/>
          <w:b w:val="0"/>
          <w:bCs w:val="0"/>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（4）</w:t>
      </w:r>
      <w:r>
        <w:rPr>
          <w:rFonts w:hint="eastAsia" w:ascii="方正仿宋_GBK" w:hAnsi="方正仿宋_GBK" w:eastAsia="方正仿宋_GBK" w:cs="方正仿宋_GBK"/>
          <w:b w:val="0"/>
          <w:bCs w:val="0"/>
          <w:color w:val="auto"/>
          <w:sz w:val="32"/>
          <w:szCs w:val="32"/>
          <w:shd w:val="clear" w:color="auto" w:fill="auto"/>
        </w:rPr>
        <w:t>教育精准扶贫凸显新作为，建档立卡学生资助不落一人。</w:t>
      </w:r>
    </w:p>
    <w:p>
      <w:pPr>
        <w:keepNext w:val="0"/>
        <w:keepLines w:val="0"/>
        <w:pageBreakBefore w:val="0"/>
        <w:shd w:val="clear" w:color="auto" w:fill="FFFFFF"/>
        <w:kinsoku/>
        <w:wordWrap/>
        <w:topLinePunct w:val="0"/>
        <w:autoSpaceDE/>
        <w:autoSpaceDN/>
        <w:bidi w:val="0"/>
        <w:spacing w:line="600" w:lineRule="exact"/>
        <w:ind w:right="0" w:firstLine="640" w:firstLineChars="200"/>
        <w:jc w:val="left"/>
        <w:textAlignment w:val="auto"/>
        <w:outlineLvl w:val="0"/>
        <w:rPr>
          <w:rFonts w:hint="eastAsia" w:ascii="方正仿宋_GBK" w:hAnsi="方正仿宋_GBK" w:eastAsia="方正仿宋_GBK" w:cs="方正仿宋_GBK"/>
          <w:b w:val="0"/>
          <w:bCs w:val="0"/>
          <w:color w:val="auto"/>
          <w:sz w:val="32"/>
          <w:szCs w:val="32"/>
          <w:shd w:val="clear" w:color="auto" w:fill="auto"/>
        </w:rPr>
      </w:pPr>
      <w:r>
        <w:rPr>
          <w:rFonts w:hint="eastAsia" w:ascii="方正仿宋_GBK" w:hAnsi="方正仿宋_GBK" w:eastAsia="方正仿宋_GBK" w:cs="方正仿宋_GBK"/>
          <w:b w:val="0"/>
          <w:bCs w:val="0"/>
          <w:color w:val="auto"/>
          <w:sz w:val="32"/>
          <w:szCs w:val="32"/>
          <w:shd w:val="clear" w:color="auto" w:fill="auto"/>
          <w:lang w:val="en-US" w:eastAsia="zh-CN"/>
        </w:rPr>
        <w:t xml:space="preserve">3. </w:t>
      </w:r>
      <w:r>
        <w:rPr>
          <w:rFonts w:hint="eastAsia" w:ascii="方正仿宋_GBK" w:hAnsi="方正仿宋_GBK" w:eastAsia="方正仿宋_GBK" w:cs="方正仿宋_GBK"/>
          <w:b w:val="0"/>
          <w:bCs w:val="0"/>
          <w:color w:val="auto"/>
          <w:sz w:val="32"/>
          <w:szCs w:val="32"/>
          <w:shd w:val="clear" w:color="auto" w:fill="auto"/>
        </w:rPr>
        <w:t>协调发展教育事业，均衡发展水平稳步提高。</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仿宋_GBK" w:hAnsi="方正仿宋_GBK" w:eastAsia="方正仿宋_GBK" w:cs="方正仿宋_GBK"/>
          <w:b w:val="0"/>
          <w:bCs w:val="0"/>
          <w:color w:val="auto"/>
          <w:sz w:val="32"/>
          <w:szCs w:val="32"/>
          <w:shd w:val="clear" w:color="auto" w:fill="auto"/>
        </w:rPr>
      </w:pPr>
      <w:r>
        <w:rPr>
          <w:rFonts w:hint="eastAsia" w:ascii="方正仿宋_GBK" w:hAnsi="方正仿宋_GBK" w:eastAsia="方正仿宋_GBK" w:cs="方正仿宋_GBK"/>
          <w:b w:val="0"/>
          <w:bCs w:val="0"/>
          <w:color w:val="auto"/>
          <w:sz w:val="32"/>
          <w:szCs w:val="32"/>
          <w:shd w:val="clear" w:color="auto" w:fill="auto"/>
        </w:rPr>
        <w:t>一是学前教育普惠发展；二是义务教育公平发展；三是高中教育改革发展；四是职业教育融合发展；五是民办教育规范发展；六是特殊教育逐步发展。</w:t>
      </w:r>
    </w:p>
    <w:p>
      <w:pPr>
        <w:pStyle w:val="2"/>
        <w:keepNext w:val="0"/>
        <w:keepLines w:val="0"/>
        <w:pageBreakBefore w:val="0"/>
        <w:kinsoku/>
        <w:wordWrap/>
        <w:topLinePunct w:val="0"/>
        <w:autoSpaceDE/>
        <w:autoSpaceDN/>
        <w:bidi w:val="0"/>
        <w:adjustRightInd w:val="0"/>
        <w:snapToGrid w:val="0"/>
        <w:spacing w:line="600" w:lineRule="exact"/>
        <w:ind w:left="0" w:right="0" w:firstLine="640" w:firstLineChars="200"/>
        <w:textAlignment w:val="auto"/>
        <w:rPr>
          <w:rFonts w:hint="eastAsia" w:ascii="方正仿宋_GBK" w:hAnsi="方正仿宋_GBK" w:eastAsia="方正仿宋_GBK" w:cs="方正仿宋_GBK"/>
          <w:b w:val="0"/>
          <w:bCs w:val="0"/>
          <w:color w:val="auto"/>
          <w:sz w:val="32"/>
          <w:szCs w:val="32"/>
          <w:shd w:val="clear" w:color="auto" w:fill="auto"/>
        </w:rPr>
      </w:pPr>
      <w:r>
        <w:rPr>
          <w:rFonts w:hint="eastAsia" w:ascii="方正仿宋_GBK" w:hAnsi="方正仿宋_GBK" w:eastAsia="方正仿宋_GBK" w:cs="方正仿宋_GBK"/>
          <w:b w:val="0"/>
          <w:bCs w:val="0"/>
          <w:color w:val="auto"/>
          <w:sz w:val="32"/>
          <w:szCs w:val="32"/>
          <w:shd w:val="clear" w:color="auto" w:fill="auto"/>
        </w:rPr>
        <w:t>4</w:t>
      </w:r>
      <w:r>
        <w:rPr>
          <w:rFonts w:hint="eastAsia" w:ascii="方正仿宋_GBK" w:hAnsi="方正仿宋_GBK" w:eastAsia="方正仿宋_GBK" w:cs="方正仿宋_GBK"/>
          <w:b w:val="0"/>
          <w:bCs w:val="0"/>
          <w:color w:val="auto"/>
          <w:sz w:val="32"/>
          <w:szCs w:val="32"/>
          <w:shd w:val="clear" w:color="auto" w:fill="auto"/>
          <w:lang w:val="en-US" w:eastAsia="zh-CN"/>
        </w:rPr>
        <w:t xml:space="preserve">. </w:t>
      </w:r>
      <w:r>
        <w:rPr>
          <w:rFonts w:hint="eastAsia" w:ascii="方正仿宋_GBK" w:hAnsi="方正仿宋_GBK" w:eastAsia="方正仿宋_GBK" w:cs="方正仿宋_GBK"/>
          <w:b w:val="0"/>
          <w:bCs w:val="0"/>
          <w:color w:val="auto"/>
          <w:sz w:val="32"/>
          <w:szCs w:val="32"/>
          <w:shd w:val="clear" w:color="auto" w:fill="auto"/>
        </w:rPr>
        <w:t>深化教育教学改革，立德树人任务有效落实</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仿宋_GBK" w:hAnsi="方正仿宋_GBK" w:eastAsia="方正仿宋_GBK" w:cs="方正仿宋_GBK"/>
          <w:b w:val="0"/>
          <w:bCs w:val="0"/>
          <w:color w:val="auto"/>
          <w:sz w:val="32"/>
          <w:szCs w:val="32"/>
          <w:shd w:val="clear" w:color="auto" w:fill="auto"/>
        </w:rPr>
      </w:pPr>
      <w:r>
        <w:rPr>
          <w:rFonts w:hint="eastAsia" w:ascii="方正仿宋_GBK" w:hAnsi="方正仿宋_GBK" w:eastAsia="方正仿宋_GBK" w:cs="方正仿宋_GBK"/>
          <w:b w:val="0"/>
          <w:bCs w:val="0"/>
          <w:color w:val="auto"/>
          <w:sz w:val="32"/>
          <w:szCs w:val="32"/>
          <w:shd w:val="clear" w:color="auto" w:fill="auto"/>
        </w:rPr>
        <w:t>一是大力推动学校文化建设。二是深入推进书香校园创建。三是全面发展学生素质教育。四是着力提升教育教研品质。</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仿宋_GBK" w:hAnsi="方正仿宋_GBK" w:eastAsia="方正仿宋_GBK" w:cs="方正仿宋_GBK"/>
          <w:b w:val="0"/>
          <w:bCs w:val="0"/>
          <w:color w:val="auto"/>
          <w:sz w:val="32"/>
          <w:szCs w:val="32"/>
          <w:shd w:val="clear" w:color="auto" w:fill="auto"/>
        </w:rPr>
      </w:pPr>
      <w:r>
        <w:rPr>
          <w:rFonts w:hint="eastAsia" w:ascii="方正仿宋_GBK" w:hAnsi="方正仿宋_GBK" w:eastAsia="方正仿宋_GBK" w:cs="方正仿宋_GBK"/>
          <w:b w:val="0"/>
          <w:bCs w:val="0"/>
          <w:color w:val="auto"/>
          <w:sz w:val="32"/>
          <w:szCs w:val="32"/>
          <w:shd w:val="clear" w:color="auto" w:fill="auto"/>
        </w:rPr>
        <w:t>5</w:t>
      </w:r>
      <w:r>
        <w:rPr>
          <w:rFonts w:hint="eastAsia" w:ascii="方正仿宋_GBK" w:hAnsi="方正仿宋_GBK" w:eastAsia="方正仿宋_GBK" w:cs="方正仿宋_GBK"/>
          <w:b w:val="0"/>
          <w:bCs w:val="0"/>
          <w:color w:val="auto"/>
          <w:sz w:val="32"/>
          <w:szCs w:val="32"/>
          <w:shd w:val="clear" w:color="auto" w:fill="auto"/>
          <w:lang w:val="en-US" w:eastAsia="zh-CN"/>
        </w:rPr>
        <w:t xml:space="preserve">. </w:t>
      </w:r>
      <w:r>
        <w:rPr>
          <w:rFonts w:hint="eastAsia" w:ascii="方正仿宋_GBK" w:hAnsi="方正仿宋_GBK" w:eastAsia="方正仿宋_GBK" w:cs="方正仿宋_GBK"/>
          <w:b w:val="0"/>
          <w:bCs w:val="0"/>
          <w:color w:val="auto"/>
          <w:sz w:val="32"/>
          <w:szCs w:val="32"/>
          <w:shd w:val="clear" w:color="auto" w:fill="auto"/>
        </w:rPr>
        <w:t>强化教育队伍管理，教师队伍建设增量提质</w:t>
      </w:r>
    </w:p>
    <w:p>
      <w:pPr>
        <w:pStyle w:val="2"/>
        <w:keepNext w:val="0"/>
        <w:keepLines w:val="0"/>
        <w:pageBreakBefore w:val="0"/>
        <w:kinsoku/>
        <w:wordWrap/>
        <w:topLinePunct w:val="0"/>
        <w:autoSpaceDE/>
        <w:autoSpaceDN/>
        <w:bidi w:val="0"/>
        <w:adjustRightInd w:val="0"/>
        <w:snapToGrid w:val="0"/>
        <w:spacing w:line="600" w:lineRule="exact"/>
        <w:ind w:left="0" w:right="0" w:firstLine="640" w:firstLineChars="200"/>
        <w:textAlignment w:val="auto"/>
        <w:rPr>
          <w:rFonts w:hint="eastAsia" w:ascii="方正仿宋_GBK" w:hAnsi="方正仿宋_GBK" w:eastAsia="方正仿宋_GBK" w:cs="方正仿宋_GBK"/>
          <w:b w:val="0"/>
          <w:bCs w:val="0"/>
          <w:color w:val="auto"/>
          <w:sz w:val="32"/>
          <w:szCs w:val="32"/>
          <w:shd w:val="clear" w:color="auto" w:fill="auto"/>
        </w:rPr>
      </w:pPr>
      <w:r>
        <w:rPr>
          <w:rFonts w:hint="eastAsia" w:ascii="方正仿宋_GBK" w:hAnsi="方正仿宋_GBK" w:eastAsia="方正仿宋_GBK" w:cs="方正仿宋_GBK"/>
          <w:b w:val="0"/>
          <w:bCs w:val="0"/>
          <w:color w:val="auto"/>
          <w:sz w:val="32"/>
          <w:szCs w:val="32"/>
          <w:shd w:val="clear" w:color="auto" w:fill="auto"/>
        </w:rPr>
        <w:t>6</w:t>
      </w:r>
      <w:r>
        <w:rPr>
          <w:rFonts w:hint="eastAsia" w:ascii="方正仿宋_GBK" w:hAnsi="方正仿宋_GBK" w:eastAsia="方正仿宋_GBK" w:cs="方正仿宋_GBK"/>
          <w:b w:val="0"/>
          <w:bCs w:val="0"/>
          <w:color w:val="auto"/>
          <w:sz w:val="32"/>
          <w:szCs w:val="32"/>
          <w:shd w:val="clear" w:color="auto" w:fill="auto"/>
          <w:lang w:val="en-US" w:eastAsia="zh-CN"/>
        </w:rPr>
        <w:t xml:space="preserve">. </w:t>
      </w:r>
      <w:r>
        <w:rPr>
          <w:rFonts w:hint="eastAsia" w:ascii="方正仿宋_GBK" w:hAnsi="方正仿宋_GBK" w:eastAsia="方正仿宋_GBK" w:cs="方正仿宋_GBK"/>
          <w:b w:val="0"/>
          <w:bCs w:val="0"/>
          <w:color w:val="auto"/>
          <w:sz w:val="32"/>
          <w:szCs w:val="32"/>
          <w:shd w:val="clear" w:color="auto" w:fill="auto"/>
        </w:rPr>
        <w:t>优化教育发展环境，教育系统稳定和谐发展</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仿宋_GBK" w:hAnsi="方正仿宋_GBK" w:eastAsia="方正仿宋_GBK" w:cs="方正仿宋_GBK"/>
          <w:b w:val="0"/>
          <w:bCs w:val="0"/>
          <w:color w:val="auto"/>
          <w:sz w:val="32"/>
          <w:szCs w:val="32"/>
          <w:shd w:val="clear" w:color="auto" w:fill="auto"/>
        </w:rPr>
      </w:pPr>
      <w:r>
        <w:rPr>
          <w:rFonts w:hint="eastAsia" w:ascii="方正仿宋_GBK" w:hAnsi="方正仿宋_GBK" w:eastAsia="方正仿宋_GBK" w:cs="方正仿宋_GBK"/>
          <w:b w:val="0"/>
          <w:bCs w:val="0"/>
          <w:color w:val="auto"/>
          <w:sz w:val="32"/>
          <w:szCs w:val="32"/>
          <w:shd w:val="clear" w:color="auto" w:fill="auto"/>
        </w:rPr>
        <w:t>一是织密校园安全防护网。二是守护学生“舌尖上的安全”。三是消除实验室安全隐患。四是宣传弘扬教育正能。五是严格落实教育督导。</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黑体_GBK" w:hAnsi="方正黑体_GBK" w:eastAsia="方正黑体_GBK" w:cs="方正黑体_GBK"/>
          <w:color w:val="auto"/>
          <w:kern w:val="0"/>
          <w:sz w:val="32"/>
          <w:szCs w:val="32"/>
          <w:shd w:val="clear" w:color="auto" w:fill="auto"/>
        </w:rPr>
      </w:pPr>
      <w:r>
        <w:rPr>
          <w:rFonts w:hint="eastAsia" w:ascii="方正黑体_GBK" w:hAnsi="方正黑体_GBK" w:eastAsia="方正黑体_GBK" w:cs="方正黑体_GBK"/>
          <w:color w:val="auto"/>
          <w:kern w:val="0"/>
          <w:sz w:val="32"/>
          <w:szCs w:val="32"/>
          <w:shd w:val="clear" w:color="auto" w:fill="auto"/>
        </w:rPr>
        <w:t>二、部门整体支出</w:t>
      </w:r>
      <w:bookmarkEnd w:id="15"/>
      <w:r>
        <w:rPr>
          <w:rFonts w:hint="eastAsia" w:ascii="方正黑体_GBK" w:hAnsi="方正黑体_GBK" w:eastAsia="方正黑体_GBK" w:cs="方正黑体_GBK"/>
          <w:color w:val="auto"/>
          <w:kern w:val="0"/>
          <w:sz w:val="32"/>
          <w:szCs w:val="32"/>
          <w:shd w:val="clear" w:color="auto" w:fill="auto"/>
        </w:rPr>
        <w:t>管理及使用情况</w:t>
      </w:r>
    </w:p>
    <w:p>
      <w:pPr>
        <w:keepNext w:val="0"/>
        <w:keepLines w:val="0"/>
        <w:pageBreakBefore w:val="0"/>
        <w:kinsoku/>
        <w:wordWrap/>
        <w:topLinePunct w:val="0"/>
        <w:autoSpaceDE/>
        <w:autoSpaceDN/>
        <w:bidi w:val="0"/>
        <w:snapToGrid w:val="0"/>
        <w:spacing w:line="600" w:lineRule="exact"/>
        <w:ind w:left="0" w:right="0" w:firstLine="640" w:firstLineChars="200"/>
        <w:textAlignment w:val="auto"/>
        <w:rPr>
          <w:rFonts w:hint="eastAsia" w:ascii="方正楷体_GBK" w:hAnsi="方正楷体_GBK" w:eastAsia="方正楷体_GBK" w:cs="方正楷体_GBK"/>
          <w:b/>
          <w:color w:val="auto"/>
          <w:sz w:val="32"/>
          <w:szCs w:val="32"/>
          <w:shd w:val="clear" w:color="auto" w:fill="auto"/>
        </w:rPr>
      </w:pPr>
      <w:bookmarkStart w:id="16" w:name="_Toc8839"/>
      <w:r>
        <w:rPr>
          <w:rFonts w:hint="eastAsia" w:ascii="方正楷体_GBK" w:hAnsi="方正楷体_GBK" w:eastAsia="方正楷体_GBK" w:cs="方正楷体_GBK"/>
          <w:b/>
          <w:color w:val="auto"/>
          <w:sz w:val="32"/>
          <w:szCs w:val="32"/>
          <w:shd w:val="clear" w:color="auto" w:fill="auto"/>
        </w:rPr>
        <w:t>（一）预算情况</w:t>
      </w:r>
    </w:p>
    <w:p>
      <w:pPr>
        <w:keepNext w:val="0"/>
        <w:keepLines w:val="0"/>
        <w:pageBreakBefore w:val="0"/>
        <w:widowControl/>
        <w:numPr>
          <w:ilvl w:val="0"/>
          <w:numId w:val="0"/>
        </w:numPr>
        <w:kinsoku/>
        <w:wordWrap/>
        <w:topLinePunct w:val="0"/>
        <w:autoSpaceDE/>
        <w:autoSpaceDN/>
        <w:bidi w:val="0"/>
        <w:spacing w:line="600" w:lineRule="exact"/>
        <w:ind w:right="0" w:rightChars="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sz w:val="32"/>
          <w:szCs w:val="32"/>
          <w:shd w:val="clear" w:color="auto" w:fill="auto"/>
          <w:lang w:val="en-US" w:eastAsia="zh-CN"/>
        </w:rPr>
        <w:t xml:space="preserve">1. </w:t>
      </w:r>
      <w:r>
        <w:rPr>
          <w:rFonts w:hint="eastAsia" w:ascii="方正仿宋_GBK" w:hAnsi="方正仿宋_GBK" w:eastAsia="方正仿宋_GBK" w:cs="方正仿宋_GBK"/>
          <w:color w:val="auto"/>
          <w:sz w:val="32"/>
          <w:szCs w:val="32"/>
          <w:shd w:val="clear" w:color="auto" w:fill="auto"/>
        </w:rPr>
        <w:t>年初预算情况</w:t>
      </w:r>
    </w:p>
    <w:p>
      <w:pPr>
        <w:keepNext w:val="0"/>
        <w:keepLines w:val="0"/>
        <w:pageBreakBefore w:val="0"/>
        <w:widowControl/>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sz w:val="32"/>
          <w:szCs w:val="32"/>
          <w:shd w:val="clear" w:color="auto" w:fill="auto"/>
        </w:rPr>
        <w:t>（1）2020年年初收入预算数65949.37万元，其中，一般公共预算拨款56144.22万元，纳入专户管理的非税收入5937.15万元，上级补助收入3868万元。</w:t>
      </w:r>
    </w:p>
    <w:p>
      <w:pPr>
        <w:keepNext w:val="0"/>
        <w:keepLines w:val="0"/>
        <w:pageBreakBefore w:val="0"/>
        <w:widowControl/>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sz w:val="32"/>
          <w:szCs w:val="32"/>
          <w:shd w:val="clear" w:color="auto" w:fill="auto"/>
          <w:lang w:eastAsia="zh-CN"/>
        </w:rPr>
      </w:pPr>
      <w:r>
        <w:rPr>
          <w:rFonts w:hint="eastAsia" w:ascii="方正仿宋_GBK" w:hAnsi="方正仿宋_GBK" w:eastAsia="方正仿宋_GBK" w:cs="方正仿宋_GBK"/>
          <w:color w:val="auto"/>
          <w:sz w:val="32"/>
          <w:szCs w:val="32"/>
          <w:shd w:val="clear" w:color="auto" w:fill="auto"/>
        </w:rPr>
        <w:t>（2）2020年年初支出预算数65949.37万元，其中：教育支出51585.46万元，社会保障和就业支出7430.47万元，卫生健康支出2985.44万元，住房保障支出3948万元。2020年年初财政拨款预算支出数56144.22万元，其中：教育支出41780.31万元，社会保障和就业支出7430.47万元，卫生健康支出2985.44万元，住房保障支出3948万元</w:t>
      </w:r>
      <w:r>
        <w:rPr>
          <w:rFonts w:hint="eastAsia" w:ascii="方正仿宋_GBK" w:hAnsi="方正仿宋_GBK" w:eastAsia="方正仿宋_GBK" w:cs="方正仿宋_GBK"/>
          <w:color w:val="auto"/>
          <w:sz w:val="32"/>
          <w:szCs w:val="32"/>
          <w:shd w:val="clear" w:color="auto" w:fill="auto"/>
          <w:lang w:eastAsia="zh-CN"/>
        </w:rPr>
        <w:t>。</w:t>
      </w:r>
    </w:p>
    <w:p>
      <w:pPr>
        <w:keepNext w:val="0"/>
        <w:keepLines w:val="0"/>
        <w:pageBreakBefore w:val="0"/>
        <w:numPr>
          <w:ilvl w:val="0"/>
          <w:numId w:val="0"/>
        </w:numPr>
        <w:kinsoku/>
        <w:wordWrap/>
        <w:topLinePunct w:val="0"/>
        <w:autoSpaceDE/>
        <w:autoSpaceDN/>
        <w:bidi w:val="0"/>
        <w:snapToGrid w:val="0"/>
        <w:spacing w:line="600" w:lineRule="exact"/>
        <w:ind w:right="0" w:rightChars="0" w:firstLine="640" w:firstLineChars="200"/>
        <w:textAlignment w:val="auto"/>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lang w:val="en-US" w:eastAsia="zh-CN"/>
        </w:rPr>
        <w:t xml:space="preserve">2. </w:t>
      </w:r>
      <w:r>
        <w:rPr>
          <w:rFonts w:hint="eastAsia" w:ascii="方正仿宋_GBK" w:hAnsi="方正仿宋_GBK" w:eastAsia="方正仿宋_GBK" w:cs="方正仿宋_GBK"/>
          <w:color w:val="auto"/>
          <w:sz w:val="32"/>
          <w:szCs w:val="32"/>
          <w:shd w:val="clear" w:color="auto" w:fill="auto"/>
        </w:rPr>
        <w:t>年中追加和调减预算情况</w:t>
      </w:r>
    </w:p>
    <w:p>
      <w:pPr>
        <w:keepNext w:val="0"/>
        <w:keepLines w:val="0"/>
        <w:pageBreakBefore w:val="0"/>
        <w:kinsoku/>
        <w:wordWrap/>
        <w:topLinePunct w:val="0"/>
        <w:autoSpaceDE/>
        <w:autoSpaceDN/>
        <w:bidi w:val="0"/>
        <w:snapToGrid w:val="0"/>
        <w:spacing w:line="600" w:lineRule="exact"/>
        <w:ind w:left="0" w:right="0" w:firstLine="640" w:firstLineChars="200"/>
        <w:textAlignment w:val="auto"/>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教育是一项重要的民生工程，政策性强。2020年因年中追加预算31446.98万元 ，主要是（1）、2020年本级教育专项经费7826万元;(2)、2018年教育系统综治奖6000万元；（3）、2018年教师年终绩效考核奖1054万元；（4）、2019年高中绩效考核奖1292万元；（5）、2020年第二批第三批债券资金2200万元 ；（6）其它中央和省级专项追加13074.98万元：如城乡保障机制经费、学生资助经费、高中和幼儿公用经费、乡村人才教师津贴、薄弱学校提质改造等。</w:t>
      </w:r>
    </w:p>
    <w:p>
      <w:pPr>
        <w:keepNext w:val="0"/>
        <w:keepLines w:val="0"/>
        <w:pageBreakBefore w:val="0"/>
        <w:kinsoku/>
        <w:wordWrap/>
        <w:topLinePunct w:val="0"/>
        <w:autoSpaceDE/>
        <w:autoSpaceDN/>
        <w:bidi w:val="0"/>
        <w:snapToGrid w:val="0"/>
        <w:spacing w:line="600" w:lineRule="exact"/>
        <w:ind w:left="0" w:right="0" w:firstLine="640" w:firstLineChars="200"/>
        <w:textAlignment w:val="auto"/>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3</w:t>
      </w:r>
      <w:r>
        <w:rPr>
          <w:rFonts w:hint="eastAsia" w:ascii="方正仿宋_GBK" w:hAnsi="方正仿宋_GBK" w:eastAsia="方正仿宋_GBK" w:cs="方正仿宋_GBK"/>
          <w:color w:val="auto"/>
          <w:sz w:val="32"/>
          <w:szCs w:val="32"/>
          <w:shd w:val="clear" w:color="auto" w:fill="auto"/>
          <w:lang w:val="en-US" w:eastAsia="zh-CN"/>
        </w:rPr>
        <w:t xml:space="preserve">. </w:t>
      </w:r>
      <w:r>
        <w:rPr>
          <w:rFonts w:hint="eastAsia" w:ascii="方正仿宋_GBK" w:hAnsi="方正仿宋_GBK" w:eastAsia="方正仿宋_GBK" w:cs="方正仿宋_GBK"/>
          <w:color w:val="auto"/>
          <w:sz w:val="32"/>
          <w:szCs w:val="32"/>
          <w:shd w:val="clear" w:color="auto" w:fill="auto"/>
        </w:rPr>
        <w:t>全年总预算情况</w:t>
      </w:r>
    </w:p>
    <w:p>
      <w:pPr>
        <w:keepNext w:val="0"/>
        <w:keepLines w:val="0"/>
        <w:pageBreakBefore w:val="0"/>
        <w:kinsoku/>
        <w:wordWrap/>
        <w:topLinePunct w:val="0"/>
        <w:autoSpaceDE/>
        <w:autoSpaceDN/>
        <w:bidi w:val="0"/>
        <w:snapToGrid w:val="0"/>
        <w:spacing w:line="600" w:lineRule="exact"/>
        <w:ind w:left="0" w:right="0" w:firstLine="640" w:firstLineChars="200"/>
        <w:textAlignment w:val="auto"/>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 xml:space="preserve">2020年总预算指标87591.19万元，预算拨款支出79133.35万元，结余7290.96万元 </w:t>
      </w:r>
    </w:p>
    <w:p>
      <w:pPr>
        <w:keepNext w:val="0"/>
        <w:keepLines w:val="0"/>
        <w:pageBreakBefore w:val="0"/>
        <w:kinsoku/>
        <w:wordWrap/>
        <w:topLinePunct w:val="0"/>
        <w:autoSpaceDE/>
        <w:autoSpaceDN/>
        <w:bidi w:val="0"/>
        <w:snapToGrid w:val="0"/>
        <w:spacing w:line="600" w:lineRule="exact"/>
        <w:ind w:left="0" w:right="0" w:firstLine="640" w:firstLineChars="200"/>
        <w:textAlignment w:val="auto"/>
        <w:rPr>
          <w:rFonts w:hint="eastAsia" w:ascii="方正楷体_GBK" w:hAnsi="方正楷体_GBK" w:eastAsia="方正楷体_GBK" w:cs="方正楷体_GBK"/>
          <w:b/>
          <w:color w:val="auto"/>
          <w:sz w:val="32"/>
          <w:szCs w:val="32"/>
          <w:shd w:val="clear" w:color="auto" w:fill="auto"/>
        </w:rPr>
      </w:pPr>
      <w:r>
        <w:rPr>
          <w:rFonts w:hint="eastAsia" w:ascii="方正楷体_GBK" w:hAnsi="方正楷体_GBK" w:eastAsia="方正楷体_GBK" w:cs="方正楷体_GBK"/>
          <w:b/>
          <w:color w:val="auto"/>
          <w:sz w:val="32"/>
          <w:szCs w:val="32"/>
          <w:shd w:val="clear" w:color="auto" w:fill="auto"/>
        </w:rPr>
        <w:t>（二）预算执行情况</w:t>
      </w:r>
    </w:p>
    <w:p>
      <w:pPr>
        <w:keepNext w:val="0"/>
        <w:keepLines w:val="0"/>
        <w:pageBreakBefore w:val="0"/>
        <w:kinsoku/>
        <w:wordWrap/>
        <w:topLinePunct w:val="0"/>
        <w:autoSpaceDE/>
        <w:autoSpaceDN/>
        <w:bidi w:val="0"/>
        <w:snapToGrid w:val="0"/>
        <w:spacing w:line="600" w:lineRule="exact"/>
        <w:ind w:left="0" w:right="0" w:firstLine="640" w:firstLineChars="200"/>
        <w:textAlignment w:val="auto"/>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1</w:t>
      </w:r>
      <w:r>
        <w:rPr>
          <w:rFonts w:hint="eastAsia" w:ascii="方正仿宋_GBK" w:hAnsi="方正仿宋_GBK" w:eastAsia="方正仿宋_GBK" w:cs="方正仿宋_GBK"/>
          <w:color w:val="auto"/>
          <w:sz w:val="32"/>
          <w:szCs w:val="32"/>
          <w:shd w:val="clear" w:color="auto" w:fill="auto"/>
          <w:lang w:val="en-US" w:eastAsia="zh-CN"/>
        </w:rPr>
        <w:t xml:space="preserve">. </w:t>
      </w:r>
      <w:r>
        <w:rPr>
          <w:rFonts w:hint="eastAsia" w:ascii="方正仿宋_GBK" w:hAnsi="方正仿宋_GBK" w:eastAsia="方正仿宋_GBK" w:cs="方正仿宋_GBK"/>
          <w:color w:val="auto"/>
          <w:sz w:val="32"/>
          <w:szCs w:val="32"/>
          <w:shd w:val="clear" w:color="auto" w:fill="auto"/>
        </w:rPr>
        <w:t>基本支出执行情况</w:t>
      </w:r>
    </w:p>
    <w:p>
      <w:pPr>
        <w:keepNext w:val="0"/>
        <w:keepLines w:val="0"/>
        <w:pageBreakBefore w:val="0"/>
        <w:kinsoku/>
        <w:wordWrap/>
        <w:topLinePunct w:val="0"/>
        <w:autoSpaceDE/>
        <w:autoSpaceDN/>
        <w:bidi w:val="0"/>
        <w:snapToGrid w:val="0"/>
        <w:spacing w:line="600" w:lineRule="exact"/>
        <w:ind w:left="0" w:right="0" w:firstLine="640" w:firstLineChars="200"/>
        <w:textAlignment w:val="auto"/>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2020年基本支出决算金额为61035.93万元，其中人员经费52116.98万元，公用经费8918.96万元。</w:t>
      </w:r>
    </w:p>
    <w:p>
      <w:pPr>
        <w:keepNext w:val="0"/>
        <w:keepLines w:val="0"/>
        <w:pageBreakBefore w:val="0"/>
        <w:kinsoku/>
        <w:wordWrap/>
        <w:topLinePunct w:val="0"/>
        <w:autoSpaceDE/>
        <w:autoSpaceDN/>
        <w:bidi w:val="0"/>
        <w:snapToGrid w:val="0"/>
        <w:spacing w:line="600" w:lineRule="exact"/>
        <w:ind w:left="0" w:right="0" w:firstLine="640" w:firstLineChars="200"/>
        <w:textAlignment w:val="auto"/>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2</w:t>
      </w:r>
      <w:r>
        <w:rPr>
          <w:rFonts w:hint="eastAsia" w:ascii="方正仿宋_GBK" w:hAnsi="方正仿宋_GBK" w:eastAsia="方正仿宋_GBK" w:cs="方正仿宋_GBK"/>
          <w:color w:val="auto"/>
          <w:sz w:val="32"/>
          <w:szCs w:val="32"/>
          <w:shd w:val="clear" w:color="auto" w:fill="auto"/>
          <w:lang w:val="en-US" w:eastAsia="zh-CN"/>
        </w:rPr>
        <w:t xml:space="preserve">. </w:t>
      </w:r>
      <w:r>
        <w:rPr>
          <w:rFonts w:hint="eastAsia" w:ascii="方正仿宋_GBK" w:hAnsi="方正仿宋_GBK" w:eastAsia="方正仿宋_GBK" w:cs="方正仿宋_GBK"/>
          <w:color w:val="auto"/>
          <w:sz w:val="32"/>
          <w:szCs w:val="32"/>
          <w:shd w:val="clear" w:color="auto" w:fill="auto"/>
        </w:rPr>
        <w:t>业务性专项执行情况，教育系统没有业务性专项</w:t>
      </w:r>
    </w:p>
    <w:p>
      <w:pPr>
        <w:keepNext w:val="0"/>
        <w:keepLines w:val="0"/>
        <w:pageBreakBefore w:val="0"/>
        <w:kinsoku/>
        <w:wordWrap/>
        <w:topLinePunct w:val="0"/>
        <w:autoSpaceDE/>
        <w:autoSpaceDN/>
        <w:bidi w:val="0"/>
        <w:snapToGrid w:val="0"/>
        <w:spacing w:line="600" w:lineRule="exact"/>
        <w:ind w:left="0" w:right="0" w:firstLine="640" w:firstLineChars="200"/>
        <w:textAlignment w:val="auto"/>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sz w:val="32"/>
          <w:szCs w:val="32"/>
          <w:shd w:val="clear" w:color="auto" w:fill="auto"/>
        </w:rPr>
        <w:t>3</w:t>
      </w:r>
      <w:r>
        <w:rPr>
          <w:rFonts w:hint="eastAsia" w:ascii="方正仿宋_GBK" w:hAnsi="方正仿宋_GBK" w:eastAsia="方正仿宋_GBK" w:cs="方正仿宋_GBK"/>
          <w:color w:val="auto"/>
          <w:sz w:val="32"/>
          <w:szCs w:val="32"/>
          <w:shd w:val="clear" w:color="auto" w:fill="auto"/>
          <w:lang w:val="en-US" w:eastAsia="zh-CN"/>
        </w:rPr>
        <w:t xml:space="preserve">. </w:t>
      </w:r>
      <w:r>
        <w:rPr>
          <w:rFonts w:hint="eastAsia" w:ascii="方正仿宋_GBK" w:hAnsi="方正仿宋_GBK" w:eastAsia="方正仿宋_GBK" w:cs="方正仿宋_GBK"/>
          <w:color w:val="auto"/>
          <w:sz w:val="32"/>
          <w:szCs w:val="32"/>
          <w:shd w:val="clear" w:color="auto" w:fill="auto"/>
        </w:rPr>
        <w:t>项目性专项执行情况</w:t>
      </w:r>
    </w:p>
    <w:p>
      <w:pPr>
        <w:keepNext w:val="0"/>
        <w:keepLines w:val="0"/>
        <w:pageBreakBefore w:val="0"/>
        <w:kinsoku/>
        <w:wordWrap/>
        <w:topLinePunct w:val="0"/>
        <w:autoSpaceDE/>
        <w:autoSpaceDN/>
        <w:bidi w:val="0"/>
        <w:snapToGrid w:val="0"/>
        <w:spacing w:line="600" w:lineRule="exact"/>
        <w:ind w:left="0" w:right="0" w:firstLine="640" w:firstLineChars="200"/>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sz w:val="32"/>
          <w:szCs w:val="32"/>
          <w:shd w:val="clear" w:color="auto" w:fill="auto"/>
        </w:rPr>
        <w:t>2020年教育部门预算安排项目性专项450万，已执行到位。其中：教师培训支出28万元，主要用于全市教师的培训经费；教研教改支出25万元，主要用于教育教研教改、课题研究等开支；民办和职业教育发展支出48万元，主要用于民办学校和职业学校管理方面的支出；基础教育奖励专项支出50万元，主要用于全市教育教学成果表彰奖励经费；教代会支出20万元，主要用于召开全市教职工代表大会的开支；教师招聘考试专项支出44.4万元，主要用于公开招聘教师考试的经费；中小学运动会支出25万元，主要用于全市中小学生运动会的开支；校车园车管理支出28万元，主要用于全市校车园车的管理、整顿和奖励等方面的经费；学前教育发展基金支出10万元，主要用于学前教育管理方面的经费；规范民办非学历机构专项支出20万元，主要用于管理民办非学历机构方面的开支；离退休办工作经费8万元，主要用于离退休协会的工作支出。教师职称评定25万元，主要用于全市教师的职称评定工作经费；中小学生艺术百佳评选专项支出10万元，主要用于全市中小学生评选艺术百佳经费；初中毕业会考、体育测试支出65.6万元，用于每年全市的初中会考和体育测试专项支出；信访维稳支出23万元，用于教育系统的息访息求、特护期间接劝返等工作的经费；督导评估专项支出20万元，主要用于教育两项督导评估经费。</w:t>
      </w:r>
      <w:bookmarkEnd w:id="16"/>
      <w:bookmarkStart w:id="17" w:name="_Toc7826"/>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黑体_GBK" w:hAnsi="方正黑体_GBK" w:eastAsia="方正黑体_GBK" w:cs="方正黑体_GBK"/>
          <w:color w:val="auto"/>
          <w:kern w:val="0"/>
          <w:sz w:val="32"/>
          <w:szCs w:val="32"/>
          <w:shd w:val="clear" w:color="auto" w:fill="auto"/>
        </w:rPr>
      </w:pPr>
      <w:r>
        <w:rPr>
          <w:rFonts w:hint="eastAsia" w:ascii="方正黑体_GBK" w:hAnsi="方正黑体_GBK" w:eastAsia="方正黑体_GBK" w:cs="方正黑体_GBK"/>
          <w:color w:val="auto"/>
          <w:kern w:val="0"/>
          <w:sz w:val="32"/>
          <w:szCs w:val="32"/>
          <w:shd w:val="clear" w:color="auto" w:fill="auto"/>
        </w:rPr>
        <w:t>三、</w:t>
      </w:r>
      <w:bookmarkEnd w:id="17"/>
      <w:bookmarkStart w:id="18" w:name="OLE_LINK19"/>
      <w:bookmarkStart w:id="19" w:name="_Toc9403"/>
      <w:r>
        <w:rPr>
          <w:rFonts w:hint="eastAsia" w:ascii="方正黑体_GBK" w:hAnsi="方正黑体_GBK" w:eastAsia="方正黑体_GBK" w:cs="方正黑体_GBK"/>
          <w:color w:val="auto"/>
          <w:kern w:val="0"/>
          <w:sz w:val="32"/>
          <w:szCs w:val="32"/>
          <w:shd w:val="clear" w:color="auto" w:fill="auto"/>
        </w:rPr>
        <w:t>绩效评价概述</w:t>
      </w:r>
      <w:bookmarkEnd w:id="18"/>
      <w:bookmarkEnd w:id="19"/>
      <w:r>
        <w:rPr>
          <w:rFonts w:hint="eastAsia" w:ascii="方正黑体_GBK" w:hAnsi="方正黑体_GBK" w:eastAsia="方正黑体_GBK" w:cs="方正黑体_GBK"/>
          <w:color w:val="auto"/>
          <w:kern w:val="0"/>
          <w:sz w:val="32"/>
          <w:szCs w:val="32"/>
          <w:shd w:val="clear" w:color="auto" w:fill="auto"/>
        </w:rPr>
        <w:t> </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1"/>
        <w:rPr>
          <w:rFonts w:hint="eastAsia" w:ascii="方正仿宋_GBK" w:hAnsi="方正仿宋_GBK" w:eastAsia="方正仿宋_GBK" w:cs="方正仿宋_GBK"/>
          <w:color w:val="auto"/>
          <w:kern w:val="0"/>
          <w:sz w:val="32"/>
          <w:szCs w:val="32"/>
          <w:shd w:val="clear" w:color="auto" w:fill="auto"/>
        </w:rPr>
      </w:pPr>
      <w:bookmarkStart w:id="20" w:name="_Toc25796"/>
      <w:r>
        <w:rPr>
          <w:rFonts w:hint="eastAsia" w:ascii="方正仿宋_GBK" w:hAnsi="方正仿宋_GBK" w:eastAsia="方正仿宋_GBK" w:cs="方正仿宋_GBK"/>
          <w:color w:val="auto"/>
          <w:kern w:val="0"/>
          <w:sz w:val="32"/>
          <w:szCs w:val="32"/>
          <w:shd w:val="clear" w:color="auto" w:fill="auto"/>
        </w:rPr>
        <w:t>1.</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绩效评价目的</w:t>
      </w:r>
      <w:bookmarkEnd w:id="20"/>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本次自评的目的是了解本单位2020年度财政资金预算支出的绩效状况，为今后预算安排资金提供决策支持。进一步增强本单位支出管理的责任，优化支出结构，保障更好地履行职责，提高财政资金使用效益，办人民满意的教育。</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1"/>
        <w:rPr>
          <w:rFonts w:hint="eastAsia" w:ascii="方正仿宋_GBK" w:hAnsi="方正仿宋_GBK" w:eastAsia="方正仿宋_GBK" w:cs="方正仿宋_GBK"/>
          <w:color w:val="auto"/>
          <w:kern w:val="0"/>
          <w:sz w:val="32"/>
          <w:szCs w:val="32"/>
          <w:shd w:val="clear" w:color="auto" w:fill="auto"/>
        </w:rPr>
      </w:pPr>
      <w:bookmarkStart w:id="21" w:name="_Toc16974"/>
      <w:r>
        <w:rPr>
          <w:rFonts w:hint="eastAsia" w:ascii="方正仿宋_GBK" w:hAnsi="方正仿宋_GBK" w:eastAsia="方正仿宋_GBK" w:cs="方正仿宋_GBK"/>
          <w:color w:val="auto"/>
          <w:kern w:val="0"/>
          <w:sz w:val="32"/>
          <w:szCs w:val="32"/>
          <w:shd w:val="clear" w:color="auto" w:fill="auto"/>
        </w:rPr>
        <w:t>2.</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绩效评价实施过程</w:t>
      </w:r>
      <w:bookmarkEnd w:id="21"/>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根据湘乡市《2021年湘乡市预算部门绩效评价评审考核方案》（湘乡财绩〔2021〕3号）等相关文件要求，本单位制定了部门整体支出绩效评价的工作方案、评价指标，成立了以贺立杰为组长，易立华为副组长，颜小红、刘青山、邓志霞、曾朝明等为成员的绩效评价工作小组，2021年4月06日召开了绩效评价工作安排部署会，于5月5日完成自评工作。绩效评价工作主要如下：</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（1）核实数据。对2020年度部门整体支出数据的准确性、真实性进行核实，将2020年度和2019年度部门整体支出情况进行比较分析。</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（2）查阅资料。查阅2020年度预算安排、预算追加、资金管理、经费支出、资产管理等相关文件资料和财务凭证。</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（3）归纳汇总。对收集的评价材料结合本单位情况进行综合分析、归纳汇总。</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（4）根据评价材料结合各项评价指标进行分析评分。</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（5）形成绩效评价自评报告。</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1"/>
        <w:rPr>
          <w:rFonts w:hint="eastAsia" w:ascii="方正仿宋_GBK" w:hAnsi="方正仿宋_GBK" w:eastAsia="方正仿宋_GBK" w:cs="方正仿宋_GBK"/>
          <w:color w:val="auto"/>
          <w:kern w:val="0"/>
          <w:sz w:val="32"/>
          <w:szCs w:val="32"/>
          <w:shd w:val="clear" w:color="auto" w:fill="auto"/>
        </w:rPr>
      </w:pPr>
      <w:bookmarkStart w:id="22" w:name="_Toc20784"/>
      <w:r>
        <w:rPr>
          <w:rFonts w:hint="eastAsia" w:ascii="方正仿宋_GBK" w:hAnsi="方正仿宋_GBK" w:eastAsia="方正仿宋_GBK" w:cs="方正仿宋_GBK"/>
          <w:color w:val="auto"/>
          <w:kern w:val="0"/>
          <w:sz w:val="32"/>
          <w:szCs w:val="32"/>
          <w:shd w:val="clear" w:color="auto" w:fill="auto"/>
        </w:rPr>
        <w:t>3.</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绩效评价的局限性</w:t>
      </w:r>
      <w:bookmarkEnd w:id="22"/>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lang w:eastAsia="zh-CN"/>
        </w:rPr>
        <w:t>（</w:t>
      </w:r>
      <w:r>
        <w:rPr>
          <w:rFonts w:hint="eastAsia" w:ascii="方正仿宋_GBK" w:hAnsi="方正仿宋_GBK" w:eastAsia="方正仿宋_GBK" w:cs="方正仿宋_GBK"/>
          <w:color w:val="auto"/>
          <w:kern w:val="0"/>
          <w:sz w:val="32"/>
          <w:szCs w:val="32"/>
          <w:shd w:val="clear" w:color="auto" w:fill="auto"/>
          <w:lang w:val="en-US" w:eastAsia="zh-CN"/>
        </w:rPr>
        <w:t>1</w:t>
      </w:r>
      <w:r>
        <w:rPr>
          <w:rFonts w:hint="eastAsia" w:ascii="方正仿宋_GBK" w:hAnsi="方正仿宋_GBK" w:eastAsia="方正仿宋_GBK" w:cs="方正仿宋_GBK"/>
          <w:color w:val="auto"/>
          <w:kern w:val="0"/>
          <w:sz w:val="32"/>
          <w:szCs w:val="32"/>
          <w:shd w:val="clear" w:color="auto" w:fill="auto"/>
          <w:lang w:eastAsia="zh-CN"/>
        </w:rPr>
        <w:t>）</w:t>
      </w:r>
      <w:r>
        <w:rPr>
          <w:rFonts w:hint="eastAsia" w:ascii="方正仿宋_GBK" w:hAnsi="方正仿宋_GBK" w:eastAsia="方正仿宋_GBK" w:cs="方正仿宋_GBK"/>
          <w:color w:val="auto"/>
          <w:kern w:val="0"/>
          <w:sz w:val="32"/>
          <w:szCs w:val="32"/>
          <w:shd w:val="clear" w:color="auto" w:fill="auto"/>
        </w:rPr>
        <w:t>在设计绩效评价体系时目标的确定与量化往往带有较强的主观性与经验主义，申报的绩效指标可能带有一定的不确定性，如公用经费、学生资助人数等以实际受益人数为准。这需要在评价过程中不断完善。</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bookmarkStart w:id="23" w:name="_Hlk41486022"/>
      <w:r>
        <w:rPr>
          <w:rFonts w:hint="eastAsia" w:ascii="方正仿宋_GBK" w:hAnsi="方正仿宋_GBK" w:eastAsia="方正仿宋_GBK" w:cs="方正仿宋_GBK"/>
          <w:color w:val="auto"/>
          <w:kern w:val="0"/>
          <w:sz w:val="32"/>
          <w:szCs w:val="32"/>
          <w:shd w:val="clear" w:color="auto" w:fill="auto"/>
          <w:lang w:eastAsia="zh-CN"/>
        </w:rPr>
        <w:t>（</w:t>
      </w:r>
      <w:r>
        <w:rPr>
          <w:rFonts w:hint="eastAsia" w:ascii="方正仿宋_GBK" w:hAnsi="方正仿宋_GBK" w:eastAsia="方正仿宋_GBK" w:cs="方正仿宋_GBK"/>
          <w:color w:val="auto"/>
          <w:kern w:val="0"/>
          <w:sz w:val="32"/>
          <w:szCs w:val="32"/>
          <w:shd w:val="clear" w:color="auto" w:fill="auto"/>
          <w:lang w:val="en-US" w:eastAsia="zh-CN"/>
        </w:rPr>
        <w:t>2</w:t>
      </w:r>
      <w:r>
        <w:rPr>
          <w:rFonts w:hint="eastAsia" w:ascii="方正仿宋_GBK" w:hAnsi="方正仿宋_GBK" w:eastAsia="方正仿宋_GBK" w:cs="方正仿宋_GBK"/>
          <w:color w:val="auto"/>
          <w:kern w:val="0"/>
          <w:sz w:val="32"/>
          <w:szCs w:val="32"/>
          <w:shd w:val="clear" w:color="auto" w:fill="auto"/>
          <w:lang w:eastAsia="zh-CN"/>
        </w:rPr>
        <w:t>）</w:t>
      </w:r>
      <w:r>
        <w:rPr>
          <w:rFonts w:hint="eastAsia" w:ascii="方正仿宋_GBK" w:hAnsi="方正仿宋_GBK" w:eastAsia="方正仿宋_GBK" w:cs="方正仿宋_GBK"/>
          <w:color w:val="auto"/>
          <w:kern w:val="0"/>
          <w:sz w:val="32"/>
          <w:szCs w:val="32"/>
          <w:shd w:val="clear" w:color="auto" w:fill="auto"/>
        </w:rPr>
        <w:t>绩效评价是一项综合性工作，涉及财务管理、经济学、社会学、工程造价等多项领域，故仅仅依靠财务领域的人员在没有与其他相关领域的专家进行沟通的情况下，对部门整体支出进行独立评价可能结果并不完整。</w:t>
      </w:r>
    </w:p>
    <w:bookmarkEnd w:id="23"/>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bookmarkStart w:id="24" w:name="_Toc27835"/>
      <w:r>
        <w:rPr>
          <w:rFonts w:hint="eastAsia" w:ascii="方正仿宋_GBK" w:hAnsi="方正仿宋_GBK" w:eastAsia="方正仿宋_GBK" w:cs="方正仿宋_GBK"/>
          <w:color w:val="auto"/>
          <w:kern w:val="0"/>
          <w:sz w:val="32"/>
          <w:szCs w:val="32"/>
          <w:shd w:val="clear" w:color="auto" w:fill="auto"/>
          <w:lang w:eastAsia="zh-CN"/>
        </w:rPr>
        <w:t>（</w:t>
      </w:r>
      <w:r>
        <w:rPr>
          <w:rFonts w:hint="eastAsia" w:ascii="方正仿宋_GBK" w:hAnsi="方正仿宋_GBK" w:eastAsia="方正仿宋_GBK" w:cs="方正仿宋_GBK"/>
          <w:color w:val="auto"/>
          <w:kern w:val="0"/>
          <w:sz w:val="32"/>
          <w:szCs w:val="32"/>
          <w:shd w:val="clear" w:color="auto" w:fill="auto"/>
          <w:lang w:val="en-US" w:eastAsia="zh-CN"/>
        </w:rPr>
        <w:t>3</w:t>
      </w:r>
      <w:r>
        <w:rPr>
          <w:rFonts w:hint="eastAsia" w:ascii="方正仿宋_GBK" w:hAnsi="方正仿宋_GBK" w:eastAsia="方正仿宋_GBK" w:cs="方正仿宋_GBK"/>
          <w:color w:val="auto"/>
          <w:kern w:val="0"/>
          <w:sz w:val="32"/>
          <w:szCs w:val="32"/>
          <w:shd w:val="clear" w:color="auto" w:fill="auto"/>
          <w:lang w:eastAsia="zh-CN"/>
        </w:rPr>
        <w:t>）</w:t>
      </w:r>
      <w:r>
        <w:rPr>
          <w:rFonts w:hint="eastAsia" w:ascii="方正仿宋_GBK" w:hAnsi="方正仿宋_GBK" w:eastAsia="方正仿宋_GBK" w:cs="方正仿宋_GBK"/>
          <w:color w:val="auto"/>
          <w:kern w:val="0"/>
          <w:sz w:val="32"/>
          <w:szCs w:val="32"/>
          <w:shd w:val="clear" w:color="auto" w:fill="auto"/>
        </w:rPr>
        <w:t>近年来，绩效评价结果的反馈不够具体，没有具体完整的书面报告反馈，只有“优”、“良”等数字及简要说明，不便于据绩效评价结果加强和改进资金及项目管理，也易造成部门对绩效评价重要性的忽视。</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黑体_GBK" w:hAnsi="方正黑体_GBK" w:eastAsia="方正黑体_GBK" w:cs="方正黑体_GBK"/>
          <w:color w:val="auto"/>
          <w:kern w:val="0"/>
          <w:sz w:val="32"/>
          <w:szCs w:val="32"/>
          <w:shd w:val="clear" w:color="auto" w:fill="auto"/>
        </w:rPr>
      </w:pPr>
      <w:r>
        <w:rPr>
          <w:rFonts w:hint="eastAsia" w:ascii="方正黑体_GBK" w:hAnsi="方正黑体_GBK" w:eastAsia="方正黑体_GBK" w:cs="方正黑体_GBK"/>
          <w:color w:val="auto"/>
          <w:kern w:val="0"/>
          <w:sz w:val="32"/>
          <w:szCs w:val="32"/>
          <w:shd w:val="clear" w:color="auto" w:fill="auto"/>
          <w:lang w:eastAsia="zh-CN"/>
        </w:rPr>
        <w:t>四</w:t>
      </w:r>
      <w:r>
        <w:rPr>
          <w:rFonts w:hint="eastAsia" w:ascii="方正黑体_GBK" w:hAnsi="方正黑体_GBK" w:eastAsia="方正黑体_GBK" w:cs="方正黑体_GBK"/>
          <w:color w:val="auto"/>
          <w:kern w:val="0"/>
          <w:sz w:val="32"/>
          <w:szCs w:val="32"/>
          <w:shd w:val="clear" w:color="auto" w:fill="auto"/>
        </w:rPr>
        <w:t>、部门整体支出绩效评价分析</w:t>
      </w:r>
      <w:bookmarkEnd w:id="24"/>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本单位根据部门整体支出评价指标表作出的自评结果为优秀，具体得分情况如下：</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（一）投入总分12分，自评得分11分。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1</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职责履行 自评得分5分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lang w:val="en-US" w:eastAsia="zh-CN"/>
        </w:rPr>
        <w:t>（1）</w:t>
      </w:r>
      <w:r>
        <w:rPr>
          <w:rFonts w:hint="eastAsia" w:ascii="方正仿宋_GBK" w:hAnsi="方正仿宋_GBK" w:eastAsia="方正仿宋_GBK" w:cs="方正仿宋_GBK"/>
          <w:color w:val="auto"/>
          <w:kern w:val="0"/>
          <w:sz w:val="32"/>
          <w:szCs w:val="32"/>
          <w:shd w:val="clear" w:color="auto" w:fill="auto"/>
        </w:rPr>
        <w:t>义务教育大班额数量保持为0； 2020年春秋两个学期开学，全市义务教育阶段1991个班级班额全部小于55人，保持义务教育大班额数量为0，无一新增。</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lang w:val="en-US" w:eastAsia="zh-CN"/>
        </w:rPr>
        <w:t>（2）</w:t>
      </w:r>
      <w:r>
        <w:rPr>
          <w:rFonts w:hint="eastAsia" w:ascii="方正仿宋_GBK" w:hAnsi="方正仿宋_GBK" w:eastAsia="方正仿宋_GBK" w:cs="方正仿宋_GBK"/>
          <w:color w:val="auto"/>
          <w:kern w:val="0"/>
          <w:sz w:val="32"/>
          <w:szCs w:val="32"/>
          <w:shd w:val="clear" w:color="auto" w:fill="auto"/>
        </w:rPr>
        <w:t>抓好教育扶贫、不让一名孩子因贫辍学，义教控辍保学率达100%；教育扶贫工作在省级扶贫巡察中获上级好评。</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lang w:val="en-US" w:eastAsia="zh-CN"/>
        </w:rPr>
        <w:t>（3）</w:t>
      </w:r>
      <w:r>
        <w:rPr>
          <w:rFonts w:hint="eastAsia" w:ascii="方正仿宋_GBK" w:hAnsi="方正仿宋_GBK" w:eastAsia="方正仿宋_GBK" w:cs="方正仿宋_GBK"/>
          <w:color w:val="auto"/>
          <w:sz w:val="32"/>
          <w:szCs w:val="32"/>
          <w:shd w:val="clear" w:color="auto" w:fill="auto"/>
        </w:rPr>
        <w:t>学前教育三年毛入园率达到86.1%，普惠性幼儿园覆盖率达92%；公办幼儿园在园幼儿占比为42％；我市新增公办学位目标任务2995个，现已完成全年目标任务。</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lang w:val="en-US" w:eastAsia="zh-CN"/>
        </w:rPr>
        <w:t>（4）</w:t>
      </w:r>
      <w:r>
        <w:rPr>
          <w:rFonts w:hint="eastAsia" w:ascii="方正仿宋_GBK" w:hAnsi="方正仿宋_GBK" w:eastAsia="方正仿宋_GBK" w:cs="方正仿宋_GBK"/>
          <w:color w:val="auto"/>
          <w:sz w:val="32"/>
          <w:szCs w:val="32"/>
          <w:shd w:val="clear" w:color="auto" w:fill="auto"/>
        </w:rPr>
        <w:t>学校项目建设实现新跨越。2020年完成了芙蓉学校、东方红望春校区、向阳学校南正街校区、湘铝学校湘铝校区、潭市镇明德学校、月山镇龙洞小学学校建设，壶天镇中学、中沙镇公略小学教师周转房、棋梓镇中学教师周转房及运动场完工投入使用。完成169间教室灯光改造，超额完成湘潭考核既定指标150间。</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2</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履职效益 自评得分 4分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lang w:val="en-US" w:eastAsia="zh-CN"/>
        </w:rPr>
        <w:t>（1）</w:t>
      </w:r>
      <w:r>
        <w:rPr>
          <w:rFonts w:hint="eastAsia" w:ascii="方正仿宋_GBK" w:hAnsi="方正仿宋_GBK" w:eastAsia="方正仿宋_GBK" w:cs="方正仿宋_GBK"/>
          <w:color w:val="auto"/>
          <w:kern w:val="0"/>
          <w:sz w:val="32"/>
          <w:szCs w:val="32"/>
          <w:shd w:val="clear" w:color="auto" w:fill="auto"/>
        </w:rPr>
        <w:t>推进义务教育优质均衡发展；义教均衡差异系数控制为小学&lt;0.65，初中&lt;0.55。据2020年教育事业统计国统数据，</w:t>
      </w:r>
      <w:r>
        <w:rPr>
          <w:rFonts w:hint="eastAsia" w:ascii="方正仿宋_GBK" w:hAnsi="方正仿宋_GBK" w:eastAsia="方正仿宋_GBK" w:cs="方正仿宋_GBK"/>
          <w:color w:val="auto"/>
          <w:sz w:val="32"/>
          <w:szCs w:val="32"/>
          <w:shd w:val="clear" w:color="auto" w:fill="auto"/>
        </w:rPr>
        <w:t>县域义务教育校际间均衡情况，小学综合差异系数：0.608；初中综合差异系数：0.472。</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b w:val="0"/>
          <w:bCs w:val="0"/>
          <w:color w:val="auto"/>
          <w:kern w:val="0"/>
          <w:sz w:val="32"/>
          <w:szCs w:val="32"/>
          <w:shd w:val="clear" w:color="auto" w:fill="auto"/>
        </w:rPr>
      </w:pPr>
      <w:r>
        <w:rPr>
          <w:rFonts w:hint="eastAsia" w:ascii="方正仿宋_GBK" w:hAnsi="方正仿宋_GBK" w:eastAsia="方正仿宋_GBK" w:cs="方正仿宋_GBK"/>
          <w:b w:val="0"/>
          <w:bCs w:val="0"/>
          <w:color w:val="auto"/>
          <w:kern w:val="0"/>
          <w:sz w:val="32"/>
          <w:szCs w:val="32"/>
          <w:shd w:val="clear" w:color="auto" w:fill="auto"/>
          <w:lang w:val="en-US" w:eastAsia="zh-CN"/>
        </w:rPr>
        <w:t>（2）</w:t>
      </w:r>
      <w:r>
        <w:rPr>
          <w:rFonts w:hint="eastAsia" w:ascii="方正仿宋_GBK" w:hAnsi="方正仿宋_GBK" w:eastAsia="方正仿宋_GBK" w:cs="方正仿宋_GBK"/>
          <w:b w:val="0"/>
          <w:bCs w:val="0"/>
          <w:color w:val="auto"/>
          <w:sz w:val="32"/>
          <w:szCs w:val="32"/>
          <w:shd w:val="clear" w:color="auto" w:fill="auto"/>
        </w:rPr>
        <w:t>信息化工程再添新动能。推进市中心机房、“三通两平台”、教育城域网建设工作，完成第二批“三通二平台”建设，建设405间多媒体教室，占比约达83%。举办湘乡教育云平台使用培训，全市中小学骨干教师、教导主任和业务主任共500余人分批参加培训，提升教师信息技术的运用能力。东方红学校、湖铁学校、起凤学校、湘铝学校、中沙镇中学、岐山中学、芙蓉学校成功申报湘潭市教育信息化试点学校，育塅中心小学、棋梓镇中学、潭市明德学校成功申报省级教育信息化教育教学案例。</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b w:val="0"/>
          <w:bCs w:val="0"/>
          <w:color w:val="auto"/>
          <w:kern w:val="0"/>
          <w:sz w:val="32"/>
          <w:szCs w:val="32"/>
          <w:shd w:val="clear" w:color="auto" w:fill="auto"/>
        </w:rPr>
      </w:pPr>
      <w:r>
        <w:rPr>
          <w:rFonts w:hint="eastAsia" w:ascii="方正仿宋_GBK" w:hAnsi="方正仿宋_GBK" w:eastAsia="方正仿宋_GBK" w:cs="方正仿宋_GBK"/>
          <w:b w:val="0"/>
          <w:bCs w:val="0"/>
          <w:color w:val="auto"/>
          <w:kern w:val="0"/>
          <w:sz w:val="32"/>
          <w:szCs w:val="32"/>
          <w:shd w:val="clear" w:color="auto" w:fill="auto"/>
          <w:lang w:val="en-US" w:eastAsia="zh-CN"/>
        </w:rPr>
        <w:t>（3）</w:t>
      </w:r>
      <w:r>
        <w:rPr>
          <w:rFonts w:hint="eastAsia" w:ascii="方正仿宋_GBK" w:hAnsi="方正仿宋_GBK" w:eastAsia="方正仿宋_GBK" w:cs="方正仿宋_GBK"/>
          <w:b w:val="0"/>
          <w:bCs w:val="0"/>
          <w:color w:val="auto"/>
          <w:kern w:val="0"/>
          <w:sz w:val="32"/>
          <w:szCs w:val="32"/>
          <w:shd w:val="clear" w:color="auto" w:fill="auto"/>
        </w:rPr>
        <w:t>全力建设平安校园，</w:t>
      </w:r>
      <w:r>
        <w:rPr>
          <w:rFonts w:hint="eastAsia" w:ascii="方正仿宋_GBK" w:hAnsi="方正仿宋_GBK" w:eastAsia="方正仿宋_GBK" w:cs="方正仿宋_GBK"/>
          <w:b w:val="0"/>
          <w:bCs w:val="0"/>
          <w:color w:val="auto"/>
          <w:sz w:val="32"/>
          <w:szCs w:val="32"/>
          <w:shd w:val="clear" w:color="auto" w:fill="auto"/>
        </w:rPr>
        <w:t>织密校园安全防护网。切实加强中小学幼儿园安防“四项”建设工作，各学校已全部实行封闭式管理，配备安保器材，中小学校及城区幼儿园已安装一键式报警系统，城区各学校（园）配备专职保安，所有公办学校视频监控已全部联入公安系统平台。</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仿宋_GBK" w:hAnsi="方正仿宋_GBK" w:eastAsia="方正仿宋_GBK" w:cs="方正仿宋_GBK"/>
          <w:b w:val="0"/>
          <w:bCs w:val="0"/>
          <w:color w:val="auto"/>
          <w:sz w:val="32"/>
          <w:szCs w:val="32"/>
          <w:shd w:val="clear" w:color="auto" w:fill="auto"/>
        </w:rPr>
      </w:pPr>
      <w:r>
        <w:rPr>
          <w:rFonts w:hint="eastAsia" w:ascii="方正仿宋_GBK" w:hAnsi="方正仿宋_GBK" w:eastAsia="方正仿宋_GBK" w:cs="方正仿宋_GBK"/>
          <w:b w:val="0"/>
          <w:bCs w:val="0"/>
          <w:color w:val="auto"/>
          <w:kern w:val="0"/>
          <w:sz w:val="32"/>
          <w:szCs w:val="32"/>
          <w:shd w:val="clear" w:color="auto" w:fill="auto"/>
          <w:lang w:val="en-US" w:eastAsia="zh-CN"/>
        </w:rPr>
        <w:t>（4）</w:t>
      </w:r>
      <w:r>
        <w:rPr>
          <w:rFonts w:hint="eastAsia" w:ascii="方正仿宋_GBK" w:hAnsi="方正仿宋_GBK" w:eastAsia="方正仿宋_GBK" w:cs="方正仿宋_GBK"/>
          <w:b w:val="0"/>
          <w:bCs w:val="0"/>
          <w:color w:val="auto"/>
          <w:sz w:val="32"/>
          <w:szCs w:val="32"/>
          <w:shd w:val="clear" w:color="auto" w:fill="auto"/>
        </w:rPr>
        <w:t>全面发展学生素质教育。紧紧围绕立德树人根本任务，坚持以学生全面、健康发展为核心，组织参加湘潭市中小学生“艺术百佳”评选活动，组织开展湘乡市2020年中小学田径运动会，湘乡市第43届科技创新大赛，小学生科学中长期观察日记评比、数学日记朗诵比赛、英语朗诵比赛、中小学学生作文竞赛、““疫”路成长”主题征文活动等。各学校成立学雷锋活动服务队，开展新时代文明实践活动。</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仿宋_GBK" w:hAnsi="方正仿宋_GBK" w:eastAsia="方正仿宋_GBK" w:cs="方正仿宋_GBK"/>
          <w:b w:val="0"/>
          <w:bCs w:val="0"/>
          <w:color w:val="auto"/>
          <w:sz w:val="32"/>
          <w:szCs w:val="32"/>
          <w:shd w:val="clear" w:color="auto" w:fill="auto"/>
        </w:rPr>
      </w:pPr>
      <w:r>
        <w:rPr>
          <w:rFonts w:hint="eastAsia" w:ascii="方正仿宋_GBK" w:hAnsi="方正仿宋_GBK" w:eastAsia="方正仿宋_GBK" w:cs="方正仿宋_GBK"/>
          <w:b w:val="0"/>
          <w:bCs w:val="0"/>
          <w:color w:val="auto"/>
          <w:kern w:val="0"/>
          <w:sz w:val="32"/>
          <w:szCs w:val="32"/>
          <w:shd w:val="clear" w:color="auto" w:fill="auto"/>
          <w:lang w:val="en-US" w:eastAsia="zh-CN"/>
        </w:rPr>
        <w:t>（5）</w:t>
      </w:r>
      <w:r>
        <w:rPr>
          <w:rFonts w:hint="eastAsia" w:ascii="方正仿宋_GBK" w:hAnsi="方正仿宋_GBK" w:eastAsia="方正仿宋_GBK" w:cs="方正仿宋_GBK"/>
          <w:b w:val="0"/>
          <w:bCs w:val="0"/>
          <w:color w:val="auto"/>
          <w:sz w:val="32"/>
          <w:szCs w:val="32"/>
          <w:shd w:val="clear" w:color="auto" w:fill="auto"/>
        </w:rPr>
        <w:t>教师补充持续跟进。2020年，公开招聘新教师207人，选送197名农村中小学幼儿园公费定向培养师范生。教师待遇不断提高。2020年落实并发放乡村教师人才津贴，提高农村教师待遇，提升农村教师的职业吸引力，激发优秀教师到农村学校任教的强大内生动力。</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3</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履职满意度 自评得分 1分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学校办学条件改善，教育教学水平提升，教育现状更令教师、学生、家长、群众满意，满意度均达95%以上。</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4</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预算配置2分，自评得分1分。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b w:val="0"/>
          <w:bCs w:val="0"/>
          <w:color w:val="auto"/>
          <w:kern w:val="0"/>
          <w:sz w:val="32"/>
          <w:szCs w:val="32"/>
          <w:shd w:val="clear" w:color="auto" w:fill="auto"/>
          <w:lang w:val="en-US" w:eastAsia="zh-CN"/>
        </w:rPr>
        <w:t>（1）</w:t>
      </w:r>
      <w:r>
        <w:rPr>
          <w:rFonts w:hint="eastAsia" w:ascii="方正仿宋_GBK" w:hAnsi="方正仿宋_GBK" w:eastAsia="方正仿宋_GBK" w:cs="方正仿宋_GBK"/>
          <w:color w:val="auto"/>
          <w:kern w:val="0"/>
          <w:sz w:val="32"/>
          <w:szCs w:val="32"/>
          <w:shd w:val="clear" w:color="auto" w:fill="auto"/>
        </w:rPr>
        <w:t>在职人员控制率得1分：2020年本单位中小学人员编制数为5518人，中小学实际在职编制人数5434人，在职人员控制率是（5434/5518）*100%=98.48%，计1分。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b w:val="0"/>
          <w:bCs w:val="0"/>
          <w:color w:val="auto"/>
          <w:kern w:val="0"/>
          <w:sz w:val="32"/>
          <w:szCs w:val="32"/>
          <w:shd w:val="clear" w:color="auto" w:fill="auto"/>
          <w:lang w:val="en-US" w:eastAsia="zh-CN"/>
        </w:rPr>
        <w:t>（2）</w:t>
      </w:r>
      <w:r>
        <w:rPr>
          <w:rFonts w:hint="eastAsia" w:ascii="方正仿宋_GBK" w:hAnsi="方正仿宋_GBK" w:eastAsia="方正仿宋_GBK" w:cs="方正仿宋_GBK"/>
          <w:color w:val="auto"/>
          <w:kern w:val="0"/>
          <w:sz w:val="32"/>
          <w:szCs w:val="32"/>
          <w:shd w:val="clear" w:color="auto" w:fill="auto"/>
        </w:rPr>
        <w:t>“三公经费”变动率得0分：2020年的“三公经费”预算数为110万，2020年实际支出数为13.6万元2019年的“三公经费”总额为11.6万，2020年的“三公经费”总额为13.6万，“三公经费”变动率=[（本年度13.6万-上年度总额11.6万）/上年度总额11.6万]*100%=17.24%，计0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楷体_GBK" w:hAnsi="方正楷体_GBK" w:eastAsia="方正楷体_GBK" w:cs="方正楷体_GBK"/>
          <w:b/>
          <w:bCs/>
          <w:color w:val="auto"/>
          <w:kern w:val="0"/>
          <w:sz w:val="32"/>
          <w:szCs w:val="32"/>
          <w:shd w:val="clear" w:color="auto" w:fill="auto"/>
        </w:rPr>
      </w:pPr>
      <w:r>
        <w:rPr>
          <w:rFonts w:hint="eastAsia" w:ascii="方正楷体_GBK" w:hAnsi="方正楷体_GBK" w:eastAsia="方正楷体_GBK" w:cs="方正楷体_GBK"/>
          <w:b/>
          <w:bCs/>
          <w:color w:val="auto"/>
          <w:kern w:val="0"/>
          <w:sz w:val="32"/>
          <w:szCs w:val="32"/>
          <w:shd w:val="clear" w:color="auto" w:fill="auto"/>
        </w:rPr>
        <w:t>（二）过程计分18分，自评得分17分</w:t>
      </w:r>
    </w:p>
    <w:p>
      <w:pPr>
        <w:keepNext w:val="0"/>
        <w:keepLines w:val="0"/>
        <w:pageBreakBefore w:val="0"/>
        <w:kinsoku/>
        <w:wordWrap/>
        <w:topLinePunct w:val="0"/>
        <w:autoSpaceDE/>
        <w:autoSpaceDN/>
        <w:bidi w:val="0"/>
        <w:snapToGrid w:val="0"/>
        <w:spacing w:line="600" w:lineRule="exact"/>
        <w:ind w:left="0" w:right="0" w:firstLine="640" w:firstLineChars="200"/>
        <w:textAlignment w:val="auto"/>
        <w:rPr>
          <w:rFonts w:hint="eastAsia" w:ascii="方正仿宋_GBK" w:hAnsi="方正仿宋_GBK" w:eastAsia="方正仿宋_GBK" w:cs="方正仿宋_GBK"/>
          <w:color w:val="auto"/>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①预算调整率计2分，自评得1.5分：年初公共财政拨款预算56144.22万元，决算数87591.19万元，扣除落实国家政策，上级部门和本级党委政府临时交办而产生的预算调整</w:t>
      </w:r>
      <w:r>
        <w:rPr>
          <w:rFonts w:hint="eastAsia" w:ascii="方正仿宋_GBK" w:hAnsi="方正仿宋_GBK" w:eastAsia="方正仿宋_GBK" w:cs="方正仿宋_GBK"/>
          <w:color w:val="auto"/>
          <w:sz w:val="32"/>
          <w:szCs w:val="32"/>
          <w:shd w:val="clear" w:color="auto" w:fill="auto"/>
        </w:rPr>
        <w:t>（1）、2020年本级教育专项经费7826万元;(2)、2018年教育系统综治奖6000万元；（3）、2018年教师年终绩效考核奖1054万元；（4）、2019年高中绩效考核奖1292万元；（5）、2020年第二批第三批债券资金2200万元 ；（6）其它中央和省级专项追加13074.98万元：如城乡保障机制经费、学生资助经费、高中和幼儿公用经费、乡村人才教师津贴、薄弱学校提质改造等。</w:t>
      </w:r>
      <w:r>
        <w:rPr>
          <w:rFonts w:hint="eastAsia" w:ascii="方正仿宋_GBK" w:hAnsi="方正仿宋_GBK" w:eastAsia="方正仿宋_GBK" w:cs="方正仿宋_GBK"/>
          <w:color w:val="auto"/>
          <w:kern w:val="0"/>
          <w:sz w:val="32"/>
          <w:szCs w:val="32"/>
          <w:shd w:val="clear" w:color="auto" w:fill="auto"/>
        </w:rPr>
        <w:t>此部分调整应予以剔除。剔除后的预算调整率=79787-4292-17181-53740)/53740*100%=8.51%，计1.5分。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②基本支出预算控制率计2分，自评得2分：2019年预算基本支出为61398万元，2019年基本支出决算为84075万元，主要原因：2019年专项追加：1、农村义教专户保障机制支出6073万元其中公用经费5257万元，贫困寄宿生补助支出816万元。2、为落实国家政策，上级部门和本级党委政府临时交办而产生的各项基本支出13293万元。3、2019年教育专项支出4292万元。剔除后的预算控制率=（基本支出实际支出60417万元/基本支出年度总预算61398万元）*100%=98%,计2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③项目支出预算控制率计2分，自评得2分：预算控制率=（项目支出实际支出450万元/项目支出年度总预算450万元）*100%=100%,计2分。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④资金结余计2分，自评得1.5分。上年累计结转10833.12万元，本年预算收支结余8457.84万元，但因财政资金调度困难，累计实际结余数为19290万元，财政结转清理12000万元，账面结余7090.96万元，有结余但不超过上年结转，计0.5分；分项目核算结余结转，计1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⑤“三公经费”控制率得2分：（2020年“三公经费”实际支出数13.6万 /“三公经费”预算安排数110万）*100%=12%，小于100%，计2分。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2.</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预算管理计6分，自评得分6分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①管理制度健全性2分：已制定预算资金管理办法，内部财务管理制度、会计核算制度等管理制度，计1分；相关管理制度合法、合规、完整，1分。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②专账核算1分。教育局项目支出实行指标结算，专款专用，结算及时核算规范，计1分。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③预决算信息公开性和完善性得2分：在规定的时间内按要求在本单位门户网站和政府网站公开预决算信息，计2分。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④政府采购完成情况得1分：教育局各单位严格按照政府采购要求进行了政府采购。</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3.</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资产管理计2分，自评得2分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有内部财务管理制度、固定资产管理制度、内部控制制度、会计核算制度等管理制度、厉行节约制度，1分；相关管理制度合法、合规、完整，1分。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楷体_GBK" w:hAnsi="方正楷体_GBK" w:eastAsia="方正楷体_GBK" w:cs="方正楷体_GBK"/>
          <w:b/>
          <w:bCs/>
          <w:color w:val="auto"/>
          <w:kern w:val="0"/>
          <w:sz w:val="32"/>
          <w:szCs w:val="32"/>
          <w:shd w:val="clear" w:color="auto" w:fill="auto"/>
        </w:rPr>
      </w:pPr>
      <w:r>
        <w:rPr>
          <w:rFonts w:hint="eastAsia" w:ascii="方正楷体_GBK" w:hAnsi="方正楷体_GBK" w:eastAsia="方正楷体_GBK" w:cs="方正楷体_GBK"/>
          <w:b/>
          <w:bCs/>
          <w:color w:val="auto"/>
          <w:kern w:val="0"/>
          <w:sz w:val="32"/>
          <w:szCs w:val="32"/>
          <w:shd w:val="clear" w:color="auto" w:fill="auto"/>
        </w:rPr>
        <w:t>（三）绩效计70分，自评得分70分。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1.职责履行计30分，自评得30分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①数量指标实际完成率，分值9分，自评得9分。</w:t>
      </w:r>
    </w:p>
    <w:p>
      <w:pPr>
        <w:pStyle w:val="11"/>
        <w:keepNext w:val="0"/>
        <w:keepLines w:val="0"/>
        <w:pageBreakBefore w:val="0"/>
        <w:numPr>
          <w:ilvl w:val="0"/>
          <w:numId w:val="2"/>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全面化解义务教育大班额，分值1分，自评得分1分。</w:t>
      </w:r>
    </w:p>
    <w:p>
      <w:pPr>
        <w:pStyle w:val="11"/>
        <w:keepNext w:val="0"/>
        <w:keepLines w:val="0"/>
        <w:pageBreakBefore w:val="0"/>
        <w:numPr>
          <w:ilvl w:val="0"/>
          <w:numId w:val="2"/>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义教控辍保学率达100%，分值1分，自评得分1分。</w:t>
      </w:r>
    </w:p>
    <w:p>
      <w:pPr>
        <w:pStyle w:val="11"/>
        <w:keepNext w:val="0"/>
        <w:keepLines w:val="0"/>
        <w:pageBreakBefore w:val="0"/>
        <w:numPr>
          <w:ilvl w:val="0"/>
          <w:numId w:val="2"/>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加大公办幼儿园建设力度、公办幼儿园占比超过40%，分值2分，自评得分2分。</w:t>
      </w:r>
    </w:p>
    <w:p>
      <w:pPr>
        <w:pStyle w:val="11"/>
        <w:keepNext w:val="0"/>
        <w:keepLines w:val="0"/>
        <w:pageBreakBefore w:val="0"/>
        <w:numPr>
          <w:ilvl w:val="0"/>
          <w:numId w:val="2"/>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公用经费受益人数85000人，实际受益人数90013人，分值2分，自评得分2分。公办普通</w:t>
      </w:r>
      <w:r>
        <w:rPr>
          <w:rFonts w:hint="eastAsia" w:ascii="方正仿宋_GBK" w:hAnsi="方正仿宋_GBK" w:eastAsia="方正仿宋_GBK" w:cs="方正仿宋_GBK"/>
          <w:color w:val="auto"/>
          <w:sz w:val="32"/>
          <w:szCs w:val="32"/>
          <w:shd w:val="clear" w:color="auto" w:fill="auto"/>
        </w:rPr>
        <w:t>高中生11935人，初中生21570人，小学生47768人，公办幼儿园在园幼儿8740人。</w:t>
      </w:r>
    </w:p>
    <w:p>
      <w:pPr>
        <w:pStyle w:val="11"/>
        <w:keepNext w:val="0"/>
        <w:keepLines w:val="0"/>
        <w:pageBreakBefore w:val="0"/>
        <w:numPr>
          <w:ilvl w:val="0"/>
          <w:numId w:val="2"/>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sz w:val="32"/>
          <w:szCs w:val="32"/>
          <w:shd w:val="clear" w:color="auto" w:fill="auto"/>
        </w:rPr>
        <w:t>学生资助人次达18000次以上建档立卡学生资助覆盖率达100%，分值1分，自评得1分。</w:t>
      </w:r>
    </w:p>
    <w:p>
      <w:pPr>
        <w:pStyle w:val="11"/>
        <w:keepNext w:val="0"/>
        <w:keepLines w:val="0"/>
        <w:pageBreakBefore w:val="0"/>
        <w:numPr>
          <w:ilvl w:val="0"/>
          <w:numId w:val="2"/>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薄弱学校提质改造10所，分值1分，自评得分1分。</w:t>
      </w:r>
    </w:p>
    <w:p>
      <w:pPr>
        <w:pStyle w:val="11"/>
        <w:keepNext w:val="0"/>
        <w:keepLines w:val="0"/>
        <w:pageBreakBefore w:val="0"/>
        <w:numPr>
          <w:ilvl w:val="0"/>
          <w:numId w:val="2"/>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新建公办园3所，分值1分，自评得分1所。</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2</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重点工作办结率达100%，分值7分，自评得7分。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sz w:val="32"/>
          <w:szCs w:val="32"/>
          <w:shd w:val="clear" w:color="auto" w:fill="auto"/>
        </w:rPr>
        <w:t>2020年完成了芙蓉学校、东方红望春校区、向阳学校南正街校区、湘铝学校湘铝校区、潭市镇明德学校、月山镇龙洞小学学校建设，壶天镇中学、中沙镇公略小学教师周转房、棋梓镇中学教师周转房及运动场完工投入使用。完成</w:t>
      </w:r>
      <w:r>
        <w:rPr>
          <w:rFonts w:hint="eastAsia" w:ascii="方正仿宋_GBK" w:hAnsi="方正仿宋_GBK" w:eastAsia="方正仿宋_GBK" w:cs="方正仿宋_GBK"/>
          <w:b/>
          <w:bCs/>
          <w:color w:val="auto"/>
          <w:sz w:val="32"/>
          <w:szCs w:val="32"/>
          <w:shd w:val="clear" w:color="auto" w:fill="auto"/>
        </w:rPr>
        <w:t>169</w:t>
      </w:r>
      <w:r>
        <w:rPr>
          <w:rFonts w:hint="eastAsia" w:ascii="方正仿宋_GBK" w:hAnsi="方正仿宋_GBK" w:eastAsia="方正仿宋_GBK" w:cs="方正仿宋_GBK"/>
          <w:color w:val="auto"/>
          <w:sz w:val="32"/>
          <w:szCs w:val="32"/>
          <w:shd w:val="clear" w:color="auto" w:fill="auto"/>
        </w:rPr>
        <w:t>间教室灯光改造，超额完成湘潭考核既定指标150间。</w:t>
      </w:r>
      <w:r>
        <w:rPr>
          <w:rFonts w:hint="eastAsia" w:ascii="方正仿宋_GBK" w:hAnsi="方正仿宋_GBK" w:eastAsia="方正仿宋_GBK" w:cs="方正仿宋_GBK"/>
          <w:color w:val="auto"/>
          <w:kern w:val="0"/>
          <w:sz w:val="32"/>
          <w:szCs w:val="32"/>
          <w:shd w:val="clear" w:color="auto" w:fill="auto"/>
        </w:rPr>
        <w:t>所有计划在2020年度完成的重点项目均按预定进度完成。</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3</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质量指标达标率，分值7分，自评分7分。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A、湘乡市2020年6-11周岁适龄儿童46338人，已入学的儿童数为46338人， 2020年适龄儿童入学率100%。计2分。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B、湘乡市2019年下学期小学六年级定案人数为6109人，2020年小升初6109，其中298人在外县市就读，其余均在本县市内就读。小升初入学率为100%，计2分。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C、高中学考正考合格率达99.93%，超过预定目标值94.84%。</w:t>
      </w:r>
      <w:r>
        <w:rPr>
          <w:rFonts w:hint="eastAsia" w:ascii="方正仿宋_GBK" w:hAnsi="方正仿宋_GBK" w:eastAsia="方正仿宋_GBK" w:cs="方正仿宋_GBK"/>
          <w:color w:val="auto"/>
          <w:sz w:val="32"/>
          <w:szCs w:val="32"/>
          <w:shd w:val="clear" w:color="auto" w:fill="auto"/>
        </w:rPr>
        <w:t>2020年高考中，全市本科上线人数超过2000人，一本上线人数超过1160人，600分上线人数超过180人。其中，王希贤以689分获得湘潭市理科第一名，被清华大学录取。计2分。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D、工程竣工验收合格率为100%。计1分。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2020年度、教育系统验收的各类大小工程全部合格，竣工验收合格率为100%。计1分。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4</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时效指标达标率，分值7分，自评分7分。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教育系统的重点项目均及时完成，实事项目及时向发改、统计、人社等部门按月申报数据，并在政府网站上公示项目进度。重点项目按部就班推进，均能按既定计划运行。自评得分7分。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2</w:t>
      </w: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履职效益分值35分，自评得35分。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①社会效益计27分，自评得27分。</w:t>
      </w:r>
    </w:p>
    <w:p>
      <w:pPr>
        <w:pStyle w:val="11"/>
        <w:keepNext w:val="0"/>
        <w:keepLines w:val="0"/>
        <w:pageBreakBefore w:val="0"/>
        <w:numPr>
          <w:ilvl w:val="0"/>
          <w:numId w:val="3"/>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中小学教育教学水平稳步提升。2020年被评为湘潭市初中教育质量提升奖（教育行政部门类）一等奖、湘潭市普通高中教学质量提升奖（教育行政部门类）二等奖，创新人才培养突出贡献奖，优秀志愿组织（团队）。计6分，自评得6分；</w:t>
      </w:r>
    </w:p>
    <w:p>
      <w:pPr>
        <w:pStyle w:val="11"/>
        <w:keepNext w:val="0"/>
        <w:keepLines w:val="0"/>
        <w:pageBreakBefore w:val="0"/>
        <w:numPr>
          <w:ilvl w:val="0"/>
          <w:numId w:val="3"/>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学龄前入学率达100%。计3分，自评得3分。</w:t>
      </w:r>
    </w:p>
    <w:p>
      <w:pPr>
        <w:pStyle w:val="11"/>
        <w:keepNext w:val="0"/>
        <w:keepLines w:val="0"/>
        <w:pageBreakBefore w:val="0"/>
        <w:numPr>
          <w:ilvl w:val="0"/>
          <w:numId w:val="3"/>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小升初入学率达100%。计3分，自评得3分；</w:t>
      </w:r>
    </w:p>
    <w:p>
      <w:pPr>
        <w:pStyle w:val="11"/>
        <w:keepNext w:val="0"/>
        <w:keepLines w:val="0"/>
        <w:pageBreakBefore w:val="0"/>
        <w:numPr>
          <w:ilvl w:val="0"/>
          <w:numId w:val="3"/>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学前教育大步发展，公办在园幼儿占比达42%。计3分，自评得3分；</w:t>
      </w:r>
    </w:p>
    <w:p>
      <w:pPr>
        <w:pStyle w:val="11"/>
        <w:keepNext w:val="0"/>
        <w:keepLines w:val="0"/>
        <w:pageBreakBefore w:val="0"/>
        <w:numPr>
          <w:ilvl w:val="0"/>
          <w:numId w:val="3"/>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校园安全落实到位。计3分，自评得3分；</w:t>
      </w:r>
    </w:p>
    <w:p>
      <w:pPr>
        <w:pStyle w:val="11"/>
        <w:keepNext w:val="0"/>
        <w:keepLines w:val="0"/>
        <w:pageBreakBefore w:val="0"/>
        <w:numPr>
          <w:ilvl w:val="0"/>
          <w:numId w:val="3"/>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重点项目建设效果优秀，办学条件改善明显。计3分，自评得3分；</w:t>
      </w:r>
    </w:p>
    <w:p>
      <w:pPr>
        <w:pStyle w:val="11"/>
        <w:keepNext w:val="0"/>
        <w:keepLines w:val="0"/>
        <w:pageBreakBefore w:val="0"/>
        <w:numPr>
          <w:ilvl w:val="0"/>
          <w:numId w:val="3"/>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思想宣传工作富有成效。计3分，自评得3分；</w:t>
      </w:r>
    </w:p>
    <w:p>
      <w:pPr>
        <w:pStyle w:val="11"/>
        <w:keepNext w:val="0"/>
        <w:keepLines w:val="0"/>
        <w:pageBreakBefore w:val="0"/>
        <w:numPr>
          <w:ilvl w:val="0"/>
          <w:numId w:val="3"/>
        </w:numPr>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义务教育大班额全面清零。计3分，自评得3分；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②生态效益计4分，自评得4分。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创建生态文明校园，加强生态文明教育，文明的教育人，培养了一批文明的接班人。</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③可持续影响计4分，自评得4分。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创建低碳校园，长期规划与近期目标相协调，教育步入可持续发展的绿色通道。</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3.履职满意度计5分，自评得5分。</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据问卷调查，社会公众或服务对象对教育局部门绩效的满意度达到98%以上，自评得5分。教职工满意度98.5%，学生满意度98.3%，家长满意度98.2%。</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综合以上各项指标，我局财务管理制度健全规范，无违规违纪现象，2020年部门整体支出绩效自评得分98分。</w:t>
      </w:r>
    </w:p>
    <w:p>
      <w:pPr>
        <w:keepNext w:val="0"/>
        <w:keepLines w:val="0"/>
        <w:pageBreakBefore w:val="0"/>
        <w:shd w:val="clear" w:color="auto" w:fill="FFFFFF"/>
        <w:kinsoku/>
        <w:wordWrap/>
        <w:topLinePunct w:val="0"/>
        <w:autoSpaceDE/>
        <w:autoSpaceDN/>
        <w:bidi w:val="0"/>
        <w:spacing w:line="600" w:lineRule="exact"/>
        <w:ind w:left="0" w:right="0" w:firstLine="640" w:firstLineChars="200"/>
        <w:jc w:val="left"/>
        <w:textAlignment w:val="auto"/>
        <w:outlineLvl w:val="0"/>
        <w:rPr>
          <w:rFonts w:hint="eastAsia" w:ascii="方正黑体_GBK" w:hAnsi="方正黑体_GBK" w:eastAsia="方正黑体_GBK" w:cs="方正黑体_GBK"/>
          <w:color w:val="auto"/>
          <w:kern w:val="0"/>
          <w:sz w:val="32"/>
          <w:szCs w:val="32"/>
          <w:shd w:val="clear" w:color="auto" w:fill="auto"/>
        </w:rPr>
      </w:pPr>
      <w:r>
        <w:rPr>
          <w:rFonts w:hint="eastAsia" w:ascii="方正黑体_GBK" w:hAnsi="方正黑体_GBK" w:eastAsia="方正黑体_GBK" w:cs="方正黑体_GBK"/>
          <w:color w:val="auto"/>
          <w:kern w:val="0"/>
          <w:sz w:val="32"/>
          <w:szCs w:val="32"/>
          <w:shd w:val="clear" w:color="auto" w:fill="auto"/>
          <w:lang w:eastAsia="zh-CN"/>
        </w:rPr>
        <w:t>五</w:t>
      </w:r>
      <w:r>
        <w:rPr>
          <w:rFonts w:hint="eastAsia" w:ascii="方正黑体_GBK" w:hAnsi="方正黑体_GBK" w:eastAsia="方正黑体_GBK" w:cs="方正黑体_GBK"/>
          <w:color w:val="auto"/>
          <w:kern w:val="0"/>
          <w:sz w:val="32"/>
          <w:szCs w:val="32"/>
          <w:shd w:val="clear" w:color="auto" w:fill="auto"/>
        </w:rPr>
        <w:t>、存在问题与建议</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存在的问题：绩效评价过于侧重纸质资料收集、自评报告撰写等表层工作，对资金绩效实地查看现场调研深层次评价不够；纸质资料真假靠人品，可能诚实的打低分，虚报的得高分；绩效评价工作对项目、资金安排的监督作用体现不够。绩效评价只有分数，没有反馈的书面材料，不知哪里不足，无法对标改进。</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rPr>
        <w:t>建议：加强队伍建设，抓好绩效评价管理部门的队伍建设和业务指导，重视绩效评价的反馈作用，建立绩效评价的长效机制。 </w:t>
      </w: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p>
    <w:p>
      <w:pPr>
        <w:keepNext w:val="0"/>
        <w:keepLines w:val="0"/>
        <w:pageBreakBefore w:val="0"/>
        <w:kinsoku/>
        <w:wordWrap/>
        <w:topLinePunct w:val="0"/>
        <w:autoSpaceDE/>
        <w:autoSpaceDN/>
        <w:bidi w:val="0"/>
        <w:spacing w:line="600" w:lineRule="exact"/>
        <w:ind w:left="0" w:right="0" w:firstLine="640" w:firstLineChars="200"/>
        <w:jc w:val="left"/>
        <w:textAlignment w:val="auto"/>
        <w:rPr>
          <w:rFonts w:hint="eastAsia" w:ascii="方正仿宋_GBK" w:hAnsi="方正仿宋_GBK" w:eastAsia="方正仿宋_GBK" w:cs="方正仿宋_GBK"/>
          <w:color w:val="auto"/>
          <w:kern w:val="0"/>
          <w:sz w:val="32"/>
          <w:szCs w:val="32"/>
          <w:shd w:val="clear" w:color="auto" w:fill="auto"/>
        </w:rPr>
      </w:pPr>
    </w:p>
    <w:p>
      <w:pPr>
        <w:keepNext w:val="0"/>
        <w:keepLines w:val="0"/>
        <w:pageBreakBefore w:val="0"/>
        <w:kinsoku/>
        <w:wordWrap/>
        <w:topLinePunct w:val="0"/>
        <w:autoSpaceDE/>
        <w:autoSpaceDN/>
        <w:bidi w:val="0"/>
        <w:spacing w:line="600" w:lineRule="exact"/>
        <w:ind w:left="0" w:right="0" w:firstLine="640" w:firstLineChars="200"/>
        <w:jc w:val="center"/>
        <w:textAlignment w:val="auto"/>
        <w:rPr>
          <w:rFonts w:hint="eastAsia" w:ascii="方正仿宋_GBK" w:hAnsi="方正仿宋_GBK" w:eastAsia="方正仿宋_GBK" w:cs="方正仿宋_GBK"/>
          <w:color w:val="auto"/>
          <w:kern w:val="0"/>
          <w:sz w:val="32"/>
          <w:szCs w:val="32"/>
          <w:shd w:val="clear" w:color="auto" w:fill="auto"/>
        </w:rPr>
      </w:pP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湘乡市教育局</w:t>
      </w:r>
    </w:p>
    <w:p>
      <w:pPr>
        <w:keepNext w:val="0"/>
        <w:keepLines w:val="0"/>
        <w:pageBreakBefore w:val="0"/>
        <w:kinsoku/>
        <w:wordWrap/>
        <w:topLinePunct w:val="0"/>
        <w:autoSpaceDE/>
        <w:autoSpaceDN/>
        <w:bidi w:val="0"/>
        <w:spacing w:line="600" w:lineRule="exact"/>
        <w:ind w:left="0" w:right="0" w:firstLine="640" w:firstLineChars="200"/>
        <w:jc w:val="center"/>
        <w:textAlignment w:val="auto"/>
        <w:rPr>
          <w:rFonts w:hint="eastAsia" w:ascii="黑体" w:eastAsia="黑体" w:cs="黑体"/>
          <w:color w:val="000000"/>
          <w:kern w:val="0"/>
          <w:sz w:val="70"/>
          <w:szCs w:val="70"/>
        </w:rPr>
      </w:pPr>
      <w:r>
        <w:rPr>
          <w:rFonts w:hint="eastAsia" w:ascii="方正仿宋_GBK" w:hAnsi="方正仿宋_GBK" w:eastAsia="方正仿宋_GBK" w:cs="方正仿宋_GBK"/>
          <w:color w:val="auto"/>
          <w:kern w:val="0"/>
          <w:sz w:val="32"/>
          <w:szCs w:val="32"/>
          <w:shd w:val="clear" w:color="auto" w:fill="auto"/>
          <w:lang w:val="en-US" w:eastAsia="zh-CN"/>
        </w:rPr>
        <w:t xml:space="preserve">                               </w:t>
      </w:r>
      <w:r>
        <w:rPr>
          <w:rFonts w:hint="eastAsia" w:ascii="方正仿宋_GBK" w:hAnsi="方正仿宋_GBK" w:eastAsia="方正仿宋_GBK" w:cs="方正仿宋_GBK"/>
          <w:color w:val="auto"/>
          <w:kern w:val="0"/>
          <w:sz w:val="32"/>
          <w:szCs w:val="32"/>
          <w:shd w:val="clear" w:color="auto" w:fill="auto"/>
        </w:rPr>
        <w:t>2021</w:t>
      </w:r>
      <w:r>
        <w:rPr>
          <w:rFonts w:hint="eastAsia" w:ascii="方正仿宋_GBK" w:hAnsi="方正仿宋_GBK" w:eastAsia="方正仿宋_GBK" w:cs="方正仿宋_GBK"/>
          <w:color w:val="auto"/>
          <w:kern w:val="0"/>
          <w:sz w:val="32"/>
          <w:szCs w:val="32"/>
          <w:shd w:val="clear" w:color="auto" w:fill="auto"/>
          <w:lang w:eastAsia="zh-CN"/>
        </w:rPr>
        <w:t>年</w:t>
      </w:r>
      <w:r>
        <w:rPr>
          <w:rFonts w:hint="eastAsia" w:ascii="方正仿宋_GBK" w:hAnsi="方正仿宋_GBK" w:eastAsia="方正仿宋_GBK" w:cs="方正仿宋_GBK"/>
          <w:color w:val="auto"/>
          <w:kern w:val="0"/>
          <w:sz w:val="32"/>
          <w:szCs w:val="32"/>
          <w:shd w:val="clear" w:color="auto" w:fill="auto"/>
        </w:rPr>
        <w:t>4</w:t>
      </w:r>
      <w:r>
        <w:rPr>
          <w:rFonts w:hint="eastAsia" w:ascii="方正仿宋_GBK" w:hAnsi="方正仿宋_GBK" w:eastAsia="方正仿宋_GBK" w:cs="方正仿宋_GBK"/>
          <w:color w:val="auto"/>
          <w:kern w:val="0"/>
          <w:sz w:val="32"/>
          <w:szCs w:val="32"/>
          <w:shd w:val="clear" w:color="auto" w:fill="auto"/>
          <w:lang w:eastAsia="zh-CN"/>
        </w:rPr>
        <w:t>月</w:t>
      </w:r>
      <w:r>
        <w:rPr>
          <w:rFonts w:hint="eastAsia" w:ascii="方正仿宋_GBK" w:hAnsi="方正仿宋_GBK" w:eastAsia="方正仿宋_GBK" w:cs="方正仿宋_GBK"/>
          <w:color w:val="auto"/>
          <w:kern w:val="0"/>
          <w:sz w:val="32"/>
          <w:szCs w:val="32"/>
          <w:shd w:val="clear" w:color="auto" w:fill="auto"/>
        </w:rPr>
        <w:t>29</w:t>
      </w:r>
      <w:r>
        <w:rPr>
          <w:rFonts w:hint="eastAsia" w:ascii="方正仿宋_GBK" w:hAnsi="方正仿宋_GBK" w:eastAsia="方正仿宋_GBK" w:cs="方正仿宋_GBK"/>
          <w:color w:val="auto"/>
          <w:kern w:val="0"/>
          <w:sz w:val="32"/>
          <w:szCs w:val="32"/>
          <w:shd w:val="clear" w:color="auto" w:fill="auto"/>
          <w:lang w:eastAsia="zh-CN"/>
        </w:rPr>
        <w:t>日</w:t>
      </w:r>
    </w:p>
    <w:p>
      <w:pPr>
        <w:jc w:val="both"/>
        <w:rPr>
          <w:rFonts w:hint="eastAsia" w:ascii="黑体" w:eastAsia="黑体" w:cs="黑体"/>
          <w:color w:val="000000"/>
          <w:kern w:val="0"/>
          <w:sz w:val="24"/>
          <w:szCs w:val="24"/>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AC76CC0-F226-44AE-A4AD-EBDE223A7604}"/>
  </w:font>
  <w:font w:name="黑体">
    <w:panose1 w:val="02010609060101010101"/>
    <w:charset w:val="86"/>
    <w:family w:val="auto"/>
    <w:pitch w:val="default"/>
    <w:sig w:usb0="800002BF" w:usb1="38CF7CFA" w:usb2="00000016" w:usb3="00000000" w:csb0="00040001" w:csb1="00000000"/>
    <w:embedRegular r:id="rId2" w:fontKey="{218DB39A-F238-4FD4-928B-A1A17945962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69C2CE70-58AB-4F8A-A20E-43F5DD622521}"/>
  </w:font>
  <w:font w:name="华文中宋">
    <w:altName w:val="宋体"/>
    <w:panose1 w:val="02010600040101010101"/>
    <w:charset w:val="86"/>
    <w:family w:val="auto"/>
    <w:pitch w:val="default"/>
    <w:sig w:usb0="00000000" w:usb1="00000000" w:usb2="00000010" w:usb3="00000000" w:csb0="0004009F" w:csb1="00000000"/>
    <w:embedRegular r:id="rId4" w:fontKey="{512D417D-6790-42DF-BFCE-F0FF3C7D24FA}"/>
  </w:font>
  <w:font w:name="方正小标宋_GBK">
    <w:panose1 w:val="02000000000000000000"/>
    <w:charset w:val="86"/>
    <w:family w:val="script"/>
    <w:pitch w:val="default"/>
    <w:sig w:usb0="00000001" w:usb1="080E0000" w:usb2="00000000" w:usb3="00000000" w:csb0="00040000" w:csb1="00000000"/>
    <w:embedRegular r:id="rId5" w:fontKey="{B28950E5-BECE-4A28-8EC1-05DB17D830B3}"/>
  </w:font>
  <w:font w:name="方正仿宋_GBK">
    <w:panose1 w:val="02000000000000000000"/>
    <w:charset w:val="86"/>
    <w:family w:val="script"/>
    <w:pitch w:val="default"/>
    <w:sig w:usb0="00000001" w:usb1="080E0000" w:usb2="00000000" w:usb3="00000000" w:csb0="00040000" w:csb1="00000000"/>
    <w:embedRegular r:id="rId6" w:fontKey="{DEF8AB3A-FBFC-4A32-8CDF-C1B4E1A10765}"/>
  </w:font>
  <w:font w:name="方正小标宋简体">
    <w:panose1 w:val="02000000000000000000"/>
    <w:charset w:val="86"/>
    <w:family w:val="script"/>
    <w:pitch w:val="default"/>
    <w:sig w:usb0="00000001" w:usb1="080E0000" w:usb2="00000000" w:usb3="00000000" w:csb0="00040000" w:csb1="00000000"/>
    <w:embedRegular r:id="rId7" w:fontKey="{5F29FCC5-2A26-4B86-8048-B520DF7B69F3}"/>
  </w:font>
  <w:font w:name="方正黑体_GBK">
    <w:panose1 w:val="03000509000000000000"/>
    <w:charset w:val="86"/>
    <w:family w:val="auto"/>
    <w:pitch w:val="default"/>
    <w:sig w:usb0="00000001" w:usb1="080E0000" w:usb2="00000000" w:usb3="00000000" w:csb0="00040000" w:csb1="00000000"/>
    <w:embedRegular r:id="rId8" w:fontKey="{8617FCE2-1833-42A5-937C-95AFCD4C1BBC}"/>
  </w:font>
  <w:font w:name="方正楷体_GBK">
    <w:panose1 w:val="02000000000000000000"/>
    <w:charset w:val="86"/>
    <w:family w:val="script"/>
    <w:pitch w:val="default"/>
    <w:sig w:usb0="00000001" w:usb1="080E0000" w:usb2="00000000" w:usb3="00000000" w:csb0="00040000" w:csb1="00000000"/>
    <w:embedRegular r:id="rId9" w:fontKey="{F6523E84-EBA5-4631-B8CC-81FC9B848B8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8B10FC"/>
    <w:multiLevelType w:val="multilevel"/>
    <w:tmpl w:val="008B10FC"/>
    <w:lvl w:ilvl="0" w:tentative="0">
      <w:start w:val="1"/>
      <w:numFmt w:val="upperLetter"/>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3824165"/>
    <w:multiLevelType w:val="multilevel"/>
    <w:tmpl w:val="63824165"/>
    <w:lvl w:ilvl="0" w:tentative="0">
      <w:start w:val="1"/>
      <w:numFmt w:val="upperLetter"/>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MjhkNjc2ZDIwYTA3OTQxYWFjMjEwOTM2NjBiNDYifQ=="/>
  </w:docVars>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2B4F05E9"/>
    <w:rsid w:val="32E25D42"/>
    <w:rsid w:val="38D64FF2"/>
    <w:rsid w:val="3F9B184A"/>
    <w:rsid w:val="4EE41E86"/>
    <w:rsid w:val="5C1E6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ascii="Calibri" w:hAnsi="Calibri" w:eastAsia="宋体" w:cs="Times New Roman"/>
      <w:szCs w:val="24"/>
    </w:r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50</Pages>
  <Words>20912</Words>
  <Characters>25702</Characters>
  <Lines>62</Lines>
  <Paragraphs>17</Paragraphs>
  <TotalTime>37</TotalTime>
  <ScaleCrop>false</ScaleCrop>
  <LinksUpToDate>false</LinksUpToDate>
  <CharactersWithSpaces>26856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栖</cp:lastModifiedBy>
  <cp:lastPrinted>2021-08-12T09:08:00Z</cp:lastPrinted>
  <dcterms:modified xsi:type="dcterms:W3CDTF">2022-09-07T08:31:38Z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407955922_btnclosed</vt:lpwstr>
  </property>
  <property fmtid="{D5CDD505-2E9C-101B-9397-08002B2CF9AE}" pid="3" name="KSOProductBuildVer">
    <vt:lpwstr>2052-11.1.0.12313</vt:lpwstr>
  </property>
  <property fmtid="{D5CDD505-2E9C-101B-9397-08002B2CF9AE}" pid="4" name="ICV">
    <vt:lpwstr>AFFC93AE510D4F64B702B34B8D03F2ED</vt:lpwstr>
  </property>
</Properties>
</file>