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rFonts w:hint="eastAsia"/>
          <w:sz w:val="56"/>
          <w:szCs w:val="56"/>
        </w:rPr>
      </w:pPr>
    </w:p>
    <w:p>
      <w:pPr>
        <w:pStyle w:val="10"/>
        <w:jc w:val="center"/>
        <w:rPr>
          <w:sz w:val="56"/>
          <w:szCs w:val="56"/>
        </w:rPr>
      </w:pPr>
    </w:p>
    <w:p>
      <w:pPr>
        <w:pStyle w:val="10"/>
        <w:jc w:val="center"/>
        <w:rPr>
          <w:sz w:val="84"/>
          <w:szCs w:val="84"/>
        </w:rPr>
      </w:pPr>
    </w:p>
    <w:p>
      <w:pPr>
        <w:pStyle w:val="10"/>
        <w:jc w:val="center"/>
        <w:rPr>
          <w:sz w:val="84"/>
          <w:szCs w:val="84"/>
        </w:rPr>
      </w:pPr>
    </w:p>
    <w:p>
      <w:pPr>
        <w:pStyle w:val="10"/>
        <w:jc w:val="center"/>
        <w:rPr>
          <w:sz w:val="84"/>
          <w:szCs w:val="84"/>
        </w:rPr>
      </w:pPr>
      <w:r>
        <w:rPr>
          <w:rFonts w:hint="eastAsia"/>
          <w:sz w:val="84"/>
          <w:szCs w:val="84"/>
        </w:rPr>
        <w:t>2021年度</w:t>
      </w:r>
    </w:p>
    <w:p>
      <w:pPr>
        <w:pStyle w:val="10"/>
        <w:jc w:val="center"/>
        <w:rPr>
          <w:sz w:val="84"/>
          <w:szCs w:val="84"/>
        </w:rPr>
      </w:pPr>
      <w:r>
        <w:rPr>
          <w:rFonts w:hint="eastAsia"/>
          <w:sz w:val="84"/>
          <w:szCs w:val="84"/>
          <w:lang w:eastAsia="zh-CN"/>
        </w:rPr>
        <w:t>湘乡市东台山国家森林公园</w:t>
      </w:r>
      <w:r>
        <w:rPr>
          <w:rFonts w:hint="eastAsia"/>
          <w:sz w:val="84"/>
          <w:szCs w:val="84"/>
        </w:rPr>
        <w:t>部门决算</w:t>
      </w: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32"/>
          <w:szCs w:val="32"/>
        </w:rPr>
      </w:pPr>
    </w:p>
    <w:p>
      <w:pPr>
        <w:pStyle w:val="10"/>
        <w:jc w:val="center"/>
        <w:rPr>
          <w:sz w:val="32"/>
          <w:szCs w:val="32"/>
        </w:rPr>
      </w:pPr>
    </w:p>
    <w:p>
      <w:pPr>
        <w:pStyle w:val="10"/>
        <w:jc w:val="center"/>
        <w:rPr>
          <w:sz w:val="32"/>
          <w:szCs w:val="32"/>
        </w:rPr>
      </w:pPr>
    </w:p>
    <w:p>
      <w:pPr>
        <w:pStyle w:val="10"/>
        <w:jc w:val="center"/>
        <w:rPr>
          <w:sz w:val="32"/>
          <w:szCs w:val="32"/>
        </w:rPr>
      </w:pPr>
    </w:p>
    <w:p>
      <w:pPr>
        <w:pStyle w:val="10"/>
        <w:jc w:val="center"/>
        <w:rPr>
          <w:sz w:val="32"/>
          <w:szCs w:val="32"/>
        </w:rPr>
      </w:pPr>
    </w:p>
    <w:p>
      <w:pPr>
        <w:pStyle w:val="10"/>
        <w:spacing w:line="540" w:lineRule="exact"/>
        <w:jc w:val="center"/>
        <w:rPr>
          <w:sz w:val="56"/>
          <w:szCs w:val="56"/>
        </w:rPr>
      </w:pPr>
    </w:p>
    <w:p>
      <w:pPr>
        <w:pStyle w:val="10"/>
        <w:spacing w:line="500" w:lineRule="exact"/>
        <w:jc w:val="center"/>
        <w:rPr>
          <w:b/>
          <w:sz w:val="36"/>
          <w:szCs w:val="28"/>
        </w:rPr>
      </w:pPr>
    </w:p>
    <w:p>
      <w:pPr>
        <w:pStyle w:val="10"/>
        <w:spacing w:line="500" w:lineRule="exact"/>
        <w:jc w:val="center"/>
        <w:rPr>
          <w:b/>
          <w:sz w:val="36"/>
          <w:szCs w:val="28"/>
        </w:rPr>
      </w:pPr>
    </w:p>
    <w:p>
      <w:pPr>
        <w:pStyle w:val="10"/>
        <w:spacing w:line="500" w:lineRule="exact"/>
        <w:jc w:val="center"/>
        <w:rPr>
          <w:b/>
          <w:sz w:val="36"/>
          <w:szCs w:val="28"/>
        </w:rPr>
      </w:pPr>
      <w:r>
        <w:rPr>
          <w:rFonts w:hint="eastAsia"/>
          <w:b/>
          <w:sz w:val="36"/>
          <w:szCs w:val="28"/>
        </w:rPr>
        <w:t>目录</w:t>
      </w:r>
    </w:p>
    <w:p>
      <w:pPr>
        <w:pStyle w:val="10"/>
        <w:spacing w:line="500" w:lineRule="exact"/>
        <w:rPr>
          <w:rFonts w:ascii="仿宋_GB2312" w:hAnsi="仿宋_GB2312" w:cs="仿宋_GB2312"/>
          <w:b/>
          <w:sz w:val="28"/>
          <w:szCs w:val="28"/>
        </w:rPr>
      </w:pPr>
      <w:r>
        <w:rPr>
          <w:rFonts w:hint="eastAsia"/>
          <w:b/>
          <w:sz w:val="28"/>
          <w:szCs w:val="28"/>
        </w:rPr>
        <w:t>第一部分</w:t>
      </w:r>
      <w:r>
        <w:rPr>
          <w:rFonts w:hint="eastAsia"/>
          <w:b/>
          <w:sz w:val="28"/>
          <w:szCs w:val="28"/>
          <w:lang w:eastAsia="zh-CN"/>
        </w:rPr>
        <w:t>湘乡市东台山国家森林公园</w:t>
      </w:r>
      <w:r>
        <w:rPr>
          <w:rFonts w:hint="eastAsia"/>
          <w:b/>
          <w:sz w:val="28"/>
          <w:szCs w:val="28"/>
        </w:rPr>
        <w:t>单位概况</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0"/>
        <w:spacing w:line="50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21年度部门决算表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w:t>
      </w:r>
      <w:r>
        <w:rPr>
          <w:rFonts w:hint="eastAsia" w:cs="仿宋_GB2312" w:asciiTheme="minorEastAsia" w:hAnsiTheme="minorEastAsia" w:eastAsiaTheme="minorEastAsia"/>
          <w:sz w:val="28"/>
          <w:szCs w:val="28"/>
        </w:rPr>
        <w:t>明细</w:t>
      </w:r>
      <w:r>
        <w:rPr>
          <w:rFonts w:cs="仿宋_GB2312" w:asciiTheme="minorEastAsia" w:hAnsiTheme="minorEastAsia" w:eastAsiaTheme="minorEastAsia"/>
          <w:sz w:val="28"/>
          <w:szCs w:val="28"/>
        </w:rPr>
        <w:t>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0"/>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0"/>
        <w:spacing w:line="50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21年度部门决算情况说明</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三公</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十一、政府采购支出说明</w:t>
      </w:r>
    </w:p>
    <w:p>
      <w:pPr>
        <w:pStyle w:val="10"/>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十二、国有资产占用情况说明</w:t>
      </w:r>
    </w:p>
    <w:p>
      <w:pPr>
        <w:pStyle w:val="10"/>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w:t>
      </w:r>
      <w:r>
        <w:rPr>
          <w:rFonts w:hint="eastAsia" w:cs="仿宋_GB2312" w:asciiTheme="minorEastAsia" w:hAnsiTheme="minorEastAsia" w:eastAsiaTheme="minorEastAsia"/>
          <w:sz w:val="28"/>
          <w:szCs w:val="28"/>
        </w:rPr>
        <w:t>2021年</w:t>
      </w:r>
      <w:r>
        <w:rPr>
          <w:rFonts w:hint="eastAsia" w:ascii="仿宋_GB2312" w:hAnsi="仿宋_GB2312" w:cs="仿宋_GB2312" w:eastAsiaTheme="minorEastAsia"/>
          <w:sz w:val="28"/>
          <w:szCs w:val="28"/>
        </w:rPr>
        <w:t>度预算绩效情况说明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0"/>
        <w:jc w:val="center"/>
        <w:rPr>
          <w:sz w:val="84"/>
          <w:szCs w:val="84"/>
        </w:rPr>
      </w:pPr>
      <w:r>
        <w:rPr>
          <w:rFonts w:hint="eastAsia"/>
          <w:sz w:val="84"/>
          <w:szCs w:val="84"/>
        </w:rPr>
        <w:t>第一部分</w:t>
      </w:r>
      <w:r>
        <w:rPr>
          <w:sz w:val="84"/>
          <w:szCs w:val="84"/>
        </w:rPr>
        <w:t xml:space="preserve"> </w:t>
      </w:r>
    </w:p>
    <w:p>
      <w:pPr>
        <w:pStyle w:val="10"/>
        <w:jc w:val="center"/>
        <w:rPr>
          <w:sz w:val="84"/>
          <w:szCs w:val="84"/>
        </w:rPr>
      </w:pPr>
    </w:p>
    <w:p>
      <w:pPr>
        <w:pStyle w:val="10"/>
        <w:jc w:val="center"/>
        <w:rPr>
          <w:sz w:val="84"/>
          <w:szCs w:val="84"/>
        </w:rPr>
      </w:pPr>
      <w:r>
        <w:rPr>
          <w:rFonts w:hint="eastAsia"/>
          <w:sz w:val="84"/>
          <w:szCs w:val="84"/>
          <w:lang w:eastAsia="zh-CN"/>
        </w:rPr>
        <w:t>湘乡市东台山国家森林公园</w:t>
      </w:r>
      <w:r>
        <w:rPr>
          <w:rFonts w:hint="eastAsia"/>
          <w:sz w:val="84"/>
          <w:szCs w:val="84"/>
        </w:rPr>
        <w:t>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1"/>
        <w:ind w:left="720" w:firstLine="0" w:firstLineChars="0"/>
        <w:jc w:val="left"/>
        <w:rPr>
          <w:rFonts w:ascii="黑体" w:hAnsi="黑体" w:eastAsia="黑体"/>
          <w:sz w:val="32"/>
          <w:szCs w:val="32"/>
        </w:rPr>
      </w:pPr>
    </w:p>
    <w:p>
      <w:pPr>
        <w:pStyle w:val="11"/>
        <w:ind w:left="720" w:firstLine="0" w:firstLineChars="0"/>
        <w:jc w:val="left"/>
        <w:rPr>
          <w:rFonts w:ascii="黑体" w:hAnsi="黑体" w:eastAsia="黑体"/>
          <w:sz w:val="32"/>
          <w:szCs w:val="32"/>
        </w:rPr>
      </w:pPr>
    </w:p>
    <w:p>
      <w:pPr>
        <w:pStyle w:val="11"/>
        <w:ind w:left="720" w:firstLine="0" w:firstLineChars="0"/>
        <w:jc w:val="left"/>
        <w:rPr>
          <w:rFonts w:ascii="黑体" w:hAnsi="黑体" w:eastAsia="黑体"/>
          <w:sz w:val="32"/>
          <w:szCs w:val="32"/>
        </w:rPr>
      </w:pPr>
    </w:p>
    <w:p>
      <w:pPr>
        <w:pStyle w:val="11"/>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Theme="minorEastAsia" w:hAnsiTheme="minorEastAsia"/>
          <w:bCs/>
          <w:kern w:val="0"/>
          <w:sz w:val="32"/>
          <w:szCs w:val="32"/>
        </w:rPr>
      </w:pPr>
      <w:r>
        <w:rPr>
          <w:rFonts w:hint="eastAsia" w:asciiTheme="minorEastAsia" w:hAnsiTheme="minorEastAsia"/>
          <w:bCs/>
          <w:kern w:val="0"/>
          <w:sz w:val="32"/>
          <w:szCs w:val="32"/>
        </w:rPr>
        <w:t>202</w:t>
      </w:r>
      <w:r>
        <w:rPr>
          <w:rFonts w:hint="eastAsia" w:asciiTheme="minorEastAsia" w:hAnsiTheme="minorEastAsia"/>
          <w:bCs/>
          <w:kern w:val="0"/>
          <w:sz w:val="32"/>
          <w:szCs w:val="32"/>
          <w:lang w:val="en-US" w:eastAsia="zh-CN"/>
        </w:rPr>
        <w:t>1</w:t>
      </w:r>
      <w:r>
        <w:rPr>
          <w:rFonts w:hint="eastAsia" w:asciiTheme="minorEastAsia" w:hAnsiTheme="minorEastAsia"/>
          <w:bCs/>
          <w:kern w:val="0"/>
          <w:sz w:val="32"/>
          <w:szCs w:val="32"/>
        </w:rPr>
        <w:t>年主要执行森林资源管理与保护，提供休闲场所，丰富人民群众文化生活，公园设施维护与管理，公园游览与娱乐项目组织管理，植物栽培与养护等相关社会服务工作。</w:t>
      </w: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rPr>
          <w:rFonts w:hint="eastAsia" w:asciiTheme="minorEastAsia" w:hAnsiTheme="minorEastAsia"/>
          <w:bCs/>
          <w:kern w:val="0"/>
          <w:sz w:val="32"/>
          <w:szCs w:val="32"/>
        </w:rPr>
      </w:pPr>
      <w:r>
        <w:rPr>
          <w:rFonts w:hint="eastAsia" w:asciiTheme="minorEastAsia" w:hAnsiTheme="minorEastAsia"/>
          <w:bCs/>
          <w:kern w:val="0"/>
          <w:sz w:val="32"/>
          <w:szCs w:val="32"/>
        </w:rPr>
        <w:t>（一）内设机构设置。</w:t>
      </w:r>
      <w:r>
        <w:rPr>
          <w:rFonts w:hint="eastAsia"/>
          <w:color w:val="333333"/>
          <w:sz w:val="30"/>
          <w:szCs w:val="30"/>
          <w:shd w:val="clear" w:color="auto" w:fill="FFFFFF"/>
        </w:rPr>
        <w:t>本单位隶属湘乡市林业局管理的</w:t>
      </w:r>
      <w:r>
        <w:rPr>
          <w:rFonts w:hint="eastAsia"/>
          <w:color w:val="333333"/>
          <w:sz w:val="30"/>
          <w:szCs w:val="30"/>
          <w:shd w:val="clear" w:color="auto" w:fill="FFFFFF"/>
          <w:lang w:eastAsia="zh-CN"/>
        </w:rPr>
        <w:t>副科</w:t>
      </w:r>
      <w:r>
        <w:rPr>
          <w:rFonts w:hint="eastAsia"/>
          <w:color w:val="333333"/>
          <w:sz w:val="30"/>
          <w:szCs w:val="30"/>
          <w:shd w:val="clear" w:color="auto" w:fill="FFFFFF"/>
        </w:rPr>
        <w:t>级公益一类事业单位，系湘乡市林业局的二级机构。无内设机构。</w:t>
      </w:r>
      <w:r>
        <w:rPr>
          <w:rFonts w:hint="eastAsia" w:ascii="宋体" w:hAnsi="宋体"/>
          <w:sz w:val="32"/>
          <w:szCs w:val="32"/>
        </w:rPr>
        <w:t>截止20</w:t>
      </w:r>
      <w:r>
        <w:rPr>
          <w:rFonts w:hint="eastAsia" w:ascii="宋体" w:hAnsi="宋体"/>
          <w:sz w:val="32"/>
          <w:szCs w:val="32"/>
          <w:lang w:val="en-US" w:eastAsia="zh-CN"/>
        </w:rPr>
        <w:t>21</w:t>
      </w:r>
      <w:r>
        <w:rPr>
          <w:rFonts w:hint="eastAsia" w:ascii="宋体" w:hAnsi="宋体"/>
          <w:sz w:val="32"/>
          <w:szCs w:val="32"/>
        </w:rPr>
        <w:t>年12月31日</w:t>
      </w:r>
      <w:r>
        <w:rPr>
          <w:rFonts w:hint="eastAsia" w:ascii="宋体" w:hAnsi="宋体"/>
          <w:bCs/>
          <w:kern w:val="0"/>
          <w:sz w:val="32"/>
          <w:szCs w:val="32"/>
        </w:rPr>
        <w:t>单位</w:t>
      </w:r>
      <w:r>
        <w:rPr>
          <w:rFonts w:hint="eastAsia" w:ascii="宋体" w:hAnsi="宋体"/>
          <w:bCs/>
          <w:kern w:val="0"/>
          <w:sz w:val="32"/>
          <w:szCs w:val="32"/>
          <w:lang w:eastAsia="zh-CN"/>
        </w:rPr>
        <w:t>实有编制</w:t>
      </w:r>
      <w:r>
        <w:rPr>
          <w:rFonts w:hint="eastAsia" w:ascii="宋体" w:hAnsi="宋体"/>
          <w:bCs/>
          <w:kern w:val="0"/>
          <w:sz w:val="32"/>
          <w:szCs w:val="32"/>
          <w:lang w:val="en-US" w:eastAsia="zh-CN"/>
        </w:rPr>
        <w:t>15人，</w:t>
      </w:r>
      <w:r>
        <w:rPr>
          <w:rFonts w:hint="eastAsia" w:ascii="宋体" w:hAnsi="宋体"/>
          <w:bCs/>
          <w:kern w:val="0"/>
          <w:sz w:val="32"/>
          <w:szCs w:val="32"/>
        </w:rPr>
        <w:t>在编在岗职工1</w:t>
      </w:r>
      <w:r>
        <w:rPr>
          <w:rFonts w:hint="eastAsia" w:ascii="宋体" w:hAnsi="宋体"/>
          <w:bCs/>
          <w:kern w:val="0"/>
          <w:sz w:val="32"/>
          <w:szCs w:val="32"/>
          <w:lang w:val="en-US" w:eastAsia="zh-CN"/>
        </w:rPr>
        <w:t>3</w:t>
      </w:r>
      <w:r>
        <w:rPr>
          <w:rFonts w:hint="eastAsia" w:ascii="宋体" w:hAnsi="宋体"/>
          <w:bCs/>
          <w:kern w:val="0"/>
          <w:sz w:val="32"/>
          <w:szCs w:val="32"/>
        </w:rPr>
        <w:t>人，</w:t>
      </w:r>
      <w:r>
        <w:rPr>
          <w:rFonts w:hint="eastAsia" w:ascii="宋体" w:hAnsi="宋体"/>
          <w:bCs/>
          <w:kern w:val="0"/>
          <w:sz w:val="32"/>
          <w:szCs w:val="32"/>
          <w:lang w:eastAsia="zh-CN"/>
        </w:rPr>
        <w:t>退休人员</w:t>
      </w:r>
      <w:r>
        <w:rPr>
          <w:rFonts w:hint="eastAsia" w:ascii="宋体" w:hAnsi="宋体"/>
          <w:bCs/>
          <w:kern w:val="0"/>
          <w:sz w:val="32"/>
          <w:szCs w:val="32"/>
          <w:lang w:val="en-US" w:eastAsia="zh-CN"/>
        </w:rPr>
        <w:t>33人，公益性岗位3人，遗属3人，</w:t>
      </w:r>
      <w:r>
        <w:rPr>
          <w:rFonts w:hint="eastAsia" w:ascii="宋体" w:hAnsi="宋体"/>
          <w:bCs/>
          <w:kern w:val="0"/>
          <w:sz w:val="32"/>
          <w:szCs w:val="32"/>
        </w:rPr>
        <w:t>无公车</w:t>
      </w:r>
      <w:r>
        <w:rPr>
          <w:rFonts w:hint="eastAsia" w:asciiTheme="minorEastAsia" w:hAnsiTheme="minorEastAsia"/>
          <w:bCs/>
          <w:kern w:val="0"/>
          <w:sz w:val="32"/>
          <w:szCs w:val="32"/>
        </w:rPr>
        <w:t>。</w:t>
      </w:r>
    </w:p>
    <w:p>
      <w:pPr>
        <w:widowControl/>
        <w:spacing w:line="600" w:lineRule="exact"/>
        <w:rPr>
          <w:rFonts w:hint="eastAsia" w:asciiTheme="minorEastAsia" w:hAnsiTheme="minorEastAsia" w:eastAsiaTheme="minorEastAsia"/>
          <w:bCs/>
          <w:kern w:val="0"/>
          <w:sz w:val="32"/>
          <w:szCs w:val="32"/>
          <w:lang w:eastAsia="zh-CN"/>
        </w:rPr>
      </w:pPr>
      <w:r>
        <w:rPr>
          <w:rFonts w:hint="eastAsia" w:asciiTheme="minorEastAsia" w:hAnsiTheme="minorEastAsia"/>
          <w:bCs/>
          <w:kern w:val="0"/>
          <w:sz w:val="32"/>
          <w:szCs w:val="32"/>
        </w:rPr>
        <w:t>（二）决算单位构成。单位</w:t>
      </w:r>
      <w:r>
        <w:rPr>
          <w:rFonts w:asciiTheme="minorEastAsia" w:hAnsiTheme="minorEastAsia"/>
          <w:bCs/>
          <w:kern w:val="0"/>
          <w:sz w:val="32"/>
          <w:szCs w:val="32"/>
        </w:rPr>
        <w:t>20</w:t>
      </w:r>
      <w:r>
        <w:rPr>
          <w:rFonts w:hint="eastAsia" w:asciiTheme="minorEastAsia" w:hAnsiTheme="minorEastAsia"/>
          <w:bCs/>
          <w:kern w:val="0"/>
          <w:sz w:val="32"/>
          <w:szCs w:val="32"/>
        </w:rPr>
        <w:t>21年部门决算汇总公开单位构成包括：</w:t>
      </w:r>
      <w:r>
        <w:rPr>
          <w:rFonts w:hint="eastAsia" w:asciiTheme="minorEastAsia" w:hAnsiTheme="minorEastAsia"/>
          <w:bCs/>
          <w:kern w:val="0"/>
          <w:sz w:val="32"/>
          <w:szCs w:val="32"/>
          <w:lang w:eastAsia="zh-CN"/>
        </w:rPr>
        <w:t>湘乡市东台山国家森林公园</w:t>
      </w:r>
      <w:r>
        <w:rPr>
          <w:rFonts w:hint="eastAsia" w:asciiTheme="minorEastAsia" w:hAnsiTheme="minorEastAsia"/>
          <w:bCs/>
          <w:kern w:val="0"/>
          <w:sz w:val="32"/>
          <w:szCs w:val="32"/>
        </w:rPr>
        <w:t>本级</w:t>
      </w:r>
      <w:r>
        <w:rPr>
          <w:rFonts w:hint="eastAsia" w:asciiTheme="minorEastAsia" w:hAnsiTheme="minorEastAsia"/>
          <w:bCs/>
          <w:kern w:val="0"/>
          <w:sz w:val="32"/>
          <w:szCs w:val="32"/>
          <w:lang w:eastAsia="zh-CN"/>
        </w:rPr>
        <w:t>。</w:t>
      </w: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6"/>
        <w:tblW w:w="14081" w:type="dxa"/>
        <w:tblInd w:w="93" w:type="dxa"/>
        <w:tblLayout w:type="fixed"/>
        <w:tblCellMar>
          <w:top w:w="0" w:type="dxa"/>
          <w:left w:w="108" w:type="dxa"/>
          <w:bottom w:w="0" w:type="dxa"/>
          <w:right w:w="108" w:type="dxa"/>
        </w:tblCellMar>
      </w:tblPr>
      <w:tblGrid>
        <w:gridCol w:w="4126"/>
        <w:gridCol w:w="449"/>
        <w:gridCol w:w="631"/>
        <w:gridCol w:w="697"/>
        <w:gridCol w:w="232"/>
        <w:gridCol w:w="522"/>
        <w:gridCol w:w="3690"/>
        <w:gridCol w:w="1080"/>
        <w:gridCol w:w="481"/>
        <w:gridCol w:w="657"/>
        <w:gridCol w:w="1516"/>
      </w:tblGrid>
      <w:tr>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9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4"/>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ascii="宋体" w:hAnsi="宋体" w:eastAsia="宋体" w:cs="宋体"/>
                <w:color w:val="000000"/>
                <w:kern w:val="0"/>
                <w:sz w:val="20"/>
                <w:szCs w:val="20"/>
              </w:rPr>
              <w:t xml:space="preserve"> </w:t>
            </w:r>
          </w:p>
        </w:tc>
        <w:tc>
          <w:tcPr>
            <w:tcW w:w="69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4"/>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6657" w:type="dxa"/>
            <w:gridSpan w:val="6"/>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7424" w:type="dxa"/>
            <w:gridSpan w:val="5"/>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2082"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69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8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2654"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2082"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69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8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2654"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2082"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cs="宋体"/>
                <w:kern w:val="0"/>
                <w:sz w:val="22"/>
                <w:lang w:val="en-US" w:eastAsia="zh-CN"/>
              </w:rPr>
              <w:t>186.73</w:t>
            </w:r>
            <w:r>
              <w:rPr>
                <w:rFonts w:hint="eastAsia" w:ascii="宋体" w:hAnsi="宋体" w:eastAsia="宋体" w:cs="宋体"/>
                <w:kern w:val="0"/>
                <w:sz w:val="22"/>
              </w:rPr>
              <w:t>　</w:t>
            </w:r>
          </w:p>
        </w:tc>
        <w:tc>
          <w:tcPr>
            <w:tcW w:w="369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8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32</w:t>
            </w:r>
          </w:p>
        </w:tc>
        <w:tc>
          <w:tcPr>
            <w:tcW w:w="2654" w:type="dxa"/>
            <w:gridSpan w:val="3"/>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2082"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69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8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33</w:t>
            </w:r>
          </w:p>
        </w:tc>
        <w:tc>
          <w:tcPr>
            <w:tcW w:w="2654" w:type="dxa"/>
            <w:gridSpan w:val="3"/>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2082"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69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8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34</w:t>
            </w:r>
          </w:p>
        </w:tc>
        <w:tc>
          <w:tcPr>
            <w:tcW w:w="2654" w:type="dxa"/>
            <w:gridSpan w:val="3"/>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2082"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69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8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35</w:t>
            </w:r>
          </w:p>
        </w:tc>
        <w:tc>
          <w:tcPr>
            <w:tcW w:w="2654" w:type="dxa"/>
            <w:gridSpan w:val="3"/>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2082"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69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8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36</w:t>
            </w:r>
          </w:p>
        </w:tc>
        <w:tc>
          <w:tcPr>
            <w:tcW w:w="2654" w:type="dxa"/>
            <w:gridSpan w:val="3"/>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2082"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69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8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37</w:t>
            </w:r>
          </w:p>
        </w:tc>
        <w:tc>
          <w:tcPr>
            <w:tcW w:w="2654" w:type="dxa"/>
            <w:gridSpan w:val="3"/>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2082"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6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七、文化旅游体育与传媒支出</w:t>
            </w:r>
          </w:p>
        </w:tc>
        <w:tc>
          <w:tcPr>
            <w:tcW w:w="108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38</w:t>
            </w:r>
          </w:p>
        </w:tc>
        <w:tc>
          <w:tcPr>
            <w:tcW w:w="2654" w:type="dxa"/>
            <w:gridSpan w:val="3"/>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8</w:t>
            </w:r>
          </w:p>
        </w:tc>
        <w:tc>
          <w:tcPr>
            <w:tcW w:w="2082" w:type="dxa"/>
            <w:gridSpan w:val="4"/>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2"/>
                <w:lang w:val="en-US" w:eastAsia="zh-CN"/>
              </w:rPr>
            </w:pPr>
          </w:p>
        </w:tc>
        <w:tc>
          <w:tcPr>
            <w:tcW w:w="36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八、社会保障和就业支出</w:t>
            </w:r>
          </w:p>
        </w:tc>
        <w:tc>
          <w:tcPr>
            <w:tcW w:w="108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39</w:t>
            </w:r>
          </w:p>
        </w:tc>
        <w:tc>
          <w:tcPr>
            <w:tcW w:w="2654" w:type="dxa"/>
            <w:gridSpan w:val="3"/>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2"/>
                <w:lang w:val="en-US" w:eastAsia="zh-CN"/>
              </w:rPr>
            </w:pPr>
            <w:r>
              <w:rPr>
                <w:rFonts w:hint="eastAsia" w:ascii="宋体" w:hAnsi="宋体" w:cs="宋体"/>
                <w:kern w:val="0"/>
                <w:sz w:val="22"/>
                <w:lang w:val="en-US" w:eastAsia="zh-CN"/>
              </w:rPr>
              <w:t>16.21</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9</w:t>
            </w:r>
          </w:p>
        </w:tc>
        <w:tc>
          <w:tcPr>
            <w:tcW w:w="2082" w:type="dxa"/>
            <w:gridSpan w:val="4"/>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6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九、卫生健康支出</w:t>
            </w:r>
          </w:p>
        </w:tc>
        <w:tc>
          <w:tcPr>
            <w:tcW w:w="108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40</w:t>
            </w:r>
          </w:p>
        </w:tc>
        <w:tc>
          <w:tcPr>
            <w:tcW w:w="2654" w:type="dxa"/>
            <w:gridSpan w:val="3"/>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2"/>
                <w:lang w:val="en-US" w:eastAsia="zh-CN"/>
              </w:rPr>
            </w:pPr>
            <w:r>
              <w:rPr>
                <w:rFonts w:hint="eastAsia" w:ascii="宋体" w:hAnsi="宋体" w:cs="宋体"/>
                <w:kern w:val="0"/>
                <w:sz w:val="22"/>
                <w:lang w:val="en-US" w:eastAsia="zh-CN"/>
              </w:rPr>
              <w:t>5.91</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10</w:t>
            </w:r>
          </w:p>
        </w:tc>
        <w:tc>
          <w:tcPr>
            <w:tcW w:w="2082" w:type="dxa"/>
            <w:gridSpan w:val="4"/>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6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十、节能环保支出</w:t>
            </w:r>
          </w:p>
        </w:tc>
        <w:tc>
          <w:tcPr>
            <w:tcW w:w="108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41</w:t>
            </w:r>
          </w:p>
        </w:tc>
        <w:tc>
          <w:tcPr>
            <w:tcW w:w="2654" w:type="dxa"/>
            <w:gridSpan w:val="3"/>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11</w:t>
            </w:r>
          </w:p>
        </w:tc>
        <w:tc>
          <w:tcPr>
            <w:tcW w:w="2082"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36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十一、城乡社区支出</w:t>
            </w:r>
          </w:p>
        </w:tc>
        <w:tc>
          <w:tcPr>
            <w:tcW w:w="108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42</w:t>
            </w:r>
          </w:p>
        </w:tc>
        <w:tc>
          <w:tcPr>
            <w:tcW w:w="2654" w:type="dxa"/>
            <w:gridSpan w:val="3"/>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2"/>
                <w:lang w:val="en-US" w:eastAsia="zh-CN"/>
              </w:rPr>
            </w:pPr>
            <w:r>
              <w:rPr>
                <w:rFonts w:hint="eastAsia" w:ascii="宋体" w:hAnsi="宋体" w:cs="宋体"/>
                <w:kern w:val="0"/>
                <w:sz w:val="22"/>
                <w:lang w:val="en-US" w:eastAsia="zh-CN"/>
              </w:rPr>
              <w:t xml:space="preserve">               12.65</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12</w:t>
            </w:r>
          </w:p>
        </w:tc>
        <w:tc>
          <w:tcPr>
            <w:tcW w:w="2082"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36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十二、农林水支出</w:t>
            </w:r>
          </w:p>
        </w:tc>
        <w:tc>
          <w:tcPr>
            <w:tcW w:w="108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43</w:t>
            </w:r>
          </w:p>
        </w:tc>
        <w:tc>
          <w:tcPr>
            <w:tcW w:w="2654" w:type="dxa"/>
            <w:gridSpan w:val="3"/>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2"/>
                <w:lang w:val="en-US" w:eastAsia="zh-CN"/>
              </w:rPr>
            </w:pPr>
            <w:r>
              <w:rPr>
                <w:rFonts w:hint="eastAsia" w:ascii="宋体" w:hAnsi="宋体" w:cs="宋体"/>
                <w:kern w:val="0"/>
                <w:sz w:val="22"/>
                <w:lang w:val="en-US" w:eastAsia="zh-CN"/>
              </w:rPr>
              <w:t>140.75</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13</w:t>
            </w:r>
          </w:p>
        </w:tc>
        <w:tc>
          <w:tcPr>
            <w:tcW w:w="2082"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36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十三、交通运输支出</w:t>
            </w:r>
          </w:p>
        </w:tc>
        <w:tc>
          <w:tcPr>
            <w:tcW w:w="108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44</w:t>
            </w:r>
          </w:p>
        </w:tc>
        <w:tc>
          <w:tcPr>
            <w:tcW w:w="2654" w:type="dxa"/>
            <w:gridSpan w:val="3"/>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14</w:t>
            </w:r>
          </w:p>
        </w:tc>
        <w:tc>
          <w:tcPr>
            <w:tcW w:w="2082"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36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十四、资源勘探信息等支出</w:t>
            </w:r>
          </w:p>
        </w:tc>
        <w:tc>
          <w:tcPr>
            <w:tcW w:w="108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45</w:t>
            </w:r>
          </w:p>
        </w:tc>
        <w:tc>
          <w:tcPr>
            <w:tcW w:w="2654" w:type="dxa"/>
            <w:gridSpan w:val="3"/>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15</w:t>
            </w:r>
          </w:p>
        </w:tc>
        <w:tc>
          <w:tcPr>
            <w:tcW w:w="2082"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6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十五、商业服务业等支出</w:t>
            </w:r>
          </w:p>
        </w:tc>
        <w:tc>
          <w:tcPr>
            <w:tcW w:w="108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46</w:t>
            </w:r>
          </w:p>
        </w:tc>
        <w:tc>
          <w:tcPr>
            <w:tcW w:w="2654" w:type="dxa"/>
            <w:gridSpan w:val="3"/>
            <w:tcBorders>
              <w:top w:val="nil"/>
              <w:left w:val="nil"/>
              <w:bottom w:val="single" w:color="auto" w:sz="4" w:space="0"/>
              <w:right w:val="single" w:color="auto" w:sz="4" w:space="0"/>
            </w:tcBorders>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16</w:t>
            </w:r>
          </w:p>
        </w:tc>
        <w:tc>
          <w:tcPr>
            <w:tcW w:w="2082" w:type="dxa"/>
            <w:gridSpan w:val="4"/>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6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十六、金融支出</w:t>
            </w:r>
          </w:p>
        </w:tc>
        <w:tc>
          <w:tcPr>
            <w:tcW w:w="108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47</w:t>
            </w:r>
          </w:p>
        </w:tc>
        <w:tc>
          <w:tcPr>
            <w:tcW w:w="2654" w:type="dxa"/>
            <w:gridSpan w:val="3"/>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17</w:t>
            </w:r>
          </w:p>
        </w:tc>
        <w:tc>
          <w:tcPr>
            <w:tcW w:w="2082" w:type="dxa"/>
            <w:gridSpan w:val="4"/>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6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十七、援助其他地区支出</w:t>
            </w:r>
          </w:p>
        </w:tc>
        <w:tc>
          <w:tcPr>
            <w:tcW w:w="108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48</w:t>
            </w:r>
          </w:p>
        </w:tc>
        <w:tc>
          <w:tcPr>
            <w:tcW w:w="2654" w:type="dxa"/>
            <w:gridSpan w:val="3"/>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18</w:t>
            </w:r>
          </w:p>
        </w:tc>
        <w:tc>
          <w:tcPr>
            <w:tcW w:w="2082" w:type="dxa"/>
            <w:gridSpan w:val="4"/>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6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十八、自然资源海洋气象等支出</w:t>
            </w:r>
          </w:p>
        </w:tc>
        <w:tc>
          <w:tcPr>
            <w:tcW w:w="108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49</w:t>
            </w:r>
          </w:p>
        </w:tc>
        <w:tc>
          <w:tcPr>
            <w:tcW w:w="2654" w:type="dxa"/>
            <w:gridSpan w:val="3"/>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19</w:t>
            </w:r>
          </w:p>
        </w:tc>
        <w:tc>
          <w:tcPr>
            <w:tcW w:w="2082" w:type="dxa"/>
            <w:gridSpan w:val="4"/>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6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十九、住房保障支出</w:t>
            </w:r>
          </w:p>
        </w:tc>
        <w:tc>
          <w:tcPr>
            <w:tcW w:w="108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50</w:t>
            </w:r>
          </w:p>
        </w:tc>
        <w:tc>
          <w:tcPr>
            <w:tcW w:w="2654" w:type="dxa"/>
            <w:gridSpan w:val="3"/>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b/>
                <w:bCs/>
                <w:kern w:val="0"/>
                <w:sz w:val="22"/>
                <w:lang w:val="en-US" w:eastAsia="zh-CN"/>
              </w:rPr>
            </w:pPr>
            <w:r>
              <w:rPr>
                <w:rFonts w:hint="eastAsia" w:ascii="宋体" w:hAnsi="宋体" w:cs="宋体"/>
                <w:b w:val="0"/>
                <w:bCs w:val="0"/>
                <w:kern w:val="0"/>
                <w:sz w:val="22"/>
                <w:lang w:val="en-US" w:eastAsia="zh-CN"/>
              </w:rPr>
              <w:t>11.21</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20</w:t>
            </w:r>
          </w:p>
        </w:tc>
        <w:tc>
          <w:tcPr>
            <w:tcW w:w="2082" w:type="dxa"/>
            <w:gridSpan w:val="4"/>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6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二十、粮油物资储备支出</w:t>
            </w:r>
          </w:p>
        </w:tc>
        <w:tc>
          <w:tcPr>
            <w:tcW w:w="108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51</w:t>
            </w:r>
          </w:p>
        </w:tc>
        <w:tc>
          <w:tcPr>
            <w:tcW w:w="2654" w:type="dxa"/>
            <w:gridSpan w:val="3"/>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21</w:t>
            </w:r>
          </w:p>
        </w:tc>
        <w:tc>
          <w:tcPr>
            <w:tcW w:w="2082" w:type="dxa"/>
            <w:gridSpan w:val="4"/>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6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二十一、国有资本经营预算支出</w:t>
            </w:r>
          </w:p>
        </w:tc>
        <w:tc>
          <w:tcPr>
            <w:tcW w:w="108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52</w:t>
            </w:r>
          </w:p>
        </w:tc>
        <w:tc>
          <w:tcPr>
            <w:tcW w:w="2654" w:type="dxa"/>
            <w:gridSpan w:val="3"/>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22</w:t>
            </w:r>
          </w:p>
        </w:tc>
        <w:tc>
          <w:tcPr>
            <w:tcW w:w="2082" w:type="dxa"/>
            <w:gridSpan w:val="4"/>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6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二十二、灾害防治及应急管理支出</w:t>
            </w:r>
          </w:p>
        </w:tc>
        <w:tc>
          <w:tcPr>
            <w:tcW w:w="108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53</w:t>
            </w:r>
          </w:p>
        </w:tc>
        <w:tc>
          <w:tcPr>
            <w:tcW w:w="2654" w:type="dxa"/>
            <w:gridSpan w:val="3"/>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23</w:t>
            </w:r>
          </w:p>
        </w:tc>
        <w:tc>
          <w:tcPr>
            <w:tcW w:w="2082" w:type="dxa"/>
            <w:gridSpan w:val="4"/>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6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二十三、其他支出</w:t>
            </w:r>
          </w:p>
        </w:tc>
        <w:tc>
          <w:tcPr>
            <w:tcW w:w="108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54</w:t>
            </w:r>
          </w:p>
        </w:tc>
        <w:tc>
          <w:tcPr>
            <w:tcW w:w="2654" w:type="dxa"/>
            <w:gridSpan w:val="3"/>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24</w:t>
            </w:r>
          </w:p>
        </w:tc>
        <w:tc>
          <w:tcPr>
            <w:tcW w:w="2082" w:type="dxa"/>
            <w:gridSpan w:val="4"/>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6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二十四、债务还本支出</w:t>
            </w:r>
          </w:p>
        </w:tc>
        <w:tc>
          <w:tcPr>
            <w:tcW w:w="108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55</w:t>
            </w:r>
          </w:p>
        </w:tc>
        <w:tc>
          <w:tcPr>
            <w:tcW w:w="2654" w:type="dxa"/>
            <w:gridSpan w:val="3"/>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25</w:t>
            </w:r>
          </w:p>
        </w:tc>
        <w:tc>
          <w:tcPr>
            <w:tcW w:w="2082" w:type="dxa"/>
            <w:gridSpan w:val="4"/>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6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二十五、债务付息支出</w:t>
            </w:r>
          </w:p>
        </w:tc>
        <w:tc>
          <w:tcPr>
            <w:tcW w:w="108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56</w:t>
            </w:r>
          </w:p>
        </w:tc>
        <w:tc>
          <w:tcPr>
            <w:tcW w:w="2654" w:type="dxa"/>
            <w:gridSpan w:val="3"/>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26</w:t>
            </w:r>
          </w:p>
        </w:tc>
        <w:tc>
          <w:tcPr>
            <w:tcW w:w="2082" w:type="dxa"/>
            <w:gridSpan w:val="4"/>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6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二十六、抗疫特别国债安排的支出</w:t>
            </w:r>
          </w:p>
        </w:tc>
        <w:tc>
          <w:tcPr>
            <w:tcW w:w="108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57</w:t>
            </w:r>
          </w:p>
        </w:tc>
        <w:tc>
          <w:tcPr>
            <w:tcW w:w="2654" w:type="dxa"/>
            <w:gridSpan w:val="3"/>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27</w:t>
            </w:r>
          </w:p>
        </w:tc>
        <w:tc>
          <w:tcPr>
            <w:tcW w:w="2082"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69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8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58</w:t>
            </w:r>
          </w:p>
        </w:tc>
        <w:tc>
          <w:tcPr>
            <w:tcW w:w="2654" w:type="dxa"/>
            <w:gridSpan w:val="3"/>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2"/>
              </w:rPr>
            </w:pPr>
            <w:r>
              <w:rPr>
                <w:rFonts w:hint="eastAsia" w:ascii="宋体" w:hAnsi="宋体" w:cs="宋体"/>
                <w:kern w:val="0"/>
                <w:sz w:val="22"/>
                <w:lang w:val="en-US" w:eastAsia="zh-CN"/>
              </w:rPr>
              <w:t>186.73</w:t>
            </w: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28</w:t>
            </w:r>
          </w:p>
        </w:tc>
        <w:tc>
          <w:tcPr>
            <w:tcW w:w="2082"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6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 xml:space="preserve"> 结余分配</w:t>
            </w:r>
          </w:p>
        </w:tc>
        <w:tc>
          <w:tcPr>
            <w:tcW w:w="108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59</w:t>
            </w:r>
          </w:p>
        </w:tc>
        <w:tc>
          <w:tcPr>
            <w:tcW w:w="2654" w:type="dxa"/>
            <w:gridSpan w:val="3"/>
            <w:tcBorders>
              <w:top w:val="nil"/>
              <w:left w:val="nil"/>
              <w:bottom w:val="single" w:color="auto" w:sz="4" w:space="0"/>
              <w:right w:val="single" w:color="auto" w:sz="4" w:space="0"/>
            </w:tcBorders>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29</w:t>
            </w:r>
          </w:p>
        </w:tc>
        <w:tc>
          <w:tcPr>
            <w:tcW w:w="2082"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6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年末结转和结余</w:t>
            </w:r>
          </w:p>
        </w:tc>
        <w:tc>
          <w:tcPr>
            <w:tcW w:w="108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60</w:t>
            </w:r>
          </w:p>
        </w:tc>
        <w:tc>
          <w:tcPr>
            <w:tcW w:w="2654" w:type="dxa"/>
            <w:gridSpan w:val="3"/>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2"/>
                <w:lang w:val="en-US"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30</w:t>
            </w:r>
          </w:p>
        </w:tc>
        <w:tc>
          <w:tcPr>
            <w:tcW w:w="2082" w:type="dxa"/>
            <w:gridSpan w:val="4"/>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6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108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61</w:t>
            </w:r>
          </w:p>
        </w:tc>
        <w:tc>
          <w:tcPr>
            <w:tcW w:w="2654" w:type="dxa"/>
            <w:gridSpan w:val="3"/>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31</w:t>
            </w:r>
          </w:p>
        </w:tc>
        <w:tc>
          <w:tcPr>
            <w:tcW w:w="2082"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cs="宋体"/>
                <w:kern w:val="0"/>
                <w:sz w:val="22"/>
                <w:lang w:val="en-US" w:eastAsia="zh-CN"/>
              </w:rPr>
              <w:t>186.73</w:t>
            </w:r>
            <w:r>
              <w:rPr>
                <w:rFonts w:hint="eastAsia" w:ascii="宋体" w:hAnsi="宋体" w:eastAsia="宋体" w:cs="宋体"/>
                <w:kern w:val="0"/>
                <w:sz w:val="22"/>
              </w:rPr>
              <w:t>　</w:t>
            </w:r>
          </w:p>
        </w:tc>
        <w:tc>
          <w:tcPr>
            <w:tcW w:w="369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8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62</w:t>
            </w:r>
          </w:p>
        </w:tc>
        <w:tc>
          <w:tcPr>
            <w:tcW w:w="2654" w:type="dxa"/>
            <w:gridSpan w:val="3"/>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b/>
                <w:bCs/>
                <w:kern w:val="0"/>
                <w:sz w:val="22"/>
                <w:lang w:val="en-US"/>
              </w:rPr>
            </w:pPr>
            <w:r>
              <w:rPr>
                <w:rFonts w:hint="eastAsia" w:ascii="宋体" w:hAnsi="宋体" w:cs="宋体"/>
                <w:b w:val="0"/>
                <w:bCs w:val="0"/>
                <w:kern w:val="0"/>
                <w:sz w:val="22"/>
                <w:lang w:val="en-US" w:eastAsia="zh-CN"/>
              </w:rPr>
              <w:t>186.73</w:t>
            </w:r>
          </w:p>
        </w:tc>
      </w:tr>
      <w:tr>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noWrap w:val="0"/>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rPr>
              <w:t>注：1.本表反映部门本年度的总收支和年末结转结余情况。</w:t>
            </w:r>
          </w:p>
          <w:p>
            <w:pPr>
              <w:widowControl/>
              <w:jc w:val="left"/>
              <w:rPr>
                <w:rFonts w:ascii="宋体" w:hAnsi="宋体" w:eastAsia="宋体" w:cs="宋体"/>
                <w:kern w:val="0"/>
                <w:sz w:val="24"/>
                <w:szCs w:val="24"/>
              </w:rPr>
            </w:pPr>
            <w:r>
              <w:rPr>
                <w:rFonts w:hint="eastAsia" w:ascii="宋体" w:hAnsi="宋体" w:eastAsia="宋体" w:cs="宋体"/>
                <w:kern w:val="0"/>
                <w:sz w:val="24"/>
                <w:szCs w:val="24"/>
              </w:rPr>
              <w:t xml:space="preserve"> 2.本套报表金额单位转换时可能存在尾数误差。</w:t>
            </w:r>
          </w:p>
        </w:tc>
      </w:tr>
    </w:tbl>
    <w:p>
      <w:pPr>
        <w:jc w:val="center"/>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tbl>
      <w:tblPr>
        <w:tblStyle w:val="6"/>
        <w:tblW w:w="15428" w:type="dxa"/>
        <w:tblInd w:w="0" w:type="dxa"/>
        <w:tblLayout w:type="fixed"/>
        <w:tblCellMar>
          <w:top w:w="0" w:type="dxa"/>
          <w:left w:w="0" w:type="dxa"/>
          <w:bottom w:w="0" w:type="dxa"/>
          <w:right w:w="0" w:type="dxa"/>
        </w:tblCellMar>
      </w:tblPr>
      <w:tblGrid>
        <w:gridCol w:w="383"/>
        <w:gridCol w:w="383"/>
        <w:gridCol w:w="4646"/>
        <w:gridCol w:w="1500"/>
        <w:gridCol w:w="1470"/>
        <w:gridCol w:w="1455"/>
        <w:gridCol w:w="1335"/>
        <w:gridCol w:w="1410"/>
        <w:gridCol w:w="1355"/>
        <w:gridCol w:w="1491"/>
      </w:tblGrid>
      <w:tr>
        <w:tblPrEx>
          <w:tblCellMar>
            <w:top w:w="0" w:type="dxa"/>
            <w:left w:w="0" w:type="dxa"/>
            <w:bottom w:w="0" w:type="dxa"/>
            <w:right w:w="0" w:type="dxa"/>
          </w:tblCellMar>
        </w:tblPrEx>
        <w:trPr>
          <w:trHeight w:val="435" w:hRule="atLeast"/>
        </w:trPr>
        <w:tc>
          <w:tcPr>
            <w:tcW w:w="15428" w:type="dxa"/>
            <w:gridSpan w:val="10"/>
            <w:tcBorders>
              <w:top w:val="nil"/>
              <w:left w:val="nil"/>
              <w:bottom w:val="nil"/>
              <w:right w:val="nil"/>
            </w:tcBorders>
            <w:noWrap/>
            <w:tcMar>
              <w:top w:w="15" w:type="dxa"/>
              <w:left w:w="15" w:type="dxa"/>
              <w:bottom w:w="0" w:type="dxa"/>
              <w:right w:w="15" w:type="dxa"/>
            </w:tcMar>
            <w:vAlign w:val="center"/>
          </w:tcPr>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237" w:hRule="atLeast"/>
        </w:trPr>
        <w:tc>
          <w:tcPr>
            <w:tcW w:w="38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38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464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0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7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5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3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1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5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91"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285" w:hRule="atLeast"/>
        </w:trPr>
        <w:tc>
          <w:tcPr>
            <w:tcW w:w="766"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color w:val="000000"/>
                <w:sz w:val="20"/>
                <w:szCs w:val="20"/>
              </w:rPr>
            </w:pPr>
            <w:r>
              <w:rPr>
                <w:rFonts w:hint="eastAsia"/>
                <w:color w:val="000000"/>
                <w:sz w:val="20"/>
                <w:szCs w:val="20"/>
              </w:rPr>
              <w:t>部门：</w:t>
            </w:r>
          </w:p>
        </w:tc>
        <w:tc>
          <w:tcPr>
            <w:tcW w:w="464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0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7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55"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rPr>
            </w:pPr>
            <w:r>
              <w:rPr>
                <w:rFonts w:hint="eastAsia"/>
                <w:color w:val="000000"/>
                <w:sz w:val="20"/>
                <w:szCs w:val="20"/>
              </w:rPr>
              <w:t>　</w:t>
            </w:r>
          </w:p>
        </w:tc>
        <w:tc>
          <w:tcPr>
            <w:tcW w:w="133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1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5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91"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50" w:hRule="atLeast"/>
        </w:trPr>
        <w:tc>
          <w:tcPr>
            <w:tcW w:w="5412" w:type="dxa"/>
            <w:gridSpan w:val="3"/>
            <w:tcBorders>
              <w:top w:val="single" w:color="auto" w:sz="4" w:space="0"/>
              <w:left w:val="single" w:color="auto" w:sz="4" w:space="0"/>
              <w:bottom w:val="single" w:color="auto" w:sz="4" w:space="0"/>
              <w:right w:val="single" w:color="auto" w:sz="4" w:space="0"/>
            </w:tcBorders>
            <w:shd w:val="clear" w:color="000000" w:fill="FFFFFF"/>
            <w:noWrap w:val="0"/>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    目</w:t>
            </w:r>
          </w:p>
        </w:tc>
        <w:tc>
          <w:tcPr>
            <w:tcW w:w="1500" w:type="dxa"/>
            <w:vMerge w:val="restart"/>
            <w:tcBorders>
              <w:top w:val="single" w:color="auto" w:sz="4" w:space="0"/>
              <w:left w:val="single" w:color="auto" w:sz="4" w:space="0"/>
              <w:bottom w:val="single" w:color="auto" w:sz="4" w:space="0"/>
              <w:right w:val="single" w:color="auto" w:sz="4" w:space="0"/>
            </w:tcBorders>
            <w:shd w:val="clear" w:color="000000" w:fill="FFFFFF"/>
            <w:noWrap w:val="0"/>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1470" w:type="dxa"/>
            <w:vMerge w:val="restart"/>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1455" w:type="dxa"/>
            <w:vMerge w:val="restart"/>
            <w:tcBorders>
              <w:top w:val="single" w:color="auto" w:sz="4" w:space="0"/>
              <w:left w:val="single" w:color="auto" w:sz="4" w:space="0"/>
              <w:bottom w:val="single" w:color="auto" w:sz="4" w:space="0"/>
              <w:right w:val="single" w:color="auto" w:sz="4" w:space="0"/>
            </w:tcBorders>
            <w:shd w:val="clear" w:color="000000" w:fill="FFFFFF"/>
            <w:noWrap w:val="0"/>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335" w:type="dxa"/>
            <w:vMerge w:val="restart"/>
            <w:tcBorders>
              <w:top w:val="single" w:color="auto" w:sz="4" w:space="0"/>
              <w:left w:val="single" w:color="auto" w:sz="4" w:space="0"/>
              <w:bottom w:val="single" w:color="auto" w:sz="4" w:space="0"/>
              <w:right w:val="single" w:color="auto" w:sz="4" w:space="0"/>
            </w:tcBorders>
            <w:shd w:val="clear" w:color="000000" w:fill="FFFFFF"/>
            <w:noWrap w:val="0"/>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410" w:type="dxa"/>
            <w:vMerge w:val="restart"/>
            <w:tcBorders>
              <w:top w:val="single" w:color="auto" w:sz="4" w:space="0"/>
              <w:left w:val="single" w:color="auto" w:sz="4" w:space="0"/>
              <w:bottom w:val="single" w:color="auto" w:sz="4" w:space="0"/>
              <w:right w:val="single" w:color="auto" w:sz="4" w:space="0"/>
            </w:tcBorders>
            <w:shd w:val="clear" w:color="000000" w:fill="FFFFFF"/>
            <w:noWrap w:val="0"/>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355" w:type="dxa"/>
            <w:vMerge w:val="restart"/>
            <w:tcBorders>
              <w:top w:val="single" w:color="auto" w:sz="4" w:space="0"/>
              <w:left w:val="single" w:color="auto" w:sz="4" w:space="0"/>
              <w:bottom w:val="single" w:color="auto" w:sz="4" w:space="0"/>
              <w:right w:val="single" w:color="auto" w:sz="4" w:space="0"/>
            </w:tcBorders>
            <w:shd w:val="clear" w:color="000000" w:fill="FFFFFF"/>
            <w:noWrap w:val="0"/>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1491" w:type="dxa"/>
            <w:vMerge w:val="restart"/>
            <w:tcBorders>
              <w:top w:val="single" w:color="auto" w:sz="4" w:space="0"/>
              <w:left w:val="single" w:color="auto" w:sz="4" w:space="0"/>
              <w:bottom w:val="single" w:color="auto" w:sz="4" w:space="0"/>
              <w:right w:val="single" w:color="auto" w:sz="4" w:space="0"/>
            </w:tcBorders>
            <w:shd w:val="clear" w:color="000000" w:fill="FFFFFF"/>
            <w:noWrap w:val="0"/>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450" w:hRule="atLeast"/>
        </w:trPr>
        <w:tc>
          <w:tcPr>
            <w:tcW w:w="766" w:type="dxa"/>
            <w:gridSpan w:val="2"/>
            <w:vMerge w:val="restart"/>
            <w:tcBorders>
              <w:top w:val="single" w:color="auto" w:sz="4" w:space="0"/>
              <w:left w:val="single" w:color="auto" w:sz="4" w:space="0"/>
              <w:bottom w:val="single" w:color="auto" w:sz="4" w:space="0"/>
              <w:right w:val="single" w:color="auto" w:sz="4" w:space="0"/>
            </w:tcBorders>
            <w:shd w:val="clear" w:color="000000" w:fill="FFFFFF"/>
            <w:noWrap w:val="0"/>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4646" w:type="dxa"/>
            <w:vMerge w:val="restart"/>
            <w:tcBorders>
              <w:top w:val="nil"/>
              <w:left w:val="single" w:color="auto" w:sz="4" w:space="0"/>
              <w:bottom w:val="single" w:color="auto" w:sz="4" w:space="0"/>
              <w:right w:val="single" w:color="auto" w:sz="4" w:space="0"/>
            </w:tcBorders>
            <w:shd w:val="clear" w:color="000000" w:fill="FFFFFF"/>
            <w:noWrap w:val="0"/>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1500"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宋体" w:cs="宋体"/>
                <w:sz w:val="24"/>
                <w:szCs w:val="24"/>
              </w:rPr>
            </w:pPr>
          </w:p>
        </w:tc>
        <w:tc>
          <w:tcPr>
            <w:tcW w:w="1470"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宋体" w:cs="宋体"/>
                <w:sz w:val="24"/>
                <w:szCs w:val="24"/>
              </w:rPr>
            </w:pPr>
          </w:p>
        </w:tc>
        <w:tc>
          <w:tcPr>
            <w:tcW w:w="145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宋体" w:cs="宋体"/>
                <w:sz w:val="24"/>
                <w:szCs w:val="24"/>
              </w:rPr>
            </w:pPr>
          </w:p>
        </w:tc>
        <w:tc>
          <w:tcPr>
            <w:tcW w:w="133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宋体" w:cs="宋体"/>
                <w:sz w:val="24"/>
                <w:szCs w:val="24"/>
              </w:rPr>
            </w:pPr>
          </w:p>
        </w:tc>
        <w:tc>
          <w:tcPr>
            <w:tcW w:w="1410"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宋体" w:cs="宋体"/>
                <w:sz w:val="24"/>
                <w:szCs w:val="24"/>
              </w:rPr>
            </w:pPr>
          </w:p>
        </w:tc>
        <w:tc>
          <w:tcPr>
            <w:tcW w:w="135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宋体" w:cs="宋体"/>
                <w:sz w:val="24"/>
                <w:szCs w:val="24"/>
              </w:rPr>
            </w:pPr>
          </w:p>
        </w:tc>
        <w:tc>
          <w:tcPr>
            <w:tcW w:w="1491"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766"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宋体" w:cs="宋体"/>
                <w:sz w:val="24"/>
                <w:szCs w:val="24"/>
              </w:rPr>
            </w:pPr>
          </w:p>
        </w:tc>
        <w:tc>
          <w:tcPr>
            <w:tcW w:w="4646" w:type="dxa"/>
            <w:vMerge w:val="continue"/>
            <w:tcBorders>
              <w:top w:val="nil"/>
              <w:left w:val="single" w:color="auto" w:sz="4" w:space="0"/>
              <w:bottom w:val="single" w:color="auto" w:sz="4" w:space="0"/>
              <w:right w:val="single" w:color="auto" w:sz="4" w:space="0"/>
            </w:tcBorders>
            <w:noWrap w:val="0"/>
            <w:vAlign w:val="center"/>
          </w:tcPr>
          <w:p>
            <w:pPr>
              <w:rPr>
                <w:rFonts w:ascii="宋体" w:hAnsi="宋体" w:eastAsia="宋体" w:cs="宋体"/>
                <w:sz w:val="24"/>
                <w:szCs w:val="24"/>
              </w:rPr>
            </w:pPr>
          </w:p>
        </w:tc>
        <w:tc>
          <w:tcPr>
            <w:tcW w:w="1500"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宋体" w:cs="宋体"/>
                <w:sz w:val="24"/>
                <w:szCs w:val="24"/>
              </w:rPr>
            </w:pPr>
          </w:p>
        </w:tc>
        <w:tc>
          <w:tcPr>
            <w:tcW w:w="1470"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宋体" w:cs="宋体"/>
                <w:sz w:val="24"/>
                <w:szCs w:val="24"/>
              </w:rPr>
            </w:pPr>
          </w:p>
        </w:tc>
        <w:tc>
          <w:tcPr>
            <w:tcW w:w="145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宋体" w:cs="宋体"/>
                <w:sz w:val="24"/>
                <w:szCs w:val="24"/>
              </w:rPr>
            </w:pPr>
          </w:p>
        </w:tc>
        <w:tc>
          <w:tcPr>
            <w:tcW w:w="133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宋体" w:cs="宋体"/>
                <w:sz w:val="24"/>
                <w:szCs w:val="24"/>
              </w:rPr>
            </w:pPr>
          </w:p>
        </w:tc>
        <w:tc>
          <w:tcPr>
            <w:tcW w:w="1410"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宋体" w:cs="宋体"/>
                <w:sz w:val="24"/>
                <w:szCs w:val="24"/>
              </w:rPr>
            </w:pPr>
          </w:p>
        </w:tc>
        <w:tc>
          <w:tcPr>
            <w:tcW w:w="135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宋体" w:cs="宋体"/>
                <w:sz w:val="24"/>
                <w:szCs w:val="24"/>
              </w:rPr>
            </w:pPr>
          </w:p>
        </w:tc>
        <w:tc>
          <w:tcPr>
            <w:tcW w:w="1491"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541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150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14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145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133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141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135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149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trHeight w:val="450" w:hRule="atLeast"/>
        </w:trPr>
        <w:tc>
          <w:tcPr>
            <w:tcW w:w="541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合计</w:t>
            </w: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eastAsia="宋体" w:cs="宋体"/>
                <w:kern w:val="0"/>
                <w:sz w:val="22"/>
                <w:lang w:val="en-US" w:eastAsia="zh-CN"/>
              </w:rPr>
            </w:pPr>
            <w:r>
              <w:rPr>
                <w:rFonts w:hint="eastAsia" w:ascii="宋体" w:hAnsi="宋体" w:cs="宋体"/>
                <w:kern w:val="0"/>
                <w:sz w:val="22"/>
                <w:lang w:val="en-US" w:eastAsia="zh-CN"/>
              </w:rPr>
              <w:t>186.73</w:t>
            </w:r>
            <w:r>
              <w:rPr>
                <w:rFonts w:hint="eastAsia" w:ascii="宋体" w:hAnsi="宋体" w:eastAsia="宋体" w:cs="宋体"/>
                <w:kern w:val="0"/>
                <w:sz w:val="22"/>
                <w:lang w:val="en-US" w:eastAsia="zh-CN"/>
              </w:rPr>
              <w:t>　</w:t>
            </w:r>
          </w:p>
        </w:tc>
        <w:tc>
          <w:tcPr>
            <w:tcW w:w="147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eastAsia="宋体" w:cs="宋体"/>
                <w:kern w:val="0"/>
                <w:sz w:val="22"/>
                <w:lang w:val="en-US" w:eastAsia="zh-CN"/>
              </w:rPr>
            </w:pPr>
            <w:r>
              <w:rPr>
                <w:rFonts w:hint="eastAsia" w:ascii="宋体" w:hAnsi="宋体" w:cs="宋体"/>
                <w:kern w:val="0"/>
                <w:sz w:val="22"/>
                <w:lang w:val="en-US" w:eastAsia="zh-CN"/>
              </w:rPr>
              <w:t>186.73</w:t>
            </w:r>
            <w:r>
              <w:rPr>
                <w:rFonts w:hint="eastAsia" w:ascii="宋体" w:hAnsi="宋体" w:eastAsia="宋体" w:cs="宋体"/>
                <w:kern w:val="0"/>
                <w:sz w:val="22"/>
                <w:lang w:val="en-US" w:eastAsia="zh-CN"/>
              </w:rPr>
              <w:t>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9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center"/>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76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eastAsia" w:ascii="宋体" w:hAnsi="宋体" w:eastAsia="宋体" w:cs="宋体"/>
                <w:sz w:val="18"/>
                <w:szCs w:val="18"/>
              </w:rPr>
            </w:pPr>
            <w:r>
              <w:rPr>
                <w:rFonts w:hint="eastAsia" w:ascii="宋体" w:hAnsi="宋体" w:eastAsia="宋体" w:cs="宋体"/>
                <w:kern w:val="0"/>
                <w:sz w:val="18"/>
                <w:szCs w:val="18"/>
              </w:rPr>
              <w:t>208</w:t>
            </w:r>
          </w:p>
        </w:tc>
        <w:tc>
          <w:tcPr>
            <w:tcW w:w="46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eastAsia" w:ascii="宋体" w:hAnsi="宋体" w:eastAsia="宋体" w:cs="宋体"/>
                <w:sz w:val="24"/>
                <w:szCs w:val="24"/>
              </w:rPr>
            </w:pPr>
            <w:r>
              <w:rPr>
                <w:rFonts w:hint="eastAsia" w:ascii="宋体" w:hAnsi="宋体" w:eastAsia="宋体" w:cs="宋体"/>
                <w:kern w:val="0"/>
                <w:szCs w:val="21"/>
              </w:rPr>
              <w:t>社会保障和就业支出　</w:t>
            </w: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eastAsia="宋体" w:cs="宋体"/>
                <w:kern w:val="0"/>
                <w:sz w:val="22"/>
                <w:lang w:val="en-US" w:eastAsia="zh-CN"/>
              </w:rPr>
            </w:pPr>
            <w:r>
              <w:rPr>
                <w:rFonts w:hint="eastAsia" w:ascii="宋体" w:hAnsi="宋体" w:cs="宋体"/>
                <w:kern w:val="0"/>
                <w:sz w:val="22"/>
                <w:lang w:val="en-US" w:eastAsia="zh-CN"/>
              </w:rPr>
              <w:t>16.21</w:t>
            </w:r>
            <w:r>
              <w:rPr>
                <w:rFonts w:hint="eastAsia" w:ascii="宋体" w:hAnsi="宋体" w:eastAsia="宋体" w:cs="宋体"/>
                <w:kern w:val="0"/>
                <w:sz w:val="22"/>
                <w:lang w:val="en-US" w:eastAsia="zh-CN"/>
              </w:rPr>
              <w:t>　</w:t>
            </w:r>
          </w:p>
        </w:tc>
        <w:tc>
          <w:tcPr>
            <w:tcW w:w="147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1</w:t>
            </w:r>
            <w:r>
              <w:rPr>
                <w:rFonts w:hint="eastAsia" w:ascii="宋体" w:hAnsi="宋体" w:cs="宋体"/>
                <w:kern w:val="0"/>
                <w:sz w:val="22"/>
                <w:lang w:val="en-US" w:eastAsia="zh-CN"/>
              </w:rPr>
              <w:t>6.21</w:t>
            </w:r>
            <w:r>
              <w:rPr>
                <w:rFonts w:hint="eastAsia" w:ascii="宋体" w:hAnsi="宋体" w:eastAsia="宋体" w:cs="宋体"/>
                <w:kern w:val="0"/>
                <w:sz w:val="22"/>
                <w:lang w:val="en-US" w:eastAsia="zh-CN"/>
              </w:rPr>
              <w:t>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9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76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20805</w:t>
            </w:r>
          </w:p>
        </w:tc>
        <w:tc>
          <w:tcPr>
            <w:tcW w:w="46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eastAsia" w:ascii="宋体" w:hAnsi="宋体" w:eastAsia="宋体" w:cs="宋体"/>
                <w:kern w:val="0"/>
                <w:szCs w:val="21"/>
                <w:lang w:eastAsia="zh-CN"/>
              </w:rPr>
            </w:pPr>
            <w:r>
              <w:rPr>
                <w:rFonts w:hint="eastAsia" w:ascii="宋体" w:hAnsi="宋体" w:eastAsia="宋体" w:cs="宋体"/>
                <w:kern w:val="0"/>
                <w:szCs w:val="21"/>
                <w:lang w:eastAsia="zh-CN"/>
              </w:rPr>
              <w:t>行政事业单位养老支出</w:t>
            </w: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default" w:ascii="宋体" w:hAnsi="宋体" w:cs="宋体"/>
                <w:kern w:val="0"/>
                <w:sz w:val="22"/>
                <w:lang w:val="en-US" w:eastAsia="zh-CN"/>
              </w:rPr>
            </w:pPr>
            <w:r>
              <w:rPr>
                <w:rFonts w:hint="eastAsia" w:ascii="宋体" w:hAnsi="宋体" w:cs="宋体"/>
                <w:kern w:val="0"/>
                <w:sz w:val="22"/>
                <w:lang w:val="en-US" w:eastAsia="zh-CN"/>
              </w:rPr>
              <w:t>11.77</w:t>
            </w:r>
          </w:p>
        </w:tc>
        <w:tc>
          <w:tcPr>
            <w:tcW w:w="147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11.77</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3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49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76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default" w:ascii="宋体" w:hAnsi="宋体" w:eastAsia="宋体" w:cs="宋体"/>
                <w:sz w:val="18"/>
                <w:szCs w:val="18"/>
                <w:lang w:val="en-US" w:eastAsia="zh-CN"/>
              </w:rPr>
            </w:pPr>
            <w:r>
              <w:rPr>
                <w:rFonts w:hint="eastAsia" w:ascii="宋体" w:hAnsi="宋体" w:eastAsia="宋体" w:cs="宋体"/>
                <w:color w:val="000000"/>
                <w:sz w:val="18"/>
                <w:szCs w:val="18"/>
              </w:rPr>
              <w:t>20805</w:t>
            </w:r>
            <w:r>
              <w:rPr>
                <w:rFonts w:hint="eastAsia" w:ascii="宋体" w:hAnsi="宋体" w:eastAsia="宋体" w:cs="宋体"/>
                <w:color w:val="000000"/>
                <w:sz w:val="18"/>
                <w:szCs w:val="18"/>
                <w:lang w:val="en-US" w:eastAsia="zh-CN"/>
              </w:rPr>
              <w:t>02</w:t>
            </w:r>
          </w:p>
        </w:tc>
        <w:tc>
          <w:tcPr>
            <w:tcW w:w="46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eastAsia" w:ascii="宋体" w:hAnsi="宋体" w:eastAsia="宋体" w:cs="宋体"/>
                <w:sz w:val="24"/>
                <w:szCs w:val="24"/>
              </w:rPr>
            </w:pPr>
            <w:r>
              <w:rPr>
                <w:rFonts w:hint="eastAsia" w:ascii="宋体" w:hAnsi="宋体" w:eastAsia="宋体" w:cs="宋体"/>
                <w:kern w:val="0"/>
                <w:szCs w:val="21"/>
              </w:rPr>
              <w:t>行政事业单位离退休</w:t>
            </w: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0.65</w:t>
            </w:r>
          </w:p>
        </w:tc>
        <w:tc>
          <w:tcPr>
            <w:tcW w:w="147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0.65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9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76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eastAsia" w:ascii="宋体" w:hAnsi="宋体" w:eastAsia="宋体" w:cs="宋体"/>
                <w:sz w:val="18"/>
                <w:szCs w:val="18"/>
              </w:rPr>
            </w:pPr>
            <w:r>
              <w:rPr>
                <w:rFonts w:hint="eastAsia" w:ascii="宋体" w:hAnsi="宋体" w:eastAsia="宋体" w:cs="宋体"/>
                <w:color w:val="000000"/>
                <w:sz w:val="18"/>
                <w:szCs w:val="18"/>
              </w:rPr>
              <w:t>2080505</w:t>
            </w:r>
          </w:p>
        </w:tc>
        <w:tc>
          <w:tcPr>
            <w:tcW w:w="46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eastAsia" w:ascii="宋体" w:hAnsi="宋体" w:eastAsia="宋体" w:cs="宋体"/>
                <w:sz w:val="24"/>
                <w:szCs w:val="24"/>
              </w:rPr>
            </w:pPr>
            <w:r>
              <w:rPr>
                <w:rFonts w:hint="eastAsia" w:ascii="宋体" w:hAnsi="宋体" w:eastAsia="宋体" w:cs="宋体"/>
                <w:kern w:val="0"/>
                <w:szCs w:val="21"/>
              </w:rPr>
              <w:t xml:space="preserve">  机关事业单位基本养老保险缴费支出</w:t>
            </w: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11.12　</w:t>
            </w:r>
          </w:p>
        </w:tc>
        <w:tc>
          <w:tcPr>
            <w:tcW w:w="147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11</w:t>
            </w:r>
            <w:r>
              <w:rPr>
                <w:rFonts w:hint="eastAsia" w:ascii="宋体" w:hAnsi="宋体" w:cs="宋体"/>
                <w:kern w:val="0"/>
                <w:sz w:val="22"/>
                <w:lang w:val="en-US" w:eastAsia="zh-CN"/>
              </w:rPr>
              <w:t>.12</w:t>
            </w:r>
            <w:r>
              <w:rPr>
                <w:rFonts w:hint="eastAsia" w:ascii="宋体" w:hAnsi="宋体" w:eastAsia="宋体" w:cs="宋体"/>
                <w:kern w:val="0"/>
                <w:sz w:val="22"/>
                <w:lang w:val="en-US" w:eastAsia="zh-CN"/>
              </w:rPr>
              <w:t>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9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76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default" w:ascii="宋体" w:hAnsi="宋体" w:eastAsia="宋体" w:cs="宋体"/>
                <w:color w:val="000000"/>
                <w:sz w:val="18"/>
                <w:szCs w:val="18"/>
                <w:lang w:val="en-US" w:eastAsia="zh-CN"/>
              </w:rPr>
            </w:pPr>
            <w:r>
              <w:rPr>
                <w:rFonts w:hint="eastAsia" w:ascii="宋体" w:hAnsi="宋体" w:cs="宋体"/>
                <w:color w:val="000000"/>
                <w:sz w:val="18"/>
                <w:szCs w:val="18"/>
                <w:lang w:val="en-US" w:eastAsia="zh-CN"/>
              </w:rPr>
              <w:t>20899</w:t>
            </w:r>
          </w:p>
        </w:tc>
        <w:tc>
          <w:tcPr>
            <w:tcW w:w="46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eastAsia" w:ascii="宋体" w:hAnsi="宋体" w:eastAsia="宋体" w:cs="宋体"/>
                <w:kern w:val="0"/>
                <w:szCs w:val="21"/>
                <w:lang w:eastAsia="zh-CN"/>
              </w:rPr>
            </w:pPr>
            <w:r>
              <w:rPr>
                <w:rFonts w:hint="eastAsia" w:ascii="宋体" w:hAnsi="宋体" w:eastAsia="宋体" w:cs="宋体"/>
                <w:kern w:val="0"/>
                <w:szCs w:val="21"/>
                <w:lang w:eastAsia="zh-CN"/>
              </w:rPr>
              <w:t>其他社会保障和就业支出</w:t>
            </w: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4.44</w:t>
            </w:r>
          </w:p>
        </w:tc>
        <w:tc>
          <w:tcPr>
            <w:tcW w:w="147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4.44</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3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49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76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default" w:ascii="宋体" w:hAnsi="宋体" w:cs="宋体"/>
                <w:color w:val="000000"/>
                <w:sz w:val="18"/>
                <w:szCs w:val="18"/>
                <w:lang w:val="en-US" w:eastAsia="zh-CN"/>
              </w:rPr>
            </w:pPr>
            <w:r>
              <w:rPr>
                <w:rFonts w:hint="eastAsia" w:ascii="宋体" w:hAnsi="宋体" w:cs="宋体"/>
                <w:color w:val="000000"/>
                <w:sz w:val="18"/>
                <w:szCs w:val="18"/>
                <w:lang w:val="en-US" w:eastAsia="zh-CN"/>
              </w:rPr>
              <w:t>2089901</w:t>
            </w:r>
          </w:p>
        </w:tc>
        <w:tc>
          <w:tcPr>
            <w:tcW w:w="46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ind w:firstLine="210" w:firstLineChars="100"/>
              <w:jc w:val="left"/>
              <w:rPr>
                <w:rFonts w:hint="eastAsia" w:ascii="宋体" w:hAnsi="宋体" w:eastAsia="宋体" w:cs="宋体"/>
                <w:kern w:val="0"/>
                <w:szCs w:val="21"/>
                <w:lang w:eastAsia="zh-CN"/>
              </w:rPr>
            </w:pPr>
            <w:r>
              <w:rPr>
                <w:rFonts w:hint="eastAsia" w:ascii="宋体" w:hAnsi="宋体" w:eastAsia="宋体" w:cs="宋体"/>
                <w:kern w:val="0"/>
                <w:szCs w:val="21"/>
                <w:lang w:eastAsia="zh-CN"/>
              </w:rPr>
              <w:t>其他社会保障和就业支出</w:t>
            </w: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4.44</w:t>
            </w:r>
          </w:p>
        </w:tc>
        <w:tc>
          <w:tcPr>
            <w:tcW w:w="147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4.44</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3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49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76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eastAsia" w:ascii="宋体" w:hAnsi="宋体" w:eastAsia="宋体" w:cs="宋体"/>
                <w:sz w:val="18"/>
                <w:szCs w:val="18"/>
              </w:rPr>
            </w:pPr>
            <w:r>
              <w:rPr>
                <w:rFonts w:hint="eastAsia" w:ascii="宋体" w:hAnsi="宋体" w:eastAsia="宋体" w:cs="宋体"/>
                <w:color w:val="000000"/>
                <w:sz w:val="18"/>
                <w:szCs w:val="18"/>
              </w:rPr>
              <w:t>210</w:t>
            </w:r>
          </w:p>
        </w:tc>
        <w:tc>
          <w:tcPr>
            <w:tcW w:w="46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eastAsia" w:ascii="宋体" w:hAnsi="宋体" w:eastAsia="宋体" w:cs="宋体"/>
                <w:sz w:val="24"/>
                <w:szCs w:val="24"/>
              </w:rPr>
            </w:pPr>
            <w:r>
              <w:rPr>
                <w:rFonts w:hint="eastAsia" w:ascii="宋体" w:hAnsi="宋体" w:eastAsia="宋体" w:cs="宋体"/>
                <w:kern w:val="0"/>
                <w:szCs w:val="21"/>
              </w:rPr>
              <w:t>卫生健康支出</w:t>
            </w: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eastAsia="宋体" w:cs="宋体"/>
                <w:kern w:val="0"/>
                <w:sz w:val="22"/>
                <w:lang w:val="en-US" w:eastAsia="zh-CN"/>
              </w:rPr>
            </w:pPr>
            <w:r>
              <w:rPr>
                <w:rFonts w:hint="eastAsia" w:ascii="宋体" w:hAnsi="宋体" w:cs="宋体"/>
                <w:kern w:val="0"/>
                <w:sz w:val="22"/>
                <w:lang w:val="en-US" w:eastAsia="zh-CN"/>
              </w:rPr>
              <w:t>5.91</w:t>
            </w:r>
            <w:r>
              <w:rPr>
                <w:rFonts w:hint="eastAsia" w:ascii="宋体" w:hAnsi="宋体" w:eastAsia="宋体" w:cs="宋体"/>
                <w:kern w:val="0"/>
                <w:sz w:val="22"/>
                <w:lang w:val="en-US" w:eastAsia="zh-CN"/>
              </w:rPr>
              <w:t>　</w:t>
            </w:r>
          </w:p>
        </w:tc>
        <w:tc>
          <w:tcPr>
            <w:tcW w:w="147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eastAsia="宋体" w:cs="宋体"/>
                <w:kern w:val="0"/>
                <w:sz w:val="22"/>
                <w:lang w:val="en-US" w:eastAsia="zh-CN"/>
              </w:rPr>
            </w:pPr>
            <w:r>
              <w:rPr>
                <w:rFonts w:hint="eastAsia" w:ascii="宋体" w:hAnsi="宋体" w:cs="宋体"/>
                <w:kern w:val="0"/>
                <w:sz w:val="22"/>
                <w:lang w:val="en-US" w:eastAsia="zh-CN"/>
              </w:rPr>
              <w:t>5.91</w:t>
            </w:r>
            <w:r>
              <w:rPr>
                <w:rFonts w:hint="eastAsia" w:ascii="宋体" w:hAnsi="宋体" w:eastAsia="宋体" w:cs="宋体"/>
                <w:kern w:val="0"/>
                <w:sz w:val="22"/>
                <w:lang w:val="en-US" w:eastAsia="zh-CN"/>
              </w:rPr>
              <w:t>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9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76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eastAsia" w:ascii="宋体" w:hAnsi="宋体" w:eastAsia="宋体" w:cs="宋体"/>
                <w:sz w:val="18"/>
                <w:szCs w:val="18"/>
                <w:lang w:val="en-US" w:eastAsia="zh-CN"/>
              </w:rPr>
            </w:pPr>
            <w:r>
              <w:rPr>
                <w:rFonts w:hint="eastAsia" w:ascii="宋体" w:hAnsi="宋体" w:eastAsia="宋体" w:cs="宋体"/>
                <w:color w:val="000000"/>
                <w:sz w:val="18"/>
                <w:szCs w:val="18"/>
                <w:lang w:val="en-US" w:eastAsia="zh-CN"/>
              </w:rPr>
              <w:t>21011</w:t>
            </w:r>
          </w:p>
        </w:tc>
        <w:tc>
          <w:tcPr>
            <w:tcW w:w="46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eastAsia" w:ascii="宋体" w:hAnsi="宋体" w:eastAsia="宋体" w:cs="宋体"/>
                <w:sz w:val="24"/>
                <w:szCs w:val="24"/>
                <w:lang w:eastAsia="zh-CN"/>
              </w:rPr>
            </w:pPr>
            <w:r>
              <w:rPr>
                <w:rFonts w:hint="eastAsia" w:ascii="宋体" w:hAnsi="宋体" w:eastAsia="宋体" w:cs="宋体"/>
                <w:kern w:val="0"/>
                <w:szCs w:val="21"/>
                <w:lang w:eastAsia="zh-CN"/>
              </w:rPr>
              <w:t>行政事业单位医疗</w:t>
            </w: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eastAsia="宋体" w:cs="宋体"/>
                <w:kern w:val="0"/>
                <w:sz w:val="22"/>
                <w:lang w:val="en-US" w:eastAsia="zh-CN"/>
              </w:rPr>
            </w:pPr>
            <w:r>
              <w:rPr>
                <w:rFonts w:hint="eastAsia" w:ascii="宋体" w:hAnsi="宋体" w:cs="宋体"/>
                <w:kern w:val="0"/>
                <w:sz w:val="22"/>
                <w:lang w:val="en-US" w:eastAsia="zh-CN"/>
              </w:rPr>
              <w:t>5.91</w:t>
            </w:r>
            <w:r>
              <w:rPr>
                <w:rFonts w:hint="eastAsia" w:ascii="宋体" w:hAnsi="宋体" w:eastAsia="宋体" w:cs="宋体"/>
                <w:kern w:val="0"/>
                <w:sz w:val="22"/>
                <w:lang w:val="en-US" w:eastAsia="zh-CN"/>
              </w:rPr>
              <w:t>　</w:t>
            </w:r>
          </w:p>
        </w:tc>
        <w:tc>
          <w:tcPr>
            <w:tcW w:w="147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eastAsia="宋体" w:cs="宋体"/>
                <w:kern w:val="0"/>
                <w:sz w:val="22"/>
                <w:lang w:val="en-US" w:eastAsia="zh-CN"/>
              </w:rPr>
            </w:pPr>
            <w:r>
              <w:rPr>
                <w:rFonts w:hint="eastAsia" w:ascii="宋体" w:hAnsi="宋体" w:cs="宋体"/>
                <w:kern w:val="0"/>
                <w:sz w:val="22"/>
                <w:lang w:val="en-US" w:eastAsia="zh-CN"/>
              </w:rPr>
              <w:t>5.91</w:t>
            </w:r>
            <w:r>
              <w:rPr>
                <w:rFonts w:hint="eastAsia" w:ascii="宋体" w:hAnsi="宋体" w:eastAsia="宋体" w:cs="宋体"/>
                <w:kern w:val="0"/>
                <w:sz w:val="22"/>
                <w:lang w:val="en-US" w:eastAsia="zh-CN"/>
              </w:rPr>
              <w:t>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9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76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eastAsia" w:ascii="宋体" w:hAnsi="宋体" w:eastAsia="宋体" w:cs="宋体"/>
                <w:sz w:val="18"/>
                <w:szCs w:val="18"/>
                <w:lang w:val="en-US" w:eastAsia="zh-CN"/>
              </w:rPr>
            </w:pPr>
            <w:r>
              <w:rPr>
                <w:rFonts w:hint="eastAsia" w:ascii="宋体" w:hAnsi="宋体" w:eastAsia="宋体" w:cs="宋体"/>
                <w:color w:val="000000"/>
                <w:sz w:val="18"/>
                <w:szCs w:val="18"/>
                <w:lang w:val="en-US" w:eastAsia="zh-CN"/>
              </w:rPr>
              <w:t>2101102</w:t>
            </w:r>
          </w:p>
        </w:tc>
        <w:tc>
          <w:tcPr>
            <w:tcW w:w="46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ind w:firstLine="210" w:firstLineChars="100"/>
              <w:jc w:val="left"/>
              <w:rPr>
                <w:rFonts w:hint="eastAsia" w:ascii="宋体" w:hAnsi="宋体" w:eastAsia="宋体" w:cs="宋体"/>
                <w:lang w:eastAsia="zh-CN"/>
              </w:rPr>
            </w:pPr>
            <w:r>
              <w:rPr>
                <w:rFonts w:hint="eastAsia" w:ascii="宋体" w:hAnsi="宋体" w:eastAsia="宋体" w:cs="宋体"/>
                <w:lang w:eastAsia="zh-CN"/>
              </w:rPr>
              <w:t>事业单位医疗</w:t>
            </w: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default" w:ascii="宋体" w:hAnsi="宋体" w:eastAsia="宋体" w:cs="宋体"/>
                <w:kern w:val="0"/>
                <w:sz w:val="22"/>
                <w:lang w:val="en-US" w:eastAsia="zh-CN"/>
              </w:rPr>
            </w:pPr>
            <w:r>
              <w:rPr>
                <w:rFonts w:hint="eastAsia" w:ascii="宋体" w:hAnsi="宋体" w:cs="宋体"/>
                <w:kern w:val="0"/>
                <w:sz w:val="22"/>
                <w:lang w:val="en-US" w:eastAsia="zh-CN"/>
              </w:rPr>
              <w:t>5.91</w:t>
            </w:r>
            <w:r>
              <w:rPr>
                <w:rFonts w:hint="eastAsia" w:ascii="宋体" w:hAnsi="宋体" w:eastAsia="宋体" w:cs="宋体"/>
                <w:kern w:val="0"/>
                <w:sz w:val="22"/>
                <w:lang w:val="en-US" w:eastAsia="zh-CN"/>
              </w:rPr>
              <w:t>　</w:t>
            </w:r>
          </w:p>
        </w:tc>
        <w:tc>
          <w:tcPr>
            <w:tcW w:w="147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default" w:ascii="宋体" w:hAnsi="宋体" w:eastAsia="宋体" w:cs="宋体"/>
                <w:kern w:val="0"/>
                <w:sz w:val="22"/>
                <w:lang w:val="en-US" w:eastAsia="zh-CN"/>
              </w:rPr>
            </w:pPr>
            <w:r>
              <w:rPr>
                <w:rFonts w:hint="eastAsia" w:ascii="宋体" w:hAnsi="宋体" w:cs="宋体"/>
                <w:kern w:val="0"/>
                <w:sz w:val="22"/>
                <w:lang w:val="en-US" w:eastAsia="zh-CN"/>
              </w:rPr>
              <w:t>5.91</w:t>
            </w:r>
            <w:r>
              <w:rPr>
                <w:rFonts w:hint="eastAsia" w:ascii="宋体" w:hAnsi="宋体" w:eastAsia="宋体" w:cs="宋体"/>
                <w:kern w:val="0"/>
                <w:sz w:val="22"/>
                <w:lang w:val="en-US" w:eastAsia="zh-CN"/>
              </w:rPr>
              <w:t>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3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49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76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212</w:t>
            </w:r>
          </w:p>
        </w:tc>
        <w:tc>
          <w:tcPr>
            <w:tcW w:w="46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eastAsia" w:ascii="宋体" w:hAnsi="宋体" w:eastAsia="宋体" w:cs="宋体"/>
                <w:lang w:eastAsia="zh-CN"/>
              </w:rPr>
            </w:pPr>
            <w:r>
              <w:rPr>
                <w:rFonts w:hint="eastAsia" w:ascii="宋体" w:hAnsi="宋体" w:eastAsia="宋体" w:cs="宋体"/>
                <w:lang w:eastAsia="zh-CN"/>
              </w:rPr>
              <w:t>城乡社区支出</w:t>
            </w: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default" w:ascii="宋体" w:hAnsi="宋体" w:cs="宋体"/>
                <w:kern w:val="0"/>
                <w:sz w:val="22"/>
                <w:lang w:val="en-US" w:eastAsia="zh-CN"/>
              </w:rPr>
            </w:pPr>
            <w:r>
              <w:rPr>
                <w:rFonts w:hint="eastAsia" w:ascii="宋体" w:hAnsi="宋体" w:cs="宋体"/>
                <w:kern w:val="0"/>
                <w:sz w:val="22"/>
                <w:lang w:val="en-US" w:eastAsia="zh-CN"/>
              </w:rPr>
              <w:t>12.65</w:t>
            </w:r>
          </w:p>
        </w:tc>
        <w:tc>
          <w:tcPr>
            <w:tcW w:w="147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default" w:ascii="宋体" w:hAnsi="宋体" w:cs="宋体"/>
                <w:kern w:val="0"/>
                <w:sz w:val="22"/>
                <w:lang w:val="en-US" w:eastAsia="zh-CN"/>
              </w:rPr>
            </w:pPr>
            <w:r>
              <w:rPr>
                <w:rFonts w:hint="eastAsia" w:ascii="宋体" w:hAnsi="宋体" w:cs="宋体"/>
                <w:kern w:val="0"/>
                <w:sz w:val="22"/>
                <w:lang w:val="en-US" w:eastAsia="zh-CN"/>
              </w:rPr>
              <w:t>12.65</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3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49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76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21203</w:t>
            </w:r>
          </w:p>
        </w:tc>
        <w:tc>
          <w:tcPr>
            <w:tcW w:w="46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eastAsia" w:ascii="宋体" w:hAnsi="宋体" w:eastAsia="宋体" w:cs="宋体"/>
                <w:lang w:eastAsia="zh-CN"/>
              </w:rPr>
            </w:pPr>
            <w:r>
              <w:rPr>
                <w:rFonts w:hint="eastAsia" w:ascii="宋体" w:hAnsi="宋体" w:eastAsia="宋体" w:cs="宋体"/>
                <w:lang w:eastAsia="zh-CN"/>
              </w:rPr>
              <w:t>城乡社区公共设施</w:t>
            </w: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default" w:ascii="宋体" w:hAnsi="宋体" w:cs="宋体"/>
                <w:kern w:val="0"/>
                <w:sz w:val="22"/>
                <w:lang w:val="en-US" w:eastAsia="zh-CN"/>
              </w:rPr>
            </w:pPr>
            <w:r>
              <w:rPr>
                <w:rFonts w:hint="eastAsia" w:ascii="宋体" w:hAnsi="宋体" w:cs="宋体"/>
                <w:kern w:val="0"/>
                <w:sz w:val="22"/>
                <w:lang w:val="en-US" w:eastAsia="zh-CN"/>
              </w:rPr>
              <w:t>12.65</w:t>
            </w:r>
          </w:p>
        </w:tc>
        <w:tc>
          <w:tcPr>
            <w:tcW w:w="147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default" w:ascii="宋体" w:hAnsi="宋体" w:cs="宋体"/>
                <w:kern w:val="0"/>
                <w:sz w:val="22"/>
                <w:lang w:val="en-US" w:eastAsia="zh-CN"/>
              </w:rPr>
            </w:pPr>
            <w:r>
              <w:rPr>
                <w:rFonts w:hint="eastAsia" w:ascii="宋体" w:hAnsi="宋体" w:cs="宋体"/>
                <w:kern w:val="0"/>
                <w:sz w:val="22"/>
                <w:lang w:val="en-US" w:eastAsia="zh-CN"/>
              </w:rPr>
              <w:t>12.65</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3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49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76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2120399</w:t>
            </w:r>
          </w:p>
        </w:tc>
        <w:tc>
          <w:tcPr>
            <w:tcW w:w="46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ind w:firstLine="210" w:firstLineChars="100"/>
              <w:jc w:val="left"/>
              <w:rPr>
                <w:rFonts w:hint="eastAsia" w:ascii="宋体" w:hAnsi="宋体" w:eastAsia="宋体" w:cs="宋体"/>
                <w:lang w:eastAsia="zh-CN"/>
              </w:rPr>
            </w:pPr>
            <w:r>
              <w:rPr>
                <w:rFonts w:hint="eastAsia" w:ascii="宋体" w:hAnsi="宋体" w:eastAsia="宋体" w:cs="宋体"/>
                <w:lang w:eastAsia="zh-CN"/>
              </w:rPr>
              <w:t>其他城乡社区公共设施支出</w:t>
            </w: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default" w:ascii="宋体" w:hAnsi="宋体" w:cs="宋体"/>
                <w:kern w:val="0"/>
                <w:sz w:val="22"/>
                <w:lang w:val="en-US" w:eastAsia="zh-CN"/>
              </w:rPr>
            </w:pPr>
            <w:r>
              <w:rPr>
                <w:rFonts w:hint="eastAsia" w:ascii="宋体" w:hAnsi="宋体" w:cs="宋体"/>
                <w:kern w:val="0"/>
                <w:sz w:val="22"/>
                <w:lang w:val="en-US" w:eastAsia="zh-CN"/>
              </w:rPr>
              <w:t>12.65</w:t>
            </w:r>
          </w:p>
        </w:tc>
        <w:tc>
          <w:tcPr>
            <w:tcW w:w="147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default" w:ascii="宋体" w:hAnsi="宋体" w:cs="宋体"/>
                <w:kern w:val="0"/>
                <w:sz w:val="22"/>
                <w:lang w:val="en-US" w:eastAsia="zh-CN"/>
              </w:rPr>
            </w:pPr>
            <w:r>
              <w:rPr>
                <w:rFonts w:hint="eastAsia" w:ascii="宋体" w:hAnsi="宋体" w:cs="宋体"/>
                <w:kern w:val="0"/>
                <w:sz w:val="22"/>
                <w:lang w:val="en-US" w:eastAsia="zh-CN"/>
              </w:rPr>
              <w:t>12.65</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3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49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76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eastAsia" w:ascii="宋体" w:hAnsi="宋体" w:eastAsia="宋体" w:cs="宋体"/>
                <w:sz w:val="18"/>
                <w:szCs w:val="18"/>
              </w:rPr>
            </w:pPr>
            <w:r>
              <w:rPr>
                <w:rFonts w:hint="eastAsia" w:ascii="宋体" w:hAnsi="宋体" w:eastAsia="宋体" w:cs="宋体"/>
                <w:color w:val="000000"/>
                <w:sz w:val="18"/>
                <w:szCs w:val="18"/>
              </w:rPr>
              <w:t>213</w:t>
            </w:r>
          </w:p>
        </w:tc>
        <w:tc>
          <w:tcPr>
            <w:tcW w:w="46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eastAsia" w:ascii="宋体" w:hAnsi="宋体" w:eastAsia="宋体" w:cs="宋体"/>
              </w:rPr>
            </w:pPr>
            <w:r>
              <w:rPr>
                <w:rFonts w:hint="eastAsia" w:ascii="宋体" w:hAnsi="宋体" w:eastAsia="宋体" w:cs="宋体"/>
                <w:kern w:val="0"/>
                <w:szCs w:val="21"/>
              </w:rPr>
              <w:t>农林水支出</w:t>
            </w: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default" w:ascii="宋体" w:hAnsi="宋体" w:eastAsia="宋体" w:cs="宋体"/>
                <w:kern w:val="0"/>
                <w:sz w:val="22"/>
                <w:lang w:val="en-US" w:eastAsia="zh-CN"/>
              </w:rPr>
            </w:pPr>
            <w:r>
              <w:rPr>
                <w:rFonts w:hint="eastAsia" w:ascii="宋体" w:hAnsi="宋体" w:cs="宋体"/>
                <w:kern w:val="0"/>
                <w:sz w:val="22"/>
                <w:lang w:val="en-US" w:eastAsia="zh-CN"/>
              </w:rPr>
              <w:t>140.75</w:t>
            </w:r>
          </w:p>
        </w:tc>
        <w:tc>
          <w:tcPr>
            <w:tcW w:w="147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default" w:ascii="宋体" w:hAnsi="宋体" w:eastAsia="宋体" w:cs="宋体"/>
                <w:kern w:val="0"/>
                <w:sz w:val="22"/>
                <w:lang w:val="en-US" w:eastAsia="zh-CN"/>
              </w:rPr>
            </w:pPr>
            <w:r>
              <w:rPr>
                <w:rFonts w:hint="eastAsia" w:ascii="宋体" w:hAnsi="宋体" w:cs="宋体"/>
                <w:kern w:val="0"/>
                <w:sz w:val="22"/>
                <w:lang w:val="en-US" w:eastAsia="zh-CN"/>
              </w:rPr>
              <w:t>140.75</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3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49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76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eastAsia" w:ascii="宋体" w:hAnsi="宋体" w:eastAsia="宋体" w:cs="宋体"/>
                <w:sz w:val="18"/>
                <w:szCs w:val="18"/>
              </w:rPr>
            </w:pPr>
            <w:r>
              <w:rPr>
                <w:rFonts w:hint="eastAsia" w:ascii="宋体" w:hAnsi="宋体" w:eastAsia="宋体" w:cs="宋体"/>
                <w:color w:val="000000"/>
                <w:sz w:val="18"/>
                <w:szCs w:val="18"/>
              </w:rPr>
              <w:t>21302</w:t>
            </w:r>
          </w:p>
        </w:tc>
        <w:tc>
          <w:tcPr>
            <w:tcW w:w="46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eastAsia" w:ascii="宋体" w:hAnsi="宋体" w:eastAsia="宋体" w:cs="宋体"/>
              </w:rPr>
            </w:pPr>
            <w:r>
              <w:rPr>
                <w:rFonts w:hint="eastAsia" w:ascii="宋体" w:hAnsi="宋体" w:eastAsia="宋体" w:cs="宋体"/>
                <w:kern w:val="0"/>
                <w:szCs w:val="21"/>
              </w:rPr>
              <w:t>林业和草原</w:t>
            </w: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default" w:ascii="宋体" w:hAnsi="宋体" w:eastAsia="宋体" w:cs="宋体"/>
                <w:kern w:val="0"/>
                <w:sz w:val="22"/>
                <w:lang w:val="en-US" w:eastAsia="zh-CN"/>
              </w:rPr>
            </w:pPr>
            <w:r>
              <w:rPr>
                <w:rFonts w:hint="eastAsia" w:ascii="宋体" w:hAnsi="宋体" w:cs="宋体"/>
                <w:kern w:val="0"/>
                <w:sz w:val="22"/>
                <w:lang w:val="en-US" w:eastAsia="zh-CN"/>
              </w:rPr>
              <w:t>140.75</w:t>
            </w:r>
          </w:p>
        </w:tc>
        <w:tc>
          <w:tcPr>
            <w:tcW w:w="147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default" w:ascii="宋体" w:hAnsi="宋体" w:eastAsia="宋体" w:cs="宋体"/>
                <w:kern w:val="0"/>
                <w:sz w:val="22"/>
                <w:lang w:val="en-US" w:eastAsia="zh-CN"/>
              </w:rPr>
            </w:pPr>
            <w:r>
              <w:rPr>
                <w:rFonts w:hint="eastAsia" w:ascii="宋体" w:hAnsi="宋体" w:cs="宋体"/>
                <w:kern w:val="0"/>
                <w:sz w:val="22"/>
                <w:lang w:val="en-US" w:eastAsia="zh-CN"/>
              </w:rPr>
              <w:t>140.75</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3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49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76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eastAsia" w:ascii="宋体" w:hAnsi="宋体" w:eastAsia="宋体" w:cs="宋体"/>
                <w:sz w:val="18"/>
                <w:szCs w:val="18"/>
                <w:lang w:val="en-US" w:eastAsia="zh-CN"/>
              </w:rPr>
            </w:pPr>
            <w:r>
              <w:rPr>
                <w:rFonts w:hint="eastAsia" w:ascii="宋体" w:hAnsi="宋体" w:eastAsia="宋体" w:cs="宋体"/>
                <w:color w:val="000000"/>
                <w:sz w:val="18"/>
                <w:szCs w:val="18"/>
              </w:rPr>
              <w:t>213020</w:t>
            </w:r>
            <w:r>
              <w:rPr>
                <w:rFonts w:hint="eastAsia" w:ascii="宋体" w:hAnsi="宋体" w:eastAsia="宋体" w:cs="宋体"/>
                <w:color w:val="000000"/>
                <w:sz w:val="18"/>
                <w:szCs w:val="18"/>
                <w:lang w:val="en-US" w:eastAsia="zh-CN"/>
              </w:rPr>
              <w:t>4</w:t>
            </w:r>
          </w:p>
        </w:tc>
        <w:tc>
          <w:tcPr>
            <w:tcW w:w="46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eastAsia" w:ascii="宋体" w:hAnsi="宋体" w:eastAsia="宋体" w:cs="宋体"/>
                <w:lang w:eastAsia="zh-CN"/>
              </w:rPr>
            </w:pPr>
            <w:r>
              <w:rPr>
                <w:rFonts w:hint="eastAsia" w:ascii="宋体" w:hAnsi="宋体" w:eastAsia="宋体" w:cs="宋体"/>
                <w:kern w:val="0"/>
                <w:szCs w:val="21"/>
              </w:rPr>
              <w:t xml:space="preserve">  </w:t>
            </w:r>
            <w:r>
              <w:rPr>
                <w:rFonts w:hint="eastAsia" w:ascii="宋体" w:hAnsi="宋体" w:eastAsia="宋体" w:cs="宋体"/>
                <w:kern w:val="0"/>
                <w:szCs w:val="21"/>
                <w:lang w:eastAsia="zh-CN"/>
              </w:rPr>
              <w:t>事业机构</w:t>
            </w: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default" w:ascii="宋体" w:hAnsi="宋体" w:eastAsia="宋体" w:cs="宋体"/>
                <w:kern w:val="0"/>
                <w:sz w:val="22"/>
                <w:lang w:val="en-US" w:eastAsia="zh-CN"/>
              </w:rPr>
            </w:pPr>
            <w:r>
              <w:rPr>
                <w:rFonts w:hint="eastAsia" w:ascii="宋体" w:hAnsi="宋体" w:cs="宋体"/>
                <w:kern w:val="0"/>
                <w:sz w:val="22"/>
                <w:lang w:val="en-US" w:eastAsia="zh-CN"/>
              </w:rPr>
              <w:t>126.04</w:t>
            </w:r>
          </w:p>
        </w:tc>
        <w:tc>
          <w:tcPr>
            <w:tcW w:w="147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default" w:ascii="宋体" w:hAnsi="宋体" w:eastAsia="宋体" w:cs="宋体"/>
                <w:kern w:val="0"/>
                <w:sz w:val="22"/>
                <w:lang w:val="en-US" w:eastAsia="zh-CN"/>
              </w:rPr>
            </w:pPr>
            <w:r>
              <w:rPr>
                <w:rFonts w:hint="eastAsia" w:ascii="宋体" w:hAnsi="宋体" w:cs="宋体"/>
                <w:kern w:val="0"/>
                <w:sz w:val="22"/>
                <w:lang w:val="en-US" w:eastAsia="zh-CN"/>
              </w:rPr>
              <w:t>126.04</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3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49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76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default" w:ascii="宋体" w:hAnsi="宋体" w:eastAsia="宋体" w:cs="宋体"/>
                <w:sz w:val="18"/>
                <w:szCs w:val="18"/>
                <w:lang w:val="en-US" w:eastAsia="zh-CN"/>
              </w:rPr>
            </w:pPr>
            <w:r>
              <w:rPr>
                <w:rFonts w:hint="eastAsia" w:ascii="宋体" w:hAnsi="宋体" w:eastAsia="宋体" w:cs="宋体"/>
                <w:color w:val="000000"/>
                <w:sz w:val="18"/>
                <w:szCs w:val="18"/>
              </w:rPr>
              <w:t>21302</w:t>
            </w:r>
            <w:r>
              <w:rPr>
                <w:rFonts w:hint="eastAsia" w:ascii="宋体" w:hAnsi="宋体" w:eastAsia="宋体" w:cs="宋体"/>
                <w:color w:val="000000"/>
                <w:sz w:val="18"/>
                <w:szCs w:val="18"/>
                <w:lang w:val="en-US" w:eastAsia="zh-CN"/>
              </w:rPr>
              <w:t>35</w:t>
            </w:r>
          </w:p>
        </w:tc>
        <w:tc>
          <w:tcPr>
            <w:tcW w:w="46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eastAsia" w:ascii="宋体" w:hAnsi="宋体" w:eastAsia="宋体" w:cs="宋体"/>
                <w:lang w:eastAsia="zh-CN"/>
              </w:rPr>
            </w:pPr>
            <w:r>
              <w:rPr>
                <w:rFonts w:hint="eastAsia" w:ascii="宋体" w:hAnsi="宋体" w:eastAsia="宋体" w:cs="宋体"/>
                <w:kern w:val="0"/>
                <w:szCs w:val="21"/>
              </w:rPr>
              <w:t xml:space="preserve">  </w:t>
            </w:r>
            <w:r>
              <w:rPr>
                <w:rFonts w:hint="eastAsia" w:ascii="宋体" w:hAnsi="宋体" w:eastAsia="宋体" w:cs="宋体"/>
                <w:kern w:val="0"/>
                <w:szCs w:val="21"/>
                <w:lang w:eastAsia="zh-CN"/>
              </w:rPr>
              <w:t>国家公园</w:t>
            </w: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default" w:ascii="宋体" w:hAnsi="宋体" w:eastAsia="宋体" w:cs="宋体"/>
                <w:kern w:val="0"/>
                <w:sz w:val="22"/>
                <w:lang w:val="en-US" w:eastAsia="zh-CN"/>
              </w:rPr>
            </w:pPr>
            <w:r>
              <w:rPr>
                <w:rFonts w:hint="eastAsia" w:ascii="宋体" w:hAnsi="宋体" w:cs="宋体"/>
                <w:kern w:val="0"/>
                <w:sz w:val="22"/>
                <w:lang w:val="en-US" w:eastAsia="zh-CN"/>
              </w:rPr>
              <w:t>14.71</w:t>
            </w:r>
          </w:p>
        </w:tc>
        <w:tc>
          <w:tcPr>
            <w:tcW w:w="147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default" w:ascii="宋体" w:hAnsi="宋体" w:eastAsia="宋体" w:cs="宋体"/>
                <w:kern w:val="0"/>
                <w:sz w:val="22"/>
                <w:lang w:val="en-US" w:eastAsia="zh-CN"/>
              </w:rPr>
            </w:pPr>
            <w:r>
              <w:rPr>
                <w:rFonts w:hint="eastAsia" w:ascii="宋体" w:hAnsi="宋体" w:cs="宋体"/>
                <w:kern w:val="0"/>
                <w:sz w:val="22"/>
                <w:lang w:val="en-US" w:eastAsia="zh-CN"/>
              </w:rPr>
              <w:t>14.71</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3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49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76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eastAsia" w:ascii="宋体" w:hAnsi="宋体" w:eastAsia="宋体" w:cs="宋体"/>
                <w:color w:val="000000"/>
                <w:sz w:val="18"/>
                <w:szCs w:val="18"/>
              </w:rPr>
            </w:pPr>
            <w:r>
              <w:rPr>
                <w:rFonts w:hint="eastAsia" w:ascii="宋体" w:hAnsi="宋体" w:eastAsia="宋体" w:cs="宋体"/>
                <w:color w:val="000000"/>
                <w:sz w:val="18"/>
                <w:szCs w:val="18"/>
              </w:rPr>
              <w:t>221</w:t>
            </w:r>
          </w:p>
        </w:tc>
        <w:tc>
          <w:tcPr>
            <w:tcW w:w="46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eastAsia" w:ascii="宋体" w:hAnsi="宋体" w:eastAsia="宋体" w:cs="宋体"/>
                <w:color w:val="000000"/>
                <w:sz w:val="22"/>
              </w:rPr>
            </w:pPr>
            <w:r>
              <w:rPr>
                <w:rFonts w:hint="eastAsia" w:ascii="宋体" w:hAnsi="宋体" w:eastAsia="宋体" w:cs="宋体"/>
                <w:color w:val="000000"/>
                <w:sz w:val="22"/>
              </w:rPr>
              <w:t>住房保障支出</w:t>
            </w: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default" w:ascii="宋体" w:hAnsi="宋体" w:eastAsia="宋体" w:cs="宋体"/>
                <w:kern w:val="0"/>
                <w:sz w:val="22"/>
                <w:lang w:val="en-US" w:eastAsia="zh-CN"/>
              </w:rPr>
            </w:pPr>
            <w:r>
              <w:rPr>
                <w:rFonts w:hint="eastAsia" w:ascii="宋体" w:hAnsi="宋体" w:cs="宋体"/>
                <w:kern w:val="0"/>
                <w:sz w:val="22"/>
                <w:lang w:val="en-US" w:eastAsia="zh-CN"/>
              </w:rPr>
              <w:t>11.21</w:t>
            </w:r>
          </w:p>
        </w:tc>
        <w:tc>
          <w:tcPr>
            <w:tcW w:w="147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default" w:ascii="宋体" w:hAnsi="宋体" w:eastAsia="宋体" w:cs="宋体"/>
                <w:kern w:val="0"/>
                <w:sz w:val="22"/>
                <w:lang w:val="en-US" w:eastAsia="zh-CN"/>
              </w:rPr>
            </w:pPr>
            <w:r>
              <w:rPr>
                <w:rFonts w:hint="eastAsia" w:ascii="宋体" w:hAnsi="宋体" w:cs="宋体"/>
                <w:kern w:val="0"/>
                <w:sz w:val="22"/>
                <w:lang w:val="en-US" w:eastAsia="zh-CN"/>
              </w:rPr>
              <w:t>11.21</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3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49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76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eastAsia" w:ascii="宋体" w:hAnsi="宋体" w:eastAsia="宋体" w:cs="宋体"/>
                <w:color w:val="000000"/>
                <w:sz w:val="18"/>
                <w:szCs w:val="18"/>
              </w:rPr>
            </w:pPr>
            <w:r>
              <w:rPr>
                <w:rFonts w:hint="eastAsia" w:ascii="宋体" w:hAnsi="宋体" w:eastAsia="宋体" w:cs="宋体"/>
                <w:color w:val="000000"/>
                <w:sz w:val="18"/>
                <w:szCs w:val="18"/>
              </w:rPr>
              <w:t>22102</w:t>
            </w:r>
          </w:p>
        </w:tc>
        <w:tc>
          <w:tcPr>
            <w:tcW w:w="46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eastAsia" w:ascii="宋体" w:hAnsi="宋体" w:eastAsia="宋体" w:cs="宋体"/>
                <w:color w:val="000000"/>
                <w:sz w:val="22"/>
              </w:rPr>
            </w:pPr>
            <w:r>
              <w:rPr>
                <w:rFonts w:hint="eastAsia" w:ascii="宋体" w:hAnsi="宋体" w:eastAsia="宋体" w:cs="宋体"/>
                <w:color w:val="000000"/>
                <w:sz w:val="22"/>
              </w:rPr>
              <w:t>住房改革支出</w:t>
            </w: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default" w:ascii="宋体" w:hAnsi="宋体" w:eastAsia="宋体" w:cs="宋体"/>
                <w:kern w:val="0"/>
                <w:sz w:val="22"/>
                <w:lang w:val="en-US" w:eastAsia="zh-CN"/>
              </w:rPr>
            </w:pPr>
            <w:r>
              <w:rPr>
                <w:rFonts w:hint="eastAsia" w:ascii="宋体" w:hAnsi="宋体" w:cs="宋体"/>
                <w:kern w:val="0"/>
                <w:sz w:val="22"/>
                <w:lang w:val="en-US" w:eastAsia="zh-CN"/>
              </w:rPr>
              <w:t>11.21</w:t>
            </w:r>
          </w:p>
        </w:tc>
        <w:tc>
          <w:tcPr>
            <w:tcW w:w="147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default" w:ascii="宋体" w:hAnsi="宋体" w:eastAsia="宋体" w:cs="宋体"/>
                <w:kern w:val="0"/>
                <w:sz w:val="22"/>
                <w:lang w:val="en-US" w:eastAsia="zh-CN"/>
              </w:rPr>
            </w:pPr>
            <w:r>
              <w:rPr>
                <w:rFonts w:hint="eastAsia" w:ascii="宋体" w:hAnsi="宋体" w:cs="宋体"/>
                <w:kern w:val="0"/>
                <w:sz w:val="22"/>
                <w:lang w:val="en-US" w:eastAsia="zh-CN"/>
              </w:rPr>
              <w:t>11.21</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3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49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76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eastAsia" w:ascii="宋体" w:hAnsi="宋体" w:eastAsia="宋体" w:cs="宋体"/>
                <w:color w:val="000000"/>
                <w:sz w:val="18"/>
                <w:szCs w:val="18"/>
              </w:rPr>
            </w:pPr>
            <w:r>
              <w:rPr>
                <w:rFonts w:hint="eastAsia" w:ascii="宋体" w:hAnsi="宋体" w:eastAsia="宋体" w:cs="宋体"/>
                <w:color w:val="000000"/>
                <w:sz w:val="18"/>
                <w:szCs w:val="18"/>
              </w:rPr>
              <w:t>2210201</w:t>
            </w:r>
          </w:p>
        </w:tc>
        <w:tc>
          <w:tcPr>
            <w:tcW w:w="46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eastAsia" w:ascii="宋体" w:hAnsi="宋体" w:eastAsia="宋体" w:cs="宋体"/>
                <w:color w:val="000000"/>
                <w:sz w:val="22"/>
              </w:rPr>
            </w:pPr>
            <w:r>
              <w:rPr>
                <w:rFonts w:hint="eastAsia" w:ascii="宋体" w:hAnsi="宋体" w:eastAsia="宋体" w:cs="宋体"/>
                <w:color w:val="000000"/>
                <w:sz w:val="22"/>
              </w:rPr>
              <w:t xml:space="preserve">  住房公积金</w:t>
            </w: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default" w:ascii="宋体" w:hAnsi="宋体" w:eastAsia="宋体" w:cs="宋体"/>
                <w:kern w:val="0"/>
                <w:sz w:val="22"/>
                <w:lang w:val="en-US" w:eastAsia="zh-CN"/>
              </w:rPr>
            </w:pPr>
            <w:r>
              <w:rPr>
                <w:rFonts w:hint="eastAsia" w:ascii="宋体" w:hAnsi="宋体" w:cs="宋体"/>
                <w:kern w:val="0"/>
                <w:sz w:val="22"/>
                <w:lang w:val="en-US" w:eastAsia="zh-CN"/>
              </w:rPr>
              <w:t>11.21</w:t>
            </w:r>
          </w:p>
        </w:tc>
        <w:tc>
          <w:tcPr>
            <w:tcW w:w="147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default" w:ascii="宋体" w:hAnsi="宋体" w:eastAsia="宋体" w:cs="宋体"/>
                <w:kern w:val="0"/>
                <w:sz w:val="22"/>
                <w:lang w:val="en-US" w:eastAsia="zh-CN"/>
              </w:rPr>
            </w:pPr>
            <w:r>
              <w:rPr>
                <w:rFonts w:hint="eastAsia" w:ascii="宋体" w:hAnsi="宋体" w:cs="宋体"/>
                <w:kern w:val="0"/>
                <w:sz w:val="22"/>
                <w:lang w:val="en-US" w:eastAsia="zh-CN"/>
              </w:rPr>
              <w:t>11.21</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3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c>
          <w:tcPr>
            <w:tcW w:w="149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615" w:hRule="atLeast"/>
        </w:trPr>
        <w:tc>
          <w:tcPr>
            <w:tcW w:w="15428" w:type="dxa"/>
            <w:gridSpan w:val="10"/>
            <w:tcBorders>
              <w:top w:val="nil"/>
              <w:left w:val="nil"/>
              <w:bottom w:val="nil"/>
              <w:right w:val="nil"/>
            </w:tcBorders>
            <w:noWrap w:val="0"/>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p>
      <w:pPr>
        <w:widowControl/>
        <w:rPr>
          <w:rFonts w:ascii="Times New Roman" w:hAnsi="Times New Roman" w:eastAsia="方正小标宋_GBK" w:cs="Times New Roman"/>
          <w:color w:val="000000"/>
          <w:kern w:val="0"/>
          <w:sz w:val="36"/>
          <w:szCs w:val="36"/>
        </w:rPr>
      </w:pPr>
    </w:p>
    <w:tbl>
      <w:tblPr>
        <w:tblStyle w:val="6"/>
        <w:tblW w:w="13183" w:type="dxa"/>
        <w:tblInd w:w="93" w:type="dxa"/>
        <w:tblLayout w:type="fixed"/>
        <w:tblCellMar>
          <w:top w:w="0" w:type="dxa"/>
          <w:left w:w="108" w:type="dxa"/>
          <w:bottom w:w="0" w:type="dxa"/>
          <w:right w:w="108" w:type="dxa"/>
        </w:tblCellMar>
      </w:tblPr>
      <w:tblGrid>
        <w:gridCol w:w="1042"/>
        <w:gridCol w:w="222"/>
        <w:gridCol w:w="2573"/>
        <w:gridCol w:w="1410"/>
        <w:gridCol w:w="1575"/>
        <w:gridCol w:w="1635"/>
        <w:gridCol w:w="1710"/>
        <w:gridCol w:w="1455"/>
        <w:gridCol w:w="1561"/>
      </w:tblGrid>
      <w:tr>
        <w:tblPrEx>
          <w:tblCellMar>
            <w:top w:w="0" w:type="dxa"/>
            <w:left w:w="108" w:type="dxa"/>
            <w:bottom w:w="0" w:type="dxa"/>
            <w:right w:w="108" w:type="dxa"/>
          </w:tblCellMar>
        </w:tblPrEx>
        <w:trPr>
          <w:trHeight w:val="435" w:hRule="atLeast"/>
        </w:trPr>
        <w:tc>
          <w:tcPr>
            <w:tcW w:w="13183" w:type="dxa"/>
            <w:gridSpan w:val="9"/>
            <w:tcBorders>
              <w:top w:val="nil"/>
              <w:left w:val="nil"/>
              <w:bottom w:val="nil"/>
              <w:right w:val="nil"/>
            </w:tcBorders>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285" w:hRule="atLeast"/>
        </w:trPr>
        <w:tc>
          <w:tcPr>
            <w:tcW w:w="104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2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1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1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5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61"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285" w:hRule="atLeast"/>
        </w:trPr>
        <w:tc>
          <w:tcPr>
            <w:tcW w:w="1042"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22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1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35" w:type="dxa"/>
            <w:tcBorders>
              <w:top w:val="nil"/>
              <w:left w:val="nil"/>
              <w:bottom w:val="nil"/>
              <w:right w:val="nil"/>
            </w:tcBorders>
            <w:shd w:val="clear" w:color="000000" w:fill="FFFFFF"/>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71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5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61"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50" w:hRule="atLeast"/>
        </w:trPr>
        <w:tc>
          <w:tcPr>
            <w:tcW w:w="3837" w:type="dxa"/>
            <w:gridSpan w:val="3"/>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410" w:type="dxa"/>
            <w:vMerge w:val="restart"/>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575" w:type="dxa"/>
            <w:vMerge w:val="restart"/>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635" w:type="dxa"/>
            <w:vMerge w:val="restart"/>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710" w:type="dxa"/>
            <w:vMerge w:val="restart"/>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455" w:type="dxa"/>
            <w:vMerge w:val="restart"/>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1561" w:type="dxa"/>
            <w:vMerge w:val="restart"/>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450" w:hRule="atLeast"/>
        </w:trPr>
        <w:tc>
          <w:tcPr>
            <w:tcW w:w="1264" w:type="dxa"/>
            <w:gridSpan w:val="2"/>
            <w:vMerge w:val="restart"/>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573" w:type="dxa"/>
            <w:vMerge w:val="restar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4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kern w:val="0"/>
                <w:sz w:val="24"/>
                <w:szCs w:val="24"/>
              </w:rPr>
            </w:pPr>
          </w:p>
        </w:tc>
        <w:tc>
          <w:tcPr>
            <w:tcW w:w="157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kern w:val="0"/>
                <w:sz w:val="24"/>
                <w:szCs w:val="24"/>
              </w:rPr>
            </w:pPr>
          </w:p>
        </w:tc>
        <w:tc>
          <w:tcPr>
            <w:tcW w:w="163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kern w:val="0"/>
                <w:sz w:val="24"/>
                <w:szCs w:val="24"/>
              </w:rPr>
            </w:pPr>
          </w:p>
        </w:tc>
        <w:tc>
          <w:tcPr>
            <w:tcW w:w="17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kern w:val="0"/>
                <w:sz w:val="24"/>
                <w:szCs w:val="24"/>
              </w:rPr>
            </w:pPr>
          </w:p>
        </w:tc>
        <w:tc>
          <w:tcPr>
            <w:tcW w:w="145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kern w:val="0"/>
                <w:sz w:val="24"/>
                <w:szCs w:val="24"/>
              </w:rPr>
            </w:pPr>
          </w:p>
        </w:tc>
        <w:tc>
          <w:tcPr>
            <w:tcW w:w="156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kern w:val="0"/>
                <w:sz w:val="24"/>
                <w:szCs w:val="24"/>
              </w:rPr>
            </w:pPr>
          </w:p>
        </w:tc>
        <w:tc>
          <w:tcPr>
            <w:tcW w:w="2573"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eastAsia="宋体" w:cs="宋体"/>
                <w:kern w:val="0"/>
                <w:sz w:val="24"/>
                <w:szCs w:val="24"/>
              </w:rPr>
            </w:pPr>
          </w:p>
        </w:tc>
        <w:tc>
          <w:tcPr>
            <w:tcW w:w="14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kern w:val="0"/>
                <w:sz w:val="24"/>
                <w:szCs w:val="24"/>
              </w:rPr>
            </w:pPr>
          </w:p>
        </w:tc>
        <w:tc>
          <w:tcPr>
            <w:tcW w:w="157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kern w:val="0"/>
                <w:sz w:val="24"/>
                <w:szCs w:val="24"/>
              </w:rPr>
            </w:pPr>
          </w:p>
        </w:tc>
        <w:tc>
          <w:tcPr>
            <w:tcW w:w="163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kern w:val="0"/>
                <w:sz w:val="24"/>
                <w:szCs w:val="24"/>
              </w:rPr>
            </w:pPr>
          </w:p>
        </w:tc>
        <w:tc>
          <w:tcPr>
            <w:tcW w:w="17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kern w:val="0"/>
                <w:sz w:val="24"/>
                <w:szCs w:val="24"/>
              </w:rPr>
            </w:pPr>
          </w:p>
        </w:tc>
        <w:tc>
          <w:tcPr>
            <w:tcW w:w="145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kern w:val="0"/>
                <w:sz w:val="24"/>
                <w:szCs w:val="24"/>
              </w:rPr>
            </w:pPr>
          </w:p>
        </w:tc>
        <w:tc>
          <w:tcPr>
            <w:tcW w:w="156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383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41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57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63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71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45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156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450" w:hRule="atLeast"/>
        </w:trPr>
        <w:tc>
          <w:tcPr>
            <w:tcW w:w="383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410"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4"/>
                <w:szCs w:val="24"/>
              </w:rPr>
            </w:pPr>
            <w:r>
              <w:rPr>
                <w:rFonts w:hint="eastAsia" w:ascii="宋体" w:hAnsi="宋体" w:cs="宋体"/>
                <w:kern w:val="0"/>
                <w:sz w:val="24"/>
                <w:szCs w:val="24"/>
                <w:lang w:val="en-US" w:eastAsia="zh-CN"/>
              </w:rPr>
              <w:t>186.73</w:t>
            </w:r>
            <w:r>
              <w:rPr>
                <w:rFonts w:hint="eastAsia" w:ascii="宋体" w:hAnsi="宋体" w:eastAsia="宋体" w:cs="宋体"/>
                <w:kern w:val="0"/>
                <w:sz w:val="24"/>
                <w:szCs w:val="24"/>
              </w:rPr>
              <w:t>　</w:t>
            </w:r>
          </w:p>
        </w:tc>
        <w:tc>
          <w:tcPr>
            <w:tcW w:w="1575"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158.63</w:t>
            </w:r>
          </w:p>
        </w:tc>
        <w:tc>
          <w:tcPr>
            <w:tcW w:w="1635"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4"/>
                <w:szCs w:val="24"/>
              </w:rPr>
            </w:pPr>
            <w:r>
              <w:rPr>
                <w:rFonts w:hint="eastAsia" w:ascii="宋体" w:hAnsi="宋体" w:cs="宋体"/>
                <w:kern w:val="0"/>
                <w:sz w:val="24"/>
                <w:szCs w:val="24"/>
                <w:lang w:val="en-US" w:eastAsia="zh-CN"/>
              </w:rPr>
              <w:t>28.1</w:t>
            </w:r>
            <w:r>
              <w:rPr>
                <w:rFonts w:hint="eastAsia" w:ascii="宋体" w:hAnsi="宋体" w:eastAsia="宋体" w:cs="宋体"/>
                <w:kern w:val="0"/>
                <w:sz w:val="24"/>
                <w:szCs w:val="24"/>
              </w:rPr>
              <w:t>　</w:t>
            </w:r>
          </w:p>
        </w:tc>
        <w:tc>
          <w:tcPr>
            <w:tcW w:w="1710"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55"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61"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18"/>
                <w:szCs w:val="18"/>
              </w:rPr>
              <w:t>208</w:t>
            </w:r>
          </w:p>
        </w:tc>
        <w:tc>
          <w:tcPr>
            <w:tcW w:w="2573"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kern w:val="0"/>
                <w:szCs w:val="21"/>
              </w:rPr>
              <w:t>社会保障和就业支出　</w:t>
            </w:r>
          </w:p>
        </w:tc>
        <w:tc>
          <w:tcPr>
            <w:tcW w:w="1410"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4"/>
                <w:szCs w:val="24"/>
              </w:rPr>
            </w:pPr>
            <w:r>
              <w:rPr>
                <w:rFonts w:hint="eastAsia" w:ascii="宋体" w:hAnsi="宋体" w:cs="宋体"/>
                <w:kern w:val="0"/>
                <w:sz w:val="22"/>
                <w:lang w:val="en-US" w:eastAsia="zh-CN"/>
              </w:rPr>
              <w:t>16.21</w:t>
            </w:r>
            <w:r>
              <w:rPr>
                <w:rFonts w:hint="eastAsia" w:ascii="宋体" w:hAnsi="宋体" w:eastAsia="宋体" w:cs="宋体"/>
                <w:kern w:val="0"/>
                <w:sz w:val="22"/>
                <w:lang w:val="en-US" w:eastAsia="zh-CN"/>
              </w:rPr>
              <w:t>　</w:t>
            </w:r>
          </w:p>
        </w:tc>
        <w:tc>
          <w:tcPr>
            <w:tcW w:w="1575"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2"/>
                <w:lang w:val="en-US" w:eastAsia="zh-CN"/>
              </w:rPr>
              <w:t>1</w:t>
            </w:r>
            <w:r>
              <w:rPr>
                <w:rFonts w:hint="eastAsia" w:ascii="宋体" w:hAnsi="宋体" w:cs="宋体"/>
                <w:kern w:val="0"/>
                <w:sz w:val="22"/>
                <w:lang w:val="en-US" w:eastAsia="zh-CN"/>
              </w:rPr>
              <w:t>6.21</w:t>
            </w:r>
            <w:r>
              <w:rPr>
                <w:rFonts w:hint="eastAsia" w:ascii="宋体" w:hAnsi="宋体" w:eastAsia="宋体" w:cs="宋体"/>
                <w:kern w:val="0"/>
                <w:sz w:val="22"/>
                <w:lang w:val="en-US" w:eastAsia="zh-CN"/>
              </w:rPr>
              <w:t>　</w:t>
            </w:r>
          </w:p>
        </w:tc>
        <w:tc>
          <w:tcPr>
            <w:tcW w:w="1635"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10"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55"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61"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ascii="宋体" w:hAnsi="宋体" w:eastAsia="宋体" w:cs="宋体"/>
                <w:kern w:val="0"/>
                <w:sz w:val="24"/>
                <w:szCs w:val="24"/>
              </w:rPr>
            </w:pPr>
            <w:r>
              <w:rPr>
                <w:rFonts w:hint="eastAsia" w:ascii="宋体" w:hAnsi="宋体" w:eastAsia="宋体" w:cs="宋体"/>
                <w:color w:val="000000"/>
                <w:sz w:val="18"/>
                <w:szCs w:val="18"/>
              </w:rPr>
              <w:t>20805</w:t>
            </w:r>
          </w:p>
        </w:tc>
        <w:tc>
          <w:tcPr>
            <w:tcW w:w="2573"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Cs w:val="21"/>
              </w:rPr>
              <w:t>行政事业单位</w:t>
            </w:r>
            <w:r>
              <w:rPr>
                <w:rFonts w:hint="eastAsia" w:ascii="宋体" w:hAnsi="宋体" w:eastAsia="宋体" w:cs="宋体"/>
                <w:kern w:val="0"/>
                <w:szCs w:val="21"/>
                <w:lang w:eastAsia="zh-CN"/>
              </w:rPr>
              <w:t>养老支出</w:t>
            </w:r>
          </w:p>
        </w:tc>
        <w:tc>
          <w:tcPr>
            <w:tcW w:w="1410"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4"/>
                <w:szCs w:val="24"/>
              </w:rPr>
            </w:pPr>
            <w:r>
              <w:rPr>
                <w:rFonts w:hint="eastAsia" w:ascii="宋体" w:hAnsi="宋体" w:cs="宋体"/>
                <w:kern w:val="0"/>
                <w:sz w:val="22"/>
                <w:lang w:val="en-US" w:eastAsia="zh-CN"/>
              </w:rPr>
              <w:t>11.77</w:t>
            </w:r>
          </w:p>
        </w:tc>
        <w:tc>
          <w:tcPr>
            <w:tcW w:w="1575"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2"/>
                <w:lang w:val="en-US" w:eastAsia="zh-CN"/>
              </w:rPr>
              <w:t>11.77</w:t>
            </w:r>
          </w:p>
        </w:tc>
        <w:tc>
          <w:tcPr>
            <w:tcW w:w="1635"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10"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55"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61"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hint="default" w:ascii="宋体" w:hAnsi="宋体" w:eastAsia="宋体" w:cs="宋体"/>
                <w:color w:val="000000"/>
                <w:sz w:val="18"/>
                <w:szCs w:val="18"/>
                <w:lang w:val="en-US" w:eastAsia="zh-CN"/>
              </w:rPr>
            </w:pPr>
            <w:r>
              <w:rPr>
                <w:rFonts w:hint="eastAsia" w:ascii="宋体" w:hAnsi="宋体" w:cs="宋体"/>
                <w:color w:val="000000"/>
                <w:sz w:val="18"/>
                <w:szCs w:val="18"/>
                <w:lang w:val="en-US" w:eastAsia="zh-CN"/>
              </w:rPr>
              <w:t>2080502</w:t>
            </w:r>
          </w:p>
        </w:tc>
        <w:tc>
          <w:tcPr>
            <w:tcW w:w="2573"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Cs w:val="21"/>
                <w:lang w:eastAsia="zh-CN"/>
              </w:rPr>
            </w:pPr>
            <w:r>
              <w:rPr>
                <w:rFonts w:hint="eastAsia" w:ascii="宋体" w:hAnsi="宋体" w:cs="宋体"/>
                <w:kern w:val="0"/>
                <w:szCs w:val="21"/>
                <w:lang w:eastAsia="zh-CN"/>
              </w:rPr>
              <w:t>事业单位离退休</w:t>
            </w:r>
          </w:p>
        </w:tc>
        <w:tc>
          <w:tcPr>
            <w:tcW w:w="1410"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2"/>
                <w:lang w:val="en-US" w:eastAsia="zh-CN"/>
              </w:rPr>
              <w:t>0.65</w:t>
            </w:r>
          </w:p>
        </w:tc>
        <w:tc>
          <w:tcPr>
            <w:tcW w:w="1575"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2"/>
                <w:lang w:val="en-US" w:eastAsia="zh-CN"/>
              </w:rPr>
              <w:t>0.65　</w:t>
            </w:r>
          </w:p>
        </w:tc>
        <w:tc>
          <w:tcPr>
            <w:tcW w:w="1635"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c>
          <w:tcPr>
            <w:tcW w:w="1710"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c>
          <w:tcPr>
            <w:tcW w:w="1455"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c>
          <w:tcPr>
            <w:tcW w:w="1561"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ascii="宋体" w:hAnsi="宋体" w:eastAsia="宋体" w:cs="宋体"/>
                <w:kern w:val="0"/>
                <w:sz w:val="24"/>
                <w:szCs w:val="24"/>
              </w:rPr>
            </w:pPr>
            <w:r>
              <w:rPr>
                <w:rFonts w:hint="eastAsia" w:ascii="宋体" w:hAnsi="宋体" w:eastAsia="宋体" w:cs="宋体"/>
                <w:color w:val="000000"/>
                <w:sz w:val="18"/>
                <w:szCs w:val="18"/>
              </w:rPr>
              <w:t>2080505</w:t>
            </w:r>
          </w:p>
        </w:tc>
        <w:tc>
          <w:tcPr>
            <w:tcW w:w="2573"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kern w:val="0"/>
                <w:szCs w:val="21"/>
              </w:rPr>
              <w:t xml:space="preserve">  机关事业单位基本养老保险缴费支出</w:t>
            </w:r>
          </w:p>
        </w:tc>
        <w:tc>
          <w:tcPr>
            <w:tcW w:w="1410"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2"/>
                <w:lang w:val="en-US" w:eastAsia="zh-CN"/>
              </w:rPr>
              <w:t>11.12　</w:t>
            </w:r>
          </w:p>
        </w:tc>
        <w:tc>
          <w:tcPr>
            <w:tcW w:w="1575"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2"/>
                <w:lang w:val="en-US" w:eastAsia="zh-CN"/>
              </w:rPr>
              <w:t>11</w:t>
            </w:r>
            <w:r>
              <w:rPr>
                <w:rFonts w:hint="eastAsia" w:ascii="宋体" w:hAnsi="宋体" w:cs="宋体"/>
                <w:kern w:val="0"/>
                <w:sz w:val="22"/>
                <w:lang w:val="en-US" w:eastAsia="zh-CN"/>
              </w:rPr>
              <w:t>.12</w:t>
            </w:r>
            <w:r>
              <w:rPr>
                <w:rFonts w:hint="eastAsia" w:ascii="宋体" w:hAnsi="宋体" w:eastAsia="宋体" w:cs="宋体"/>
                <w:kern w:val="0"/>
                <w:sz w:val="22"/>
                <w:lang w:val="en-US" w:eastAsia="zh-CN"/>
              </w:rPr>
              <w:t>　</w:t>
            </w:r>
          </w:p>
        </w:tc>
        <w:tc>
          <w:tcPr>
            <w:tcW w:w="1635"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10"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55"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61"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hint="default" w:ascii="宋体" w:hAnsi="宋体" w:cs="宋体"/>
                <w:color w:val="000000"/>
                <w:sz w:val="18"/>
                <w:szCs w:val="18"/>
                <w:lang w:val="en-US" w:eastAsia="zh-CN"/>
              </w:rPr>
            </w:pPr>
            <w:r>
              <w:rPr>
                <w:rFonts w:hint="eastAsia" w:ascii="宋体" w:hAnsi="宋体" w:cs="宋体"/>
                <w:color w:val="000000"/>
                <w:sz w:val="18"/>
                <w:szCs w:val="18"/>
                <w:lang w:val="en-US" w:eastAsia="zh-CN"/>
              </w:rPr>
              <w:t>20899</w:t>
            </w:r>
          </w:p>
        </w:tc>
        <w:tc>
          <w:tcPr>
            <w:tcW w:w="2573"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kern w:val="0"/>
                <w:szCs w:val="21"/>
                <w:lang w:eastAsia="zh-CN"/>
              </w:rPr>
            </w:pPr>
            <w:r>
              <w:rPr>
                <w:rFonts w:hint="eastAsia" w:ascii="宋体" w:hAnsi="宋体" w:cs="宋体"/>
                <w:kern w:val="0"/>
                <w:szCs w:val="21"/>
                <w:lang w:eastAsia="zh-CN"/>
              </w:rPr>
              <w:t>其他社会保障和就业支出</w:t>
            </w:r>
          </w:p>
        </w:tc>
        <w:tc>
          <w:tcPr>
            <w:tcW w:w="1410" w:type="dxa"/>
            <w:tcBorders>
              <w:top w:val="nil"/>
              <w:left w:val="nil"/>
              <w:bottom w:val="single" w:color="auto" w:sz="4" w:space="0"/>
              <w:right w:val="single" w:color="auto" w:sz="4" w:space="0"/>
            </w:tcBorders>
            <w:noWrap/>
            <w:vAlign w:val="center"/>
          </w:tcPr>
          <w:p>
            <w:pPr>
              <w:widowControl/>
              <w:jc w:val="right"/>
              <w:rPr>
                <w:rFonts w:hint="default" w:ascii="宋体" w:hAnsi="宋体" w:cs="宋体"/>
                <w:kern w:val="0"/>
                <w:sz w:val="24"/>
                <w:szCs w:val="24"/>
                <w:lang w:val="en-US" w:eastAsia="zh-CN"/>
              </w:rPr>
            </w:pPr>
            <w:r>
              <w:rPr>
                <w:rFonts w:hint="eastAsia" w:ascii="宋体" w:hAnsi="宋体" w:eastAsia="宋体" w:cs="宋体"/>
                <w:kern w:val="0"/>
                <w:sz w:val="22"/>
                <w:lang w:val="en-US" w:eastAsia="zh-CN"/>
              </w:rPr>
              <w:t>4.44</w:t>
            </w:r>
          </w:p>
        </w:tc>
        <w:tc>
          <w:tcPr>
            <w:tcW w:w="1575" w:type="dxa"/>
            <w:tcBorders>
              <w:top w:val="nil"/>
              <w:left w:val="nil"/>
              <w:bottom w:val="single" w:color="auto" w:sz="4" w:space="0"/>
              <w:right w:val="single" w:color="auto" w:sz="4" w:space="0"/>
            </w:tcBorders>
            <w:noWrap/>
            <w:vAlign w:val="center"/>
          </w:tcPr>
          <w:p>
            <w:pPr>
              <w:widowControl/>
              <w:jc w:val="right"/>
              <w:rPr>
                <w:rFonts w:hint="default" w:ascii="宋体" w:hAnsi="宋体" w:cs="宋体"/>
                <w:kern w:val="0"/>
                <w:sz w:val="24"/>
                <w:szCs w:val="24"/>
                <w:lang w:val="en-US" w:eastAsia="zh-CN"/>
              </w:rPr>
            </w:pPr>
            <w:r>
              <w:rPr>
                <w:rFonts w:hint="eastAsia" w:ascii="宋体" w:hAnsi="宋体" w:eastAsia="宋体" w:cs="宋体"/>
                <w:kern w:val="0"/>
                <w:sz w:val="22"/>
                <w:lang w:val="en-US" w:eastAsia="zh-CN"/>
              </w:rPr>
              <w:t>4.44</w:t>
            </w:r>
          </w:p>
        </w:tc>
        <w:tc>
          <w:tcPr>
            <w:tcW w:w="1635"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c>
          <w:tcPr>
            <w:tcW w:w="1710"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c>
          <w:tcPr>
            <w:tcW w:w="1455"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c>
          <w:tcPr>
            <w:tcW w:w="1561"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hint="default" w:ascii="宋体" w:hAnsi="宋体" w:cs="宋体"/>
                <w:color w:val="000000"/>
                <w:sz w:val="18"/>
                <w:szCs w:val="18"/>
                <w:lang w:val="en-US" w:eastAsia="zh-CN"/>
              </w:rPr>
            </w:pPr>
            <w:r>
              <w:rPr>
                <w:rFonts w:hint="eastAsia" w:ascii="宋体" w:hAnsi="宋体" w:cs="宋体"/>
                <w:color w:val="000000"/>
                <w:sz w:val="18"/>
                <w:szCs w:val="18"/>
                <w:lang w:val="en-US" w:eastAsia="zh-CN"/>
              </w:rPr>
              <w:t>2089901</w:t>
            </w:r>
          </w:p>
        </w:tc>
        <w:tc>
          <w:tcPr>
            <w:tcW w:w="2573" w:type="dxa"/>
            <w:tcBorders>
              <w:top w:val="nil"/>
              <w:left w:val="nil"/>
              <w:bottom w:val="single" w:color="auto" w:sz="4" w:space="0"/>
              <w:right w:val="single" w:color="auto" w:sz="4" w:space="0"/>
            </w:tcBorders>
            <w:shd w:val="clear" w:color="000000" w:fill="FFFFFF"/>
            <w:noWrap/>
            <w:vAlign w:val="center"/>
          </w:tcPr>
          <w:p>
            <w:pPr>
              <w:widowControl/>
              <w:ind w:firstLine="210" w:firstLineChars="100"/>
              <w:jc w:val="left"/>
              <w:rPr>
                <w:rFonts w:hint="eastAsia" w:ascii="宋体" w:hAnsi="宋体" w:cs="宋体"/>
                <w:kern w:val="0"/>
                <w:szCs w:val="21"/>
                <w:lang w:eastAsia="zh-CN"/>
              </w:rPr>
            </w:pPr>
            <w:r>
              <w:rPr>
                <w:rFonts w:hint="eastAsia" w:ascii="宋体" w:hAnsi="宋体" w:cs="宋体"/>
                <w:kern w:val="0"/>
                <w:szCs w:val="21"/>
                <w:lang w:eastAsia="zh-CN"/>
              </w:rPr>
              <w:t>其他社会保障和就业支出</w:t>
            </w:r>
          </w:p>
        </w:tc>
        <w:tc>
          <w:tcPr>
            <w:tcW w:w="1410" w:type="dxa"/>
            <w:tcBorders>
              <w:top w:val="nil"/>
              <w:left w:val="nil"/>
              <w:bottom w:val="single" w:color="auto" w:sz="4" w:space="0"/>
              <w:right w:val="single" w:color="auto" w:sz="4" w:space="0"/>
            </w:tcBorders>
            <w:noWrap/>
            <w:vAlign w:val="center"/>
          </w:tcPr>
          <w:p>
            <w:pPr>
              <w:widowControl/>
              <w:jc w:val="right"/>
              <w:rPr>
                <w:rFonts w:hint="default" w:ascii="宋体" w:hAnsi="宋体" w:cs="宋体"/>
                <w:kern w:val="0"/>
                <w:sz w:val="24"/>
                <w:szCs w:val="24"/>
                <w:lang w:val="en-US" w:eastAsia="zh-CN"/>
              </w:rPr>
            </w:pPr>
            <w:r>
              <w:rPr>
                <w:rFonts w:hint="eastAsia" w:ascii="宋体" w:hAnsi="宋体" w:eastAsia="宋体" w:cs="宋体"/>
                <w:kern w:val="0"/>
                <w:sz w:val="22"/>
                <w:lang w:val="en-US" w:eastAsia="zh-CN"/>
              </w:rPr>
              <w:t>4.44</w:t>
            </w:r>
          </w:p>
        </w:tc>
        <w:tc>
          <w:tcPr>
            <w:tcW w:w="1575" w:type="dxa"/>
            <w:tcBorders>
              <w:top w:val="nil"/>
              <w:left w:val="nil"/>
              <w:bottom w:val="single" w:color="auto" w:sz="4" w:space="0"/>
              <w:right w:val="single" w:color="auto" w:sz="4" w:space="0"/>
            </w:tcBorders>
            <w:noWrap/>
            <w:vAlign w:val="center"/>
          </w:tcPr>
          <w:p>
            <w:pPr>
              <w:widowControl/>
              <w:jc w:val="right"/>
              <w:rPr>
                <w:rFonts w:hint="default" w:ascii="宋体" w:hAnsi="宋体" w:cs="宋体"/>
                <w:kern w:val="0"/>
                <w:sz w:val="24"/>
                <w:szCs w:val="24"/>
                <w:lang w:val="en-US" w:eastAsia="zh-CN"/>
              </w:rPr>
            </w:pPr>
            <w:r>
              <w:rPr>
                <w:rFonts w:hint="eastAsia" w:ascii="宋体" w:hAnsi="宋体" w:eastAsia="宋体" w:cs="宋体"/>
                <w:kern w:val="0"/>
                <w:sz w:val="22"/>
                <w:lang w:val="en-US" w:eastAsia="zh-CN"/>
              </w:rPr>
              <w:t>4.44</w:t>
            </w:r>
          </w:p>
        </w:tc>
        <w:tc>
          <w:tcPr>
            <w:tcW w:w="1635"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c>
          <w:tcPr>
            <w:tcW w:w="1710"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c>
          <w:tcPr>
            <w:tcW w:w="1455"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c>
          <w:tcPr>
            <w:tcW w:w="1561"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ascii="宋体" w:hAnsi="宋体" w:eastAsia="宋体" w:cs="宋体"/>
                <w:kern w:val="0"/>
                <w:sz w:val="24"/>
                <w:szCs w:val="24"/>
              </w:rPr>
            </w:pPr>
            <w:r>
              <w:rPr>
                <w:rFonts w:hint="eastAsia" w:ascii="宋体" w:hAnsi="宋体" w:eastAsia="宋体" w:cs="宋体"/>
                <w:color w:val="000000"/>
                <w:sz w:val="18"/>
                <w:szCs w:val="18"/>
              </w:rPr>
              <w:t>210</w:t>
            </w:r>
          </w:p>
        </w:tc>
        <w:tc>
          <w:tcPr>
            <w:tcW w:w="2573"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kern w:val="0"/>
                <w:szCs w:val="21"/>
              </w:rPr>
              <w:t>卫生健康支出</w:t>
            </w:r>
          </w:p>
        </w:tc>
        <w:tc>
          <w:tcPr>
            <w:tcW w:w="1410"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4"/>
                <w:szCs w:val="24"/>
              </w:rPr>
            </w:pPr>
            <w:r>
              <w:rPr>
                <w:rFonts w:hint="eastAsia" w:ascii="宋体" w:hAnsi="宋体" w:cs="宋体"/>
                <w:kern w:val="0"/>
                <w:sz w:val="22"/>
                <w:lang w:val="en-US" w:eastAsia="zh-CN"/>
              </w:rPr>
              <w:t>5.91</w:t>
            </w:r>
            <w:r>
              <w:rPr>
                <w:rFonts w:hint="eastAsia" w:ascii="宋体" w:hAnsi="宋体" w:eastAsia="宋体" w:cs="宋体"/>
                <w:kern w:val="0"/>
                <w:sz w:val="22"/>
                <w:lang w:val="en-US" w:eastAsia="zh-CN"/>
              </w:rPr>
              <w:t>　</w:t>
            </w:r>
          </w:p>
        </w:tc>
        <w:tc>
          <w:tcPr>
            <w:tcW w:w="1575"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4"/>
                <w:szCs w:val="24"/>
              </w:rPr>
            </w:pPr>
            <w:r>
              <w:rPr>
                <w:rFonts w:hint="eastAsia" w:ascii="宋体" w:hAnsi="宋体" w:cs="宋体"/>
                <w:kern w:val="0"/>
                <w:sz w:val="22"/>
                <w:lang w:val="en-US" w:eastAsia="zh-CN"/>
              </w:rPr>
              <w:t>5.91</w:t>
            </w:r>
            <w:r>
              <w:rPr>
                <w:rFonts w:hint="eastAsia" w:ascii="宋体" w:hAnsi="宋体" w:eastAsia="宋体" w:cs="宋体"/>
                <w:kern w:val="0"/>
                <w:sz w:val="22"/>
                <w:lang w:val="en-US" w:eastAsia="zh-CN"/>
              </w:rPr>
              <w:t>　</w:t>
            </w:r>
          </w:p>
        </w:tc>
        <w:tc>
          <w:tcPr>
            <w:tcW w:w="1635"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10"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55"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61"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hint="eastAsia" w:ascii="宋体" w:hAnsi="宋体" w:eastAsia="宋体" w:cs="宋体"/>
                <w:kern w:val="0"/>
                <w:sz w:val="24"/>
                <w:szCs w:val="24"/>
              </w:rPr>
            </w:pPr>
            <w:r>
              <w:rPr>
                <w:rFonts w:hint="eastAsia" w:ascii="宋体" w:hAnsi="宋体" w:eastAsia="宋体" w:cs="宋体"/>
                <w:color w:val="000000"/>
                <w:sz w:val="18"/>
                <w:szCs w:val="18"/>
                <w:lang w:val="en-US" w:eastAsia="zh-CN"/>
              </w:rPr>
              <w:t>21011</w:t>
            </w:r>
          </w:p>
        </w:tc>
        <w:tc>
          <w:tcPr>
            <w:tcW w:w="2573"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Cs w:val="21"/>
                <w:lang w:eastAsia="zh-CN"/>
              </w:rPr>
              <w:t>行政事业单位医疗</w:t>
            </w:r>
          </w:p>
        </w:tc>
        <w:tc>
          <w:tcPr>
            <w:tcW w:w="1410"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cs="宋体"/>
                <w:kern w:val="0"/>
                <w:sz w:val="22"/>
                <w:lang w:val="en-US" w:eastAsia="zh-CN"/>
              </w:rPr>
              <w:t>5.91</w:t>
            </w:r>
            <w:r>
              <w:rPr>
                <w:rFonts w:hint="eastAsia" w:ascii="宋体" w:hAnsi="宋体" w:eastAsia="宋体" w:cs="宋体"/>
                <w:kern w:val="0"/>
                <w:sz w:val="22"/>
                <w:lang w:val="en-US" w:eastAsia="zh-CN"/>
              </w:rPr>
              <w:t>　</w:t>
            </w:r>
          </w:p>
        </w:tc>
        <w:tc>
          <w:tcPr>
            <w:tcW w:w="1575"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cs="宋体"/>
                <w:kern w:val="0"/>
                <w:sz w:val="22"/>
                <w:lang w:val="en-US" w:eastAsia="zh-CN"/>
              </w:rPr>
              <w:t>5.91</w:t>
            </w:r>
            <w:r>
              <w:rPr>
                <w:rFonts w:hint="eastAsia" w:ascii="宋体" w:hAnsi="宋体" w:eastAsia="宋体" w:cs="宋体"/>
                <w:kern w:val="0"/>
                <w:sz w:val="22"/>
                <w:lang w:val="en-US" w:eastAsia="zh-CN"/>
              </w:rPr>
              <w:t>　</w:t>
            </w:r>
          </w:p>
        </w:tc>
        <w:tc>
          <w:tcPr>
            <w:tcW w:w="1635"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c>
          <w:tcPr>
            <w:tcW w:w="1710"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c>
          <w:tcPr>
            <w:tcW w:w="1455"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c>
          <w:tcPr>
            <w:tcW w:w="1561"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hint="eastAsia" w:ascii="宋体" w:hAnsi="宋体" w:eastAsia="宋体" w:cs="宋体"/>
                <w:kern w:val="0"/>
                <w:sz w:val="24"/>
                <w:szCs w:val="24"/>
              </w:rPr>
            </w:pPr>
            <w:r>
              <w:rPr>
                <w:rFonts w:hint="eastAsia" w:ascii="宋体" w:hAnsi="宋体" w:eastAsia="宋体" w:cs="宋体"/>
                <w:color w:val="000000"/>
                <w:sz w:val="18"/>
                <w:szCs w:val="18"/>
                <w:lang w:val="en-US" w:eastAsia="zh-CN"/>
              </w:rPr>
              <w:t>2101102</w:t>
            </w:r>
          </w:p>
        </w:tc>
        <w:tc>
          <w:tcPr>
            <w:tcW w:w="2573" w:type="dxa"/>
            <w:tcBorders>
              <w:top w:val="nil"/>
              <w:left w:val="nil"/>
              <w:bottom w:val="single" w:color="auto" w:sz="4" w:space="0"/>
              <w:right w:val="single" w:color="auto" w:sz="4" w:space="0"/>
            </w:tcBorders>
            <w:shd w:val="clear" w:color="000000" w:fill="FFFFFF"/>
            <w:noWrap/>
            <w:vAlign w:val="center"/>
          </w:tcPr>
          <w:p>
            <w:pPr>
              <w:widowControl/>
              <w:ind w:firstLine="210" w:firstLineChars="100"/>
              <w:jc w:val="left"/>
              <w:rPr>
                <w:rFonts w:hint="eastAsia" w:ascii="宋体" w:hAnsi="宋体" w:eastAsia="宋体" w:cs="宋体"/>
                <w:kern w:val="0"/>
                <w:sz w:val="24"/>
                <w:szCs w:val="24"/>
              </w:rPr>
            </w:pPr>
            <w:r>
              <w:rPr>
                <w:rFonts w:hint="eastAsia" w:ascii="宋体" w:hAnsi="宋体" w:eastAsia="宋体" w:cs="宋体"/>
                <w:lang w:eastAsia="zh-CN"/>
              </w:rPr>
              <w:t>事业单位医疗</w:t>
            </w:r>
          </w:p>
        </w:tc>
        <w:tc>
          <w:tcPr>
            <w:tcW w:w="1410"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cs="宋体"/>
                <w:kern w:val="0"/>
                <w:sz w:val="22"/>
                <w:lang w:val="en-US" w:eastAsia="zh-CN"/>
              </w:rPr>
              <w:t>5.91</w:t>
            </w:r>
            <w:r>
              <w:rPr>
                <w:rFonts w:hint="eastAsia" w:ascii="宋体" w:hAnsi="宋体" w:eastAsia="宋体" w:cs="宋体"/>
                <w:kern w:val="0"/>
                <w:sz w:val="22"/>
                <w:lang w:val="en-US" w:eastAsia="zh-CN"/>
              </w:rPr>
              <w:t>　</w:t>
            </w:r>
          </w:p>
        </w:tc>
        <w:tc>
          <w:tcPr>
            <w:tcW w:w="1575"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cs="宋体"/>
                <w:kern w:val="0"/>
                <w:sz w:val="22"/>
                <w:lang w:val="en-US" w:eastAsia="zh-CN"/>
              </w:rPr>
              <w:t>5.91</w:t>
            </w:r>
            <w:r>
              <w:rPr>
                <w:rFonts w:hint="eastAsia" w:ascii="宋体" w:hAnsi="宋体" w:eastAsia="宋体" w:cs="宋体"/>
                <w:kern w:val="0"/>
                <w:sz w:val="22"/>
                <w:lang w:val="en-US" w:eastAsia="zh-CN"/>
              </w:rPr>
              <w:t>　</w:t>
            </w:r>
          </w:p>
        </w:tc>
        <w:tc>
          <w:tcPr>
            <w:tcW w:w="1635"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c>
          <w:tcPr>
            <w:tcW w:w="1710"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c>
          <w:tcPr>
            <w:tcW w:w="1455"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c>
          <w:tcPr>
            <w:tcW w:w="1561"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hint="default" w:ascii="宋体" w:hAnsi="宋体" w:eastAsia="宋体" w:cs="宋体"/>
                <w:color w:val="000000"/>
                <w:sz w:val="18"/>
                <w:szCs w:val="18"/>
                <w:lang w:val="en-US" w:eastAsia="zh-CN"/>
              </w:rPr>
            </w:pPr>
            <w:r>
              <w:rPr>
                <w:rFonts w:hint="eastAsia" w:ascii="宋体" w:hAnsi="宋体" w:cs="宋体"/>
                <w:color w:val="000000"/>
                <w:sz w:val="18"/>
                <w:szCs w:val="18"/>
                <w:lang w:val="en-US" w:eastAsia="zh-CN"/>
              </w:rPr>
              <w:t>212</w:t>
            </w:r>
          </w:p>
        </w:tc>
        <w:tc>
          <w:tcPr>
            <w:tcW w:w="2573"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lang w:eastAsia="zh-CN"/>
              </w:rPr>
            </w:pPr>
            <w:r>
              <w:rPr>
                <w:rFonts w:hint="eastAsia" w:ascii="宋体" w:hAnsi="宋体" w:cs="宋体"/>
                <w:lang w:eastAsia="zh-CN"/>
              </w:rPr>
              <w:t>城乡社区支出</w:t>
            </w:r>
          </w:p>
        </w:tc>
        <w:tc>
          <w:tcPr>
            <w:tcW w:w="1410" w:type="dxa"/>
            <w:tcBorders>
              <w:top w:val="nil"/>
              <w:left w:val="nil"/>
              <w:bottom w:val="single" w:color="auto" w:sz="4" w:space="0"/>
              <w:right w:val="single" w:color="auto" w:sz="4" w:space="0"/>
            </w:tcBorders>
            <w:noWrap/>
            <w:vAlign w:val="center"/>
          </w:tcPr>
          <w:p>
            <w:pPr>
              <w:widowControl/>
              <w:jc w:val="right"/>
              <w:rPr>
                <w:rFonts w:hint="default" w:ascii="宋体" w:hAnsi="宋体" w:cs="宋体"/>
                <w:kern w:val="0"/>
                <w:sz w:val="24"/>
                <w:szCs w:val="24"/>
                <w:lang w:val="en-US" w:eastAsia="zh-CN"/>
              </w:rPr>
            </w:pPr>
            <w:r>
              <w:rPr>
                <w:rFonts w:hint="eastAsia" w:ascii="宋体" w:hAnsi="宋体" w:cs="宋体"/>
                <w:kern w:val="0"/>
                <w:sz w:val="22"/>
                <w:lang w:val="en-US" w:eastAsia="zh-CN"/>
              </w:rPr>
              <w:t>12.65</w:t>
            </w:r>
          </w:p>
        </w:tc>
        <w:tc>
          <w:tcPr>
            <w:tcW w:w="157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lang w:val="en-US" w:eastAsia="zh-CN"/>
              </w:rPr>
            </w:pPr>
          </w:p>
        </w:tc>
        <w:tc>
          <w:tcPr>
            <w:tcW w:w="1635"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cs="宋体"/>
                <w:kern w:val="0"/>
                <w:sz w:val="22"/>
                <w:lang w:val="en-US" w:eastAsia="zh-CN"/>
              </w:rPr>
              <w:t>12.65</w:t>
            </w:r>
          </w:p>
        </w:tc>
        <w:tc>
          <w:tcPr>
            <w:tcW w:w="1710"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c>
          <w:tcPr>
            <w:tcW w:w="1455"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c>
          <w:tcPr>
            <w:tcW w:w="1561"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hint="default" w:ascii="宋体" w:hAnsi="宋体" w:eastAsia="宋体" w:cs="宋体"/>
                <w:color w:val="000000"/>
                <w:sz w:val="18"/>
                <w:szCs w:val="18"/>
                <w:lang w:val="en-US" w:eastAsia="zh-CN"/>
              </w:rPr>
            </w:pPr>
            <w:r>
              <w:rPr>
                <w:rFonts w:hint="eastAsia" w:ascii="宋体" w:hAnsi="宋体" w:cs="宋体"/>
                <w:color w:val="000000"/>
                <w:sz w:val="18"/>
                <w:szCs w:val="18"/>
                <w:lang w:val="en-US" w:eastAsia="zh-CN"/>
              </w:rPr>
              <w:t>21203</w:t>
            </w:r>
          </w:p>
        </w:tc>
        <w:tc>
          <w:tcPr>
            <w:tcW w:w="2573"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lang w:eastAsia="zh-CN"/>
              </w:rPr>
            </w:pPr>
            <w:r>
              <w:rPr>
                <w:rFonts w:hint="eastAsia" w:ascii="宋体" w:hAnsi="宋体" w:cs="宋体"/>
                <w:lang w:eastAsia="zh-CN"/>
              </w:rPr>
              <w:t>城乡社区公共设施</w:t>
            </w:r>
          </w:p>
        </w:tc>
        <w:tc>
          <w:tcPr>
            <w:tcW w:w="1410" w:type="dxa"/>
            <w:tcBorders>
              <w:top w:val="nil"/>
              <w:left w:val="nil"/>
              <w:bottom w:val="single" w:color="auto" w:sz="4" w:space="0"/>
              <w:right w:val="single" w:color="auto" w:sz="4" w:space="0"/>
            </w:tcBorders>
            <w:noWrap/>
            <w:vAlign w:val="center"/>
          </w:tcPr>
          <w:p>
            <w:pPr>
              <w:widowControl/>
              <w:jc w:val="right"/>
              <w:rPr>
                <w:rFonts w:hint="default" w:ascii="宋体" w:hAnsi="宋体" w:cs="宋体"/>
                <w:kern w:val="0"/>
                <w:sz w:val="24"/>
                <w:szCs w:val="24"/>
                <w:lang w:val="en-US" w:eastAsia="zh-CN"/>
              </w:rPr>
            </w:pPr>
            <w:r>
              <w:rPr>
                <w:rFonts w:hint="eastAsia" w:ascii="宋体" w:hAnsi="宋体" w:cs="宋体"/>
                <w:kern w:val="0"/>
                <w:sz w:val="22"/>
                <w:lang w:val="en-US" w:eastAsia="zh-CN"/>
              </w:rPr>
              <w:t>12.65</w:t>
            </w:r>
          </w:p>
        </w:tc>
        <w:tc>
          <w:tcPr>
            <w:tcW w:w="157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lang w:val="en-US" w:eastAsia="zh-CN"/>
              </w:rPr>
            </w:pPr>
          </w:p>
        </w:tc>
        <w:tc>
          <w:tcPr>
            <w:tcW w:w="1635"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cs="宋体"/>
                <w:kern w:val="0"/>
                <w:sz w:val="22"/>
                <w:lang w:val="en-US" w:eastAsia="zh-CN"/>
              </w:rPr>
              <w:t>12.65</w:t>
            </w:r>
          </w:p>
        </w:tc>
        <w:tc>
          <w:tcPr>
            <w:tcW w:w="1710"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c>
          <w:tcPr>
            <w:tcW w:w="1455"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c>
          <w:tcPr>
            <w:tcW w:w="1561"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hint="default" w:ascii="宋体" w:hAnsi="宋体" w:eastAsia="宋体" w:cs="宋体"/>
                <w:color w:val="000000"/>
                <w:sz w:val="18"/>
                <w:szCs w:val="18"/>
                <w:lang w:val="en-US" w:eastAsia="zh-CN"/>
              </w:rPr>
            </w:pPr>
            <w:r>
              <w:rPr>
                <w:rFonts w:hint="eastAsia" w:ascii="宋体" w:hAnsi="宋体" w:cs="宋体"/>
                <w:color w:val="000000"/>
                <w:sz w:val="18"/>
                <w:szCs w:val="18"/>
                <w:lang w:val="en-US" w:eastAsia="zh-CN"/>
              </w:rPr>
              <w:t>2120399</w:t>
            </w:r>
          </w:p>
        </w:tc>
        <w:tc>
          <w:tcPr>
            <w:tcW w:w="2573" w:type="dxa"/>
            <w:tcBorders>
              <w:top w:val="nil"/>
              <w:left w:val="nil"/>
              <w:bottom w:val="single" w:color="auto" w:sz="4" w:space="0"/>
              <w:right w:val="single" w:color="auto" w:sz="4" w:space="0"/>
            </w:tcBorders>
            <w:shd w:val="clear" w:color="000000" w:fill="FFFFFF"/>
            <w:noWrap/>
            <w:vAlign w:val="center"/>
          </w:tcPr>
          <w:p>
            <w:pPr>
              <w:widowControl/>
              <w:ind w:firstLine="210" w:firstLineChars="100"/>
              <w:jc w:val="left"/>
              <w:rPr>
                <w:rFonts w:hint="eastAsia" w:ascii="宋体" w:hAnsi="宋体" w:eastAsia="宋体" w:cs="宋体"/>
                <w:lang w:eastAsia="zh-CN"/>
              </w:rPr>
            </w:pPr>
            <w:r>
              <w:rPr>
                <w:rFonts w:hint="eastAsia" w:ascii="宋体" w:hAnsi="宋体" w:cs="宋体"/>
                <w:lang w:eastAsia="zh-CN"/>
              </w:rPr>
              <w:t>其他城乡社区公共设施支出</w:t>
            </w:r>
          </w:p>
        </w:tc>
        <w:tc>
          <w:tcPr>
            <w:tcW w:w="1410" w:type="dxa"/>
            <w:tcBorders>
              <w:top w:val="nil"/>
              <w:left w:val="nil"/>
              <w:bottom w:val="single" w:color="auto" w:sz="4" w:space="0"/>
              <w:right w:val="single" w:color="auto" w:sz="4" w:space="0"/>
            </w:tcBorders>
            <w:noWrap/>
            <w:vAlign w:val="center"/>
          </w:tcPr>
          <w:p>
            <w:pPr>
              <w:widowControl/>
              <w:jc w:val="right"/>
              <w:rPr>
                <w:rFonts w:hint="default" w:ascii="宋体" w:hAnsi="宋体" w:cs="宋体"/>
                <w:kern w:val="0"/>
                <w:sz w:val="24"/>
                <w:szCs w:val="24"/>
                <w:lang w:val="en-US" w:eastAsia="zh-CN"/>
              </w:rPr>
            </w:pPr>
            <w:r>
              <w:rPr>
                <w:rFonts w:hint="eastAsia" w:ascii="宋体" w:hAnsi="宋体" w:cs="宋体"/>
                <w:kern w:val="0"/>
                <w:sz w:val="22"/>
                <w:lang w:val="en-US" w:eastAsia="zh-CN"/>
              </w:rPr>
              <w:t>12.65</w:t>
            </w:r>
          </w:p>
        </w:tc>
        <w:tc>
          <w:tcPr>
            <w:tcW w:w="157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lang w:val="en-US" w:eastAsia="zh-CN"/>
              </w:rPr>
            </w:pPr>
          </w:p>
        </w:tc>
        <w:tc>
          <w:tcPr>
            <w:tcW w:w="1635"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cs="宋体"/>
                <w:kern w:val="0"/>
                <w:sz w:val="22"/>
                <w:lang w:val="en-US" w:eastAsia="zh-CN"/>
              </w:rPr>
              <w:t>12.65</w:t>
            </w:r>
          </w:p>
        </w:tc>
        <w:tc>
          <w:tcPr>
            <w:tcW w:w="1710"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c>
          <w:tcPr>
            <w:tcW w:w="1455"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c>
          <w:tcPr>
            <w:tcW w:w="1561"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hint="eastAsia" w:ascii="宋体" w:hAnsi="宋体" w:eastAsia="宋体" w:cs="宋体"/>
                <w:kern w:val="0"/>
                <w:sz w:val="24"/>
                <w:szCs w:val="24"/>
              </w:rPr>
            </w:pPr>
            <w:r>
              <w:rPr>
                <w:rFonts w:hint="eastAsia" w:ascii="宋体" w:hAnsi="宋体" w:eastAsia="宋体" w:cs="宋体"/>
                <w:color w:val="000000"/>
                <w:sz w:val="18"/>
                <w:szCs w:val="18"/>
              </w:rPr>
              <w:t>213</w:t>
            </w:r>
          </w:p>
        </w:tc>
        <w:tc>
          <w:tcPr>
            <w:tcW w:w="2573"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Cs w:val="21"/>
              </w:rPr>
              <w:t>农林水支出</w:t>
            </w:r>
          </w:p>
        </w:tc>
        <w:tc>
          <w:tcPr>
            <w:tcW w:w="1410"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cs="宋体"/>
                <w:kern w:val="0"/>
                <w:sz w:val="22"/>
                <w:lang w:val="en-US" w:eastAsia="zh-CN"/>
              </w:rPr>
              <w:t>140.75</w:t>
            </w:r>
          </w:p>
        </w:tc>
        <w:tc>
          <w:tcPr>
            <w:tcW w:w="1575"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125.30</w:t>
            </w:r>
          </w:p>
        </w:tc>
        <w:tc>
          <w:tcPr>
            <w:tcW w:w="1635"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15.45</w:t>
            </w:r>
          </w:p>
        </w:tc>
        <w:tc>
          <w:tcPr>
            <w:tcW w:w="1710"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c>
          <w:tcPr>
            <w:tcW w:w="1455"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c>
          <w:tcPr>
            <w:tcW w:w="1561"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hint="eastAsia" w:ascii="宋体" w:hAnsi="宋体" w:eastAsia="宋体" w:cs="宋体"/>
                <w:kern w:val="0"/>
                <w:sz w:val="24"/>
                <w:szCs w:val="24"/>
              </w:rPr>
            </w:pPr>
            <w:r>
              <w:rPr>
                <w:rFonts w:hint="eastAsia" w:ascii="宋体" w:hAnsi="宋体" w:eastAsia="宋体" w:cs="宋体"/>
                <w:color w:val="000000"/>
                <w:sz w:val="18"/>
                <w:szCs w:val="18"/>
              </w:rPr>
              <w:t>21302</w:t>
            </w:r>
          </w:p>
        </w:tc>
        <w:tc>
          <w:tcPr>
            <w:tcW w:w="2573"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Cs w:val="21"/>
              </w:rPr>
              <w:t>林业和草原</w:t>
            </w:r>
          </w:p>
        </w:tc>
        <w:tc>
          <w:tcPr>
            <w:tcW w:w="1410"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cs="宋体"/>
                <w:kern w:val="0"/>
                <w:sz w:val="22"/>
                <w:lang w:val="en-US" w:eastAsia="zh-CN"/>
              </w:rPr>
              <w:t>140.75</w:t>
            </w:r>
          </w:p>
        </w:tc>
        <w:tc>
          <w:tcPr>
            <w:tcW w:w="1575"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125.30</w:t>
            </w:r>
          </w:p>
        </w:tc>
        <w:tc>
          <w:tcPr>
            <w:tcW w:w="1635"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15.45</w:t>
            </w:r>
          </w:p>
        </w:tc>
        <w:tc>
          <w:tcPr>
            <w:tcW w:w="1710"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c>
          <w:tcPr>
            <w:tcW w:w="1455"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c>
          <w:tcPr>
            <w:tcW w:w="1561"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hint="eastAsia" w:ascii="宋体" w:hAnsi="宋体" w:eastAsia="宋体" w:cs="宋体"/>
                <w:kern w:val="0"/>
                <w:sz w:val="24"/>
                <w:szCs w:val="24"/>
                <w:lang w:val="en-US" w:eastAsia="zh-CN"/>
              </w:rPr>
            </w:pPr>
            <w:r>
              <w:rPr>
                <w:rFonts w:hint="eastAsia" w:ascii="宋体" w:hAnsi="宋体" w:eastAsia="宋体" w:cs="宋体"/>
                <w:color w:val="000000"/>
                <w:sz w:val="18"/>
                <w:szCs w:val="18"/>
              </w:rPr>
              <w:t>213020</w:t>
            </w:r>
            <w:r>
              <w:rPr>
                <w:rFonts w:hint="eastAsia" w:ascii="宋体" w:hAnsi="宋体" w:eastAsia="宋体" w:cs="宋体"/>
                <w:color w:val="000000"/>
                <w:sz w:val="18"/>
                <w:szCs w:val="18"/>
                <w:lang w:val="en-US" w:eastAsia="zh-CN"/>
              </w:rPr>
              <w:t>4</w:t>
            </w:r>
          </w:p>
        </w:tc>
        <w:tc>
          <w:tcPr>
            <w:tcW w:w="2573"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Cs w:val="21"/>
              </w:rPr>
              <w:t xml:space="preserve">  </w:t>
            </w:r>
            <w:r>
              <w:rPr>
                <w:rFonts w:hint="eastAsia" w:ascii="宋体" w:hAnsi="宋体" w:eastAsia="宋体" w:cs="宋体"/>
                <w:kern w:val="0"/>
                <w:szCs w:val="21"/>
                <w:lang w:eastAsia="zh-CN"/>
              </w:rPr>
              <w:t>事业机构</w:t>
            </w:r>
          </w:p>
        </w:tc>
        <w:tc>
          <w:tcPr>
            <w:tcW w:w="1410"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cs="宋体"/>
                <w:kern w:val="0"/>
                <w:sz w:val="22"/>
                <w:lang w:val="en-US" w:eastAsia="zh-CN"/>
              </w:rPr>
              <w:t>126.04</w:t>
            </w:r>
          </w:p>
        </w:tc>
        <w:tc>
          <w:tcPr>
            <w:tcW w:w="1575"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125.30</w:t>
            </w:r>
          </w:p>
        </w:tc>
        <w:tc>
          <w:tcPr>
            <w:tcW w:w="1635"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0.74</w:t>
            </w:r>
          </w:p>
        </w:tc>
        <w:tc>
          <w:tcPr>
            <w:tcW w:w="1710"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c>
          <w:tcPr>
            <w:tcW w:w="1455"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c>
          <w:tcPr>
            <w:tcW w:w="1561"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hint="default" w:ascii="宋体" w:hAnsi="宋体" w:eastAsia="宋体" w:cs="宋体"/>
                <w:kern w:val="0"/>
                <w:sz w:val="24"/>
                <w:szCs w:val="24"/>
                <w:lang w:val="en-US" w:eastAsia="zh-CN"/>
              </w:rPr>
            </w:pPr>
            <w:r>
              <w:rPr>
                <w:rFonts w:hint="eastAsia" w:ascii="宋体" w:hAnsi="宋体" w:eastAsia="宋体" w:cs="宋体"/>
                <w:color w:val="000000"/>
                <w:sz w:val="18"/>
                <w:szCs w:val="18"/>
              </w:rPr>
              <w:t>21302</w:t>
            </w:r>
            <w:r>
              <w:rPr>
                <w:rFonts w:hint="eastAsia" w:ascii="宋体" w:hAnsi="宋体" w:eastAsia="宋体" w:cs="宋体"/>
                <w:color w:val="000000"/>
                <w:sz w:val="18"/>
                <w:szCs w:val="18"/>
                <w:lang w:val="en-US" w:eastAsia="zh-CN"/>
              </w:rPr>
              <w:t>35</w:t>
            </w:r>
          </w:p>
        </w:tc>
        <w:tc>
          <w:tcPr>
            <w:tcW w:w="2573"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Cs w:val="21"/>
              </w:rPr>
              <w:t xml:space="preserve">  </w:t>
            </w:r>
            <w:r>
              <w:rPr>
                <w:rFonts w:hint="eastAsia" w:ascii="宋体" w:hAnsi="宋体" w:eastAsia="宋体" w:cs="宋体"/>
                <w:kern w:val="0"/>
                <w:szCs w:val="21"/>
                <w:lang w:eastAsia="zh-CN"/>
              </w:rPr>
              <w:t>国家公园</w:t>
            </w:r>
          </w:p>
        </w:tc>
        <w:tc>
          <w:tcPr>
            <w:tcW w:w="1410"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cs="宋体"/>
                <w:kern w:val="0"/>
                <w:sz w:val="22"/>
                <w:lang w:val="en-US" w:eastAsia="zh-CN"/>
              </w:rPr>
              <w:t>14.71</w:t>
            </w:r>
          </w:p>
        </w:tc>
        <w:tc>
          <w:tcPr>
            <w:tcW w:w="1575"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4"/>
                <w:szCs w:val="24"/>
                <w:lang w:val="en-US" w:eastAsia="zh-CN"/>
              </w:rPr>
            </w:pPr>
          </w:p>
        </w:tc>
        <w:tc>
          <w:tcPr>
            <w:tcW w:w="1635"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cs="宋体"/>
                <w:kern w:val="0"/>
                <w:sz w:val="22"/>
                <w:lang w:val="en-US" w:eastAsia="zh-CN"/>
              </w:rPr>
              <w:t>14.71</w:t>
            </w:r>
          </w:p>
        </w:tc>
        <w:tc>
          <w:tcPr>
            <w:tcW w:w="1710"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c>
          <w:tcPr>
            <w:tcW w:w="1455"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c>
          <w:tcPr>
            <w:tcW w:w="1561"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hint="eastAsia" w:ascii="宋体" w:hAnsi="宋体" w:eastAsia="宋体" w:cs="宋体"/>
                <w:kern w:val="0"/>
                <w:sz w:val="24"/>
                <w:szCs w:val="24"/>
              </w:rPr>
            </w:pPr>
            <w:r>
              <w:rPr>
                <w:rFonts w:hint="eastAsia" w:ascii="宋体" w:hAnsi="宋体" w:eastAsia="宋体" w:cs="宋体"/>
                <w:color w:val="000000"/>
                <w:sz w:val="18"/>
                <w:szCs w:val="18"/>
              </w:rPr>
              <w:t>221</w:t>
            </w:r>
          </w:p>
        </w:tc>
        <w:tc>
          <w:tcPr>
            <w:tcW w:w="2573" w:type="dxa"/>
            <w:tcBorders>
              <w:top w:val="nil"/>
              <w:left w:val="nil"/>
              <w:bottom w:val="single" w:color="auto" w:sz="4" w:space="0"/>
              <w:right w:val="single" w:color="auto" w:sz="4" w:space="0"/>
            </w:tcBorders>
            <w:shd w:val="clear" w:color="000000" w:fill="FFFFFF"/>
            <w:noWrap/>
            <w:vAlign w:val="center"/>
          </w:tcPr>
          <w:p>
            <w:pPr>
              <w:jc w:val="left"/>
              <w:rPr>
                <w:rFonts w:hint="eastAsia" w:ascii="宋体" w:hAnsi="宋体" w:eastAsia="宋体" w:cs="宋体"/>
                <w:kern w:val="0"/>
                <w:sz w:val="24"/>
                <w:szCs w:val="24"/>
              </w:rPr>
            </w:pPr>
            <w:r>
              <w:rPr>
                <w:rFonts w:hint="eastAsia" w:ascii="宋体" w:hAnsi="宋体" w:eastAsia="宋体" w:cs="宋体"/>
                <w:color w:val="000000"/>
                <w:sz w:val="22"/>
              </w:rPr>
              <w:t>住房保障支出</w:t>
            </w:r>
          </w:p>
        </w:tc>
        <w:tc>
          <w:tcPr>
            <w:tcW w:w="1410"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cs="宋体"/>
                <w:kern w:val="0"/>
                <w:sz w:val="22"/>
                <w:lang w:val="en-US" w:eastAsia="zh-CN"/>
              </w:rPr>
              <w:t>11.21</w:t>
            </w:r>
          </w:p>
        </w:tc>
        <w:tc>
          <w:tcPr>
            <w:tcW w:w="1575"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cs="宋体"/>
                <w:kern w:val="0"/>
                <w:sz w:val="22"/>
                <w:lang w:val="en-US" w:eastAsia="zh-CN"/>
              </w:rPr>
              <w:t>11.21</w:t>
            </w:r>
          </w:p>
        </w:tc>
        <w:tc>
          <w:tcPr>
            <w:tcW w:w="1635"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c>
          <w:tcPr>
            <w:tcW w:w="1710"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c>
          <w:tcPr>
            <w:tcW w:w="1455"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c>
          <w:tcPr>
            <w:tcW w:w="1561"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hint="eastAsia" w:ascii="宋体" w:hAnsi="宋体" w:eastAsia="宋体" w:cs="宋体"/>
                <w:kern w:val="0"/>
                <w:sz w:val="24"/>
                <w:szCs w:val="24"/>
              </w:rPr>
            </w:pPr>
            <w:r>
              <w:rPr>
                <w:rFonts w:hint="eastAsia" w:ascii="宋体" w:hAnsi="宋体" w:eastAsia="宋体" w:cs="宋体"/>
                <w:color w:val="000000"/>
                <w:sz w:val="18"/>
                <w:szCs w:val="18"/>
              </w:rPr>
              <w:t>22102</w:t>
            </w:r>
          </w:p>
        </w:tc>
        <w:tc>
          <w:tcPr>
            <w:tcW w:w="2573" w:type="dxa"/>
            <w:tcBorders>
              <w:top w:val="nil"/>
              <w:left w:val="nil"/>
              <w:bottom w:val="single" w:color="auto" w:sz="4" w:space="0"/>
              <w:right w:val="single" w:color="auto" w:sz="4" w:space="0"/>
            </w:tcBorders>
            <w:shd w:val="clear" w:color="000000" w:fill="FFFFFF"/>
            <w:noWrap/>
            <w:vAlign w:val="center"/>
          </w:tcPr>
          <w:p>
            <w:pPr>
              <w:jc w:val="left"/>
              <w:rPr>
                <w:rFonts w:hint="eastAsia" w:ascii="宋体" w:hAnsi="宋体" w:eastAsia="宋体" w:cs="宋体"/>
                <w:kern w:val="0"/>
                <w:sz w:val="24"/>
                <w:szCs w:val="24"/>
              </w:rPr>
            </w:pPr>
            <w:r>
              <w:rPr>
                <w:rFonts w:hint="eastAsia" w:ascii="宋体" w:hAnsi="宋体" w:eastAsia="宋体" w:cs="宋体"/>
                <w:color w:val="000000"/>
                <w:sz w:val="22"/>
              </w:rPr>
              <w:t>住房改革支出</w:t>
            </w:r>
          </w:p>
        </w:tc>
        <w:tc>
          <w:tcPr>
            <w:tcW w:w="1410"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cs="宋体"/>
                <w:kern w:val="0"/>
                <w:sz w:val="22"/>
                <w:lang w:val="en-US" w:eastAsia="zh-CN"/>
              </w:rPr>
              <w:t>11.21</w:t>
            </w:r>
          </w:p>
        </w:tc>
        <w:tc>
          <w:tcPr>
            <w:tcW w:w="1575"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cs="宋体"/>
                <w:kern w:val="0"/>
                <w:sz w:val="22"/>
                <w:lang w:val="en-US" w:eastAsia="zh-CN"/>
              </w:rPr>
              <w:t>11.21</w:t>
            </w:r>
          </w:p>
        </w:tc>
        <w:tc>
          <w:tcPr>
            <w:tcW w:w="1635"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c>
          <w:tcPr>
            <w:tcW w:w="1710"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c>
          <w:tcPr>
            <w:tcW w:w="1455"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c>
          <w:tcPr>
            <w:tcW w:w="1561"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ascii="宋体" w:hAnsi="宋体" w:eastAsia="宋体" w:cs="宋体"/>
                <w:kern w:val="0"/>
                <w:sz w:val="24"/>
                <w:szCs w:val="24"/>
              </w:rPr>
            </w:pPr>
            <w:r>
              <w:rPr>
                <w:rFonts w:hint="eastAsia" w:ascii="宋体" w:hAnsi="宋体" w:eastAsia="宋体" w:cs="宋体"/>
                <w:color w:val="000000"/>
                <w:sz w:val="18"/>
                <w:szCs w:val="18"/>
              </w:rPr>
              <w:t>2210201</w:t>
            </w:r>
          </w:p>
        </w:tc>
        <w:tc>
          <w:tcPr>
            <w:tcW w:w="2573" w:type="dxa"/>
            <w:tcBorders>
              <w:top w:val="nil"/>
              <w:left w:val="nil"/>
              <w:bottom w:val="single" w:color="auto" w:sz="4" w:space="0"/>
              <w:right w:val="single" w:color="auto" w:sz="4" w:space="0"/>
            </w:tcBorders>
            <w:shd w:val="clear" w:color="000000" w:fill="FFFFFF"/>
            <w:noWrap/>
            <w:vAlign w:val="center"/>
          </w:tcPr>
          <w:p>
            <w:pPr>
              <w:jc w:val="left"/>
              <w:rPr>
                <w:rFonts w:ascii="宋体" w:hAnsi="宋体" w:eastAsia="宋体" w:cs="宋体"/>
                <w:kern w:val="0"/>
                <w:sz w:val="24"/>
                <w:szCs w:val="24"/>
              </w:rPr>
            </w:pPr>
            <w:r>
              <w:rPr>
                <w:rFonts w:hint="eastAsia" w:ascii="宋体" w:hAnsi="宋体" w:eastAsia="宋体" w:cs="宋体"/>
                <w:color w:val="000000"/>
                <w:sz w:val="22"/>
              </w:rPr>
              <w:t xml:space="preserve">  住房公积金</w:t>
            </w:r>
          </w:p>
        </w:tc>
        <w:tc>
          <w:tcPr>
            <w:tcW w:w="1410"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4"/>
                <w:szCs w:val="24"/>
              </w:rPr>
            </w:pPr>
            <w:r>
              <w:rPr>
                <w:rFonts w:hint="eastAsia" w:ascii="宋体" w:hAnsi="宋体" w:cs="宋体"/>
                <w:kern w:val="0"/>
                <w:sz w:val="22"/>
                <w:lang w:val="en-US" w:eastAsia="zh-CN"/>
              </w:rPr>
              <w:t>11.21</w:t>
            </w:r>
          </w:p>
        </w:tc>
        <w:tc>
          <w:tcPr>
            <w:tcW w:w="1575"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4"/>
                <w:szCs w:val="24"/>
              </w:rPr>
            </w:pPr>
            <w:r>
              <w:rPr>
                <w:rFonts w:hint="eastAsia" w:ascii="宋体" w:hAnsi="宋体" w:cs="宋体"/>
                <w:kern w:val="0"/>
                <w:sz w:val="22"/>
                <w:lang w:val="en-US" w:eastAsia="zh-CN"/>
              </w:rPr>
              <w:t>11.21</w:t>
            </w:r>
          </w:p>
        </w:tc>
        <w:tc>
          <w:tcPr>
            <w:tcW w:w="1635"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10"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55"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61"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630" w:hRule="atLeast"/>
        </w:trPr>
        <w:tc>
          <w:tcPr>
            <w:tcW w:w="13183" w:type="dxa"/>
            <w:gridSpan w:val="9"/>
            <w:tcBorders>
              <w:top w:val="nil"/>
              <w:left w:val="nil"/>
              <w:bottom w:val="nil"/>
              <w:right w:val="nil"/>
            </w:tcBorders>
            <w:noWrap w:val="0"/>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tbl>
      <w:tblPr>
        <w:tblStyle w:val="6"/>
        <w:tblW w:w="15521" w:type="dxa"/>
        <w:tblInd w:w="93" w:type="dxa"/>
        <w:tblLayout w:type="autofit"/>
        <w:tblCellMar>
          <w:top w:w="0" w:type="dxa"/>
          <w:left w:w="108" w:type="dxa"/>
          <w:bottom w:w="0" w:type="dxa"/>
          <w:right w:w="108" w:type="dxa"/>
        </w:tblCellMar>
      </w:tblPr>
      <w:tblGrid>
        <w:gridCol w:w="3595"/>
        <w:gridCol w:w="436"/>
        <w:gridCol w:w="1078"/>
        <w:gridCol w:w="496"/>
        <w:gridCol w:w="2915"/>
        <w:gridCol w:w="632"/>
        <w:gridCol w:w="435"/>
        <w:gridCol w:w="1573"/>
        <w:gridCol w:w="1394"/>
        <w:gridCol w:w="1394"/>
        <w:gridCol w:w="1573"/>
      </w:tblGrid>
      <w:tr>
        <w:tblPrEx>
          <w:tblCellMar>
            <w:top w:w="0" w:type="dxa"/>
            <w:left w:w="108" w:type="dxa"/>
            <w:bottom w:w="0" w:type="dxa"/>
            <w:right w:w="108" w:type="dxa"/>
          </w:tblCellMar>
        </w:tblPrEx>
        <w:trPr>
          <w:trHeight w:val="285" w:hRule="atLeast"/>
        </w:trPr>
        <w:tc>
          <w:tcPr>
            <w:tcW w:w="3595" w:type="dxa"/>
            <w:tcBorders>
              <w:top w:val="nil"/>
              <w:left w:val="nil"/>
              <w:bottom w:val="nil"/>
              <w:right w:val="nil"/>
            </w:tcBorders>
            <w:noWrap/>
            <w:vAlign w:val="center"/>
          </w:tcPr>
          <w:p>
            <w:pPr>
              <w:widowControl/>
              <w:jc w:val="left"/>
              <w:rPr>
                <w:rFonts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noWrap/>
            <w:vAlign w:val="center"/>
          </w:tcPr>
          <w:p>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noWrap/>
            <w:vAlign w:val="center"/>
          </w:tcPr>
          <w:p>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noWrap/>
            <w:vAlign w:val="center"/>
          </w:tcPr>
          <w:p>
            <w:pPr>
              <w:widowControl/>
              <w:jc w:val="right"/>
              <w:rPr>
                <w:rFonts w:ascii="宋体" w:hAnsi="宋体" w:eastAsia="宋体" w:cs="宋体"/>
                <w:kern w:val="0"/>
                <w:sz w:val="24"/>
                <w:szCs w:val="24"/>
              </w:rPr>
            </w:pPr>
          </w:p>
        </w:tc>
        <w:tc>
          <w:tcPr>
            <w:tcW w:w="435" w:type="dxa"/>
            <w:tcBorders>
              <w:top w:val="nil"/>
              <w:left w:val="nil"/>
              <w:bottom w:val="nil"/>
              <w:right w:val="nil"/>
            </w:tcBorders>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78"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gridSpan w:val="2"/>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noWrap w:val="0"/>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noWrap w:val="0"/>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noWrap w:val="0"/>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gridSpan w:val="2"/>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078"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2"/>
              </w:rPr>
            </w:pPr>
            <w:r>
              <w:rPr>
                <w:rFonts w:hint="eastAsia" w:ascii="宋体" w:hAnsi="宋体" w:cs="宋体"/>
                <w:kern w:val="0"/>
                <w:sz w:val="22"/>
                <w:lang w:val="en-US" w:eastAsia="zh-CN"/>
              </w:rPr>
              <w:t>186.73</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33</w:t>
            </w:r>
          </w:p>
        </w:tc>
        <w:tc>
          <w:tcPr>
            <w:tcW w:w="1573"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078"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34</w:t>
            </w:r>
          </w:p>
        </w:tc>
        <w:tc>
          <w:tcPr>
            <w:tcW w:w="1573"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078"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35</w:t>
            </w:r>
          </w:p>
        </w:tc>
        <w:tc>
          <w:tcPr>
            <w:tcW w:w="1573"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078"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36</w:t>
            </w:r>
          </w:p>
        </w:tc>
        <w:tc>
          <w:tcPr>
            <w:tcW w:w="1573"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078"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37</w:t>
            </w:r>
          </w:p>
        </w:tc>
        <w:tc>
          <w:tcPr>
            <w:tcW w:w="1573"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078"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38</w:t>
            </w:r>
          </w:p>
        </w:tc>
        <w:tc>
          <w:tcPr>
            <w:tcW w:w="1573"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078"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lang w:eastAsia="zh-CN"/>
              </w:rPr>
              <w:t>七、文化旅游体育与传媒支出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39</w:t>
            </w:r>
          </w:p>
        </w:tc>
        <w:tc>
          <w:tcPr>
            <w:tcW w:w="1573"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lang w:val="en-US" w:eastAsia="zh-CN"/>
              </w:rPr>
            </w:pPr>
            <w:r>
              <w:rPr>
                <w:rFonts w:hint="eastAsia" w:ascii="宋体" w:hAnsi="宋体" w:cs="宋体"/>
                <w:kern w:val="0"/>
                <w:sz w:val="22"/>
                <w:lang w:val="en-US" w:eastAsia="zh-CN"/>
              </w:rPr>
              <w:t>8</w:t>
            </w:r>
          </w:p>
        </w:tc>
        <w:tc>
          <w:tcPr>
            <w:tcW w:w="1078"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lang w:eastAsia="zh-CN"/>
              </w:rPr>
              <w:t>八、社会保障和就业支出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40</w:t>
            </w:r>
          </w:p>
        </w:tc>
        <w:tc>
          <w:tcPr>
            <w:tcW w:w="1573"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16.21</w:t>
            </w:r>
          </w:p>
        </w:tc>
        <w:tc>
          <w:tcPr>
            <w:tcW w:w="1394"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16.21</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lang w:val="en-US" w:eastAsia="zh-CN"/>
              </w:rPr>
            </w:pPr>
            <w:r>
              <w:rPr>
                <w:rFonts w:hint="eastAsia" w:ascii="宋体" w:hAnsi="宋体" w:cs="宋体"/>
                <w:kern w:val="0"/>
                <w:sz w:val="22"/>
                <w:lang w:val="en-US" w:eastAsia="zh-CN"/>
              </w:rPr>
              <w:t>9</w:t>
            </w:r>
          </w:p>
        </w:tc>
        <w:tc>
          <w:tcPr>
            <w:tcW w:w="1078"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lang w:eastAsia="zh-CN"/>
              </w:rPr>
              <w:t>九、卫生健康支出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41</w:t>
            </w:r>
          </w:p>
        </w:tc>
        <w:tc>
          <w:tcPr>
            <w:tcW w:w="1573"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5.91</w:t>
            </w:r>
          </w:p>
        </w:tc>
        <w:tc>
          <w:tcPr>
            <w:tcW w:w="1394"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5.91</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10</w:t>
            </w:r>
          </w:p>
        </w:tc>
        <w:tc>
          <w:tcPr>
            <w:tcW w:w="1078"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lang w:eastAsia="zh-CN"/>
              </w:rPr>
              <w:t>十、节能环保支出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42</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11</w:t>
            </w:r>
          </w:p>
        </w:tc>
        <w:tc>
          <w:tcPr>
            <w:tcW w:w="1078"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lang w:eastAsia="zh-CN"/>
              </w:rPr>
              <w:t>十一、城乡社区支出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43</w:t>
            </w:r>
          </w:p>
        </w:tc>
        <w:tc>
          <w:tcPr>
            <w:tcW w:w="1573"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12.65</w:t>
            </w:r>
          </w:p>
        </w:tc>
        <w:tc>
          <w:tcPr>
            <w:tcW w:w="1394"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12.65</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12</w:t>
            </w:r>
          </w:p>
        </w:tc>
        <w:tc>
          <w:tcPr>
            <w:tcW w:w="1078"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lang w:eastAsia="zh-CN"/>
              </w:rPr>
              <w:t>十二、农林水支出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44</w:t>
            </w:r>
          </w:p>
        </w:tc>
        <w:tc>
          <w:tcPr>
            <w:tcW w:w="1573"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140.75</w:t>
            </w:r>
          </w:p>
        </w:tc>
        <w:tc>
          <w:tcPr>
            <w:tcW w:w="1394"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140.75</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13</w:t>
            </w:r>
          </w:p>
        </w:tc>
        <w:tc>
          <w:tcPr>
            <w:tcW w:w="1078"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lang w:eastAsia="zh-CN"/>
              </w:rPr>
              <w:t>十三、交通运输支出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45</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lang w:val="en-US" w:eastAsia="zh-CN"/>
              </w:rPr>
            </w:pP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lang w:val="en-US" w:eastAsia="zh-CN"/>
              </w:rPr>
            </w:pP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14</w:t>
            </w:r>
          </w:p>
        </w:tc>
        <w:tc>
          <w:tcPr>
            <w:tcW w:w="1078"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lang w:eastAsia="zh-CN"/>
              </w:rPr>
              <w:t>十四、资源勘探信息等支出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46</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15</w:t>
            </w:r>
          </w:p>
        </w:tc>
        <w:tc>
          <w:tcPr>
            <w:tcW w:w="1078"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lang w:eastAsia="zh-CN"/>
              </w:rPr>
              <w:t>十五、商业服务业等支出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47</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16</w:t>
            </w:r>
          </w:p>
        </w:tc>
        <w:tc>
          <w:tcPr>
            <w:tcW w:w="1078"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2"/>
                <w:lang w:eastAsia="zh-CN"/>
              </w:rPr>
              <w:t>十六、金融支出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48</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17</w:t>
            </w:r>
          </w:p>
        </w:tc>
        <w:tc>
          <w:tcPr>
            <w:tcW w:w="1078"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2"/>
                <w:lang w:eastAsia="zh-CN"/>
              </w:rPr>
              <w:t>十七、援助其他地区支出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49</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18</w:t>
            </w:r>
          </w:p>
        </w:tc>
        <w:tc>
          <w:tcPr>
            <w:tcW w:w="1078"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2"/>
                <w:lang w:eastAsia="zh-CN"/>
              </w:rPr>
              <w:t>十八、自然资源海洋气象等支出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50</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19</w:t>
            </w:r>
          </w:p>
        </w:tc>
        <w:tc>
          <w:tcPr>
            <w:tcW w:w="1078"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2"/>
                <w:lang w:eastAsia="zh-CN"/>
              </w:rPr>
              <w:t>十九、住房保障支出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51</w:t>
            </w:r>
          </w:p>
        </w:tc>
        <w:tc>
          <w:tcPr>
            <w:tcW w:w="1573"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11.21</w:t>
            </w:r>
          </w:p>
        </w:tc>
        <w:tc>
          <w:tcPr>
            <w:tcW w:w="1394"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11.21</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20</w:t>
            </w:r>
          </w:p>
        </w:tc>
        <w:tc>
          <w:tcPr>
            <w:tcW w:w="1078"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2"/>
                <w:lang w:eastAsia="zh-CN"/>
              </w:rPr>
              <w:t>二十、粮油物资储备支出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52</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21</w:t>
            </w:r>
          </w:p>
        </w:tc>
        <w:tc>
          <w:tcPr>
            <w:tcW w:w="1078"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2"/>
                <w:lang w:eastAsia="zh-CN"/>
              </w:rPr>
              <w:t>二十一、国有资本经营预算支出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53</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kern w:val="0"/>
                <w:sz w:val="22"/>
                <w:lang w:val="en-US" w:eastAsia="zh-CN"/>
              </w:rPr>
            </w:pPr>
          </w:p>
        </w:tc>
        <w:tc>
          <w:tcPr>
            <w:tcW w:w="436"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22</w:t>
            </w:r>
          </w:p>
        </w:tc>
        <w:tc>
          <w:tcPr>
            <w:tcW w:w="1078"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2"/>
                <w:lang w:eastAsia="zh-CN"/>
              </w:rPr>
              <w:t>二十二、灾害防治及应急管理支出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54</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23</w:t>
            </w:r>
          </w:p>
        </w:tc>
        <w:tc>
          <w:tcPr>
            <w:tcW w:w="1078"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2"/>
                <w:lang w:eastAsia="zh-CN"/>
              </w:rPr>
              <w:t>二十三、其他支出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55</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24</w:t>
            </w:r>
          </w:p>
        </w:tc>
        <w:tc>
          <w:tcPr>
            <w:tcW w:w="1078"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2"/>
                <w:lang w:eastAsia="zh-CN"/>
              </w:rPr>
              <w:t>二十四、债务还本支出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56</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25</w:t>
            </w:r>
          </w:p>
        </w:tc>
        <w:tc>
          <w:tcPr>
            <w:tcW w:w="1078"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2"/>
                <w:lang w:eastAsia="zh-CN"/>
              </w:rPr>
              <w:t>二十五、债务付息支出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57</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26</w:t>
            </w:r>
          </w:p>
        </w:tc>
        <w:tc>
          <w:tcPr>
            <w:tcW w:w="1078"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2"/>
                <w:lang w:eastAsia="zh-CN"/>
              </w:rPr>
              <w:t>二十六、抗疫特别国债安排的支出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58</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27</w:t>
            </w:r>
          </w:p>
        </w:tc>
        <w:tc>
          <w:tcPr>
            <w:tcW w:w="1078"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2"/>
                <w:lang w:val="en-US"/>
              </w:rPr>
            </w:pPr>
            <w:r>
              <w:rPr>
                <w:rFonts w:hint="eastAsia" w:ascii="宋体" w:hAnsi="宋体" w:cs="宋体"/>
                <w:kern w:val="0"/>
                <w:sz w:val="22"/>
                <w:lang w:val="en-US" w:eastAsia="zh-CN"/>
              </w:rPr>
              <w:t>186.73</w:t>
            </w:r>
          </w:p>
        </w:tc>
        <w:tc>
          <w:tcPr>
            <w:tcW w:w="3411" w:type="dxa"/>
            <w:gridSpan w:val="2"/>
            <w:tcBorders>
              <w:top w:val="nil"/>
              <w:left w:val="nil"/>
              <w:bottom w:val="single" w:color="auto" w:sz="4" w:space="0"/>
              <w:right w:val="single" w:color="auto" w:sz="4" w:space="0"/>
            </w:tcBorders>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59</w:t>
            </w:r>
          </w:p>
        </w:tc>
        <w:tc>
          <w:tcPr>
            <w:tcW w:w="1573"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186.73</w:t>
            </w: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2"/>
              </w:rPr>
            </w:pPr>
            <w:r>
              <w:rPr>
                <w:rFonts w:hint="eastAsia" w:ascii="宋体" w:hAnsi="宋体" w:cs="宋体"/>
                <w:kern w:val="0"/>
                <w:sz w:val="22"/>
                <w:lang w:val="en-US" w:eastAsia="zh-CN"/>
              </w:rPr>
              <w:t>186.73</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both"/>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28</w:t>
            </w:r>
          </w:p>
        </w:tc>
        <w:tc>
          <w:tcPr>
            <w:tcW w:w="1078"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noWrap/>
            <w:vAlign w:val="center"/>
          </w:tcPr>
          <w:p>
            <w:pPr>
              <w:widowControl/>
              <w:jc w:val="both"/>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60</w:t>
            </w:r>
          </w:p>
        </w:tc>
        <w:tc>
          <w:tcPr>
            <w:tcW w:w="1573"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both"/>
              <w:rPr>
                <w:rFonts w:ascii="宋体" w:hAnsi="宋体" w:eastAsia="宋体" w:cs="宋体"/>
                <w:kern w:val="0"/>
                <w:sz w:val="22"/>
              </w:rPr>
            </w:pPr>
            <w:r>
              <w:rPr>
                <w:rFonts w:hint="eastAsia" w:ascii="宋体" w:hAnsi="宋体" w:eastAsia="宋体" w:cs="宋体"/>
                <w:kern w:val="0"/>
                <w:sz w:val="22"/>
              </w:rPr>
              <w:t>一般公共预算财政拨款</w:t>
            </w:r>
          </w:p>
        </w:tc>
        <w:tc>
          <w:tcPr>
            <w:tcW w:w="436"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29</w:t>
            </w:r>
          </w:p>
        </w:tc>
        <w:tc>
          <w:tcPr>
            <w:tcW w:w="1078"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61</w:t>
            </w:r>
          </w:p>
        </w:tc>
        <w:tc>
          <w:tcPr>
            <w:tcW w:w="1573"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both"/>
              <w:rPr>
                <w:rFonts w:ascii="宋体" w:hAnsi="宋体" w:eastAsia="宋体" w:cs="宋体"/>
                <w:kern w:val="0"/>
                <w:sz w:val="22"/>
              </w:rPr>
            </w:pPr>
            <w:r>
              <w:rPr>
                <w:rFonts w:hint="eastAsia" w:ascii="宋体" w:hAnsi="宋体" w:eastAsia="宋体" w:cs="宋体"/>
                <w:kern w:val="0"/>
                <w:sz w:val="22"/>
              </w:rPr>
              <w:t>政府性基金预算财政拨款</w:t>
            </w:r>
          </w:p>
        </w:tc>
        <w:tc>
          <w:tcPr>
            <w:tcW w:w="436"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30</w:t>
            </w:r>
          </w:p>
        </w:tc>
        <w:tc>
          <w:tcPr>
            <w:tcW w:w="1078"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62</w:t>
            </w:r>
          </w:p>
        </w:tc>
        <w:tc>
          <w:tcPr>
            <w:tcW w:w="1573"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both"/>
              <w:rPr>
                <w:rFonts w:ascii="宋体" w:hAnsi="宋体" w:eastAsia="宋体" w:cs="宋体"/>
                <w:kern w:val="0"/>
                <w:sz w:val="22"/>
              </w:rPr>
            </w:pPr>
            <w:r>
              <w:rPr>
                <w:rFonts w:hint="eastAsia" w:ascii="宋体" w:hAnsi="宋体" w:eastAsia="宋体" w:cs="宋体"/>
                <w:kern w:val="0"/>
                <w:sz w:val="22"/>
              </w:rPr>
              <w:t>国有资本经营预算财政拨款</w:t>
            </w:r>
          </w:p>
        </w:tc>
        <w:tc>
          <w:tcPr>
            <w:tcW w:w="436"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31</w:t>
            </w:r>
          </w:p>
        </w:tc>
        <w:tc>
          <w:tcPr>
            <w:tcW w:w="1078"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63</w:t>
            </w:r>
          </w:p>
        </w:tc>
        <w:tc>
          <w:tcPr>
            <w:tcW w:w="1573"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32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2"/>
                <w:lang w:val="en-US"/>
              </w:rPr>
            </w:pPr>
            <w:r>
              <w:rPr>
                <w:rFonts w:hint="eastAsia" w:ascii="宋体" w:hAnsi="宋体" w:cs="宋体"/>
                <w:kern w:val="0"/>
                <w:sz w:val="22"/>
                <w:lang w:val="en-US" w:eastAsia="zh-CN"/>
              </w:rPr>
              <w:t>186.73</w:t>
            </w:r>
          </w:p>
        </w:tc>
        <w:tc>
          <w:tcPr>
            <w:tcW w:w="341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64</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186.73</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rPr>
            </w:pPr>
            <w:r>
              <w:rPr>
                <w:rFonts w:hint="eastAsia" w:ascii="宋体" w:hAnsi="宋体" w:cs="宋体"/>
                <w:kern w:val="0"/>
                <w:sz w:val="22"/>
                <w:lang w:val="en-US" w:eastAsia="zh-CN"/>
              </w:rPr>
              <w:t>186.73</w:t>
            </w:r>
          </w:p>
        </w:tc>
        <w:tc>
          <w:tcPr>
            <w:tcW w:w="1394" w:type="dxa"/>
            <w:tcBorders>
              <w:top w:val="nil"/>
              <w:left w:val="nil"/>
              <w:bottom w:val="single" w:color="auto" w:sz="4" w:space="0"/>
              <w:right w:val="single" w:color="auto" w:sz="4" w:space="0"/>
            </w:tcBorders>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noWrap w:val="0"/>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6"/>
        <w:tblpPr w:leftFromText="180" w:rightFromText="180" w:vertAnchor="text" w:horzAnchor="page" w:tblpX="1421" w:tblpY="298"/>
        <w:tblOverlap w:val="never"/>
        <w:tblW w:w="14219" w:type="dxa"/>
        <w:tblInd w:w="0" w:type="dxa"/>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trPr>
        <w:tc>
          <w:tcPr>
            <w:tcW w:w="4727" w:type="dxa"/>
            <w:gridSpan w:val="2"/>
            <w:tcBorders>
              <w:top w:val="single" w:color="auto" w:sz="8"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noWrap w:val="0"/>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trPr>
        <w:tc>
          <w:tcPr>
            <w:tcW w:w="1200" w:type="dxa"/>
            <w:vMerge w:val="restart"/>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noWrap w:val="0"/>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trPr>
        <w:tc>
          <w:tcPr>
            <w:tcW w:w="1200" w:type="dxa"/>
            <w:vMerge w:val="continue"/>
            <w:tcBorders>
              <w:top w:val="single" w:color="auto" w:sz="4" w:space="0"/>
              <w:left w:val="single" w:color="auto" w:sz="8" w:space="0"/>
              <w:bottom w:val="single" w:color="auto" w:sz="4" w:space="0"/>
              <w:right w:val="single" w:color="auto" w:sz="4" w:space="0"/>
            </w:tcBorders>
            <w:noWrap w:val="0"/>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noWrap w:val="0"/>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12" w:hRule="atLeast"/>
        </w:trPr>
        <w:tc>
          <w:tcPr>
            <w:tcW w:w="1200" w:type="dxa"/>
            <w:vMerge w:val="continue"/>
            <w:tcBorders>
              <w:top w:val="single" w:color="auto" w:sz="4" w:space="0"/>
              <w:left w:val="single" w:color="auto" w:sz="8" w:space="0"/>
              <w:bottom w:val="single" w:color="auto" w:sz="4" w:space="0"/>
              <w:right w:val="single" w:color="auto" w:sz="4" w:space="0"/>
            </w:tcBorders>
            <w:noWrap w:val="0"/>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noWrap w:val="0"/>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trPr>
        <w:tc>
          <w:tcPr>
            <w:tcW w:w="4727"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noWrap w:val="0"/>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noWrap w:val="0"/>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noWrap w:val="0"/>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trPr>
        <w:tc>
          <w:tcPr>
            <w:tcW w:w="4727"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186.73</w:t>
            </w:r>
          </w:p>
        </w:tc>
        <w:tc>
          <w:tcPr>
            <w:tcW w:w="3492" w:type="dxa"/>
            <w:tcBorders>
              <w:top w:val="nil"/>
              <w:left w:val="nil"/>
              <w:bottom w:val="single" w:color="auto" w:sz="4" w:space="0"/>
              <w:right w:val="single" w:color="auto" w:sz="4" w:space="0"/>
            </w:tcBorders>
            <w:noWrap w:val="0"/>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158.63</w:t>
            </w: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8" w:space="0"/>
            </w:tcBorders>
            <w:noWrap w:val="0"/>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28.1</w:t>
            </w:r>
          </w:p>
        </w:tc>
      </w:tr>
      <w:tr>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noWrap w:val="0"/>
            <w:vAlign w:val="center"/>
          </w:tcPr>
          <w:p>
            <w:pPr>
              <w:widowControl/>
              <w:jc w:val="left"/>
              <w:rPr>
                <w:rFonts w:ascii="Times New Roman" w:hAnsi="Times New Roman" w:eastAsia="仿宋_GB2312" w:cs="Times New Roman"/>
                <w:kern w:val="0"/>
                <w:szCs w:val="21"/>
              </w:rPr>
            </w:pPr>
            <w:r>
              <w:rPr>
                <w:rFonts w:hint="eastAsia" w:ascii="宋体" w:hAnsi="宋体" w:eastAsia="宋体" w:cs="宋体"/>
                <w:kern w:val="0"/>
                <w:sz w:val="18"/>
                <w:szCs w:val="18"/>
              </w:rPr>
              <w:t>208</w:t>
            </w:r>
          </w:p>
        </w:tc>
        <w:tc>
          <w:tcPr>
            <w:tcW w:w="3527" w:type="dxa"/>
            <w:tcBorders>
              <w:top w:val="nil"/>
              <w:left w:val="nil"/>
              <w:bottom w:val="single" w:color="auto" w:sz="4" w:space="0"/>
              <w:right w:val="single" w:color="auto" w:sz="4" w:space="0"/>
            </w:tcBorders>
            <w:noWrap w:val="0"/>
            <w:vAlign w:val="center"/>
          </w:tcPr>
          <w:p>
            <w:pPr>
              <w:widowControl/>
              <w:jc w:val="left"/>
              <w:rPr>
                <w:rFonts w:ascii="Times New Roman" w:hAnsi="Times New Roman" w:eastAsia="仿宋_GB2312" w:cs="Times New Roman"/>
                <w:kern w:val="0"/>
                <w:szCs w:val="21"/>
              </w:rPr>
            </w:pPr>
            <w:r>
              <w:rPr>
                <w:rFonts w:hint="eastAsia" w:ascii="宋体" w:hAnsi="宋体" w:eastAsia="宋体" w:cs="宋体"/>
                <w:kern w:val="0"/>
                <w:szCs w:val="21"/>
              </w:rPr>
              <w:t>社会保障和就业支出　</w:t>
            </w:r>
          </w:p>
        </w:tc>
        <w:tc>
          <w:tcPr>
            <w:tcW w:w="3000"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16.21</w:t>
            </w:r>
          </w:p>
        </w:tc>
        <w:tc>
          <w:tcPr>
            <w:tcW w:w="3492"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16.21</w:t>
            </w:r>
          </w:p>
        </w:tc>
        <w:tc>
          <w:tcPr>
            <w:tcW w:w="3000" w:type="dxa"/>
            <w:tcBorders>
              <w:top w:val="nil"/>
              <w:left w:val="nil"/>
              <w:bottom w:val="single" w:color="auto" w:sz="4" w:space="0"/>
              <w:right w:val="single" w:color="auto" w:sz="8" w:space="0"/>
            </w:tcBorders>
            <w:noWrap w:val="0"/>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noWrap w:val="0"/>
            <w:vAlign w:val="center"/>
          </w:tcPr>
          <w:p>
            <w:pPr>
              <w:jc w:val="left"/>
              <w:rPr>
                <w:rFonts w:ascii="Times New Roman" w:hAnsi="Times New Roman" w:eastAsia="仿宋_GB2312" w:cs="Times New Roman"/>
                <w:kern w:val="0"/>
                <w:szCs w:val="21"/>
              </w:rPr>
            </w:pPr>
            <w:r>
              <w:rPr>
                <w:rFonts w:hint="eastAsia" w:ascii="宋体" w:hAnsi="宋体" w:eastAsia="宋体" w:cs="宋体"/>
                <w:color w:val="000000"/>
                <w:sz w:val="18"/>
                <w:szCs w:val="18"/>
              </w:rPr>
              <w:t>20805</w:t>
            </w:r>
          </w:p>
        </w:tc>
        <w:tc>
          <w:tcPr>
            <w:tcW w:w="3527" w:type="dxa"/>
            <w:tcBorders>
              <w:top w:val="nil"/>
              <w:left w:val="nil"/>
              <w:bottom w:val="single" w:color="auto" w:sz="4" w:space="0"/>
              <w:right w:val="single" w:color="auto" w:sz="4" w:space="0"/>
            </w:tcBorders>
            <w:noWrap w:val="0"/>
            <w:vAlign w:val="center"/>
          </w:tcPr>
          <w:p>
            <w:pPr>
              <w:widowControl/>
              <w:jc w:val="left"/>
              <w:rPr>
                <w:rFonts w:hint="eastAsia" w:ascii="Times New Roman" w:hAnsi="Times New Roman" w:eastAsia="宋体" w:cs="Times New Roman"/>
                <w:kern w:val="0"/>
                <w:szCs w:val="21"/>
                <w:lang w:eastAsia="zh-CN"/>
              </w:rPr>
            </w:pPr>
            <w:r>
              <w:rPr>
                <w:rFonts w:hint="eastAsia" w:ascii="宋体" w:hAnsi="宋体" w:eastAsia="宋体" w:cs="宋体"/>
                <w:kern w:val="0"/>
                <w:szCs w:val="21"/>
              </w:rPr>
              <w:t>行政事业单位</w:t>
            </w:r>
            <w:r>
              <w:rPr>
                <w:rFonts w:hint="eastAsia" w:ascii="宋体" w:hAnsi="宋体" w:eastAsia="宋体" w:cs="宋体"/>
                <w:kern w:val="0"/>
                <w:szCs w:val="21"/>
                <w:lang w:eastAsia="zh-CN"/>
              </w:rPr>
              <w:t>养老支出</w:t>
            </w:r>
          </w:p>
        </w:tc>
        <w:tc>
          <w:tcPr>
            <w:tcW w:w="3000"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11.77</w:t>
            </w:r>
          </w:p>
        </w:tc>
        <w:tc>
          <w:tcPr>
            <w:tcW w:w="3492"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11.77</w:t>
            </w:r>
          </w:p>
        </w:tc>
        <w:tc>
          <w:tcPr>
            <w:tcW w:w="3000" w:type="dxa"/>
            <w:tcBorders>
              <w:top w:val="nil"/>
              <w:left w:val="nil"/>
              <w:bottom w:val="single" w:color="auto" w:sz="4" w:space="0"/>
              <w:right w:val="single" w:color="auto" w:sz="8" w:space="0"/>
            </w:tcBorders>
            <w:noWrap w:val="0"/>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noWrap w:val="0"/>
            <w:vAlign w:val="center"/>
          </w:tcPr>
          <w:p>
            <w:pPr>
              <w:jc w:val="left"/>
              <w:rPr>
                <w:rFonts w:hint="default" w:ascii="宋体" w:hAnsi="宋体" w:eastAsia="宋体" w:cs="宋体"/>
                <w:color w:val="000000"/>
                <w:sz w:val="18"/>
                <w:szCs w:val="18"/>
                <w:lang w:val="en-US" w:eastAsia="zh-CN"/>
              </w:rPr>
            </w:pPr>
            <w:r>
              <w:rPr>
                <w:rFonts w:hint="eastAsia" w:ascii="宋体" w:hAnsi="宋体" w:cs="宋体"/>
                <w:color w:val="000000"/>
                <w:sz w:val="18"/>
                <w:szCs w:val="18"/>
                <w:lang w:val="en-US" w:eastAsia="zh-CN"/>
              </w:rPr>
              <w:t>2080502</w:t>
            </w:r>
          </w:p>
        </w:tc>
        <w:tc>
          <w:tcPr>
            <w:tcW w:w="3527"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kern w:val="0"/>
                <w:szCs w:val="21"/>
                <w:lang w:val="en-US" w:eastAsia="zh-CN"/>
              </w:rPr>
            </w:pPr>
            <w:r>
              <w:rPr>
                <w:rFonts w:hint="eastAsia" w:ascii="宋体" w:hAnsi="宋体" w:cs="宋体"/>
                <w:kern w:val="0"/>
                <w:szCs w:val="21"/>
                <w:lang w:val="en-US" w:eastAsia="zh-CN"/>
              </w:rPr>
              <w:t xml:space="preserve">  事业单位离退休</w:t>
            </w:r>
          </w:p>
        </w:tc>
        <w:tc>
          <w:tcPr>
            <w:tcW w:w="3000"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0.65</w:t>
            </w:r>
          </w:p>
        </w:tc>
        <w:tc>
          <w:tcPr>
            <w:tcW w:w="3492"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0.65</w:t>
            </w:r>
          </w:p>
        </w:tc>
        <w:tc>
          <w:tcPr>
            <w:tcW w:w="3000" w:type="dxa"/>
            <w:tcBorders>
              <w:top w:val="nil"/>
              <w:left w:val="nil"/>
              <w:bottom w:val="single" w:color="auto" w:sz="4" w:space="0"/>
              <w:right w:val="single" w:color="auto" w:sz="8" w:space="0"/>
            </w:tcBorders>
            <w:noWrap w:val="0"/>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noWrap w:val="0"/>
            <w:vAlign w:val="center"/>
          </w:tcPr>
          <w:p>
            <w:pPr>
              <w:jc w:val="left"/>
              <w:rPr>
                <w:rFonts w:ascii="Times New Roman" w:hAnsi="Times New Roman" w:eastAsia="仿宋_GB2312" w:cs="Times New Roman"/>
                <w:kern w:val="0"/>
                <w:szCs w:val="21"/>
              </w:rPr>
            </w:pPr>
            <w:r>
              <w:rPr>
                <w:rFonts w:hint="eastAsia" w:ascii="宋体" w:hAnsi="宋体" w:eastAsia="宋体" w:cs="宋体"/>
                <w:color w:val="000000"/>
                <w:sz w:val="18"/>
                <w:szCs w:val="18"/>
              </w:rPr>
              <w:t>2080505</w:t>
            </w:r>
          </w:p>
        </w:tc>
        <w:tc>
          <w:tcPr>
            <w:tcW w:w="3527" w:type="dxa"/>
            <w:tcBorders>
              <w:top w:val="nil"/>
              <w:left w:val="nil"/>
              <w:bottom w:val="single" w:color="auto" w:sz="4" w:space="0"/>
              <w:right w:val="single" w:color="auto" w:sz="4" w:space="0"/>
            </w:tcBorders>
            <w:noWrap w:val="0"/>
            <w:vAlign w:val="center"/>
          </w:tcPr>
          <w:p>
            <w:pPr>
              <w:widowControl/>
              <w:jc w:val="left"/>
              <w:rPr>
                <w:rFonts w:ascii="Times New Roman" w:hAnsi="Times New Roman" w:eastAsia="仿宋_GB2312" w:cs="Times New Roman"/>
                <w:kern w:val="0"/>
                <w:szCs w:val="21"/>
              </w:rPr>
            </w:pPr>
            <w:r>
              <w:rPr>
                <w:rFonts w:hint="eastAsia" w:ascii="宋体" w:hAnsi="宋体" w:eastAsia="宋体" w:cs="宋体"/>
                <w:kern w:val="0"/>
                <w:szCs w:val="21"/>
              </w:rPr>
              <w:t xml:space="preserve">  机关事业单位基本养老保险缴费支出</w:t>
            </w:r>
          </w:p>
        </w:tc>
        <w:tc>
          <w:tcPr>
            <w:tcW w:w="3000"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11.12</w:t>
            </w:r>
          </w:p>
        </w:tc>
        <w:tc>
          <w:tcPr>
            <w:tcW w:w="3492"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11.12</w:t>
            </w:r>
          </w:p>
        </w:tc>
        <w:tc>
          <w:tcPr>
            <w:tcW w:w="3000" w:type="dxa"/>
            <w:tcBorders>
              <w:top w:val="nil"/>
              <w:left w:val="nil"/>
              <w:bottom w:val="single" w:color="auto" w:sz="4" w:space="0"/>
              <w:right w:val="single" w:color="auto" w:sz="8" w:space="0"/>
            </w:tcBorders>
            <w:noWrap w:val="0"/>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noWrap w:val="0"/>
            <w:vAlign w:val="center"/>
          </w:tcPr>
          <w:p>
            <w:pPr>
              <w:jc w:val="left"/>
              <w:rPr>
                <w:rFonts w:hint="default" w:ascii="宋体" w:hAnsi="宋体" w:cs="宋体"/>
                <w:color w:val="000000"/>
                <w:sz w:val="18"/>
                <w:szCs w:val="18"/>
                <w:lang w:val="en-US" w:eastAsia="zh-CN"/>
              </w:rPr>
            </w:pPr>
            <w:r>
              <w:rPr>
                <w:rFonts w:hint="eastAsia" w:ascii="宋体" w:hAnsi="宋体" w:cs="宋体"/>
                <w:color w:val="000000"/>
                <w:sz w:val="18"/>
                <w:szCs w:val="18"/>
                <w:lang w:val="en-US" w:eastAsia="zh-CN"/>
              </w:rPr>
              <w:t>20899</w:t>
            </w:r>
          </w:p>
        </w:tc>
        <w:tc>
          <w:tcPr>
            <w:tcW w:w="3527" w:type="dxa"/>
            <w:tcBorders>
              <w:top w:val="nil"/>
              <w:left w:val="nil"/>
              <w:bottom w:val="single" w:color="auto" w:sz="4" w:space="0"/>
              <w:right w:val="single" w:color="auto" w:sz="4" w:space="0"/>
            </w:tcBorders>
            <w:noWrap w:val="0"/>
            <w:vAlign w:val="center"/>
          </w:tcPr>
          <w:p>
            <w:pPr>
              <w:widowControl/>
              <w:jc w:val="left"/>
              <w:rPr>
                <w:rFonts w:hint="eastAsia" w:ascii="宋体" w:hAnsi="宋体" w:cs="宋体"/>
                <w:kern w:val="0"/>
                <w:szCs w:val="21"/>
                <w:lang w:val="en-US" w:eastAsia="zh-CN"/>
              </w:rPr>
            </w:pPr>
            <w:r>
              <w:rPr>
                <w:rFonts w:hint="eastAsia" w:ascii="宋体" w:hAnsi="宋体" w:cs="宋体"/>
                <w:kern w:val="0"/>
                <w:szCs w:val="21"/>
                <w:lang w:val="en-US" w:eastAsia="zh-CN"/>
              </w:rPr>
              <w:t>其他社会保障和就业支出</w:t>
            </w:r>
          </w:p>
        </w:tc>
        <w:tc>
          <w:tcPr>
            <w:tcW w:w="3000"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4.44</w:t>
            </w:r>
          </w:p>
        </w:tc>
        <w:tc>
          <w:tcPr>
            <w:tcW w:w="3492"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4.44</w:t>
            </w:r>
          </w:p>
        </w:tc>
        <w:tc>
          <w:tcPr>
            <w:tcW w:w="3000" w:type="dxa"/>
            <w:tcBorders>
              <w:top w:val="nil"/>
              <w:left w:val="nil"/>
              <w:bottom w:val="single" w:color="auto" w:sz="4" w:space="0"/>
              <w:right w:val="single" w:color="auto" w:sz="8" w:space="0"/>
            </w:tcBorders>
            <w:noWrap w:val="0"/>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noWrap w:val="0"/>
            <w:vAlign w:val="center"/>
          </w:tcPr>
          <w:p>
            <w:pPr>
              <w:jc w:val="left"/>
              <w:rPr>
                <w:rFonts w:hint="default" w:ascii="宋体" w:hAnsi="宋体" w:cs="宋体"/>
                <w:color w:val="000000"/>
                <w:sz w:val="18"/>
                <w:szCs w:val="18"/>
                <w:lang w:val="en-US" w:eastAsia="zh-CN"/>
              </w:rPr>
            </w:pPr>
            <w:r>
              <w:rPr>
                <w:rFonts w:hint="eastAsia" w:ascii="宋体" w:hAnsi="宋体" w:cs="宋体"/>
                <w:color w:val="000000"/>
                <w:sz w:val="18"/>
                <w:szCs w:val="18"/>
                <w:lang w:val="en-US" w:eastAsia="zh-CN"/>
              </w:rPr>
              <w:t>2089901</w:t>
            </w:r>
          </w:p>
        </w:tc>
        <w:tc>
          <w:tcPr>
            <w:tcW w:w="3527" w:type="dxa"/>
            <w:tcBorders>
              <w:top w:val="nil"/>
              <w:left w:val="nil"/>
              <w:bottom w:val="single" w:color="auto" w:sz="4" w:space="0"/>
              <w:right w:val="single" w:color="auto" w:sz="4" w:space="0"/>
            </w:tcBorders>
            <w:noWrap w:val="0"/>
            <w:vAlign w:val="center"/>
          </w:tcPr>
          <w:p>
            <w:pPr>
              <w:widowControl/>
              <w:jc w:val="left"/>
              <w:rPr>
                <w:rFonts w:hint="default" w:ascii="宋体" w:hAnsi="宋体" w:cs="宋体"/>
                <w:kern w:val="0"/>
                <w:szCs w:val="21"/>
                <w:lang w:val="en-US" w:eastAsia="zh-CN"/>
              </w:rPr>
            </w:pPr>
            <w:r>
              <w:rPr>
                <w:rFonts w:hint="eastAsia" w:ascii="宋体" w:hAnsi="宋体" w:cs="宋体"/>
                <w:kern w:val="0"/>
                <w:szCs w:val="21"/>
                <w:lang w:val="en-US" w:eastAsia="zh-CN"/>
              </w:rPr>
              <w:t xml:space="preserve">  其他社会保障和就业支出</w:t>
            </w:r>
          </w:p>
        </w:tc>
        <w:tc>
          <w:tcPr>
            <w:tcW w:w="3000"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4.44</w:t>
            </w:r>
          </w:p>
        </w:tc>
        <w:tc>
          <w:tcPr>
            <w:tcW w:w="3492"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4.44</w:t>
            </w:r>
          </w:p>
        </w:tc>
        <w:tc>
          <w:tcPr>
            <w:tcW w:w="3000" w:type="dxa"/>
            <w:tcBorders>
              <w:top w:val="nil"/>
              <w:left w:val="nil"/>
              <w:bottom w:val="single" w:color="auto" w:sz="4" w:space="0"/>
              <w:right w:val="single" w:color="auto" w:sz="8" w:space="0"/>
            </w:tcBorders>
            <w:noWrap w:val="0"/>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noWrap w:val="0"/>
            <w:vAlign w:val="center"/>
          </w:tcPr>
          <w:p>
            <w:pPr>
              <w:jc w:val="left"/>
              <w:rPr>
                <w:rFonts w:ascii="Times New Roman" w:hAnsi="Times New Roman" w:eastAsia="仿宋_GB2312" w:cs="Times New Roman"/>
                <w:kern w:val="0"/>
                <w:szCs w:val="21"/>
              </w:rPr>
            </w:pPr>
            <w:r>
              <w:rPr>
                <w:rFonts w:hint="eastAsia" w:ascii="宋体" w:hAnsi="宋体" w:eastAsia="宋体" w:cs="宋体"/>
                <w:color w:val="000000"/>
                <w:sz w:val="18"/>
                <w:szCs w:val="18"/>
              </w:rPr>
              <w:t>210</w:t>
            </w:r>
          </w:p>
        </w:tc>
        <w:tc>
          <w:tcPr>
            <w:tcW w:w="3527" w:type="dxa"/>
            <w:tcBorders>
              <w:top w:val="nil"/>
              <w:left w:val="nil"/>
              <w:bottom w:val="single" w:color="auto" w:sz="4" w:space="0"/>
              <w:right w:val="single" w:color="auto" w:sz="4" w:space="0"/>
            </w:tcBorders>
            <w:noWrap w:val="0"/>
            <w:vAlign w:val="center"/>
          </w:tcPr>
          <w:p>
            <w:pPr>
              <w:widowControl/>
              <w:jc w:val="left"/>
              <w:rPr>
                <w:rFonts w:ascii="Times New Roman" w:hAnsi="Times New Roman" w:eastAsia="仿宋_GB2312" w:cs="Times New Roman"/>
                <w:kern w:val="0"/>
                <w:szCs w:val="21"/>
              </w:rPr>
            </w:pPr>
            <w:r>
              <w:rPr>
                <w:rFonts w:hint="eastAsia" w:ascii="宋体" w:hAnsi="宋体" w:eastAsia="宋体" w:cs="宋体"/>
                <w:kern w:val="0"/>
                <w:szCs w:val="21"/>
              </w:rPr>
              <w:t>卫生健康支出</w:t>
            </w:r>
          </w:p>
        </w:tc>
        <w:tc>
          <w:tcPr>
            <w:tcW w:w="3000"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5.91</w:t>
            </w:r>
          </w:p>
        </w:tc>
        <w:tc>
          <w:tcPr>
            <w:tcW w:w="3492"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5.91</w:t>
            </w:r>
          </w:p>
        </w:tc>
        <w:tc>
          <w:tcPr>
            <w:tcW w:w="3000" w:type="dxa"/>
            <w:tcBorders>
              <w:top w:val="nil"/>
              <w:left w:val="nil"/>
              <w:bottom w:val="single" w:color="auto" w:sz="4" w:space="0"/>
              <w:right w:val="single" w:color="auto" w:sz="8" w:space="0"/>
            </w:tcBorders>
            <w:noWrap w:val="0"/>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noWrap w:val="0"/>
            <w:vAlign w:val="center"/>
          </w:tcPr>
          <w:p>
            <w:pPr>
              <w:jc w:val="left"/>
              <w:rPr>
                <w:rFonts w:ascii="Times New Roman" w:hAnsi="Times New Roman" w:eastAsia="仿宋_GB2312" w:cs="Times New Roman"/>
                <w:kern w:val="0"/>
                <w:szCs w:val="21"/>
              </w:rPr>
            </w:pPr>
            <w:r>
              <w:rPr>
                <w:rFonts w:hint="eastAsia" w:ascii="宋体" w:hAnsi="宋体" w:eastAsia="宋体" w:cs="宋体"/>
                <w:color w:val="000000"/>
                <w:sz w:val="18"/>
                <w:szCs w:val="18"/>
                <w:lang w:val="en-US" w:eastAsia="zh-CN"/>
              </w:rPr>
              <w:t>21011</w:t>
            </w:r>
          </w:p>
        </w:tc>
        <w:tc>
          <w:tcPr>
            <w:tcW w:w="3527" w:type="dxa"/>
            <w:tcBorders>
              <w:top w:val="nil"/>
              <w:left w:val="nil"/>
              <w:bottom w:val="single" w:color="auto" w:sz="4" w:space="0"/>
              <w:right w:val="single" w:color="auto" w:sz="4" w:space="0"/>
            </w:tcBorders>
            <w:noWrap w:val="0"/>
            <w:vAlign w:val="center"/>
          </w:tcPr>
          <w:p>
            <w:pPr>
              <w:widowControl/>
              <w:jc w:val="left"/>
              <w:rPr>
                <w:rFonts w:ascii="Times New Roman" w:hAnsi="Times New Roman" w:eastAsia="仿宋_GB2312" w:cs="Times New Roman"/>
                <w:kern w:val="0"/>
                <w:szCs w:val="21"/>
              </w:rPr>
            </w:pPr>
            <w:r>
              <w:rPr>
                <w:rFonts w:hint="eastAsia" w:ascii="宋体" w:hAnsi="宋体" w:eastAsia="宋体" w:cs="宋体"/>
                <w:kern w:val="0"/>
                <w:szCs w:val="21"/>
                <w:lang w:eastAsia="zh-CN"/>
              </w:rPr>
              <w:t>行政事业单位医疗</w:t>
            </w:r>
          </w:p>
        </w:tc>
        <w:tc>
          <w:tcPr>
            <w:tcW w:w="3000"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5.91</w:t>
            </w:r>
          </w:p>
        </w:tc>
        <w:tc>
          <w:tcPr>
            <w:tcW w:w="3492"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5.91</w:t>
            </w:r>
          </w:p>
        </w:tc>
        <w:tc>
          <w:tcPr>
            <w:tcW w:w="3000" w:type="dxa"/>
            <w:tcBorders>
              <w:top w:val="nil"/>
              <w:left w:val="nil"/>
              <w:bottom w:val="single" w:color="auto" w:sz="4" w:space="0"/>
              <w:right w:val="single" w:color="auto" w:sz="8" w:space="0"/>
            </w:tcBorders>
            <w:noWrap w:val="0"/>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noWrap w:val="0"/>
            <w:vAlign w:val="center"/>
          </w:tcPr>
          <w:p>
            <w:pPr>
              <w:jc w:val="left"/>
              <w:rPr>
                <w:rFonts w:ascii="Times New Roman" w:hAnsi="Times New Roman" w:eastAsia="仿宋_GB2312" w:cs="Times New Roman"/>
                <w:kern w:val="0"/>
                <w:szCs w:val="21"/>
              </w:rPr>
            </w:pPr>
            <w:r>
              <w:rPr>
                <w:rFonts w:hint="eastAsia" w:ascii="宋体" w:hAnsi="宋体" w:eastAsia="宋体" w:cs="宋体"/>
                <w:color w:val="000000"/>
                <w:sz w:val="18"/>
                <w:szCs w:val="18"/>
                <w:lang w:val="en-US" w:eastAsia="zh-CN"/>
              </w:rPr>
              <w:t>2101102</w:t>
            </w:r>
          </w:p>
        </w:tc>
        <w:tc>
          <w:tcPr>
            <w:tcW w:w="3527" w:type="dxa"/>
            <w:tcBorders>
              <w:top w:val="nil"/>
              <w:left w:val="nil"/>
              <w:bottom w:val="single" w:color="auto" w:sz="4" w:space="0"/>
              <w:right w:val="single" w:color="auto" w:sz="4" w:space="0"/>
            </w:tcBorders>
            <w:noWrap w:val="0"/>
            <w:vAlign w:val="center"/>
          </w:tcPr>
          <w:p>
            <w:pPr>
              <w:widowControl/>
              <w:ind w:firstLine="210" w:firstLineChars="100"/>
              <w:jc w:val="left"/>
              <w:rPr>
                <w:rFonts w:ascii="Times New Roman" w:hAnsi="Times New Roman" w:eastAsia="仿宋_GB2312" w:cs="Times New Roman"/>
                <w:kern w:val="0"/>
                <w:szCs w:val="21"/>
              </w:rPr>
            </w:pPr>
            <w:r>
              <w:rPr>
                <w:rFonts w:hint="eastAsia" w:ascii="宋体" w:hAnsi="宋体" w:eastAsia="宋体" w:cs="宋体"/>
                <w:lang w:eastAsia="zh-CN"/>
              </w:rPr>
              <w:t>事业单位医疗</w:t>
            </w:r>
          </w:p>
        </w:tc>
        <w:tc>
          <w:tcPr>
            <w:tcW w:w="3000"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5.91</w:t>
            </w:r>
          </w:p>
        </w:tc>
        <w:tc>
          <w:tcPr>
            <w:tcW w:w="3492"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5.91</w:t>
            </w:r>
          </w:p>
        </w:tc>
        <w:tc>
          <w:tcPr>
            <w:tcW w:w="3000" w:type="dxa"/>
            <w:tcBorders>
              <w:top w:val="nil"/>
              <w:left w:val="nil"/>
              <w:bottom w:val="single" w:color="auto" w:sz="4" w:space="0"/>
              <w:right w:val="single" w:color="auto" w:sz="8" w:space="0"/>
            </w:tcBorders>
            <w:noWrap w:val="0"/>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noWrap w:val="0"/>
            <w:vAlign w:val="center"/>
          </w:tcPr>
          <w:p>
            <w:pPr>
              <w:jc w:val="left"/>
              <w:rPr>
                <w:rFonts w:hint="default" w:ascii="宋体" w:hAnsi="宋体" w:eastAsia="宋体" w:cs="宋体"/>
                <w:color w:val="000000"/>
                <w:sz w:val="18"/>
                <w:szCs w:val="18"/>
                <w:lang w:val="en-US" w:eastAsia="zh-CN"/>
              </w:rPr>
            </w:pPr>
            <w:r>
              <w:rPr>
                <w:rFonts w:hint="eastAsia" w:ascii="宋体" w:hAnsi="宋体" w:cs="宋体"/>
                <w:color w:val="000000"/>
                <w:sz w:val="18"/>
                <w:szCs w:val="18"/>
                <w:lang w:val="en-US" w:eastAsia="zh-CN"/>
              </w:rPr>
              <w:t>212</w:t>
            </w:r>
          </w:p>
        </w:tc>
        <w:tc>
          <w:tcPr>
            <w:tcW w:w="3527"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lang w:eastAsia="zh-CN"/>
              </w:rPr>
            </w:pPr>
            <w:r>
              <w:rPr>
                <w:rFonts w:hint="eastAsia" w:ascii="宋体" w:hAnsi="宋体" w:cs="宋体"/>
                <w:lang w:eastAsia="zh-CN"/>
              </w:rPr>
              <w:t>城乡社区支出</w:t>
            </w:r>
          </w:p>
        </w:tc>
        <w:tc>
          <w:tcPr>
            <w:tcW w:w="3000"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12.65</w:t>
            </w:r>
          </w:p>
        </w:tc>
        <w:tc>
          <w:tcPr>
            <w:tcW w:w="3492"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Cs w:val="21"/>
                <w:lang w:val="en-US" w:eastAsia="zh-CN"/>
              </w:rPr>
            </w:pPr>
          </w:p>
        </w:tc>
        <w:tc>
          <w:tcPr>
            <w:tcW w:w="3000" w:type="dxa"/>
            <w:tcBorders>
              <w:top w:val="nil"/>
              <w:left w:val="nil"/>
              <w:bottom w:val="single" w:color="auto" w:sz="4" w:space="0"/>
              <w:right w:val="single" w:color="auto" w:sz="8" w:space="0"/>
            </w:tcBorders>
            <w:noWrap w:val="0"/>
            <w:vAlign w:val="center"/>
          </w:tcPr>
          <w:p>
            <w:pPr>
              <w:widowControl/>
              <w:jc w:val="center"/>
              <w:rPr>
                <w:rFonts w:hint="default" w:ascii="Times New Roman" w:hAnsi="Times New Roman" w:eastAsia="仿宋_GB2312" w:cs="Times New Roman"/>
                <w:kern w:val="0"/>
                <w:szCs w:val="21"/>
                <w:lang w:val="en-US"/>
              </w:rPr>
            </w:pPr>
            <w:r>
              <w:rPr>
                <w:rFonts w:hint="eastAsia" w:ascii="Times New Roman" w:hAnsi="Times New Roman" w:eastAsia="仿宋_GB2312" w:cs="Times New Roman"/>
                <w:kern w:val="0"/>
                <w:szCs w:val="21"/>
                <w:lang w:val="en-US" w:eastAsia="zh-CN"/>
              </w:rPr>
              <w:t>12.65</w:t>
            </w:r>
          </w:p>
        </w:tc>
      </w:tr>
      <w:tr>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noWrap w:val="0"/>
            <w:vAlign w:val="center"/>
          </w:tcPr>
          <w:p>
            <w:pPr>
              <w:jc w:val="left"/>
              <w:rPr>
                <w:rFonts w:hint="default" w:ascii="宋体" w:hAnsi="宋体" w:eastAsia="宋体" w:cs="宋体"/>
                <w:color w:val="000000"/>
                <w:sz w:val="18"/>
                <w:szCs w:val="18"/>
                <w:lang w:val="en-US" w:eastAsia="zh-CN"/>
              </w:rPr>
            </w:pPr>
            <w:r>
              <w:rPr>
                <w:rFonts w:hint="eastAsia" w:ascii="宋体" w:hAnsi="宋体" w:cs="宋体"/>
                <w:color w:val="000000"/>
                <w:sz w:val="18"/>
                <w:szCs w:val="18"/>
                <w:lang w:val="en-US" w:eastAsia="zh-CN"/>
              </w:rPr>
              <w:t>21203</w:t>
            </w:r>
          </w:p>
        </w:tc>
        <w:tc>
          <w:tcPr>
            <w:tcW w:w="3527" w:type="dxa"/>
            <w:tcBorders>
              <w:top w:val="nil"/>
              <w:left w:val="nil"/>
              <w:bottom w:val="single" w:color="auto" w:sz="4" w:space="0"/>
              <w:right w:val="single" w:color="auto" w:sz="4" w:space="0"/>
            </w:tcBorders>
            <w:noWrap w:val="0"/>
            <w:vAlign w:val="center"/>
          </w:tcPr>
          <w:p>
            <w:pPr>
              <w:widowControl/>
              <w:jc w:val="left"/>
              <w:rPr>
                <w:rFonts w:hint="eastAsia" w:ascii="宋体" w:hAnsi="宋体" w:cs="宋体"/>
                <w:lang w:eastAsia="zh-CN"/>
              </w:rPr>
            </w:pPr>
            <w:r>
              <w:rPr>
                <w:rFonts w:hint="eastAsia" w:ascii="宋体" w:hAnsi="宋体" w:cs="宋体"/>
                <w:lang w:eastAsia="zh-CN"/>
              </w:rPr>
              <w:t>城乡社区公共设施</w:t>
            </w:r>
          </w:p>
        </w:tc>
        <w:tc>
          <w:tcPr>
            <w:tcW w:w="3000"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12.65</w:t>
            </w:r>
          </w:p>
        </w:tc>
        <w:tc>
          <w:tcPr>
            <w:tcW w:w="3492"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Cs w:val="21"/>
                <w:lang w:val="en-US" w:eastAsia="zh-CN"/>
              </w:rPr>
            </w:pPr>
          </w:p>
        </w:tc>
        <w:tc>
          <w:tcPr>
            <w:tcW w:w="3000" w:type="dxa"/>
            <w:tcBorders>
              <w:top w:val="nil"/>
              <w:left w:val="nil"/>
              <w:bottom w:val="single" w:color="auto" w:sz="4" w:space="0"/>
              <w:right w:val="single" w:color="auto" w:sz="8" w:space="0"/>
            </w:tcBorders>
            <w:noWrap w:val="0"/>
            <w:vAlign w:val="center"/>
          </w:tcPr>
          <w:p>
            <w:pPr>
              <w:widowControl/>
              <w:jc w:val="center"/>
              <w:rPr>
                <w:rFonts w:hint="default" w:ascii="Times New Roman" w:hAnsi="Times New Roman" w:eastAsia="仿宋_GB2312" w:cs="Times New Roman"/>
                <w:kern w:val="0"/>
                <w:szCs w:val="21"/>
                <w:lang w:val="en-US"/>
              </w:rPr>
            </w:pPr>
            <w:r>
              <w:rPr>
                <w:rFonts w:hint="eastAsia" w:ascii="Times New Roman" w:hAnsi="Times New Roman" w:eastAsia="仿宋_GB2312" w:cs="Times New Roman"/>
                <w:kern w:val="0"/>
                <w:szCs w:val="21"/>
                <w:lang w:val="en-US" w:eastAsia="zh-CN"/>
              </w:rPr>
              <w:t>12.65</w:t>
            </w:r>
          </w:p>
        </w:tc>
      </w:tr>
      <w:tr>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noWrap w:val="0"/>
            <w:vAlign w:val="center"/>
          </w:tcPr>
          <w:p>
            <w:pPr>
              <w:jc w:val="left"/>
              <w:rPr>
                <w:rFonts w:hint="default" w:ascii="宋体" w:hAnsi="宋体" w:eastAsia="宋体" w:cs="宋体"/>
                <w:color w:val="000000"/>
                <w:sz w:val="18"/>
                <w:szCs w:val="18"/>
                <w:lang w:val="en-US" w:eastAsia="zh-CN"/>
              </w:rPr>
            </w:pPr>
            <w:r>
              <w:rPr>
                <w:rFonts w:hint="eastAsia" w:ascii="宋体" w:hAnsi="宋体" w:cs="宋体"/>
                <w:color w:val="000000"/>
                <w:sz w:val="18"/>
                <w:szCs w:val="18"/>
                <w:lang w:val="en-US" w:eastAsia="zh-CN"/>
              </w:rPr>
              <w:t>2120399</w:t>
            </w:r>
          </w:p>
        </w:tc>
        <w:tc>
          <w:tcPr>
            <w:tcW w:w="3527" w:type="dxa"/>
            <w:tcBorders>
              <w:top w:val="nil"/>
              <w:left w:val="nil"/>
              <w:bottom w:val="single" w:color="auto" w:sz="4" w:space="0"/>
              <w:right w:val="single" w:color="auto" w:sz="4" w:space="0"/>
            </w:tcBorders>
            <w:noWrap w:val="0"/>
            <w:vAlign w:val="center"/>
          </w:tcPr>
          <w:p>
            <w:pPr>
              <w:widowControl/>
              <w:ind w:firstLine="210" w:firstLineChars="100"/>
              <w:jc w:val="left"/>
              <w:rPr>
                <w:rFonts w:hint="eastAsia" w:ascii="宋体" w:hAnsi="宋体" w:eastAsia="宋体" w:cs="宋体"/>
                <w:lang w:eastAsia="zh-CN"/>
              </w:rPr>
            </w:pPr>
            <w:r>
              <w:rPr>
                <w:rFonts w:hint="eastAsia" w:ascii="宋体" w:hAnsi="宋体" w:cs="宋体"/>
                <w:lang w:eastAsia="zh-CN"/>
              </w:rPr>
              <w:t>其他城乡社区公共设施支出</w:t>
            </w:r>
          </w:p>
        </w:tc>
        <w:tc>
          <w:tcPr>
            <w:tcW w:w="3000"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12.65</w:t>
            </w:r>
          </w:p>
        </w:tc>
        <w:tc>
          <w:tcPr>
            <w:tcW w:w="3492"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Cs w:val="21"/>
                <w:lang w:val="en-US" w:eastAsia="zh-CN"/>
              </w:rPr>
            </w:pPr>
          </w:p>
        </w:tc>
        <w:tc>
          <w:tcPr>
            <w:tcW w:w="3000" w:type="dxa"/>
            <w:tcBorders>
              <w:top w:val="nil"/>
              <w:left w:val="nil"/>
              <w:bottom w:val="single" w:color="auto" w:sz="4" w:space="0"/>
              <w:right w:val="single" w:color="auto" w:sz="8" w:space="0"/>
            </w:tcBorders>
            <w:noWrap w:val="0"/>
            <w:vAlign w:val="center"/>
          </w:tcPr>
          <w:p>
            <w:pPr>
              <w:widowControl/>
              <w:jc w:val="center"/>
              <w:rPr>
                <w:rFonts w:hint="default" w:ascii="Times New Roman" w:hAnsi="Times New Roman" w:eastAsia="仿宋_GB2312" w:cs="Times New Roman"/>
                <w:kern w:val="0"/>
                <w:szCs w:val="21"/>
                <w:lang w:val="en-US"/>
              </w:rPr>
            </w:pPr>
            <w:r>
              <w:rPr>
                <w:rFonts w:hint="eastAsia" w:ascii="Times New Roman" w:hAnsi="Times New Roman" w:eastAsia="仿宋_GB2312" w:cs="Times New Roman"/>
                <w:kern w:val="0"/>
                <w:szCs w:val="21"/>
                <w:lang w:val="en-US" w:eastAsia="zh-CN"/>
              </w:rPr>
              <w:t>12.65</w:t>
            </w:r>
          </w:p>
        </w:tc>
      </w:tr>
      <w:tr>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noWrap w:val="0"/>
            <w:vAlign w:val="center"/>
          </w:tcPr>
          <w:p>
            <w:pPr>
              <w:jc w:val="left"/>
              <w:rPr>
                <w:rFonts w:ascii="Times New Roman" w:hAnsi="Times New Roman" w:eastAsia="仿宋_GB2312" w:cs="Times New Roman"/>
                <w:kern w:val="0"/>
                <w:szCs w:val="21"/>
              </w:rPr>
            </w:pPr>
            <w:r>
              <w:rPr>
                <w:rFonts w:hint="eastAsia" w:ascii="宋体" w:hAnsi="宋体" w:eastAsia="宋体" w:cs="宋体"/>
                <w:color w:val="000000"/>
                <w:sz w:val="18"/>
                <w:szCs w:val="18"/>
              </w:rPr>
              <w:t>213</w:t>
            </w:r>
          </w:p>
        </w:tc>
        <w:tc>
          <w:tcPr>
            <w:tcW w:w="3527" w:type="dxa"/>
            <w:tcBorders>
              <w:top w:val="nil"/>
              <w:left w:val="nil"/>
              <w:bottom w:val="single" w:color="auto" w:sz="4" w:space="0"/>
              <w:right w:val="single" w:color="auto" w:sz="4" w:space="0"/>
            </w:tcBorders>
            <w:noWrap w:val="0"/>
            <w:vAlign w:val="center"/>
          </w:tcPr>
          <w:p>
            <w:pPr>
              <w:widowControl/>
              <w:jc w:val="left"/>
              <w:rPr>
                <w:rFonts w:ascii="Times New Roman" w:hAnsi="Times New Roman" w:eastAsia="仿宋_GB2312" w:cs="Times New Roman"/>
                <w:kern w:val="0"/>
                <w:szCs w:val="21"/>
              </w:rPr>
            </w:pPr>
            <w:r>
              <w:rPr>
                <w:rFonts w:hint="eastAsia" w:ascii="宋体" w:hAnsi="宋体" w:eastAsia="宋体" w:cs="宋体"/>
                <w:kern w:val="0"/>
                <w:szCs w:val="21"/>
              </w:rPr>
              <w:t>农林水支出</w:t>
            </w:r>
          </w:p>
        </w:tc>
        <w:tc>
          <w:tcPr>
            <w:tcW w:w="3000"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140.75</w:t>
            </w:r>
          </w:p>
        </w:tc>
        <w:tc>
          <w:tcPr>
            <w:tcW w:w="3492"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125.30</w:t>
            </w:r>
          </w:p>
        </w:tc>
        <w:tc>
          <w:tcPr>
            <w:tcW w:w="3000" w:type="dxa"/>
            <w:tcBorders>
              <w:top w:val="nil"/>
              <w:left w:val="nil"/>
              <w:bottom w:val="single" w:color="auto" w:sz="4" w:space="0"/>
              <w:right w:val="single" w:color="auto" w:sz="8" w:space="0"/>
            </w:tcBorders>
            <w:noWrap w:val="0"/>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15.45</w:t>
            </w:r>
          </w:p>
        </w:tc>
      </w:tr>
      <w:tr>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noWrap w:val="0"/>
            <w:vAlign w:val="center"/>
          </w:tcPr>
          <w:p>
            <w:pPr>
              <w:jc w:val="left"/>
              <w:rPr>
                <w:rFonts w:ascii="Times New Roman" w:hAnsi="Times New Roman" w:eastAsia="仿宋_GB2312" w:cs="Times New Roman"/>
                <w:kern w:val="0"/>
                <w:szCs w:val="21"/>
              </w:rPr>
            </w:pPr>
            <w:r>
              <w:rPr>
                <w:rFonts w:hint="eastAsia" w:ascii="宋体" w:hAnsi="宋体" w:eastAsia="宋体" w:cs="宋体"/>
                <w:color w:val="000000"/>
                <w:sz w:val="18"/>
                <w:szCs w:val="18"/>
              </w:rPr>
              <w:t>21302</w:t>
            </w:r>
          </w:p>
        </w:tc>
        <w:tc>
          <w:tcPr>
            <w:tcW w:w="3527" w:type="dxa"/>
            <w:tcBorders>
              <w:top w:val="nil"/>
              <w:left w:val="nil"/>
              <w:bottom w:val="single" w:color="auto" w:sz="4" w:space="0"/>
              <w:right w:val="single" w:color="auto" w:sz="4" w:space="0"/>
            </w:tcBorders>
            <w:noWrap w:val="0"/>
            <w:vAlign w:val="center"/>
          </w:tcPr>
          <w:p>
            <w:pPr>
              <w:widowControl/>
              <w:jc w:val="left"/>
              <w:rPr>
                <w:rFonts w:ascii="Times New Roman" w:hAnsi="Times New Roman" w:eastAsia="仿宋_GB2312" w:cs="Times New Roman"/>
                <w:kern w:val="0"/>
                <w:szCs w:val="21"/>
              </w:rPr>
            </w:pPr>
            <w:r>
              <w:rPr>
                <w:rFonts w:hint="eastAsia" w:ascii="宋体" w:hAnsi="宋体" w:eastAsia="宋体" w:cs="宋体"/>
                <w:kern w:val="0"/>
                <w:szCs w:val="21"/>
              </w:rPr>
              <w:t>林业和草原</w:t>
            </w:r>
          </w:p>
        </w:tc>
        <w:tc>
          <w:tcPr>
            <w:tcW w:w="3000"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140.75</w:t>
            </w:r>
          </w:p>
        </w:tc>
        <w:tc>
          <w:tcPr>
            <w:tcW w:w="3492"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125.30</w:t>
            </w:r>
          </w:p>
        </w:tc>
        <w:tc>
          <w:tcPr>
            <w:tcW w:w="3000" w:type="dxa"/>
            <w:tcBorders>
              <w:top w:val="nil"/>
              <w:left w:val="nil"/>
              <w:bottom w:val="single" w:color="auto" w:sz="4" w:space="0"/>
              <w:right w:val="single" w:color="auto" w:sz="8" w:space="0"/>
            </w:tcBorders>
            <w:noWrap w:val="0"/>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15.45</w:t>
            </w:r>
          </w:p>
        </w:tc>
      </w:tr>
      <w:tr>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noWrap w:val="0"/>
            <w:vAlign w:val="center"/>
          </w:tcPr>
          <w:p>
            <w:pPr>
              <w:jc w:val="left"/>
              <w:rPr>
                <w:rFonts w:ascii="Times New Roman" w:hAnsi="Times New Roman" w:eastAsia="仿宋_GB2312" w:cs="Times New Roman"/>
                <w:kern w:val="0"/>
                <w:szCs w:val="21"/>
              </w:rPr>
            </w:pPr>
            <w:r>
              <w:rPr>
                <w:rFonts w:hint="eastAsia" w:ascii="宋体" w:hAnsi="宋体" w:eastAsia="宋体" w:cs="宋体"/>
                <w:color w:val="000000"/>
                <w:sz w:val="18"/>
                <w:szCs w:val="18"/>
              </w:rPr>
              <w:t>213020</w:t>
            </w:r>
            <w:r>
              <w:rPr>
                <w:rFonts w:hint="eastAsia" w:ascii="宋体" w:hAnsi="宋体" w:eastAsia="宋体" w:cs="宋体"/>
                <w:color w:val="000000"/>
                <w:sz w:val="18"/>
                <w:szCs w:val="18"/>
                <w:lang w:val="en-US" w:eastAsia="zh-CN"/>
              </w:rPr>
              <w:t>9</w:t>
            </w:r>
          </w:p>
        </w:tc>
        <w:tc>
          <w:tcPr>
            <w:tcW w:w="3527" w:type="dxa"/>
            <w:tcBorders>
              <w:top w:val="nil"/>
              <w:left w:val="nil"/>
              <w:bottom w:val="single" w:color="auto" w:sz="4" w:space="0"/>
              <w:right w:val="single" w:color="auto" w:sz="4" w:space="0"/>
            </w:tcBorders>
            <w:noWrap w:val="0"/>
            <w:vAlign w:val="center"/>
          </w:tcPr>
          <w:p>
            <w:pPr>
              <w:widowControl/>
              <w:jc w:val="left"/>
              <w:rPr>
                <w:rFonts w:ascii="Times New Roman" w:hAnsi="Times New Roman" w:eastAsia="仿宋_GB2312" w:cs="Times New Roman"/>
                <w:kern w:val="0"/>
                <w:szCs w:val="21"/>
              </w:rPr>
            </w:pPr>
            <w:r>
              <w:rPr>
                <w:rFonts w:hint="eastAsia" w:ascii="宋体" w:hAnsi="宋体" w:eastAsia="宋体" w:cs="宋体"/>
                <w:kern w:val="0"/>
                <w:szCs w:val="21"/>
              </w:rPr>
              <w:t xml:space="preserve">  </w:t>
            </w:r>
            <w:r>
              <w:rPr>
                <w:rFonts w:hint="eastAsia" w:ascii="宋体" w:hAnsi="宋体" w:eastAsia="宋体" w:cs="宋体"/>
                <w:kern w:val="0"/>
                <w:szCs w:val="21"/>
                <w:lang w:eastAsia="zh-CN"/>
              </w:rPr>
              <w:t>事业机构</w:t>
            </w:r>
          </w:p>
        </w:tc>
        <w:tc>
          <w:tcPr>
            <w:tcW w:w="3000"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126.04</w:t>
            </w:r>
          </w:p>
        </w:tc>
        <w:tc>
          <w:tcPr>
            <w:tcW w:w="3492"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125.30</w:t>
            </w:r>
          </w:p>
        </w:tc>
        <w:tc>
          <w:tcPr>
            <w:tcW w:w="3000" w:type="dxa"/>
            <w:tcBorders>
              <w:top w:val="nil"/>
              <w:left w:val="nil"/>
              <w:bottom w:val="single" w:color="auto" w:sz="4" w:space="0"/>
              <w:right w:val="single" w:color="auto" w:sz="8" w:space="0"/>
            </w:tcBorders>
            <w:noWrap w:val="0"/>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0.74</w:t>
            </w:r>
          </w:p>
        </w:tc>
      </w:tr>
      <w:tr>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noWrap w:val="0"/>
            <w:vAlign w:val="center"/>
          </w:tcPr>
          <w:p>
            <w:pPr>
              <w:jc w:val="left"/>
              <w:rPr>
                <w:rFonts w:hint="default" w:ascii="Times New Roman" w:hAnsi="Times New Roman" w:eastAsia="宋体" w:cs="Times New Roman"/>
                <w:kern w:val="0"/>
                <w:szCs w:val="21"/>
                <w:lang w:val="en-US" w:eastAsia="zh-CN"/>
              </w:rPr>
            </w:pPr>
            <w:r>
              <w:rPr>
                <w:rFonts w:hint="eastAsia" w:ascii="宋体" w:hAnsi="宋体" w:eastAsia="宋体" w:cs="宋体"/>
                <w:color w:val="000000"/>
                <w:sz w:val="18"/>
                <w:szCs w:val="18"/>
              </w:rPr>
              <w:t>21302</w:t>
            </w:r>
            <w:r>
              <w:rPr>
                <w:rFonts w:hint="eastAsia" w:ascii="宋体" w:hAnsi="宋体" w:eastAsia="宋体" w:cs="宋体"/>
                <w:color w:val="000000"/>
                <w:sz w:val="18"/>
                <w:szCs w:val="18"/>
                <w:lang w:val="en-US" w:eastAsia="zh-CN"/>
              </w:rPr>
              <w:t>35</w:t>
            </w:r>
          </w:p>
        </w:tc>
        <w:tc>
          <w:tcPr>
            <w:tcW w:w="3527" w:type="dxa"/>
            <w:tcBorders>
              <w:top w:val="nil"/>
              <w:left w:val="nil"/>
              <w:bottom w:val="single" w:color="auto" w:sz="4" w:space="0"/>
              <w:right w:val="single" w:color="auto" w:sz="4" w:space="0"/>
            </w:tcBorders>
            <w:noWrap w:val="0"/>
            <w:vAlign w:val="center"/>
          </w:tcPr>
          <w:p>
            <w:pPr>
              <w:widowControl/>
              <w:jc w:val="left"/>
              <w:rPr>
                <w:rFonts w:hint="eastAsia" w:ascii="Times New Roman" w:hAnsi="Times New Roman" w:eastAsia="宋体" w:cs="Times New Roman"/>
                <w:kern w:val="0"/>
                <w:szCs w:val="21"/>
                <w:lang w:eastAsia="zh-CN"/>
              </w:rPr>
            </w:pPr>
            <w:r>
              <w:rPr>
                <w:rFonts w:hint="eastAsia" w:ascii="宋体" w:hAnsi="宋体" w:eastAsia="宋体" w:cs="宋体"/>
                <w:kern w:val="0"/>
                <w:szCs w:val="21"/>
              </w:rPr>
              <w:t xml:space="preserve">  </w:t>
            </w:r>
            <w:r>
              <w:rPr>
                <w:rFonts w:hint="eastAsia" w:ascii="宋体" w:hAnsi="宋体" w:eastAsia="宋体" w:cs="宋体"/>
                <w:kern w:val="0"/>
                <w:szCs w:val="21"/>
                <w:lang w:eastAsia="zh-CN"/>
              </w:rPr>
              <w:t>国家公园</w:t>
            </w:r>
          </w:p>
        </w:tc>
        <w:tc>
          <w:tcPr>
            <w:tcW w:w="3000"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14.71</w:t>
            </w:r>
          </w:p>
        </w:tc>
        <w:tc>
          <w:tcPr>
            <w:tcW w:w="3492"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Cs w:val="21"/>
                <w:lang w:val="en-US" w:eastAsia="zh-CN"/>
              </w:rPr>
            </w:pPr>
          </w:p>
        </w:tc>
        <w:tc>
          <w:tcPr>
            <w:tcW w:w="3000" w:type="dxa"/>
            <w:tcBorders>
              <w:top w:val="nil"/>
              <w:left w:val="nil"/>
              <w:bottom w:val="single" w:color="auto" w:sz="4" w:space="0"/>
              <w:right w:val="single" w:color="auto" w:sz="8" w:space="0"/>
            </w:tcBorders>
            <w:noWrap w:val="0"/>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14.71</w:t>
            </w:r>
          </w:p>
        </w:tc>
      </w:tr>
      <w:tr>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noWrap w:val="0"/>
            <w:vAlign w:val="center"/>
          </w:tcPr>
          <w:p>
            <w:pPr>
              <w:jc w:val="left"/>
              <w:rPr>
                <w:rFonts w:ascii="Times New Roman" w:hAnsi="Times New Roman" w:eastAsia="仿宋_GB2312" w:cs="Times New Roman"/>
                <w:kern w:val="0"/>
                <w:szCs w:val="21"/>
              </w:rPr>
            </w:pPr>
            <w:r>
              <w:rPr>
                <w:rFonts w:hint="eastAsia" w:ascii="宋体" w:hAnsi="宋体" w:eastAsia="宋体" w:cs="宋体"/>
                <w:color w:val="000000"/>
                <w:sz w:val="18"/>
                <w:szCs w:val="18"/>
              </w:rPr>
              <w:t>221</w:t>
            </w:r>
          </w:p>
        </w:tc>
        <w:tc>
          <w:tcPr>
            <w:tcW w:w="3527" w:type="dxa"/>
            <w:tcBorders>
              <w:top w:val="nil"/>
              <w:left w:val="nil"/>
              <w:bottom w:val="single" w:color="auto" w:sz="4" w:space="0"/>
              <w:right w:val="single" w:color="auto" w:sz="4" w:space="0"/>
            </w:tcBorders>
            <w:noWrap w:val="0"/>
            <w:vAlign w:val="center"/>
          </w:tcPr>
          <w:p>
            <w:pPr>
              <w:jc w:val="left"/>
              <w:rPr>
                <w:rFonts w:ascii="Times New Roman" w:hAnsi="Times New Roman" w:eastAsia="仿宋_GB2312" w:cs="Times New Roman"/>
                <w:kern w:val="0"/>
                <w:szCs w:val="21"/>
              </w:rPr>
            </w:pPr>
            <w:r>
              <w:rPr>
                <w:rFonts w:hint="eastAsia" w:ascii="宋体" w:hAnsi="宋体" w:eastAsia="宋体" w:cs="宋体"/>
                <w:color w:val="000000"/>
                <w:sz w:val="22"/>
              </w:rPr>
              <w:t>住房保障支出</w:t>
            </w:r>
          </w:p>
        </w:tc>
        <w:tc>
          <w:tcPr>
            <w:tcW w:w="3000"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11.21</w:t>
            </w:r>
          </w:p>
        </w:tc>
        <w:tc>
          <w:tcPr>
            <w:tcW w:w="3492"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11.21</w:t>
            </w:r>
          </w:p>
        </w:tc>
        <w:tc>
          <w:tcPr>
            <w:tcW w:w="3000" w:type="dxa"/>
            <w:tcBorders>
              <w:top w:val="nil"/>
              <w:left w:val="nil"/>
              <w:bottom w:val="single" w:color="auto" w:sz="4" w:space="0"/>
              <w:right w:val="single" w:color="auto" w:sz="8" w:space="0"/>
            </w:tcBorders>
            <w:noWrap w:val="0"/>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noWrap w:val="0"/>
            <w:vAlign w:val="center"/>
          </w:tcPr>
          <w:p>
            <w:pPr>
              <w:jc w:val="left"/>
              <w:rPr>
                <w:rFonts w:ascii="Times New Roman" w:hAnsi="Times New Roman" w:eastAsia="仿宋_GB2312" w:cs="Times New Roman"/>
                <w:kern w:val="0"/>
                <w:szCs w:val="21"/>
              </w:rPr>
            </w:pPr>
            <w:r>
              <w:rPr>
                <w:rFonts w:hint="eastAsia" w:ascii="宋体" w:hAnsi="宋体" w:eastAsia="宋体" w:cs="宋体"/>
                <w:color w:val="000000"/>
                <w:sz w:val="18"/>
                <w:szCs w:val="18"/>
              </w:rPr>
              <w:t>22102</w:t>
            </w:r>
          </w:p>
        </w:tc>
        <w:tc>
          <w:tcPr>
            <w:tcW w:w="3527" w:type="dxa"/>
            <w:tcBorders>
              <w:top w:val="nil"/>
              <w:left w:val="nil"/>
              <w:bottom w:val="single" w:color="auto" w:sz="4" w:space="0"/>
              <w:right w:val="single" w:color="auto" w:sz="4" w:space="0"/>
            </w:tcBorders>
            <w:noWrap w:val="0"/>
            <w:vAlign w:val="center"/>
          </w:tcPr>
          <w:p>
            <w:pPr>
              <w:jc w:val="left"/>
              <w:rPr>
                <w:rFonts w:ascii="Times New Roman" w:hAnsi="Times New Roman" w:eastAsia="仿宋_GB2312" w:cs="Times New Roman"/>
                <w:kern w:val="0"/>
                <w:szCs w:val="21"/>
              </w:rPr>
            </w:pPr>
            <w:r>
              <w:rPr>
                <w:rFonts w:hint="eastAsia" w:ascii="宋体" w:hAnsi="宋体" w:eastAsia="宋体" w:cs="宋体"/>
                <w:color w:val="000000"/>
                <w:sz w:val="22"/>
              </w:rPr>
              <w:t>住房改革支出</w:t>
            </w:r>
          </w:p>
        </w:tc>
        <w:tc>
          <w:tcPr>
            <w:tcW w:w="3000"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11.21</w:t>
            </w:r>
          </w:p>
        </w:tc>
        <w:tc>
          <w:tcPr>
            <w:tcW w:w="3492"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11.21</w:t>
            </w:r>
          </w:p>
        </w:tc>
        <w:tc>
          <w:tcPr>
            <w:tcW w:w="3000" w:type="dxa"/>
            <w:tcBorders>
              <w:top w:val="nil"/>
              <w:left w:val="nil"/>
              <w:bottom w:val="single" w:color="auto" w:sz="4" w:space="0"/>
              <w:right w:val="single" w:color="auto" w:sz="8" w:space="0"/>
            </w:tcBorders>
            <w:noWrap w:val="0"/>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noWrap w:val="0"/>
            <w:vAlign w:val="center"/>
          </w:tcPr>
          <w:p>
            <w:pPr>
              <w:jc w:val="left"/>
              <w:rPr>
                <w:rFonts w:ascii="Times New Roman" w:hAnsi="Times New Roman" w:eastAsia="仿宋_GB2312" w:cs="Times New Roman"/>
                <w:kern w:val="0"/>
                <w:szCs w:val="21"/>
              </w:rPr>
            </w:pPr>
            <w:r>
              <w:rPr>
                <w:rFonts w:hint="eastAsia" w:ascii="宋体" w:hAnsi="宋体" w:eastAsia="宋体" w:cs="宋体"/>
                <w:color w:val="000000"/>
                <w:sz w:val="18"/>
                <w:szCs w:val="18"/>
              </w:rPr>
              <w:t>2210201</w:t>
            </w:r>
          </w:p>
        </w:tc>
        <w:tc>
          <w:tcPr>
            <w:tcW w:w="3527" w:type="dxa"/>
            <w:tcBorders>
              <w:top w:val="nil"/>
              <w:left w:val="nil"/>
              <w:bottom w:val="single" w:color="auto" w:sz="4" w:space="0"/>
              <w:right w:val="single" w:color="auto" w:sz="4" w:space="0"/>
            </w:tcBorders>
            <w:noWrap w:val="0"/>
            <w:vAlign w:val="center"/>
          </w:tcPr>
          <w:p>
            <w:pPr>
              <w:jc w:val="left"/>
              <w:rPr>
                <w:rFonts w:ascii="Times New Roman" w:hAnsi="Times New Roman" w:eastAsia="仿宋_GB2312" w:cs="Times New Roman"/>
                <w:kern w:val="0"/>
                <w:szCs w:val="21"/>
              </w:rPr>
            </w:pPr>
            <w:r>
              <w:rPr>
                <w:rFonts w:hint="eastAsia" w:ascii="宋体" w:hAnsi="宋体" w:eastAsia="宋体" w:cs="宋体"/>
                <w:color w:val="000000"/>
                <w:sz w:val="22"/>
              </w:rPr>
              <w:t xml:space="preserve">  住房公积金</w:t>
            </w:r>
          </w:p>
        </w:tc>
        <w:tc>
          <w:tcPr>
            <w:tcW w:w="3000"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11.21</w:t>
            </w:r>
          </w:p>
        </w:tc>
        <w:tc>
          <w:tcPr>
            <w:tcW w:w="3492"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11.21</w:t>
            </w:r>
          </w:p>
        </w:tc>
        <w:tc>
          <w:tcPr>
            <w:tcW w:w="3000" w:type="dxa"/>
            <w:tcBorders>
              <w:top w:val="nil"/>
              <w:left w:val="nil"/>
              <w:bottom w:val="single" w:color="auto" w:sz="4" w:space="0"/>
              <w:right w:val="single" w:color="auto" w:sz="8" w:space="0"/>
            </w:tcBorders>
            <w:noWrap w:val="0"/>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645" w:hRule="atLeast"/>
        </w:trPr>
        <w:tc>
          <w:tcPr>
            <w:tcW w:w="14219" w:type="dxa"/>
            <w:gridSpan w:val="5"/>
            <w:tcBorders>
              <w:top w:val="nil"/>
              <w:left w:val="nil"/>
              <w:bottom w:val="nil"/>
              <w:right w:val="nil"/>
            </w:tcBorders>
            <w:noWrap w:val="0"/>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6"/>
        <w:tblW w:w="0" w:type="auto"/>
        <w:tblInd w:w="0" w:type="dxa"/>
        <w:tblLayout w:type="autofit"/>
        <w:tblCellMar>
          <w:top w:w="0" w:type="dxa"/>
          <w:left w:w="108" w:type="dxa"/>
          <w:bottom w:w="0" w:type="dxa"/>
          <w:right w:w="108" w:type="dxa"/>
        </w:tblCellMar>
      </w:tblPr>
      <w:tblGrid>
        <w:gridCol w:w="1338"/>
        <w:gridCol w:w="3366"/>
        <w:gridCol w:w="1056"/>
        <w:gridCol w:w="816"/>
        <w:gridCol w:w="2316"/>
        <w:gridCol w:w="951"/>
        <w:gridCol w:w="817"/>
        <w:gridCol w:w="4206"/>
        <w:gridCol w:w="748"/>
      </w:tblGrid>
      <w:tr>
        <w:tblPrEx>
          <w:tblCellMar>
            <w:top w:w="0" w:type="dxa"/>
            <w:left w:w="108" w:type="dxa"/>
            <w:bottom w:w="0" w:type="dxa"/>
            <w:right w:w="108" w:type="dxa"/>
          </w:tblCellMar>
        </w:tblPrEx>
        <w:trPr>
          <w:trHeight w:val="113" w:hRule="atLeast"/>
        </w:trPr>
        <w:tc>
          <w:tcPr>
            <w:tcW w:w="0" w:type="auto"/>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trPr>
        <w:tc>
          <w:tcPr>
            <w:tcW w:w="133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36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144.61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11.10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52.46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1.94</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9.57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0.48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10.81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1.56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25.74</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12.79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5.82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5.91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2.77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0.53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11.21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5.97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2.92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0.23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0.72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2.14</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0.18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0.15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3.57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1.60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0.86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0.18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0.14</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0" w:type="auto"/>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147.53</w:t>
            </w:r>
          </w:p>
        </w:tc>
        <w:tc>
          <w:tcPr>
            <w:tcW w:w="0" w:type="auto"/>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lang w:val="en-US" w:eastAsia="zh-CN"/>
              </w:rPr>
              <w:t>11.10</w:t>
            </w:r>
            <w:r>
              <w:rPr>
                <w:rFonts w:hint="eastAsia" w:ascii="宋体" w:hAnsi="宋体" w:eastAsia="宋体" w:cs="宋体"/>
                <w:color w:val="000000"/>
                <w:kern w:val="0"/>
                <w:szCs w:val="18"/>
              </w:rPr>
              <w:t>　</w:t>
            </w:r>
          </w:p>
        </w:tc>
      </w:tr>
      <w:tr>
        <w:tblPrEx>
          <w:tblCellMar>
            <w:top w:w="0" w:type="dxa"/>
            <w:left w:w="108" w:type="dxa"/>
            <w:bottom w:w="0" w:type="dxa"/>
            <w:right w:w="108" w:type="dxa"/>
          </w:tblCellMar>
        </w:tblPrEx>
        <w:trPr>
          <w:trHeight w:val="284" w:hRule="exact"/>
        </w:trPr>
        <w:tc>
          <w:tcPr>
            <w:tcW w:w="0" w:type="auto"/>
            <w:gridSpan w:val="9"/>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0.23</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1220" w:type="dxa"/>
            <w:tcBorders>
              <w:top w:val="nil"/>
              <w:left w:val="nil"/>
              <w:bottom w:val="single" w:color="auto" w:sz="8" w:space="0"/>
              <w:right w:val="nil"/>
            </w:tcBorders>
            <w:shd w:val="clear" w:color="auto" w:fill="auto"/>
            <w:vAlign w:val="center"/>
          </w:tcPr>
          <w:p>
            <w:pPr>
              <w:widowControl/>
              <w:jc w:val="center"/>
              <w:rPr>
                <w:rFonts w:ascii="Times New Roman" w:hAnsi="Times New Roman" w:eastAsia="仿宋_GB2312" w:cs="Times New Roman"/>
                <w:kern w:val="0"/>
                <w:szCs w:val="21"/>
              </w:rPr>
            </w:pPr>
          </w:p>
        </w:tc>
        <w:tc>
          <w:tcPr>
            <w:tcW w:w="122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0.23</w:t>
            </w:r>
          </w:p>
        </w:tc>
      </w:tr>
    </w:tbl>
    <w:p>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                                                                                                                       公开08表</w:t>
      </w:r>
    </w:p>
    <w:p>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3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eastAsia="zh-CN"/>
              </w:rPr>
              <w:t>此表无数据</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,请说明：XX单位没有政府性基金收入，也没有使用政府性基金安排的支出，故本表无数据</w:t>
      </w:r>
      <w:r>
        <w:rPr>
          <w:rFonts w:ascii="Times New Roman" w:hAnsi="Times New Roman" w:eastAsia="仿宋_GB2312" w:cs="Times New Roman"/>
          <w:kern w:val="0"/>
          <w:szCs w:val="21"/>
        </w:rPr>
        <w:t>)。</w:t>
      </w:r>
    </w:p>
    <w:p>
      <w:pPr>
        <w:widowControl/>
        <w:jc w:val="left"/>
        <w:rPr>
          <w:rFonts w:ascii="黑体" w:hAnsi="黑体" w:eastAsia="黑体"/>
          <w:szCs w:val="21"/>
        </w:rPr>
      </w:pPr>
      <w:r>
        <w:rPr>
          <w:rFonts w:ascii="黑体" w:hAnsi="黑体" w:eastAsia="黑体"/>
          <w:szCs w:val="21"/>
        </w:rPr>
        <w:br w:type="page"/>
      </w:r>
    </w:p>
    <w:tbl>
      <w:tblPr>
        <w:tblStyle w:val="6"/>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项 </w:t>
            </w:r>
            <w:r>
              <w:rPr>
                <w:rFonts w:hint="eastAsia" w:ascii="宋体" w:hAnsi="宋体" w:eastAsia="宋体" w:cs="宋体"/>
                <w:color w:val="000000"/>
                <w:kern w:val="0"/>
                <w:sz w:val="22"/>
              </w:rPr>
              <w:t xml:space="preserve">   </w:t>
            </w:r>
            <w:r>
              <w:rPr>
                <w:rFonts w:hint="eastAsia" w:ascii="宋体" w:hAnsi="宋体" w:eastAsia="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eastAsia="zh-CN"/>
              </w:rPr>
              <w:t>此表无数据</w:t>
            </w: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pPr>
        <w:pStyle w:val="10"/>
        <w:rPr>
          <w:sz w:val="72"/>
          <w:szCs w:val="72"/>
        </w:rPr>
        <w:sectPr>
          <w:pgSz w:w="16838" w:h="11906" w:orient="landscape"/>
          <w:pgMar w:top="720" w:right="720" w:bottom="720" w:left="720" w:header="851" w:footer="992" w:gutter="0"/>
          <w:cols w:space="425" w:num="1"/>
          <w:docGrid w:type="lines" w:linePitch="312" w:charSpace="0"/>
        </w:sectPr>
      </w:pPr>
    </w:p>
    <w:p>
      <w:pPr>
        <w:pStyle w:val="10"/>
        <w:rPr>
          <w:sz w:val="72"/>
          <w:szCs w:val="72"/>
        </w:rPr>
      </w:pPr>
    </w:p>
    <w:p>
      <w:pPr>
        <w:pStyle w:val="10"/>
        <w:rPr>
          <w:sz w:val="72"/>
          <w:szCs w:val="72"/>
        </w:rPr>
      </w:pPr>
    </w:p>
    <w:p>
      <w:pPr>
        <w:pStyle w:val="10"/>
        <w:rPr>
          <w:sz w:val="72"/>
          <w:szCs w:val="72"/>
        </w:rPr>
      </w:pPr>
    </w:p>
    <w:p>
      <w:pPr>
        <w:pStyle w:val="10"/>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第三部分</w:t>
      </w:r>
    </w:p>
    <w:p>
      <w:pPr>
        <w:pStyle w:val="10"/>
        <w:jc w:val="center"/>
        <w:rPr>
          <w:sz w:val="70"/>
          <w:szCs w:val="70"/>
        </w:rPr>
      </w:pPr>
    </w:p>
    <w:p>
      <w:pPr>
        <w:pStyle w:val="10"/>
        <w:jc w:val="center"/>
        <w:rPr>
          <w:sz w:val="70"/>
          <w:szCs w:val="70"/>
        </w:rPr>
      </w:pPr>
      <w:r>
        <w:rPr>
          <w:sz w:val="70"/>
          <w:szCs w:val="70"/>
        </w:rPr>
        <w:t>20</w:t>
      </w:r>
      <w:r>
        <w:rPr>
          <w:rFonts w:hint="eastAsia"/>
          <w:sz w:val="70"/>
          <w:szCs w:val="70"/>
        </w:rPr>
        <w:t>21年度部门决算情况说明</w:t>
      </w:r>
    </w:p>
    <w:p>
      <w:pPr>
        <w:widowControl/>
        <w:jc w:val="left"/>
        <w:rPr>
          <w:rFonts w:ascii="黑体" w:eastAsia="黑体" w:cs="黑体"/>
          <w:color w:val="000000"/>
          <w:kern w:val="0"/>
          <w:sz w:val="70"/>
          <w:szCs w:val="70"/>
        </w:rPr>
      </w:pPr>
      <w:r>
        <w:rPr>
          <w:sz w:val="70"/>
          <w:szCs w:val="70"/>
        </w:rPr>
        <w:br w:type="page"/>
      </w:r>
    </w:p>
    <w:p>
      <w:pPr>
        <w:pStyle w:val="10"/>
        <w:rPr>
          <w:rFonts w:asciiTheme="minorEastAsia" w:hAnsiTheme="minorEastAsia" w:eastAsiaTheme="minorEastAsia"/>
          <w:sz w:val="32"/>
          <w:szCs w:val="32"/>
        </w:rPr>
      </w:pPr>
    </w:p>
    <w:p>
      <w:pPr>
        <w:pStyle w:val="10"/>
        <w:rPr>
          <w:rFonts w:hAnsi="黑体"/>
          <w:b/>
          <w:sz w:val="32"/>
          <w:szCs w:val="32"/>
        </w:rPr>
      </w:pPr>
      <w:r>
        <w:rPr>
          <w:rFonts w:hint="eastAsia" w:hAnsi="黑体"/>
          <w:b/>
          <w:sz w:val="32"/>
          <w:szCs w:val="32"/>
        </w:rPr>
        <w:t>一、收入支出决算总体情况说明</w:t>
      </w:r>
    </w:p>
    <w:p>
      <w:pPr>
        <w:pStyle w:val="1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2021年度收、支总计</w:t>
      </w:r>
      <w:r>
        <w:rPr>
          <w:rFonts w:hint="eastAsia" w:asciiTheme="minorEastAsia" w:hAnsiTheme="minorEastAsia" w:eastAsiaTheme="minorEastAsia"/>
          <w:sz w:val="32"/>
          <w:szCs w:val="32"/>
          <w:lang w:val="en-US" w:eastAsia="zh-CN"/>
        </w:rPr>
        <w:t>186.73</w:t>
      </w:r>
      <w:r>
        <w:rPr>
          <w:rFonts w:hint="eastAsia" w:asciiTheme="minorEastAsia" w:hAnsiTheme="minorEastAsia" w:eastAsiaTheme="minorEastAsia"/>
          <w:sz w:val="32"/>
          <w:szCs w:val="32"/>
        </w:rPr>
        <w:t>万元。与上年相比，减少</w:t>
      </w:r>
      <w:r>
        <w:rPr>
          <w:rFonts w:hint="eastAsia" w:asciiTheme="minorEastAsia" w:hAnsiTheme="minorEastAsia" w:eastAsiaTheme="minorEastAsia"/>
          <w:sz w:val="32"/>
          <w:szCs w:val="32"/>
          <w:lang w:val="en-US" w:eastAsia="zh-CN"/>
        </w:rPr>
        <w:t>200.27</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51.75</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松材线虫病防治及林区道路建设专项资金的减少。</w:t>
      </w:r>
    </w:p>
    <w:p>
      <w:pPr>
        <w:pStyle w:val="10"/>
        <w:rPr>
          <w:rFonts w:hAnsi="黑体"/>
          <w:b/>
          <w:sz w:val="32"/>
          <w:szCs w:val="32"/>
        </w:rPr>
      </w:pPr>
      <w:r>
        <w:rPr>
          <w:rFonts w:hint="eastAsia" w:hAnsi="黑体"/>
          <w:b/>
          <w:sz w:val="32"/>
          <w:szCs w:val="32"/>
        </w:rPr>
        <w:t>二、收入决算情况说明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2021年度收入合计</w:t>
      </w:r>
      <w:r>
        <w:rPr>
          <w:rFonts w:hint="eastAsia" w:asciiTheme="minorEastAsia" w:hAnsiTheme="minorEastAsia" w:eastAsiaTheme="minorEastAsia"/>
          <w:sz w:val="32"/>
          <w:szCs w:val="32"/>
          <w:lang w:val="en-US" w:eastAsia="zh-CN"/>
        </w:rPr>
        <w:t>186.73</w:t>
      </w:r>
      <w:r>
        <w:rPr>
          <w:rFonts w:hint="eastAsia" w:asciiTheme="minorEastAsia" w:hAnsiTheme="minorEastAsia" w:eastAsiaTheme="minorEastAsia"/>
          <w:sz w:val="32"/>
          <w:szCs w:val="32"/>
        </w:rPr>
        <w:t>万元，其中：财政拨款收入</w:t>
      </w:r>
      <w:r>
        <w:rPr>
          <w:rFonts w:hint="eastAsia" w:asciiTheme="minorEastAsia" w:hAnsiTheme="minorEastAsia" w:eastAsiaTheme="minorEastAsia"/>
          <w:sz w:val="32"/>
          <w:szCs w:val="32"/>
          <w:lang w:val="en-US" w:eastAsia="zh-CN"/>
        </w:rPr>
        <w:t>186.73</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%；上级补助收入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%；事业收入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%；附属单位上缴收入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%；其他收入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三、支出决算情况说明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2021年度支出合计</w:t>
      </w:r>
      <w:r>
        <w:rPr>
          <w:rFonts w:hint="eastAsia" w:asciiTheme="minorEastAsia" w:hAnsiTheme="minorEastAsia" w:eastAsiaTheme="minorEastAsia"/>
          <w:sz w:val="32"/>
          <w:szCs w:val="32"/>
          <w:lang w:val="en-US" w:eastAsia="zh-CN"/>
        </w:rPr>
        <w:t>186.73</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158.63</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84.95</w:t>
      </w:r>
      <w:r>
        <w:rPr>
          <w:rFonts w:hint="eastAsia" w:asciiTheme="minorEastAsia" w:hAnsiTheme="minorEastAsia" w:eastAsiaTheme="minorEastAsia"/>
          <w:sz w:val="32"/>
          <w:szCs w:val="32"/>
        </w:rPr>
        <w:t>%；项目支出</w:t>
      </w:r>
      <w:r>
        <w:rPr>
          <w:rFonts w:hint="eastAsia" w:asciiTheme="minorEastAsia" w:hAnsiTheme="minorEastAsia" w:eastAsiaTheme="minorEastAsia"/>
          <w:sz w:val="32"/>
          <w:szCs w:val="32"/>
          <w:lang w:val="en-US" w:eastAsia="zh-CN"/>
        </w:rPr>
        <w:t>28.1</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15.05</w:t>
      </w:r>
      <w:r>
        <w:rPr>
          <w:rFonts w:hint="eastAsia" w:asciiTheme="minorEastAsia" w:hAnsiTheme="minorEastAsia" w:eastAsiaTheme="minorEastAsia"/>
          <w:sz w:val="32"/>
          <w:szCs w:val="32"/>
        </w:rPr>
        <w:t>%；上缴上级支出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%；对附属单位补助支出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四、财政拨款收入支出决算总体情况说明</w:t>
      </w:r>
    </w:p>
    <w:p>
      <w:pPr>
        <w:pStyle w:val="10"/>
        <w:ind w:firstLine="64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2021年度财政拨款收、支总计</w:t>
      </w:r>
      <w:r>
        <w:rPr>
          <w:rFonts w:hint="eastAsia" w:asciiTheme="minorEastAsia" w:hAnsiTheme="minorEastAsia" w:eastAsiaTheme="minorEastAsia"/>
          <w:sz w:val="32"/>
          <w:szCs w:val="32"/>
          <w:lang w:val="en-US" w:eastAsia="zh-CN"/>
        </w:rPr>
        <w:t>186.73</w:t>
      </w:r>
      <w:r>
        <w:rPr>
          <w:rFonts w:hint="eastAsia" w:asciiTheme="minorEastAsia" w:hAnsiTheme="minorEastAsia" w:eastAsiaTheme="minorEastAsia"/>
          <w:sz w:val="32"/>
          <w:szCs w:val="32"/>
        </w:rPr>
        <w:t>万元，与上年相比，减少</w:t>
      </w:r>
      <w:r>
        <w:rPr>
          <w:rFonts w:hint="eastAsia" w:asciiTheme="minorEastAsia" w:hAnsiTheme="minorEastAsia" w:eastAsiaTheme="minorEastAsia"/>
          <w:sz w:val="32"/>
          <w:szCs w:val="32"/>
          <w:lang w:val="en-US" w:eastAsia="zh-CN"/>
        </w:rPr>
        <w:t>200.27</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51.75</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松材线虫病防治及林区道路建设专项资金的减少。</w:t>
      </w:r>
    </w:p>
    <w:p>
      <w:pPr>
        <w:pStyle w:val="10"/>
        <w:rPr>
          <w:rFonts w:hAnsi="黑体"/>
          <w:b/>
          <w:sz w:val="32"/>
          <w:szCs w:val="32"/>
        </w:rPr>
      </w:pPr>
      <w:r>
        <w:rPr>
          <w:rFonts w:hint="eastAsia" w:hAnsi="黑体"/>
          <w:b/>
          <w:sz w:val="32"/>
          <w:szCs w:val="32"/>
        </w:rPr>
        <w:t>五、一般公共预算财政拨款支出决算情况说明</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0"/>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2021年度财政拨款支出</w:t>
      </w:r>
      <w:r>
        <w:rPr>
          <w:rFonts w:hint="eastAsia" w:asciiTheme="minorEastAsia" w:hAnsiTheme="minorEastAsia" w:eastAsiaTheme="minorEastAsia"/>
          <w:sz w:val="32"/>
          <w:szCs w:val="32"/>
          <w:lang w:val="en-US" w:eastAsia="zh-CN"/>
        </w:rPr>
        <w:t>186.73</w:t>
      </w:r>
      <w:r>
        <w:rPr>
          <w:rFonts w:hint="eastAsia" w:asciiTheme="minorEastAsia" w:hAnsiTheme="minorEastAsia" w:eastAsiaTheme="minorEastAsia"/>
          <w:sz w:val="32"/>
          <w:szCs w:val="32"/>
        </w:rPr>
        <w:t>万元，占本年支出合计的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%，与上年相比，财政拨款支出减少</w:t>
      </w:r>
      <w:r>
        <w:rPr>
          <w:rFonts w:hint="eastAsia" w:asciiTheme="minorEastAsia" w:hAnsiTheme="minorEastAsia" w:eastAsiaTheme="minorEastAsia"/>
          <w:sz w:val="32"/>
          <w:szCs w:val="32"/>
          <w:lang w:val="en-US" w:eastAsia="zh-CN"/>
        </w:rPr>
        <w:t>103.6</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35.68</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松材线虫病防治专项支出的减少。</w:t>
      </w:r>
    </w:p>
    <w:p>
      <w:pPr>
        <w:pStyle w:val="10"/>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2021年度财政拨款支出</w:t>
      </w:r>
      <w:r>
        <w:rPr>
          <w:rFonts w:hint="eastAsia" w:asciiTheme="minorEastAsia" w:hAnsiTheme="minorEastAsia" w:eastAsiaTheme="minorEastAsia"/>
          <w:sz w:val="32"/>
          <w:szCs w:val="32"/>
          <w:lang w:val="en-US" w:eastAsia="zh-CN"/>
        </w:rPr>
        <w:t>186.73</w:t>
      </w:r>
      <w:r>
        <w:rPr>
          <w:rFonts w:hint="eastAsia" w:asciiTheme="minorEastAsia" w:hAnsiTheme="minorEastAsia" w:eastAsiaTheme="minorEastAsia"/>
          <w:sz w:val="32"/>
          <w:szCs w:val="32"/>
        </w:rPr>
        <w:t>万元，主要用于以下方面：</w:t>
      </w:r>
      <w:r>
        <w:rPr>
          <w:rFonts w:hint="eastAsia" w:ascii="宋体" w:hAnsi="宋体" w:eastAsia="宋体"/>
          <w:sz w:val="32"/>
          <w:szCs w:val="32"/>
          <w:lang w:eastAsia="zh-CN"/>
        </w:rPr>
        <w:t>社会保障和就业</w:t>
      </w:r>
      <w:r>
        <w:rPr>
          <w:rFonts w:hint="eastAsia" w:ascii="宋体" w:hAnsi="宋体" w:eastAsia="宋体"/>
          <w:sz w:val="32"/>
          <w:szCs w:val="32"/>
        </w:rPr>
        <w:t>（类）支出</w:t>
      </w:r>
      <w:r>
        <w:rPr>
          <w:rFonts w:hint="eastAsia" w:ascii="宋体" w:hAnsi="宋体" w:eastAsia="宋体"/>
          <w:sz w:val="32"/>
          <w:szCs w:val="32"/>
          <w:lang w:val="en-US" w:eastAsia="zh-CN"/>
        </w:rPr>
        <w:t>16.21</w:t>
      </w:r>
      <w:r>
        <w:rPr>
          <w:rFonts w:hint="eastAsia" w:ascii="宋体" w:hAnsi="宋体" w:eastAsia="宋体"/>
          <w:sz w:val="32"/>
          <w:szCs w:val="32"/>
        </w:rPr>
        <w:t>万元，占</w:t>
      </w:r>
      <w:r>
        <w:rPr>
          <w:rFonts w:hint="eastAsia" w:ascii="宋体" w:hAnsi="宋体" w:eastAsia="宋体"/>
          <w:sz w:val="32"/>
          <w:szCs w:val="32"/>
          <w:lang w:val="en-US" w:eastAsia="zh-CN"/>
        </w:rPr>
        <w:t>8.68</w:t>
      </w:r>
      <w:r>
        <w:rPr>
          <w:rFonts w:hint="eastAsia" w:ascii="宋体" w:hAnsi="宋体" w:eastAsia="宋体"/>
          <w:sz w:val="32"/>
          <w:szCs w:val="32"/>
        </w:rPr>
        <w:t>%；</w:t>
      </w:r>
      <w:r>
        <w:rPr>
          <w:rFonts w:hint="eastAsia" w:ascii="宋体" w:hAnsi="宋体" w:eastAsia="宋体"/>
          <w:sz w:val="32"/>
          <w:szCs w:val="32"/>
          <w:lang w:eastAsia="zh-CN"/>
        </w:rPr>
        <w:t>卫生健康</w:t>
      </w:r>
      <w:r>
        <w:rPr>
          <w:rFonts w:hint="eastAsia" w:ascii="宋体" w:hAnsi="宋体" w:eastAsia="宋体"/>
          <w:sz w:val="32"/>
          <w:szCs w:val="32"/>
        </w:rPr>
        <w:t>（类）支出</w:t>
      </w:r>
      <w:r>
        <w:rPr>
          <w:rFonts w:hint="eastAsia" w:ascii="宋体" w:hAnsi="宋体" w:eastAsia="宋体"/>
          <w:sz w:val="32"/>
          <w:szCs w:val="32"/>
          <w:lang w:val="en-US" w:eastAsia="zh-CN"/>
        </w:rPr>
        <w:t>5.91</w:t>
      </w:r>
      <w:r>
        <w:rPr>
          <w:rFonts w:hint="eastAsia" w:ascii="宋体" w:hAnsi="宋体" w:eastAsia="宋体"/>
          <w:sz w:val="32"/>
          <w:szCs w:val="32"/>
        </w:rPr>
        <w:t>万元，占</w:t>
      </w:r>
      <w:r>
        <w:rPr>
          <w:rFonts w:hint="eastAsia" w:ascii="宋体" w:hAnsi="宋体" w:eastAsia="宋体"/>
          <w:sz w:val="32"/>
          <w:szCs w:val="32"/>
          <w:lang w:val="en-US" w:eastAsia="zh-CN"/>
        </w:rPr>
        <w:t>3.16</w:t>
      </w:r>
      <w:r>
        <w:rPr>
          <w:rFonts w:hint="eastAsia" w:ascii="宋体" w:hAnsi="宋体" w:eastAsia="宋体"/>
          <w:sz w:val="32"/>
          <w:szCs w:val="32"/>
        </w:rPr>
        <w:t>%;</w:t>
      </w:r>
      <w:r>
        <w:rPr>
          <w:rFonts w:hint="eastAsia" w:ascii="宋体" w:hAnsi="宋体" w:eastAsia="宋体"/>
          <w:sz w:val="32"/>
          <w:szCs w:val="32"/>
          <w:lang w:eastAsia="zh-CN"/>
        </w:rPr>
        <w:t>城乡社区支出</w:t>
      </w:r>
      <w:r>
        <w:rPr>
          <w:rFonts w:hint="eastAsia" w:ascii="宋体" w:hAnsi="宋体" w:eastAsia="宋体"/>
          <w:sz w:val="32"/>
          <w:szCs w:val="32"/>
          <w:lang w:val="en-US" w:eastAsia="zh-CN"/>
        </w:rPr>
        <w:t>12.65万元，占比6.77%；</w:t>
      </w:r>
      <w:r>
        <w:rPr>
          <w:rFonts w:hint="eastAsia" w:ascii="宋体" w:hAnsi="宋体" w:eastAsia="宋体"/>
          <w:sz w:val="32"/>
          <w:szCs w:val="32"/>
          <w:lang w:eastAsia="zh-CN"/>
        </w:rPr>
        <w:t>农林水（类）支出</w:t>
      </w:r>
      <w:r>
        <w:rPr>
          <w:rFonts w:hint="eastAsia" w:ascii="宋体" w:hAnsi="宋体" w:eastAsia="宋体"/>
          <w:sz w:val="32"/>
          <w:szCs w:val="32"/>
          <w:lang w:val="en-US" w:eastAsia="zh-CN"/>
        </w:rPr>
        <w:t>140.75万元，占比75.38%；住房保障（类）支出11.21万元，占比6.01%。</w:t>
      </w:r>
    </w:p>
    <w:p>
      <w:pPr>
        <w:pStyle w:val="10"/>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2021年度财政拨款支出年初预算数为</w:t>
      </w:r>
      <w:r>
        <w:rPr>
          <w:rFonts w:hint="eastAsia" w:asciiTheme="minorEastAsia" w:hAnsiTheme="minorEastAsia" w:eastAsiaTheme="minorEastAsia"/>
          <w:sz w:val="32"/>
          <w:szCs w:val="32"/>
          <w:lang w:val="en-US" w:eastAsia="zh-CN"/>
        </w:rPr>
        <w:t>210.08</w:t>
      </w:r>
      <w:r>
        <w:rPr>
          <w:rFonts w:hint="eastAsia" w:asciiTheme="minorEastAsia" w:hAnsiTheme="minorEastAsia" w:eastAsiaTheme="minorEastAsia"/>
          <w:sz w:val="32"/>
          <w:szCs w:val="32"/>
        </w:rPr>
        <w:t>万元，支出决算数为</w:t>
      </w:r>
      <w:r>
        <w:rPr>
          <w:rFonts w:hint="eastAsia" w:asciiTheme="minorEastAsia" w:hAnsiTheme="minorEastAsia" w:eastAsiaTheme="minorEastAsia"/>
          <w:sz w:val="32"/>
          <w:szCs w:val="32"/>
          <w:lang w:val="en-US" w:eastAsia="zh-CN"/>
        </w:rPr>
        <w:t>186.73</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88.89</w:t>
      </w:r>
      <w:r>
        <w:rPr>
          <w:rFonts w:hint="eastAsia" w:asciiTheme="minorEastAsia" w:hAnsiTheme="minorEastAsia" w:eastAsiaTheme="minorEastAsia"/>
          <w:sz w:val="32"/>
          <w:szCs w:val="32"/>
        </w:rPr>
        <w:t>%，其中：</w:t>
      </w:r>
    </w:p>
    <w:p>
      <w:pPr>
        <w:pStyle w:val="10"/>
        <w:numPr>
          <w:ilvl w:val="0"/>
          <w:numId w:val="2"/>
        </w:numPr>
        <w:ind w:firstLine="800" w:firstLineChars="250"/>
        <w:rPr>
          <w:rFonts w:hint="eastAsia" w:ascii="宋体" w:hAnsi="宋体" w:eastAsia="宋体"/>
          <w:color w:val="000000" w:themeColor="text1"/>
          <w:sz w:val="32"/>
          <w:szCs w:val="32"/>
          <w14:textFill>
            <w14:solidFill>
              <w14:schemeClr w14:val="tx1"/>
            </w14:solidFill>
          </w14:textFill>
        </w:rPr>
      </w:pPr>
      <w:r>
        <w:rPr>
          <w:rFonts w:hint="eastAsia" w:ascii="宋体" w:hAnsi="宋体" w:eastAsia="宋体"/>
          <w:color w:val="000000" w:themeColor="text1"/>
          <w:sz w:val="32"/>
          <w:szCs w:val="32"/>
          <w:lang w:eastAsia="zh-CN"/>
          <w14:textFill>
            <w14:solidFill>
              <w14:schemeClr w14:val="tx1"/>
            </w14:solidFill>
          </w14:textFill>
        </w:rPr>
        <w:t>社会保障和就业</w:t>
      </w:r>
      <w:r>
        <w:rPr>
          <w:rFonts w:hint="eastAsia" w:ascii="宋体" w:hAnsi="宋体" w:eastAsia="宋体"/>
          <w:color w:val="000000" w:themeColor="text1"/>
          <w:sz w:val="32"/>
          <w:szCs w:val="32"/>
          <w14:textFill>
            <w14:solidFill>
              <w14:schemeClr w14:val="tx1"/>
            </w14:solidFill>
          </w14:textFill>
        </w:rPr>
        <w:t>（类）</w:t>
      </w:r>
      <w:r>
        <w:rPr>
          <w:rFonts w:hint="eastAsia" w:ascii="宋体" w:hAnsi="宋体" w:eastAsia="宋体"/>
          <w:color w:val="000000" w:themeColor="text1"/>
          <w:sz w:val="32"/>
          <w:szCs w:val="32"/>
          <w:lang w:eastAsia="zh-CN"/>
          <w14:textFill>
            <w14:solidFill>
              <w14:schemeClr w14:val="tx1"/>
            </w14:solidFill>
          </w14:textFill>
        </w:rPr>
        <w:t>事业单位离退休支出</w:t>
      </w:r>
      <w:r>
        <w:rPr>
          <w:rFonts w:hint="eastAsia" w:ascii="宋体" w:hAnsi="宋体" w:eastAsia="宋体"/>
          <w:color w:val="000000" w:themeColor="text1"/>
          <w:sz w:val="32"/>
          <w:szCs w:val="32"/>
          <w14:textFill>
            <w14:solidFill>
              <w14:schemeClr w14:val="tx1"/>
            </w14:solidFill>
          </w14:textFill>
        </w:rPr>
        <w:t>。</w:t>
      </w:r>
    </w:p>
    <w:p>
      <w:pPr>
        <w:pStyle w:val="10"/>
        <w:keepNext w:val="0"/>
        <w:keepLines w:val="0"/>
        <w:pageBreakBefore w:val="0"/>
        <w:widowControl w:val="0"/>
        <w:numPr>
          <w:numId w:val="0"/>
        </w:numPr>
        <w:kinsoku/>
        <w:wordWrap/>
        <w:overflowPunct/>
        <w:topLinePunct w:val="0"/>
        <w:autoSpaceDE w:val="0"/>
        <w:autoSpaceDN w:val="0"/>
        <w:bidi w:val="0"/>
        <w:adjustRightInd w:val="0"/>
        <w:snapToGrid/>
        <w:spacing w:line="240" w:lineRule="auto"/>
        <w:ind w:firstLine="640" w:firstLineChars="200"/>
        <w:textAlignment w:val="auto"/>
        <w:rPr>
          <w:rFonts w:hint="default" w:ascii="宋体" w:hAnsi="宋体" w:eastAsia="宋体"/>
          <w:color w:val="000000" w:themeColor="text1"/>
          <w:sz w:val="32"/>
          <w:szCs w:val="32"/>
          <w:lang w:val="en-US" w:eastAsia="zh-CN"/>
          <w14:textFill>
            <w14:solidFill>
              <w14:schemeClr w14:val="tx1"/>
            </w14:solidFill>
          </w14:textFill>
        </w:rPr>
      </w:pPr>
      <w:r>
        <w:rPr>
          <w:rFonts w:hint="eastAsia" w:ascii="宋体" w:hAnsi="宋体" w:eastAsia="宋体"/>
          <w:color w:val="000000" w:themeColor="text1"/>
          <w:sz w:val="32"/>
          <w:szCs w:val="32"/>
          <w:lang w:val="en-US" w:eastAsia="zh-CN"/>
          <w14:textFill>
            <w14:solidFill>
              <w14:schemeClr w14:val="tx1"/>
            </w14:solidFill>
          </w14:textFill>
        </w:rPr>
        <w:t>年初预算为2.65万元，支出决算为0.65万元，完成年初预算的24.53%，决算数小于年初预算数的主要原因是：该指标为年底追加指标，单位离退休支出未在此指标中列支。</w:t>
      </w:r>
    </w:p>
    <w:p>
      <w:pPr>
        <w:pStyle w:val="10"/>
        <w:ind w:firstLine="800" w:firstLineChars="250"/>
        <w:rPr>
          <w:rFonts w:ascii="宋体" w:hAnsi="宋体" w:eastAsia="宋体"/>
          <w:color w:val="000000" w:themeColor="text1"/>
          <w:sz w:val="32"/>
          <w:szCs w:val="32"/>
          <w14:textFill>
            <w14:solidFill>
              <w14:schemeClr w14:val="tx1"/>
            </w14:solidFill>
          </w14:textFill>
        </w:rPr>
      </w:pPr>
      <w:r>
        <w:rPr>
          <w:rFonts w:hint="eastAsia" w:ascii="宋体" w:hAnsi="宋体" w:eastAsia="宋体"/>
          <w:color w:val="000000" w:themeColor="text1"/>
          <w:sz w:val="32"/>
          <w:szCs w:val="32"/>
          <w:lang w:val="en-US" w:eastAsia="zh-CN"/>
          <w14:textFill>
            <w14:solidFill>
              <w14:schemeClr w14:val="tx1"/>
            </w14:solidFill>
          </w14:textFill>
        </w:rPr>
        <w:t>2</w:t>
      </w:r>
      <w:r>
        <w:rPr>
          <w:rFonts w:hint="eastAsia" w:ascii="宋体" w:hAnsi="宋体" w:eastAsia="宋体"/>
          <w:color w:val="000000" w:themeColor="text1"/>
          <w:sz w:val="32"/>
          <w:szCs w:val="32"/>
          <w14:textFill>
            <w14:solidFill>
              <w14:schemeClr w14:val="tx1"/>
            </w14:solidFill>
          </w14:textFill>
        </w:rPr>
        <w:t>、</w:t>
      </w:r>
      <w:r>
        <w:rPr>
          <w:rFonts w:hint="eastAsia" w:ascii="宋体" w:hAnsi="宋体" w:eastAsia="宋体"/>
          <w:color w:val="000000" w:themeColor="text1"/>
          <w:sz w:val="32"/>
          <w:szCs w:val="32"/>
          <w:lang w:eastAsia="zh-CN"/>
          <w14:textFill>
            <w14:solidFill>
              <w14:schemeClr w14:val="tx1"/>
            </w14:solidFill>
          </w14:textFill>
        </w:rPr>
        <w:t>社会保障和就业</w:t>
      </w:r>
      <w:r>
        <w:rPr>
          <w:rFonts w:hint="eastAsia" w:ascii="宋体" w:hAnsi="宋体" w:eastAsia="宋体"/>
          <w:color w:val="000000" w:themeColor="text1"/>
          <w:sz w:val="32"/>
          <w:szCs w:val="32"/>
          <w14:textFill>
            <w14:solidFill>
              <w14:schemeClr w14:val="tx1"/>
            </w14:solidFill>
          </w14:textFill>
        </w:rPr>
        <w:t>（类）</w:t>
      </w:r>
      <w:r>
        <w:rPr>
          <w:rFonts w:hint="eastAsia" w:ascii="宋体" w:hAnsi="宋体" w:eastAsia="宋体"/>
          <w:color w:val="000000" w:themeColor="text1"/>
          <w:sz w:val="32"/>
          <w:szCs w:val="32"/>
          <w:lang w:eastAsia="zh-CN"/>
          <w14:textFill>
            <w14:solidFill>
              <w14:schemeClr w14:val="tx1"/>
            </w14:solidFill>
          </w14:textFill>
        </w:rPr>
        <w:t>机关事业单位基本养老保险缴费支出</w:t>
      </w:r>
      <w:r>
        <w:rPr>
          <w:rFonts w:hint="eastAsia" w:ascii="宋体" w:hAnsi="宋体" w:eastAsia="宋体"/>
          <w:color w:val="000000" w:themeColor="text1"/>
          <w:sz w:val="32"/>
          <w:szCs w:val="32"/>
          <w14:textFill>
            <w14:solidFill>
              <w14:schemeClr w14:val="tx1"/>
            </w14:solidFill>
          </w14:textFill>
        </w:rPr>
        <w:t>。</w:t>
      </w:r>
    </w:p>
    <w:p>
      <w:pPr>
        <w:pStyle w:val="10"/>
        <w:ind w:firstLine="800" w:firstLineChars="250"/>
        <w:rPr>
          <w:rFonts w:hint="eastAsia" w:ascii="宋体" w:hAnsi="宋体" w:eastAsia="宋体"/>
          <w:sz w:val="32"/>
          <w:szCs w:val="32"/>
          <w:lang w:val="en-US" w:eastAsia="zh-CN"/>
        </w:rPr>
      </w:pPr>
      <w:r>
        <w:rPr>
          <w:rFonts w:hint="eastAsia" w:ascii="宋体" w:hAnsi="宋体" w:eastAsia="宋体"/>
          <w:sz w:val="32"/>
          <w:szCs w:val="32"/>
        </w:rPr>
        <w:t>年初预算为</w:t>
      </w:r>
      <w:r>
        <w:rPr>
          <w:rFonts w:hint="eastAsia" w:ascii="宋体" w:hAnsi="宋体" w:eastAsia="宋体"/>
          <w:sz w:val="32"/>
          <w:szCs w:val="32"/>
          <w:lang w:val="en-US" w:eastAsia="zh-CN"/>
        </w:rPr>
        <w:t>11.12</w:t>
      </w:r>
      <w:r>
        <w:rPr>
          <w:rFonts w:hint="eastAsia" w:ascii="宋体" w:hAnsi="宋体" w:eastAsia="宋体"/>
          <w:sz w:val="32"/>
          <w:szCs w:val="32"/>
        </w:rPr>
        <w:t>万元，支出决算为</w:t>
      </w:r>
      <w:r>
        <w:rPr>
          <w:rFonts w:hint="eastAsia" w:ascii="宋体" w:hAnsi="宋体" w:eastAsia="宋体"/>
          <w:sz w:val="32"/>
          <w:szCs w:val="32"/>
          <w:lang w:val="en-US" w:eastAsia="zh-CN"/>
        </w:rPr>
        <w:t>11.12</w:t>
      </w:r>
      <w:r>
        <w:rPr>
          <w:rFonts w:hint="eastAsia" w:ascii="宋体" w:hAnsi="宋体" w:eastAsia="宋体"/>
          <w:sz w:val="32"/>
          <w:szCs w:val="32"/>
        </w:rPr>
        <w:t>万元，完成年初预算的</w:t>
      </w:r>
      <w:r>
        <w:rPr>
          <w:rFonts w:hint="eastAsia" w:ascii="宋体" w:hAnsi="宋体" w:eastAsia="宋体"/>
          <w:sz w:val="32"/>
          <w:szCs w:val="32"/>
          <w:lang w:val="en-US" w:eastAsia="zh-CN"/>
        </w:rPr>
        <w:t>100</w:t>
      </w:r>
      <w:r>
        <w:rPr>
          <w:rFonts w:hint="eastAsia" w:ascii="宋体" w:hAnsi="宋体" w:eastAsia="宋体"/>
          <w:sz w:val="32"/>
          <w:szCs w:val="32"/>
        </w:rPr>
        <w:t>%，决算数</w:t>
      </w:r>
      <w:r>
        <w:rPr>
          <w:rFonts w:hint="eastAsia" w:ascii="宋体" w:hAnsi="宋体" w:eastAsia="宋体"/>
          <w:sz w:val="32"/>
          <w:szCs w:val="32"/>
          <w:lang w:eastAsia="zh-CN"/>
        </w:rPr>
        <w:t>等于</w:t>
      </w:r>
      <w:r>
        <w:rPr>
          <w:rFonts w:hint="eastAsia" w:ascii="宋体" w:hAnsi="宋体" w:eastAsia="宋体"/>
          <w:sz w:val="32"/>
          <w:szCs w:val="32"/>
        </w:rPr>
        <w:t>年初预算数</w:t>
      </w:r>
      <w:r>
        <w:rPr>
          <w:rFonts w:hint="eastAsia" w:ascii="宋体" w:hAnsi="宋体" w:eastAsia="宋体"/>
          <w:sz w:val="32"/>
          <w:szCs w:val="32"/>
          <w:lang w:val="en-US" w:eastAsia="zh-CN"/>
        </w:rPr>
        <w:t>。</w:t>
      </w:r>
    </w:p>
    <w:p>
      <w:pPr>
        <w:pStyle w:val="10"/>
        <w:ind w:firstLine="800" w:firstLineChars="250"/>
        <w:rPr>
          <w:rFonts w:hint="eastAsia" w:ascii="宋体" w:hAnsi="宋体" w:eastAsia="宋体"/>
          <w:sz w:val="32"/>
          <w:szCs w:val="32"/>
          <w:lang w:val="en-US" w:eastAsia="zh-CN"/>
        </w:rPr>
      </w:pPr>
      <w:r>
        <w:rPr>
          <w:rFonts w:hint="eastAsia" w:ascii="宋体" w:hAnsi="宋体" w:eastAsia="宋体"/>
          <w:sz w:val="32"/>
          <w:szCs w:val="32"/>
          <w:lang w:val="en-US" w:eastAsia="zh-CN"/>
        </w:rPr>
        <w:t>3、</w:t>
      </w:r>
      <w:r>
        <w:rPr>
          <w:rFonts w:hint="eastAsia" w:ascii="宋体" w:hAnsi="宋体" w:eastAsia="宋体"/>
          <w:color w:val="000000" w:themeColor="text1"/>
          <w:sz w:val="32"/>
          <w:szCs w:val="32"/>
          <w:lang w:eastAsia="zh-CN"/>
          <w14:textFill>
            <w14:solidFill>
              <w14:schemeClr w14:val="tx1"/>
            </w14:solidFill>
          </w14:textFill>
        </w:rPr>
        <w:t>社会保障和就业</w:t>
      </w:r>
      <w:r>
        <w:rPr>
          <w:rFonts w:hint="eastAsia" w:ascii="宋体" w:hAnsi="宋体" w:eastAsia="宋体"/>
          <w:color w:val="000000" w:themeColor="text1"/>
          <w:sz w:val="32"/>
          <w:szCs w:val="32"/>
          <w14:textFill>
            <w14:solidFill>
              <w14:schemeClr w14:val="tx1"/>
            </w14:solidFill>
          </w14:textFill>
        </w:rPr>
        <w:t>（类）</w:t>
      </w:r>
      <w:r>
        <w:rPr>
          <w:rFonts w:hint="eastAsia" w:ascii="宋体" w:hAnsi="宋体" w:eastAsia="宋体"/>
          <w:color w:val="000000" w:themeColor="text1"/>
          <w:sz w:val="32"/>
          <w:szCs w:val="32"/>
          <w:lang w:eastAsia="zh-CN"/>
          <w14:textFill>
            <w14:solidFill>
              <w14:schemeClr w14:val="tx1"/>
            </w14:solidFill>
          </w14:textFill>
        </w:rPr>
        <w:t>其他社会保障和就业支出。</w:t>
      </w:r>
    </w:p>
    <w:p>
      <w:pPr>
        <w:pStyle w:val="10"/>
        <w:ind w:firstLine="800" w:firstLineChars="250"/>
        <w:rPr>
          <w:rFonts w:hint="default" w:ascii="宋体" w:hAnsi="宋体" w:eastAsia="宋体"/>
          <w:sz w:val="32"/>
          <w:szCs w:val="32"/>
          <w:lang w:val="en-US" w:eastAsia="zh-CN"/>
        </w:rPr>
      </w:pPr>
      <w:r>
        <w:rPr>
          <w:rFonts w:hint="eastAsia" w:ascii="宋体" w:hAnsi="宋体" w:eastAsia="宋体"/>
          <w:color w:val="000000" w:themeColor="text1"/>
          <w:sz w:val="32"/>
          <w:szCs w:val="32"/>
          <w:lang w:val="en-US" w:eastAsia="zh-CN"/>
          <w14:textFill>
            <w14:solidFill>
              <w14:schemeClr w14:val="tx1"/>
            </w14:solidFill>
          </w14:textFill>
        </w:rPr>
        <w:t>年初预算为4.14万元，支出决算为4.44万元，完成年初预算的107.25%，决算数大于年初预算数的主要原因是：生活补贴标准的提高。</w:t>
      </w:r>
    </w:p>
    <w:p>
      <w:pPr>
        <w:pStyle w:val="10"/>
        <w:ind w:firstLine="800" w:firstLineChars="250"/>
        <w:rPr>
          <w:rFonts w:ascii="宋体" w:hAnsi="宋体" w:eastAsia="宋体"/>
          <w:sz w:val="32"/>
          <w:szCs w:val="32"/>
        </w:rPr>
      </w:pPr>
      <w:r>
        <w:rPr>
          <w:rFonts w:hint="eastAsia" w:ascii="宋体" w:hAnsi="宋体" w:eastAsia="宋体"/>
          <w:sz w:val="32"/>
          <w:szCs w:val="32"/>
          <w:lang w:val="en-US" w:eastAsia="zh-CN"/>
        </w:rPr>
        <w:t>4</w:t>
      </w:r>
      <w:r>
        <w:rPr>
          <w:rFonts w:hint="eastAsia" w:ascii="宋体" w:hAnsi="宋体" w:eastAsia="宋体"/>
          <w:sz w:val="32"/>
          <w:szCs w:val="32"/>
        </w:rPr>
        <w:t>、</w:t>
      </w:r>
      <w:r>
        <w:rPr>
          <w:rFonts w:hint="eastAsia" w:ascii="宋体" w:hAnsi="宋体" w:eastAsia="宋体"/>
          <w:sz w:val="32"/>
          <w:szCs w:val="32"/>
          <w:lang w:eastAsia="zh-CN"/>
        </w:rPr>
        <w:t>卫生健康</w:t>
      </w:r>
      <w:r>
        <w:rPr>
          <w:rFonts w:hint="eastAsia" w:ascii="宋体" w:hAnsi="宋体" w:eastAsia="宋体"/>
          <w:sz w:val="32"/>
          <w:szCs w:val="32"/>
        </w:rPr>
        <w:t>（类）</w:t>
      </w:r>
      <w:r>
        <w:rPr>
          <w:rFonts w:hint="eastAsia" w:ascii="宋体" w:hAnsi="宋体" w:eastAsia="宋体"/>
          <w:sz w:val="32"/>
          <w:szCs w:val="32"/>
          <w:lang w:eastAsia="zh-CN"/>
        </w:rPr>
        <w:t>事业单位医疗支出</w:t>
      </w:r>
      <w:r>
        <w:rPr>
          <w:rFonts w:hint="eastAsia" w:ascii="宋体" w:hAnsi="宋体" w:eastAsia="宋体"/>
          <w:sz w:val="32"/>
          <w:szCs w:val="32"/>
        </w:rPr>
        <w:t>。</w:t>
      </w:r>
    </w:p>
    <w:p>
      <w:pPr>
        <w:pStyle w:val="10"/>
        <w:ind w:firstLine="800" w:firstLineChars="250"/>
        <w:rPr>
          <w:rFonts w:hint="eastAsia" w:ascii="宋体" w:hAnsi="宋体" w:eastAsia="宋体"/>
          <w:sz w:val="32"/>
          <w:szCs w:val="32"/>
          <w:lang w:val="en-US" w:eastAsia="zh-CN"/>
        </w:rPr>
      </w:pPr>
      <w:r>
        <w:rPr>
          <w:rFonts w:hint="eastAsia" w:ascii="宋体" w:hAnsi="宋体" w:eastAsia="宋体"/>
          <w:sz w:val="32"/>
          <w:szCs w:val="32"/>
        </w:rPr>
        <w:t>年初预算为</w:t>
      </w:r>
      <w:r>
        <w:rPr>
          <w:rFonts w:hint="eastAsia" w:ascii="宋体" w:hAnsi="宋体" w:eastAsia="宋体"/>
          <w:sz w:val="32"/>
          <w:szCs w:val="32"/>
          <w:lang w:val="en-US" w:eastAsia="zh-CN"/>
        </w:rPr>
        <w:t>5.91</w:t>
      </w:r>
      <w:r>
        <w:rPr>
          <w:rFonts w:hint="eastAsia" w:ascii="宋体" w:hAnsi="宋体" w:eastAsia="宋体"/>
          <w:sz w:val="32"/>
          <w:szCs w:val="32"/>
        </w:rPr>
        <w:t>万元，支出决算为</w:t>
      </w:r>
      <w:r>
        <w:rPr>
          <w:rFonts w:hint="eastAsia" w:ascii="宋体" w:hAnsi="宋体" w:eastAsia="宋体"/>
          <w:sz w:val="32"/>
          <w:szCs w:val="32"/>
          <w:lang w:val="en-US" w:eastAsia="zh-CN"/>
        </w:rPr>
        <w:t>5.91</w:t>
      </w:r>
      <w:r>
        <w:rPr>
          <w:rFonts w:hint="eastAsia" w:ascii="宋体" w:hAnsi="宋体" w:eastAsia="宋体"/>
          <w:sz w:val="32"/>
          <w:szCs w:val="32"/>
        </w:rPr>
        <w:t>万元，完成年初预算的</w:t>
      </w:r>
      <w:r>
        <w:rPr>
          <w:rFonts w:hint="eastAsia" w:ascii="宋体" w:hAnsi="宋体" w:eastAsia="宋体"/>
          <w:sz w:val="32"/>
          <w:szCs w:val="32"/>
          <w:lang w:val="en-US" w:eastAsia="zh-CN"/>
        </w:rPr>
        <w:t>100</w:t>
      </w:r>
      <w:r>
        <w:rPr>
          <w:rFonts w:hint="eastAsia" w:ascii="宋体" w:hAnsi="宋体" w:eastAsia="宋体"/>
          <w:sz w:val="32"/>
          <w:szCs w:val="32"/>
        </w:rPr>
        <w:t>%，决算数</w:t>
      </w:r>
      <w:r>
        <w:rPr>
          <w:rFonts w:hint="eastAsia" w:ascii="宋体" w:hAnsi="宋体" w:eastAsia="宋体"/>
          <w:sz w:val="32"/>
          <w:szCs w:val="32"/>
          <w:lang w:eastAsia="zh-CN"/>
        </w:rPr>
        <w:t>等</w:t>
      </w:r>
      <w:r>
        <w:rPr>
          <w:rFonts w:hint="eastAsia" w:ascii="宋体" w:hAnsi="宋体" w:eastAsia="宋体"/>
          <w:sz w:val="32"/>
          <w:szCs w:val="32"/>
        </w:rPr>
        <w:t>于年初预算数</w:t>
      </w:r>
      <w:r>
        <w:rPr>
          <w:rFonts w:hint="eastAsia" w:ascii="宋体" w:hAnsi="宋体" w:eastAsia="宋体"/>
          <w:sz w:val="32"/>
          <w:szCs w:val="32"/>
          <w:lang w:val="en-US" w:eastAsia="zh-CN"/>
        </w:rPr>
        <w:t>。</w:t>
      </w:r>
    </w:p>
    <w:p>
      <w:pPr>
        <w:pStyle w:val="10"/>
        <w:ind w:firstLine="800" w:firstLineChars="250"/>
        <w:rPr>
          <w:rFonts w:hint="eastAsia" w:ascii="宋体" w:hAnsi="宋体" w:eastAsia="宋体"/>
          <w:sz w:val="32"/>
          <w:szCs w:val="32"/>
          <w:lang w:val="en-US" w:eastAsia="zh-CN"/>
        </w:rPr>
      </w:pPr>
      <w:r>
        <w:rPr>
          <w:rFonts w:hint="eastAsia" w:ascii="宋体" w:hAnsi="宋体" w:eastAsia="宋体"/>
          <w:sz w:val="32"/>
          <w:szCs w:val="32"/>
          <w:lang w:val="en-US" w:eastAsia="zh-CN"/>
        </w:rPr>
        <w:t>5、城乡社区（类）其他城乡社区公共设施支出</w:t>
      </w:r>
    </w:p>
    <w:p>
      <w:pPr>
        <w:pStyle w:val="10"/>
        <w:numPr>
          <w:ilvl w:val="0"/>
          <w:numId w:val="0"/>
        </w:numPr>
        <w:rPr>
          <w:rFonts w:hint="eastAsia" w:ascii="宋体" w:hAnsi="宋体" w:eastAsia="宋体"/>
          <w:sz w:val="32"/>
          <w:szCs w:val="32"/>
          <w:lang w:val="en-US" w:eastAsia="zh-CN"/>
        </w:rPr>
      </w:pPr>
      <w:r>
        <w:rPr>
          <w:rFonts w:hint="eastAsia" w:ascii="宋体" w:hAnsi="宋体" w:eastAsia="宋体"/>
          <w:sz w:val="32"/>
          <w:szCs w:val="32"/>
          <w:lang w:val="en-US" w:eastAsia="zh-CN"/>
        </w:rPr>
        <w:t xml:space="preserve">     </w:t>
      </w:r>
      <w:r>
        <w:rPr>
          <w:rFonts w:hint="eastAsia" w:ascii="宋体" w:hAnsi="宋体" w:eastAsia="宋体"/>
          <w:color w:val="000000" w:themeColor="text1"/>
          <w:sz w:val="32"/>
          <w:szCs w:val="32"/>
          <w:lang w:val="en-US" w:eastAsia="zh-CN"/>
          <w14:textFill>
            <w14:solidFill>
              <w14:schemeClr w14:val="tx1"/>
            </w14:solidFill>
          </w14:textFill>
        </w:rPr>
        <w:t>年初预算为20万元，支出决算为12.65万元，完成年初预算的63.25%，决算数小于年初预算数的主要原因是：电路及灯光维修费用为年结，2021年底尚未结算，2022年1月才结算。</w:t>
      </w:r>
      <w:r>
        <w:rPr>
          <w:rFonts w:hint="eastAsia" w:ascii="宋体" w:hAnsi="宋体" w:eastAsia="宋体"/>
          <w:sz w:val="32"/>
          <w:szCs w:val="32"/>
          <w:lang w:val="en-US" w:eastAsia="zh-CN"/>
        </w:rPr>
        <w:t xml:space="preserve">  </w:t>
      </w:r>
    </w:p>
    <w:p>
      <w:pPr>
        <w:pStyle w:val="10"/>
        <w:ind w:firstLine="800" w:firstLineChars="250"/>
        <w:rPr>
          <w:rFonts w:hint="eastAsia" w:ascii="宋体" w:hAnsi="宋体" w:eastAsia="宋体"/>
          <w:sz w:val="32"/>
          <w:szCs w:val="32"/>
        </w:rPr>
      </w:pPr>
      <w:r>
        <w:rPr>
          <w:rFonts w:hint="eastAsia" w:ascii="宋体" w:hAnsi="宋体" w:eastAsia="宋体"/>
          <w:sz w:val="32"/>
          <w:szCs w:val="32"/>
          <w:lang w:val="en-US" w:eastAsia="zh-CN"/>
        </w:rPr>
        <w:t>6、农林水（类）林业和草原事业机构支出。</w:t>
      </w:r>
    </w:p>
    <w:p>
      <w:pPr>
        <w:pStyle w:val="10"/>
        <w:ind w:firstLine="800" w:firstLineChars="250"/>
        <w:rPr>
          <w:rFonts w:hint="eastAsia" w:ascii="宋体" w:hAnsi="宋体" w:eastAsia="宋体"/>
          <w:sz w:val="32"/>
          <w:szCs w:val="32"/>
          <w:lang w:eastAsia="zh-CN"/>
        </w:rPr>
      </w:pPr>
      <w:r>
        <w:rPr>
          <w:rFonts w:hint="eastAsia" w:ascii="宋体" w:hAnsi="宋体" w:eastAsia="宋体"/>
          <w:sz w:val="32"/>
          <w:szCs w:val="32"/>
        </w:rPr>
        <w:t>年初预算为</w:t>
      </w:r>
      <w:r>
        <w:rPr>
          <w:rFonts w:hint="eastAsia" w:ascii="宋体" w:hAnsi="宋体" w:eastAsia="宋体"/>
          <w:sz w:val="32"/>
          <w:szCs w:val="32"/>
          <w:lang w:val="en-US" w:eastAsia="zh-CN"/>
        </w:rPr>
        <w:t>117.55</w:t>
      </w:r>
      <w:r>
        <w:rPr>
          <w:rFonts w:hint="eastAsia" w:ascii="宋体" w:hAnsi="宋体" w:eastAsia="宋体"/>
          <w:sz w:val="32"/>
          <w:szCs w:val="32"/>
        </w:rPr>
        <w:t>万元，支出决算为</w:t>
      </w:r>
      <w:r>
        <w:rPr>
          <w:rFonts w:hint="eastAsia" w:ascii="宋体" w:hAnsi="宋体" w:eastAsia="宋体"/>
          <w:sz w:val="32"/>
          <w:szCs w:val="32"/>
          <w:lang w:val="en-US" w:eastAsia="zh-CN"/>
        </w:rPr>
        <w:t>126.04</w:t>
      </w:r>
      <w:r>
        <w:rPr>
          <w:rFonts w:hint="eastAsia" w:ascii="宋体" w:hAnsi="宋体" w:eastAsia="宋体"/>
          <w:sz w:val="32"/>
          <w:szCs w:val="32"/>
        </w:rPr>
        <w:t>万元，完成年初预算的</w:t>
      </w:r>
      <w:r>
        <w:rPr>
          <w:rFonts w:hint="eastAsia" w:ascii="宋体" w:hAnsi="宋体" w:eastAsia="宋体"/>
          <w:sz w:val="32"/>
          <w:szCs w:val="32"/>
          <w:lang w:val="en-US" w:eastAsia="zh-CN"/>
        </w:rPr>
        <w:t>107.22</w:t>
      </w:r>
      <w:r>
        <w:rPr>
          <w:rFonts w:hint="eastAsia" w:ascii="宋体" w:hAnsi="宋体" w:eastAsia="宋体"/>
          <w:sz w:val="32"/>
          <w:szCs w:val="32"/>
        </w:rPr>
        <w:t>%，决算数</w:t>
      </w:r>
      <w:r>
        <w:rPr>
          <w:rFonts w:hint="eastAsia" w:ascii="宋体" w:hAnsi="宋体" w:eastAsia="宋体"/>
          <w:sz w:val="32"/>
          <w:szCs w:val="32"/>
          <w:lang w:eastAsia="zh-CN"/>
        </w:rPr>
        <w:t>大</w:t>
      </w:r>
      <w:r>
        <w:rPr>
          <w:rFonts w:hint="eastAsia" w:ascii="宋体" w:hAnsi="宋体" w:eastAsia="宋体"/>
          <w:sz w:val="32"/>
          <w:szCs w:val="32"/>
        </w:rPr>
        <w:t>于年初预算数的主要原因是：</w:t>
      </w:r>
      <w:r>
        <w:rPr>
          <w:rFonts w:hint="eastAsia" w:ascii="宋体" w:hAnsi="宋体" w:eastAsia="宋体"/>
          <w:sz w:val="32"/>
          <w:szCs w:val="32"/>
          <w:lang w:eastAsia="zh-CN"/>
        </w:rPr>
        <w:t>整体调资导致人员经费指标的追加。</w:t>
      </w:r>
    </w:p>
    <w:p>
      <w:pPr>
        <w:pStyle w:val="10"/>
        <w:ind w:firstLine="800" w:firstLineChars="250"/>
        <w:rPr>
          <w:rFonts w:hint="eastAsia" w:ascii="宋体" w:hAnsi="宋体" w:eastAsia="宋体"/>
          <w:sz w:val="32"/>
          <w:szCs w:val="32"/>
          <w:lang w:val="en-US" w:eastAsia="zh-CN"/>
        </w:rPr>
      </w:pPr>
      <w:r>
        <w:rPr>
          <w:rFonts w:hint="eastAsia" w:ascii="宋体" w:hAnsi="宋体" w:eastAsia="宋体"/>
          <w:sz w:val="32"/>
          <w:szCs w:val="32"/>
          <w:lang w:val="en-US" w:eastAsia="zh-CN"/>
        </w:rPr>
        <w:t>7、农林水（类）林业和草原国家公园支出</w:t>
      </w:r>
    </w:p>
    <w:p>
      <w:pPr>
        <w:pStyle w:val="10"/>
        <w:ind w:firstLine="800" w:firstLineChars="250"/>
        <w:rPr>
          <w:rFonts w:hint="eastAsia" w:ascii="宋体" w:hAnsi="宋体" w:eastAsia="宋体"/>
          <w:sz w:val="32"/>
          <w:szCs w:val="32"/>
          <w:lang w:eastAsia="zh-CN"/>
        </w:rPr>
      </w:pPr>
      <w:r>
        <w:rPr>
          <w:rFonts w:hint="eastAsia" w:ascii="宋体" w:hAnsi="宋体" w:eastAsia="宋体"/>
          <w:sz w:val="32"/>
          <w:szCs w:val="32"/>
        </w:rPr>
        <w:t>年初预算为</w:t>
      </w:r>
      <w:r>
        <w:rPr>
          <w:rFonts w:hint="eastAsia" w:ascii="宋体" w:hAnsi="宋体" w:eastAsia="宋体"/>
          <w:sz w:val="32"/>
          <w:szCs w:val="32"/>
          <w:lang w:val="en-US" w:eastAsia="zh-CN"/>
        </w:rPr>
        <w:t>36</w:t>
      </w:r>
      <w:r>
        <w:rPr>
          <w:rFonts w:hint="eastAsia" w:ascii="宋体" w:hAnsi="宋体" w:eastAsia="宋体"/>
          <w:sz w:val="32"/>
          <w:szCs w:val="32"/>
        </w:rPr>
        <w:t>万元，支出决算为</w:t>
      </w:r>
      <w:r>
        <w:rPr>
          <w:rFonts w:hint="eastAsia" w:ascii="宋体" w:hAnsi="宋体" w:eastAsia="宋体"/>
          <w:sz w:val="32"/>
          <w:szCs w:val="32"/>
          <w:lang w:val="en-US" w:eastAsia="zh-CN"/>
        </w:rPr>
        <w:t>14.71</w:t>
      </w:r>
      <w:r>
        <w:rPr>
          <w:rFonts w:hint="eastAsia" w:ascii="宋体" w:hAnsi="宋体" w:eastAsia="宋体"/>
          <w:sz w:val="32"/>
          <w:szCs w:val="32"/>
        </w:rPr>
        <w:t>万元，完成年初预算的</w:t>
      </w:r>
      <w:r>
        <w:rPr>
          <w:rFonts w:hint="eastAsia" w:ascii="宋体" w:hAnsi="宋体" w:eastAsia="宋体"/>
          <w:sz w:val="32"/>
          <w:szCs w:val="32"/>
          <w:lang w:val="en-US" w:eastAsia="zh-CN"/>
        </w:rPr>
        <w:t>40.86</w:t>
      </w:r>
      <w:r>
        <w:rPr>
          <w:rFonts w:hint="eastAsia" w:ascii="宋体" w:hAnsi="宋体" w:eastAsia="宋体"/>
          <w:sz w:val="32"/>
          <w:szCs w:val="32"/>
        </w:rPr>
        <w:t>%，决算数</w:t>
      </w:r>
      <w:r>
        <w:rPr>
          <w:rFonts w:hint="eastAsia" w:ascii="宋体" w:hAnsi="宋体" w:eastAsia="宋体"/>
          <w:sz w:val="32"/>
          <w:szCs w:val="32"/>
          <w:lang w:eastAsia="zh-CN"/>
        </w:rPr>
        <w:t>小</w:t>
      </w:r>
      <w:r>
        <w:rPr>
          <w:rFonts w:hint="eastAsia" w:ascii="宋体" w:hAnsi="宋体" w:eastAsia="宋体"/>
          <w:sz w:val="32"/>
          <w:szCs w:val="32"/>
        </w:rPr>
        <w:t>于年初预算数的主要原因是：</w:t>
      </w:r>
      <w:r>
        <w:rPr>
          <w:rFonts w:hint="eastAsia" w:ascii="宋体" w:hAnsi="宋体" w:eastAsia="宋体"/>
          <w:sz w:val="32"/>
          <w:szCs w:val="32"/>
          <w:lang w:eastAsia="zh-CN"/>
        </w:rPr>
        <w:t>财政拨款导致项目结算不及时。</w:t>
      </w:r>
    </w:p>
    <w:p>
      <w:pPr>
        <w:pStyle w:val="10"/>
        <w:ind w:firstLine="800" w:firstLineChars="250"/>
        <w:rPr>
          <w:rFonts w:hint="default" w:ascii="宋体" w:hAnsi="宋体" w:eastAsia="宋体"/>
          <w:sz w:val="32"/>
          <w:szCs w:val="32"/>
          <w:lang w:val="en-US" w:eastAsia="zh-CN"/>
        </w:rPr>
      </w:pPr>
      <w:r>
        <w:rPr>
          <w:rFonts w:hint="eastAsia" w:ascii="宋体" w:hAnsi="宋体" w:eastAsia="宋体"/>
          <w:sz w:val="32"/>
          <w:szCs w:val="32"/>
          <w:lang w:val="en-US" w:eastAsia="zh-CN"/>
        </w:rPr>
        <w:t>8、住房保障住房公积金支出</w:t>
      </w:r>
    </w:p>
    <w:p>
      <w:pPr>
        <w:pStyle w:val="10"/>
        <w:ind w:firstLine="800" w:firstLineChars="250"/>
        <w:rPr>
          <w:rFonts w:hint="eastAsia" w:ascii="宋体" w:hAnsi="宋体" w:eastAsia="宋体"/>
          <w:sz w:val="32"/>
          <w:szCs w:val="32"/>
          <w:lang w:val="en-US" w:eastAsia="zh-CN"/>
        </w:rPr>
      </w:pPr>
      <w:r>
        <w:rPr>
          <w:rFonts w:hint="eastAsia" w:ascii="宋体" w:hAnsi="宋体" w:eastAsia="宋体"/>
          <w:sz w:val="32"/>
          <w:szCs w:val="32"/>
        </w:rPr>
        <w:t>年初预算为</w:t>
      </w:r>
      <w:r>
        <w:rPr>
          <w:rFonts w:hint="eastAsia" w:ascii="宋体" w:hAnsi="宋体" w:eastAsia="宋体"/>
          <w:sz w:val="32"/>
          <w:szCs w:val="32"/>
          <w:lang w:val="en-US" w:eastAsia="zh-CN"/>
        </w:rPr>
        <w:t>11.62</w:t>
      </w:r>
      <w:r>
        <w:rPr>
          <w:rFonts w:hint="eastAsia" w:ascii="宋体" w:hAnsi="宋体" w:eastAsia="宋体"/>
          <w:sz w:val="32"/>
          <w:szCs w:val="32"/>
        </w:rPr>
        <w:t>万元，支出决算为</w:t>
      </w:r>
      <w:r>
        <w:rPr>
          <w:rFonts w:hint="eastAsia" w:ascii="宋体" w:hAnsi="宋体" w:eastAsia="宋体"/>
          <w:sz w:val="32"/>
          <w:szCs w:val="32"/>
          <w:lang w:val="en-US" w:eastAsia="zh-CN"/>
        </w:rPr>
        <w:t>11.21</w:t>
      </w:r>
      <w:r>
        <w:rPr>
          <w:rFonts w:hint="eastAsia" w:ascii="宋体" w:hAnsi="宋体" w:eastAsia="宋体"/>
          <w:sz w:val="32"/>
          <w:szCs w:val="32"/>
        </w:rPr>
        <w:t>万元，完成年初预算的</w:t>
      </w:r>
      <w:r>
        <w:rPr>
          <w:rFonts w:hint="eastAsia" w:ascii="宋体" w:hAnsi="宋体" w:eastAsia="宋体"/>
          <w:sz w:val="32"/>
          <w:szCs w:val="32"/>
          <w:lang w:val="en-US" w:eastAsia="zh-CN"/>
        </w:rPr>
        <w:t>96.47</w:t>
      </w:r>
      <w:r>
        <w:rPr>
          <w:rFonts w:hint="eastAsia" w:ascii="宋体" w:hAnsi="宋体" w:eastAsia="宋体"/>
          <w:sz w:val="32"/>
          <w:szCs w:val="32"/>
        </w:rPr>
        <w:t>%，决算数</w:t>
      </w:r>
      <w:r>
        <w:rPr>
          <w:rFonts w:hint="eastAsia" w:ascii="宋体" w:hAnsi="宋体" w:eastAsia="宋体"/>
          <w:sz w:val="32"/>
          <w:szCs w:val="32"/>
          <w:lang w:eastAsia="zh-CN"/>
        </w:rPr>
        <w:t>小</w:t>
      </w:r>
      <w:r>
        <w:rPr>
          <w:rFonts w:hint="eastAsia" w:ascii="宋体" w:hAnsi="宋体" w:eastAsia="宋体"/>
          <w:sz w:val="32"/>
          <w:szCs w:val="32"/>
        </w:rPr>
        <w:t>于年初预算数</w:t>
      </w:r>
      <w:r>
        <w:rPr>
          <w:rFonts w:hint="eastAsia" w:ascii="宋体" w:hAnsi="宋体" w:eastAsia="宋体"/>
          <w:sz w:val="32"/>
          <w:szCs w:val="32"/>
          <w:lang w:eastAsia="zh-CN"/>
        </w:rPr>
        <w:t>的主要原因是：单位人员异动产生的缴费差额</w:t>
      </w:r>
      <w:r>
        <w:rPr>
          <w:rFonts w:hint="eastAsia" w:ascii="宋体" w:hAnsi="宋体" w:eastAsia="宋体"/>
          <w:sz w:val="32"/>
          <w:szCs w:val="32"/>
          <w:lang w:val="en-US" w:eastAsia="zh-CN"/>
        </w:rPr>
        <w:t>。</w:t>
      </w:r>
    </w:p>
    <w:p>
      <w:pPr>
        <w:pStyle w:val="10"/>
        <w:rPr>
          <w:rFonts w:hAnsi="黑体"/>
          <w:b/>
          <w:sz w:val="32"/>
          <w:szCs w:val="32"/>
        </w:rPr>
      </w:pPr>
      <w:r>
        <w:rPr>
          <w:rFonts w:hint="eastAsia" w:hAnsi="黑体"/>
          <w:b/>
          <w:sz w:val="32"/>
          <w:szCs w:val="32"/>
        </w:rPr>
        <w:t>六、一般公共预算财政拨款基本支出决算情况说明</w:t>
      </w:r>
    </w:p>
    <w:p>
      <w:pPr>
        <w:pStyle w:val="10"/>
        <w:ind w:firstLine="640" w:firstLineChars="200"/>
        <w:rPr>
          <w:rFonts w:asciiTheme="minorEastAsia" w:hAnsiTheme="minorEastAsia" w:eastAsiaTheme="minorEastAsia"/>
          <w:i/>
          <w:color w:val="FF0000"/>
          <w:sz w:val="32"/>
          <w:szCs w:val="32"/>
        </w:rPr>
      </w:pPr>
      <w:r>
        <w:rPr>
          <w:rFonts w:hint="eastAsia" w:asciiTheme="minorEastAsia" w:hAnsiTheme="minorEastAsia" w:eastAsiaTheme="minorEastAsia"/>
          <w:sz w:val="32"/>
          <w:szCs w:val="32"/>
        </w:rPr>
        <w:t>2021年度财政拨款基本支出</w:t>
      </w:r>
      <w:r>
        <w:rPr>
          <w:rFonts w:hint="eastAsia" w:asciiTheme="minorEastAsia" w:hAnsiTheme="minorEastAsia" w:eastAsiaTheme="minorEastAsia"/>
          <w:sz w:val="32"/>
          <w:szCs w:val="32"/>
          <w:lang w:val="en-US" w:eastAsia="zh-CN"/>
        </w:rPr>
        <w:t>158.63</w:t>
      </w:r>
      <w:r>
        <w:rPr>
          <w:rFonts w:hint="eastAsia" w:asciiTheme="minorEastAsia" w:hAnsiTheme="minorEastAsia" w:eastAsiaTheme="minorEastAsia"/>
          <w:sz w:val="32"/>
          <w:szCs w:val="32"/>
        </w:rPr>
        <w:t>万元，其中：人员经费</w:t>
      </w:r>
      <w:r>
        <w:rPr>
          <w:rFonts w:hint="eastAsia" w:asciiTheme="minorEastAsia" w:hAnsiTheme="minorEastAsia" w:eastAsiaTheme="minorEastAsia"/>
          <w:sz w:val="32"/>
          <w:szCs w:val="32"/>
          <w:lang w:val="en-US" w:eastAsia="zh-CN"/>
        </w:rPr>
        <w:t>147.53</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93</w:t>
      </w:r>
      <w:r>
        <w:rPr>
          <w:rFonts w:hint="eastAsia" w:asciiTheme="minorEastAsia" w:hAnsiTheme="minorEastAsia" w:eastAsiaTheme="minorEastAsia"/>
          <w:sz w:val="32"/>
          <w:szCs w:val="32"/>
        </w:rPr>
        <w:t>%,主要包括基本工资、津贴补贴、奖金、伙食补助费</w:t>
      </w:r>
      <w:r>
        <w:rPr>
          <w:rFonts w:hint="eastAsia" w:asciiTheme="minorEastAsia" w:hAnsiTheme="minorEastAsia" w:eastAsiaTheme="minorEastAsia"/>
          <w:sz w:val="32"/>
          <w:szCs w:val="32"/>
          <w:lang w:eastAsia="zh-CN"/>
        </w:rPr>
        <w:t>、绩效工资、机关事业单位基本养老保险缴费、职业年金缴费、职工基本医疗保险缴费、其他社会保障缴费、住房公积金、其他工资福利支出、生活补助、奖励金、其他对个人和家庭的补助</w:t>
      </w:r>
      <w:r>
        <w:rPr>
          <w:rFonts w:hint="eastAsia" w:asciiTheme="minorEastAsia" w:hAnsiTheme="minorEastAsia" w:eastAsiaTheme="minorEastAsia"/>
          <w:sz w:val="32"/>
          <w:szCs w:val="32"/>
        </w:rPr>
        <w:t>；公用经费</w:t>
      </w:r>
      <w:r>
        <w:rPr>
          <w:rFonts w:hint="eastAsia" w:asciiTheme="minorEastAsia" w:hAnsiTheme="minorEastAsia" w:eastAsiaTheme="minorEastAsia"/>
          <w:sz w:val="32"/>
          <w:szCs w:val="32"/>
          <w:lang w:val="en-US" w:eastAsia="zh-CN"/>
        </w:rPr>
        <w:t>11.1</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7</w:t>
      </w:r>
      <w:r>
        <w:rPr>
          <w:rFonts w:hint="eastAsia" w:asciiTheme="minorEastAsia" w:hAnsiTheme="minorEastAsia" w:eastAsiaTheme="minorEastAsia"/>
          <w:sz w:val="32"/>
          <w:szCs w:val="32"/>
        </w:rPr>
        <w:t>%，主要包括办公费、印刷费、</w:t>
      </w:r>
      <w:r>
        <w:rPr>
          <w:rFonts w:hint="eastAsia" w:asciiTheme="minorEastAsia" w:hAnsiTheme="minorEastAsia" w:eastAsiaTheme="minorEastAsia"/>
          <w:sz w:val="32"/>
          <w:szCs w:val="32"/>
          <w:lang w:eastAsia="zh-CN"/>
        </w:rPr>
        <w:t>差旅费</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维修（护）费、公务接待费、被装购置费、劳务费、委托业务费、工会经费、福利费、其他交通费用、其他商品和服务支出</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七、一般公共预算财政拨款“三公”经费支出决算情况说明</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2021年度“三公”经费财政拨款支出预算为</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0.23</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23</w:t>
      </w:r>
      <w:r>
        <w:rPr>
          <w:rFonts w:hint="eastAsia" w:asciiTheme="minorEastAsia" w:hAnsiTheme="minorEastAsia" w:eastAsiaTheme="minorEastAsia"/>
          <w:sz w:val="32"/>
          <w:szCs w:val="32"/>
        </w:rPr>
        <w:t>%，其中：</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等于</w:t>
      </w:r>
      <w:r>
        <w:rPr>
          <w:rFonts w:hint="eastAsia" w:asciiTheme="minorEastAsia" w:hAnsiTheme="minorEastAsia" w:eastAsiaTheme="minorEastAsia"/>
          <w:sz w:val="32"/>
          <w:szCs w:val="32"/>
        </w:rPr>
        <w:t>预算数，与上年</w:t>
      </w:r>
      <w:r>
        <w:rPr>
          <w:rFonts w:hint="eastAsia" w:asciiTheme="minorEastAsia" w:hAnsiTheme="minorEastAsia" w:eastAsiaTheme="minorEastAsia"/>
          <w:sz w:val="32"/>
          <w:szCs w:val="32"/>
          <w:lang w:eastAsia="zh-CN"/>
        </w:rPr>
        <w:t>持平</w:t>
      </w:r>
      <w:r>
        <w:rPr>
          <w:rFonts w:hint="eastAsia" w:asciiTheme="minorEastAsia" w:hAnsiTheme="minorEastAsia" w:eastAsiaTheme="minorEastAsia"/>
          <w:sz w:val="32"/>
          <w:szCs w:val="32"/>
        </w:rPr>
        <w:t>。</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0.23</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23</w:t>
      </w:r>
      <w:r>
        <w:rPr>
          <w:rFonts w:hint="eastAsia" w:asciiTheme="minorEastAsia" w:hAnsiTheme="minorEastAsia" w:eastAsiaTheme="minorEastAsia"/>
          <w:sz w:val="32"/>
          <w:szCs w:val="32"/>
        </w:rPr>
        <w:t>%，决算数小于预算数的主要原因是</w:t>
      </w:r>
      <w:r>
        <w:rPr>
          <w:rFonts w:hint="eastAsia" w:asciiTheme="minorEastAsia" w:hAnsiTheme="minorEastAsia" w:eastAsiaTheme="minorEastAsia"/>
          <w:sz w:val="32"/>
          <w:szCs w:val="32"/>
          <w:lang w:eastAsia="zh-CN"/>
        </w:rPr>
        <w:t>严格公务接</w:t>
      </w:r>
      <w:bookmarkStart w:id="3" w:name="_GoBack"/>
      <w:bookmarkEnd w:id="3"/>
      <w:r>
        <w:rPr>
          <w:rFonts w:hint="eastAsia" w:asciiTheme="minorEastAsia" w:hAnsiTheme="minorEastAsia" w:eastAsiaTheme="minorEastAsia"/>
          <w:sz w:val="32"/>
          <w:szCs w:val="32"/>
          <w:lang w:eastAsia="zh-CN"/>
        </w:rPr>
        <w:t>待费开支</w:t>
      </w:r>
      <w:r>
        <w:rPr>
          <w:rFonts w:hint="eastAsia" w:asciiTheme="minorEastAsia" w:hAnsiTheme="minorEastAsia" w:eastAsiaTheme="minorEastAsia"/>
          <w:sz w:val="32"/>
          <w:szCs w:val="32"/>
        </w:rPr>
        <w:t>，与上年相比增加</w:t>
      </w:r>
      <w:r>
        <w:rPr>
          <w:rFonts w:hint="eastAsia" w:asciiTheme="minorEastAsia" w:hAnsiTheme="minorEastAsia" w:eastAsiaTheme="minorEastAsia"/>
          <w:sz w:val="32"/>
          <w:szCs w:val="32"/>
          <w:lang w:val="en-US" w:eastAsia="zh-CN"/>
        </w:rPr>
        <w:t>0.07</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43.75</w:t>
      </w:r>
      <w:r>
        <w:rPr>
          <w:rFonts w:hint="eastAsia" w:asciiTheme="minorEastAsia" w:hAnsiTheme="minorEastAsia" w:eastAsiaTheme="minorEastAsia"/>
          <w:sz w:val="32"/>
          <w:szCs w:val="32"/>
        </w:rPr>
        <w:t>%,增长的主要原因是</w:t>
      </w:r>
      <w:r>
        <w:rPr>
          <w:rFonts w:hint="eastAsia" w:asciiTheme="minorEastAsia" w:hAnsiTheme="minorEastAsia" w:eastAsiaTheme="minorEastAsia"/>
          <w:sz w:val="32"/>
          <w:szCs w:val="32"/>
          <w:lang w:eastAsia="zh-CN"/>
        </w:rPr>
        <w:t>公务接待活动的增加</w:t>
      </w:r>
      <w:r>
        <w:rPr>
          <w:rFonts w:hint="eastAsia" w:asciiTheme="minorEastAsia" w:hAnsiTheme="minorEastAsia" w:eastAsiaTheme="minorEastAsia"/>
          <w:sz w:val="32"/>
          <w:szCs w:val="32"/>
        </w:rPr>
        <w:t>。</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等</w:t>
      </w:r>
      <w:r>
        <w:rPr>
          <w:rFonts w:hint="eastAsia" w:asciiTheme="minorEastAsia" w:hAnsiTheme="minorEastAsia" w:eastAsiaTheme="minorEastAsia"/>
          <w:sz w:val="32"/>
          <w:szCs w:val="32"/>
        </w:rPr>
        <w:t>于预算数，与上年</w:t>
      </w:r>
      <w:r>
        <w:rPr>
          <w:rFonts w:hint="eastAsia" w:asciiTheme="minorEastAsia" w:hAnsiTheme="minorEastAsia" w:eastAsiaTheme="minorEastAsia"/>
          <w:sz w:val="32"/>
          <w:szCs w:val="32"/>
          <w:lang w:eastAsia="zh-CN"/>
        </w:rPr>
        <w:t>持平</w:t>
      </w:r>
      <w:r>
        <w:rPr>
          <w:rFonts w:hint="eastAsia" w:asciiTheme="minorEastAsia" w:hAnsiTheme="minorEastAsia" w:eastAsiaTheme="minorEastAsia"/>
          <w:sz w:val="32"/>
          <w:szCs w:val="32"/>
        </w:rPr>
        <w:t>。</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公务用车运行维护费支出预算为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等</w:t>
      </w:r>
      <w:r>
        <w:rPr>
          <w:rFonts w:hint="eastAsia" w:asciiTheme="minorEastAsia" w:hAnsiTheme="minorEastAsia" w:eastAsiaTheme="minorEastAsia"/>
          <w:sz w:val="32"/>
          <w:szCs w:val="32"/>
        </w:rPr>
        <w:t>于预算数，与上年</w:t>
      </w:r>
      <w:r>
        <w:rPr>
          <w:rFonts w:hint="eastAsia" w:asciiTheme="minorEastAsia" w:hAnsiTheme="minorEastAsia" w:eastAsiaTheme="minorEastAsia"/>
          <w:sz w:val="32"/>
          <w:szCs w:val="32"/>
          <w:lang w:eastAsia="zh-CN"/>
        </w:rPr>
        <w:t>持平</w:t>
      </w:r>
      <w:r>
        <w:rPr>
          <w:rFonts w:hint="eastAsia" w:asciiTheme="minorEastAsia" w:hAnsiTheme="minorEastAsia" w:eastAsiaTheme="minorEastAsia"/>
          <w:sz w:val="32"/>
          <w:szCs w:val="32"/>
        </w:rPr>
        <w:t>。</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2021年度“三公”经费财政拨款支出决算中，公务接待费支出决算</w:t>
      </w:r>
      <w:r>
        <w:rPr>
          <w:rFonts w:hint="eastAsia" w:asciiTheme="minorEastAsia" w:hAnsiTheme="minorEastAsia" w:eastAsiaTheme="minorEastAsia"/>
          <w:sz w:val="32"/>
          <w:szCs w:val="32"/>
          <w:lang w:val="en-US" w:eastAsia="zh-CN"/>
        </w:rPr>
        <w:t>0.23</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%,因公出国（境）费支出决算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%,公务用车购置费及运行维护费支出决算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%。其中：</w:t>
      </w:r>
    </w:p>
    <w:p>
      <w:pPr>
        <w:pStyle w:val="1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1、因公出国（境）费支出决算为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万元，全年安排因公出国（境）团组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个，累计</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人次</w:t>
      </w:r>
      <w:r>
        <w:rPr>
          <w:rFonts w:hint="eastAsia" w:asciiTheme="minorEastAsia" w:hAnsiTheme="minorEastAsia" w:eastAsiaTheme="minorEastAsia"/>
          <w:sz w:val="32"/>
          <w:szCs w:val="32"/>
          <w:lang w:eastAsia="zh-CN"/>
        </w:rPr>
        <w:t>。</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w:t>
      </w:r>
      <w:r>
        <w:rPr>
          <w:rFonts w:hint="eastAsia" w:asciiTheme="minorEastAsia" w:hAnsiTheme="minorEastAsia" w:eastAsiaTheme="minorEastAsia"/>
          <w:sz w:val="32"/>
          <w:szCs w:val="32"/>
          <w:lang w:val="en-US" w:eastAsia="zh-CN"/>
        </w:rPr>
        <w:t>0.23</w:t>
      </w:r>
      <w:r>
        <w:rPr>
          <w:rFonts w:hint="eastAsia" w:asciiTheme="minorEastAsia" w:hAnsiTheme="minorEastAsia" w:eastAsiaTheme="minorEastAsia"/>
          <w:sz w:val="32"/>
          <w:szCs w:val="32"/>
        </w:rPr>
        <w:t>万元，全年共接待来访团组</w:t>
      </w:r>
      <w:r>
        <w:rPr>
          <w:rFonts w:hint="eastAsia" w:asciiTheme="minorEastAsia" w:hAnsiTheme="minorEastAsia" w:eastAsiaTheme="minorEastAsia"/>
          <w:sz w:val="32"/>
          <w:szCs w:val="32"/>
          <w:lang w:val="en-US" w:eastAsia="zh-CN"/>
        </w:rPr>
        <w:t>12</w:t>
      </w:r>
      <w:r>
        <w:rPr>
          <w:rFonts w:hint="eastAsia" w:asciiTheme="minorEastAsia" w:hAnsiTheme="minorEastAsia" w:eastAsiaTheme="minorEastAsia"/>
          <w:sz w:val="32"/>
          <w:szCs w:val="32"/>
        </w:rPr>
        <w:t>个、来宾</w:t>
      </w:r>
      <w:r>
        <w:rPr>
          <w:rFonts w:hint="eastAsia" w:asciiTheme="minorEastAsia" w:hAnsiTheme="minorEastAsia" w:eastAsiaTheme="minorEastAsia"/>
          <w:sz w:val="32"/>
          <w:szCs w:val="32"/>
          <w:lang w:val="en-US" w:eastAsia="zh-CN"/>
        </w:rPr>
        <w:t>26</w:t>
      </w:r>
      <w:r>
        <w:rPr>
          <w:rFonts w:hint="eastAsia" w:asciiTheme="minorEastAsia" w:hAnsiTheme="minorEastAsia" w:eastAsiaTheme="minorEastAsia"/>
          <w:sz w:val="32"/>
          <w:szCs w:val="32"/>
        </w:rPr>
        <w:t>人次，主要是</w:t>
      </w:r>
      <w:r>
        <w:rPr>
          <w:rFonts w:hint="eastAsia" w:asciiTheme="minorEastAsia" w:hAnsiTheme="minorEastAsia" w:eastAsiaTheme="minorEastAsia"/>
          <w:sz w:val="32"/>
          <w:szCs w:val="32"/>
          <w:lang w:eastAsia="zh-CN"/>
        </w:rPr>
        <w:t>上级各类检查及调研</w:t>
      </w:r>
      <w:r>
        <w:rPr>
          <w:rFonts w:hint="eastAsia" w:asciiTheme="minorEastAsia" w:hAnsiTheme="minorEastAsia" w:eastAsiaTheme="minorEastAsia"/>
          <w:sz w:val="32"/>
          <w:szCs w:val="32"/>
        </w:rPr>
        <w:t>发生的接待支出。</w:t>
      </w:r>
    </w:p>
    <w:p>
      <w:pPr>
        <w:ind w:firstLine="800" w:firstLineChars="250"/>
        <w:rPr>
          <w:rFonts w:cs="黑体" w:asciiTheme="minorEastAsia" w:hAnsiTheme="minorEastAsia"/>
          <w:color w:val="000000"/>
          <w:kern w:val="0"/>
          <w:sz w:val="32"/>
          <w:szCs w:val="32"/>
        </w:rPr>
      </w:pPr>
      <w:r>
        <w:rPr>
          <w:rFonts w:hint="eastAsia" w:asciiTheme="minorEastAsia" w:hAnsiTheme="minorEastAsia"/>
          <w:sz w:val="32"/>
          <w:szCs w:val="32"/>
        </w:rPr>
        <w:t>3、公务用车购置费及运行维护费支出决算为</w:t>
      </w:r>
      <w:r>
        <w:rPr>
          <w:rFonts w:hint="eastAsia" w:asciiTheme="minorEastAsia" w:hAnsiTheme="minorEastAsia"/>
          <w:sz w:val="32"/>
          <w:szCs w:val="32"/>
          <w:lang w:val="en-US" w:eastAsia="zh-CN"/>
        </w:rPr>
        <w:t>0</w:t>
      </w:r>
      <w:r>
        <w:rPr>
          <w:rFonts w:hint="eastAsia" w:asciiTheme="minorEastAsia" w:hAnsiTheme="minorEastAsia"/>
          <w:sz w:val="32"/>
          <w:szCs w:val="32"/>
        </w:rPr>
        <w:t>万元，其中：公务用车购置费</w:t>
      </w:r>
      <w:r>
        <w:rPr>
          <w:rFonts w:hint="eastAsia" w:asciiTheme="minorEastAsia" w:hAnsiTheme="minorEastAsia"/>
          <w:sz w:val="32"/>
          <w:szCs w:val="32"/>
          <w:lang w:val="en-US" w:eastAsia="zh-CN"/>
        </w:rPr>
        <w:t>0</w:t>
      </w:r>
      <w:r>
        <w:rPr>
          <w:rFonts w:hint="eastAsia" w:asciiTheme="minorEastAsia" w:hAnsiTheme="minorEastAsia"/>
          <w:sz w:val="32"/>
          <w:szCs w:val="32"/>
        </w:rPr>
        <w:t>万元</w:t>
      </w:r>
      <w:r>
        <w:rPr>
          <w:rFonts w:hint="eastAsia" w:asciiTheme="minorEastAsia" w:hAnsiTheme="minorEastAsia"/>
          <w:color w:val="000000" w:themeColor="text1"/>
          <w:sz w:val="32"/>
          <w:szCs w:val="32"/>
          <w:lang w:eastAsia="zh-CN"/>
          <w14:textFill>
            <w14:solidFill>
              <w14:schemeClr w14:val="tx1"/>
            </w14:solidFill>
          </w14:textFill>
        </w:rPr>
        <w:t>，</w:t>
      </w:r>
      <w:r>
        <w:rPr>
          <w:rFonts w:hint="eastAsia" w:asciiTheme="minorEastAsia" w:hAnsiTheme="minorEastAsia"/>
          <w:sz w:val="32"/>
          <w:szCs w:val="32"/>
        </w:rPr>
        <w:t>公务用车运行维护费</w:t>
      </w:r>
      <w:r>
        <w:rPr>
          <w:rFonts w:hint="eastAsia" w:asciiTheme="minorEastAsia" w:hAnsiTheme="minorEastAsia"/>
          <w:sz w:val="32"/>
          <w:szCs w:val="32"/>
          <w:lang w:val="en-US" w:eastAsia="zh-CN"/>
        </w:rPr>
        <w:t>0</w:t>
      </w:r>
      <w:r>
        <w:rPr>
          <w:rFonts w:hint="eastAsia" w:asciiTheme="minorEastAsia" w:hAnsiTheme="minorEastAsia"/>
          <w:sz w:val="32"/>
          <w:szCs w:val="32"/>
        </w:rPr>
        <w:t>万元，截止2021年12月31日，我单位开支财政拨款的公务用车保有量为</w:t>
      </w:r>
      <w:r>
        <w:rPr>
          <w:rFonts w:hint="eastAsia" w:asciiTheme="minorEastAsia" w:hAnsiTheme="minorEastAsia"/>
          <w:sz w:val="32"/>
          <w:szCs w:val="32"/>
          <w:lang w:val="en-US" w:eastAsia="zh-CN"/>
        </w:rPr>
        <w:t>0</w:t>
      </w:r>
      <w:r>
        <w:rPr>
          <w:rFonts w:hint="eastAsia" w:asciiTheme="minorEastAsia" w:hAnsiTheme="minorEastAsia"/>
          <w:sz w:val="32"/>
          <w:szCs w:val="32"/>
        </w:rPr>
        <w:t>辆。</w:t>
      </w:r>
    </w:p>
    <w:p>
      <w:pPr>
        <w:pStyle w:val="10"/>
        <w:rPr>
          <w:rFonts w:hAnsi="黑体"/>
          <w:b/>
          <w:sz w:val="32"/>
          <w:szCs w:val="32"/>
        </w:rPr>
      </w:pPr>
      <w:r>
        <w:rPr>
          <w:rFonts w:hint="eastAsia" w:hAnsi="黑体"/>
          <w:b/>
          <w:sz w:val="32"/>
          <w:szCs w:val="32"/>
        </w:rPr>
        <w:t>八、政府性基金预算收入支出决算情况</w:t>
      </w:r>
    </w:p>
    <w:p>
      <w:pPr>
        <w:pStyle w:val="10"/>
        <w:rPr>
          <w:rFonts w:hint="eastAsia" w:asciiTheme="minorEastAsia" w:hAnsiTheme="minorEastAsia" w:eastAsiaTheme="minorEastAsia"/>
          <w:i/>
          <w:color w:val="FF0000"/>
          <w:sz w:val="32"/>
          <w:szCs w:val="32"/>
          <w:lang w:eastAsia="zh-CN"/>
        </w:rPr>
      </w:pPr>
      <w:r>
        <w:rPr>
          <w:rFonts w:hint="eastAsia" w:asciiTheme="minorEastAsia" w:hAnsiTheme="minorEastAsia" w:eastAsiaTheme="minorEastAsia"/>
          <w:sz w:val="32"/>
          <w:szCs w:val="32"/>
        </w:rPr>
        <w:t xml:space="preserve">     2021年度政府性基金预算财政拨款收入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万元；年初结转和结余</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万元，项目支出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万元；年末结转和结余</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万元。具体情况如下：本单位无政府性基金收支</w:t>
      </w:r>
      <w:r>
        <w:rPr>
          <w:rFonts w:hint="eastAsia" w:asciiTheme="minorEastAsia" w:hAnsiTheme="minorEastAsia" w:eastAsiaTheme="minorEastAsia"/>
          <w:sz w:val="32"/>
          <w:szCs w:val="32"/>
          <w:lang w:eastAsia="zh-CN"/>
        </w:rPr>
        <w:t>。</w:t>
      </w:r>
    </w:p>
    <w:p>
      <w:pPr>
        <w:pStyle w:val="10"/>
        <w:rPr>
          <w:rFonts w:hAnsi="黑体"/>
          <w:b/>
          <w:sz w:val="32"/>
          <w:szCs w:val="32"/>
        </w:rPr>
      </w:pPr>
      <w:r>
        <w:rPr>
          <w:rFonts w:hint="eastAsia" w:hAnsi="黑体"/>
          <w:b/>
          <w:sz w:val="32"/>
          <w:szCs w:val="32"/>
        </w:rPr>
        <w:t>九、机关运行经费支出说明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本部门2021年度机关运行经费支出</w:t>
      </w:r>
      <w:r>
        <w:rPr>
          <w:rFonts w:hint="eastAsia" w:asciiTheme="minorEastAsia" w:hAnsiTheme="minorEastAsia" w:eastAsiaTheme="minorEastAsia"/>
          <w:sz w:val="32"/>
          <w:szCs w:val="32"/>
          <w:lang w:val="en-US" w:eastAsia="zh-CN"/>
        </w:rPr>
        <w:t>11.1</w:t>
      </w:r>
      <w:r>
        <w:rPr>
          <w:rFonts w:hint="eastAsia" w:asciiTheme="minorEastAsia" w:hAnsiTheme="minorEastAsia" w:eastAsiaTheme="minorEastAsia"/>
          <w:sz w:val="32"/>
          <w:szCs w:val="32"/>
        </w:rPr>
        <w:t>万元，比年初预算数减少</w:t>
      </w:r>
      <w:r>
        <w:rPr>
          <w:rFonts w:hint="eastAsia" w:asciiTheme="minorEastAsia" w:hAnsiTheme="minorEastAsia" w:eastAsiaTheme="minorEastAsia"/>
          <w:sz w:val="32"/>
          <w:szCs w:val="32"/>
          <w:lang w:val="en-US" w:eastAsia="zh-CN"/>
        </w:rPr>
        <w:t>9.61</w:t>
      </w:r>
      <w:r>
        <w:rPr>
          <w:rFonts w:hint="eastAsia" w:asciiTheme="minorEastAsia" w:hAnsiTheme="minorEastAsia" w:eastAsiaTheme="minorEastAsia"/>
          <w:sz w:val="32"/>
          <w:szCs w:val="32"/>
        </w:rPr>
        <w:t xml:space="preserve"> </w:t>
      </w:r>
      <w:r>
        <w:rPr>
          <w:rFonts w:hint="eastAsia" w:asciiTheme="minorEastAsia" w:hAnsiTheme="minorEastAsia" w:eastAsiaTheme="minorEastAsia"/>
          <w:sz w:val="32"/>
          <w:szCs w:val="32"/>
          <w:lang w:val="en-US" w:eastAsia="zh-CN"/>
        </w:rPr>
        <w:t>.</w:t>
      </w:r>
      <w:r>
        <w:rPr>
          <w:rFonts w:hint="eastAsia" w:asciiTheme="minorEastAsia" w:hAnsiTheme="minorEastAsia" w:eastAsiaTheme="minorEastAsia"/>
          <w:sz w:val="32"/>
          <w:szCs w:val="32"/>
        </w:rPr>
        <w:t>万元，降低</w:t>
      </w:r>
      <w:r>
        <w:rPr>
          <w:rFonts w:hint="eastAsia" w:asciiTheme="minorEastAsia" w:hAnsiTheme="minorEastAsia" w:eastAsiaTheme="minorEastAsia"/>
          <w:sz w:val="32"/>
          <w:szCs w:val="32"/>
          <w:lang w:val="en-US" w:eastAsia="zh-CN"/>
        </w:rPr>
        <w:t>46.4</w:t>
      </w:r>
      <w:r>
        <w:rPr>
          <w:rFonts w:hint="eastAsia" w:asciiTheme="minorEastAsia" w:hAnsiTheme="minorEastAsia" w:eastAsiaTheme="minorEastAsia"/>
          <w:sz w:val="32"/>
          <w:szCs w:val="32"/>
        </w:rPr>
        <w:t>%。主要原因是：</w:t>
      </w:r>
      <w:r>
        <w:rPr>
          <w:rFonts w:hint="eastAsia" w:asciiTheme="minorEastAsia" w:hAnsiTheme="minorEastAsia" w:eastAsiaTheme="minorEastAsia"/>
          <w:sz w:val="32"/>
          <w:szCs w:val="32"/>
          <w:lang w:eastAsia="zh-CN"/>
        </w:rPr>
        <w:t>财政资金拨付不足，相关经费尚未结算</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十、一般性支出情况说明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2021年本部门开支会议费</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万元，开支培训费</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万元，举办</w:t>
      </w:r>
      <w:r>
        <w:rPr>
          <w:rFonts w:hint="eastAsia" w:asciiTheme="minorEastAsia" w:hAnsiTheme="minorEastAsia" w:eastAsiaTheme="minorEastAsia"/>
          <w:sz w:val="32"/>
          <w:szCs w:val="32"/>
          <w:lang w:eastAsia="zh-CN"/>
        </w:rPr>
        <w:t>党建</w:t>
      </w:r>
      <w:r>
        <w:rPr>
          <w:rFonts w:hint="eastAsia" w:asciiTheme="minorEastAsia" w:hAnsiTheme="minorEastAsia" w:eastAsiaTheme="minorEastAsia"/>
          <w:sz w:val="32"/>
          <w:szCs w:val="32"/>
        </w:rPr>
        <w:t>活动，开支</w:t>
      </w:r>
      <w:r>
        <w:rPr>
          <w:rFonts w:hint="eastAsia" w:asciiTheme="minorEastAsia" w:hAnsiTheme="minorEastAsia" w:eastAsiaTheme="minorEastAsia"/>
          <w:sz w:val="32"/>
          <w:szCs w:val="32"/>
          <w:lang w:val="en-US" w:eastAsia="zh-CN"/>
        </w:rPr>
        <w:t>0.14</w:t>
      </w:r>
      <w:r>
        <w:rPr>
          <w:rFonts w:hint="eastAsia" w:asciiTheme="minorEastAsia" w:hAnsiTheme="minorEastAsia" w:eastAsiaTheme="minorEastAsia"/>
          <w:sz w:val="32"/>
          <w:szCs w:val="32"/>
        </w:rPr>
        <w:t>万元，主要是</w:t>
      </w:r>
      <w:r>
        <w:rPr>
          <w:rFonts w:hint="eastAsia" w:asciiTheme="minorEastAsia" w:hAnsiTheme="minorEastAsia" w:eastAsiaTheme="minorEastAsia"/>
          <w:sz w:val="32"/>
          <w:szCs w:val="32"/>
          <w:lang w:eastAsia="zh-CN"/>
        </w:rPr>
        <w:t>宣传及资料费用</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十一、政府采购支出说明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本部门2021年度政府采购支出总额</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万元，其中：政府采购货物支出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 xml:space="preserve"> 万元、政府采购工程支出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 xml:space="preserve"> 万元、政府采购服务支出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万元。授予中小企业合同金额</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万元，占政府采购支出总额的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%，其中：授予小微企业合同金额</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万元，占授予中小企业合同金额的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%；货物采购授予中小企业合同金额占货物支出金额的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%，工程采购授予中小企业合同金额占工程支出金额的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%，服务采购授予中小企业合同金额占服务支出金额的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十二、国有资产占用情况说明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截至2021年12月31日，部门（单位）共有车辆</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辆，其中，主要领导干部用车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辆，机要通信用车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辆、应急保障用车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辆、执法执勤用车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辆、特种专业技术用车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辆、其他用车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辆；单位价值50万元以上通用设备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台（套）；单位价值100万元以上专用设备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w:t>
      </w:r>
    </w:p>
    <w:p>
      <w:pPr>
        <w:pStyle w:val="10"/>
        <w:rPr>
          <w:rFonts w:hAnsi="黑体"/>
          <w:b/>
          <w:sz w:val="32"/>
          <w:szCs w:val="32"/>
        </w:rPr>
      </w:pPr>
      <w:r>
        <w:rPr>
          <w:rFonts w:hint="eastAsia" w:hAnsi="黑体"/>
          <w:b/>
          <w:sz w:val="32"/>
          <w:szCs w:val="32"/>
        </w:rPr>
        <w:t>十三、2021年度预算绩效情况说明</w:t>
      </w:r>
    </w:p>
    <w:p>
      <w:p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b/>
          <w:color w:val="000000"/>
          <w:kern w:val="0"/>
          <w:sz w:val="32"/>
          <w:szCs w:val="32"/>
        </w:rPr>
        <w:t>（1）绩效管理评价工作开展情况</w:t>
      </w:r>
      <w:r>
        <w:rPr>
          <w:rFonts w:hint="eastAsia" w:cs="黑体" w:asciiTheme="minorEastAsia" w:hAnsiTheme="minorEastAsia"/>
          <w:color w:val="000000"/>
          <w:kern w:val="0"/>
          <w:sz w:val="32"/>
          <w:szCs w:val="32"/>
        </w:rPr>
        <w:t>。</w:t>
      </w:r>
    </w:p>
    <w:p>
      <w:p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根据预算绩效管理要求，我部门组织对</w:t>
      </w:r>
      <w:r>
        <w:rPr>
          <w:rFonts w:cs="黑体" w:asciiTheme="minorEastAsia" w:hAnsiTheme="minorEastAsia"/>
          <w:color w:val="000000"/>
          <w:kern w:val="0"/>
          <w:sz w:val="32"/>
          <w:szCs w:val="32"/>
        </w:rPr>
        <w:t xml:space="preserve">2021 </w:t>
      </w:r>
      <w:r>
        <w:rPr>
          <w:rFonts w:hint="eastAsia" w:cs="黑体" w:asciiTheme="minorEastAsia" w:hAnsiTheme="minorEastAsia"/>
          <w:color w:val="000000"/>
          <w:kern w:val="0"/>
          <w:sz w:val="32"/>
          <w:szCs w:val="32"/>
        </w:rPr>
        <w:t>年度一般公共预算项目支出全面开展绩效自评，其中，一级项目</w:t>
      </w:r>
      <w:r>
        <w:rPr>
          <w:rFonts w:hint="eastAsia" w:cs="黑体" w:asciiTheme="minorEastAsia" w:hAnsiTheme="minorEastAsia"/>
          <w:color w:val="000000"/>
          <w:kern w:val="0"/>
          <w:sz w:val="32"/>
          <w:szCs w:val="32"/>
          <w:lang w:val="en-US" w:eastAsia="zh-CN"/>
        </w:rPr>
        <w:t>1</w:t>
      </w:r>
      <w:r>
        <w:rPr>
          <w:rFonts w:hint="eastAsia" w:cs="黑体" w:asciiTheme="minorEastAsia" w:hAnsiTheme="minorEastAsia"/>
          <w:color w:val="000000"/>
          <w:kern w:val="0"/>
          <w:sz w:val="32"/>
          <w:szCs w:val="32"/>
        </w:rPr>
        <w:t>个，二级项目</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个，共涉及资金</w:t>
      </w:r>
      <w:r>
        <w:rPr>
          <w:rFonts w:hint="eastAsia" w:cs="黑体" w:asciiTheme="minorEastAsia" w:hAnsiTheme="minorEastAsia"/>
          <w:color w:val="000000"/>
          <w:kern w:val="0"/>
          <w:sz w:val="32"/>
          <w:szCs w:val="32"/>
          <w:lang w:val="en-US" w:eastAsia="zh-CN"/>
        </w:rPr>
        <w:t>36</w:t>
      </w:r>
      <w:r>
        <w:rPr>
          <w:rFonts w:cs="黑体" w:asciiTheme="minorEastAsia" w:hAnsiTheme="minorEastAsia"/>
          <w:color w:val="000000"/>
          <w:kern w:val="0"/>
          <w:sz w:val="32"/>
          <w:szCs w:val="32"/>
        </w:rPr>
        <w:t xml:space="preserve"> </w:t>
      </w:r>
      <w:r>
        <w:rPr>
          <w:rFonts w:hint="eastAsia" w:cs="黑体" w:asciiTheme="minorEastAsia" w:hAnsiTheme="minorEastAsia"/>
          <w:color w:val="000000"/>
          <w:kern w:val="0"/>
          <w:sz w:val="32"/>
          <w:szCs w:val="32"/>
        </w:rPr>
        <w:t>万元，占一般公共预算项目支出总额的</w:t>
      </w:r>
      <w:r>
        <w:rPr>
          <w:rFonts w:hint="eastAsia" w:cs="黑体" w:asciiTheme="minorEastAsia" w:hAnsiTheme="minorEastAsia"/>
          <w:color w:val="000000"/>
          <w:kern w:val="0"/>
          <w:sz w:val="32"/>
          <w:szCs w:val="32"/>
          <w:lang w:val="en-US" w:eastAsia="zh-CN"/>
        </w:rPr>
        <w:t>17.14</w:t>
      </w:r>
      <w:r>
        <w:rPr>
          <w:rFonts w:cs="黑体" w:asciiTheme="minorEastAsia" w:hAnsiTheme="minorEastAsia"/>
          <w:color w:val="000000"/>
          <w:kern w:val="0"/>
          <w:sz w:val="32"/>
          <w:szCs w:val="32"/>
        </w:rPr>
        <w:t>%</w:t>
      </w:r>
      <w:r>
        <w:rPr>
          <w:rFonts w:hint="eastAsia" w:cs="黑体" w:asciiTheme="minorEastAsia" w:hAnsiTheme="minorEastAsia"/>
          <w:color w:val="000000"/>
          <w:kern w:val="0"/>
          <w:sz w:val="32"/>
          <w:szCs w:val="32"/>
        </w:rPr>
        <w:t>。组织对</w:t>
      </w:r>
      <w:r>
        <w:rPr>
          <w:rFonts w:cs="黑体" w:asciiTheme="minorEastAsia" w:hAnsiTheme="minorEastAsia"/>
          <w:color w:val="000000"/>
          <w:kern w:val="0"/>
          <w:sz w:val="32"/>
          <w:szCs w:val="32"/>
        </w:rPr>
        <w:t>2021</w:t>
      </w:r>
      <w:r>
        <w:rPr>
          <w:rFonts w:hint="eastAsia" w:cs="黑体" w:asciiTheme="minorEastAsia" w:hAnsiTheme="minorEastAsia"/>
          <w:color w:val="000000"/>
          <w:kern w:val="0"/>
          <w:sz w:val="32"/>
          <w:szCs w:val="32"/>
        </w:rPr>
        <w:t>年度</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个政府性基金预算项目支出开展绩效自评，共涉及资金</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万元，占政府性基金预算项目支出总额的</w:t>
      </w:r>
      <w:r>
        <w:rPr>
          <w:rFonts w:hint="eastAsia" w:cs="黑体" w:asciiTheme="minorEastAsia" w:hAnsiTheme="minorEastAsia"/>
          <w:color w:val="000000"/>
          <w:kern w:val="0"/>
          <w:sz w:val="32"/>
          <w:szCs w:val="32"/>
          <w:lang w:val="en-US" w:eastAsia="zh-CN"/>
        </w:rPr>
        <w:t>0</w:t>
      </w:r>
      <w:r>
        <w:rPr>
          <w:rFonts w:cs="黑体" w:asciiTheme="minorEastAsia" w:hAnsiTheme="minorEastAsia"/>
          <w:color w:val="000000"/>
          <w:kern w:val="0"/>
          <w:sz w:val="32"/>
          <w:szCs w:val="32"/>
        </w:rPr>
        <w:t>%</w:t>
      </w:r>
      <w:r>
        <w:rPr>
          <w:rFonts w:hint="eastAsia" w:cs="黑体" w:asciiTheme="minorEastAsia" w:hAnsiTheme="minorEastAsia"/>
          <w:color w:val="000000"/>
          <w:kern w:val="0"/>
          <w:sz w:val="32"/>
          <w:szCs w:val="32"/>
        </w:rPr>
        <w:t>。组织对</w:t>
      </w:r>
      <w:r>
        <w:rPr>
          <w:rFonts w:cs="黑体" w:asciiTheme="minorEastAsia" w:hAnsiTheme="minorEastAsia"/>
          <w:color w:val="000000"/>
          <w:kern w:val="0"/>
          <w:sz w:val="32"/>
          <w:szCs w:val="32"/>
        </w:rPr>
        <w:t xml:space="preserve">2021 </w:t>
      </w:r>
      <w:r>
        <w:rPr>
          <w:rFonts w:hint="eastAsia" w:cs="黑体" w:asciiTheme="minorEastAsia" w:hAnsiTheme="minorEastAsia"/>
          <w:color w:val="000000"/>
          <w:kern w:val="0"/>
          <w:sz w:val="32"/>
          <w:szCs w:val="32"/>
        </w:rPr>
        <w:t>年度</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个国有资本经营预算项目支出开展绩效自评，共涉及资金</w:t>
      </w:r>
      <w:r>
        <w:rPr>
          <w:rFonts w:hint="eastAsia" w:cs="黑体" w:asciiTheme="minorEastAsia" w:hAnsiTheme="minorEastAsia"/>
          <w:color w:val="000000"/>
          <w:kern w:val="0"/>
          <w:sz w:val="32"/>
          <w:szCs w:val="32"/>
          <w:lang w:val="en-US" w:eastAsia="zh-CN"/>
        </w:rPr>
        <w:t>0</w:t>
      </w:r>
      <w:r>
        <w:rPr>
          <w:rFonts w:cs="黑体" w:asciiTheme="minorEastAsia" w:hAnsiTheme="minorEastAsia"/>
          <w:color w:val="000000"/>
          <w:kern w:val="0"/>
          <w:sz w:val="32"/>
          <w:szCs w:val="32"/>
        </w:rPr>
        <w:t xml:space="preserve"> </w:t>
      </w:r>
      <w:r>
        <w:rPr>
          <w:rFonts w:hint="eastAsia" w:cs="黑体" w:asciiTheme="minorEastAsia" w:hAnsiTheme="minorEastAsia"/>
          <w:color w:val="000000"/>
          <w:kern w:val="0"/>
          <w:sz w:val="32"/>
          <w:szCs w:val="32"/>
        </w:rPr>
        <w:t>万元，占国有资本经营预算项目支出总额的</w:t>
      </w:r>
      <w:r>
        <w:rPr>
          <w:rFonts w:hint="eastAsia" w:cs="黑体" w:asciiTheme="minorEastAsia" w:hAnsiTheme="minorEastAsia"/>
          <w:color w:val="000000"/>
          <w:kern w:val="0"/>
          <w:sz w:val="32"/>
          <w:szCs w:val="32"/>
          <w:lang w:val="en-US" w:eastAsia="zh-CN"/>
        </w:rPr>
        <w:t>0</w:t>
      </w:r>
      <w:r>
        <w:rPr>
          <w:rFonts w:cs="黑体" w:asciiTheme="minorEastAsia" w:hAnsiTheme="minorEastAsia"/>
          <w:color w:val="000000"/>
          <w:kern w:val="0"/>
          <w:sz w:val="32"/>
          <w:szCs w:val="32"/>
        </w:rPr>
        <w:t>%</w:t>
      </w:r>
      <w:r>
        <w:rPr>
          <w:rFonts w:hint="eastAsia" w:cs="黑体" w:asciiTheme="minorEastAsia" w:hAnsiTheme="minorEastAsia"/>
          <w:color w:val="000000"/>
          <w:kern w:val="0"/>
          <w:sz w:val="32"/>
          <w:szCs w:val="32"/>
        </w:rPr>
        <w:t>。</w:t>
      </w:r>
    </w:p>
    <w:p>
      <w:pPr>
        <w:autoSpaceDE w:val="0"/>
        <w:autoSpaceDN w:val="0"/>
        <w:adjustRightInd w:val="0"/>
        <w:ind w:firstLine="640" w:firstLineChars="200"/>
        <w:jc w:val="left"/>
        <w:rPr>
          <w:rFonts w:hint="eastAsia" w:ascii="宋体" w:hAnsi="宋体" w:cs="黑体"/>
          <w:color w:val="000000"/>
          <w:kern w:val="0"/>
          <w:sz w:val="32"/>
          <w:szCs w:val="32"/>
          <w:lang w:eastAsia="zh-CN"/>
        </w:rPr>
      </w:pPr>
      <w:r>
        <w:rPr>
          <w:rFonts w:hint="eastAsia" w:cs="黑体" w:asciiTheme="minorEastAsia" w:hAnsiTheme="minorEastAsia"/>
          <w:color w:val="000000"/>
          <w:kern w:val="0"/>
          <w:sz w:val="32"/>
          <w:szCs w:val="32"/>
        </w:rPr>
        <w:t>组织对</w:t>
      </w:r>
      <w:r>
        <w:rPr>
          <w:rFonts w:hint="eastAsia" w:cs="黑体" w:asciiTheme="minorEastAsia" w:hAnsiTheme="minorEastAsia"/>
          <w:color w:val="000000"/>
          <w:kern w:val="0"/>
          <w:sz w:val="32"/>
          <w:szCs w:val="32"/>
          <w:lang w:eastAsia="zh-CN"/>
        </w:rPr>
        <w:t>“免费开放门票补偿”</w:t>
      </w:r>
      <w:r>
        <w:rPr>
          <w:rFonts w:hint="eastAsia" w:cs="黑体" w:asciiTheme="minorEastAsia" w:hAnsiTheme="minorEastAsia"/>
          <w:color w:val="000000"/>
          <w:kern w:val="0"/>
          <w:sz w:val="32"/>
          <w:szCs w:val="32"/>
        </w:rPr>
        <w:t>等</w:t>
      </w:r>
      <w:r>
        <w:rPr>
          <w:rFonts w:hint="eastAsia" w:cs="黑体" w:asciiTheme="minorEastAsia" w:hAnsiTheme="minorEastAsia"/>
          <w:color w:val="000000"/>
          <w:kern w:val="0"/>
          <w:sz w:val="32"/>
          <w:szCs w:val="32"/>
          <w:lang w:val="en-US" w:eastAsia="zh-CN"/>
        </w:rPr>
        <w:t>1</w:t>
      </w:r>
      <w:r>
        <w:rPr>
          <w:rFonts w:hint="eastAsia" w:cs="黑体" w:asciiTheme="minorEastAsia" w:hAnsiTheme="minorEastAsia"/>
          <w:color w:val="000000"/>
          <w:kern w:val="0"/>
          <w:sz w:val="32"/>
          <w:szCs w:val="32"/>
        </w:rPr>
        <w:t>个项目开展了部门评价，涉及一般公共预算支出</w:t>
      </w:r>
      <w:r>
        <w:rPr>
          <w:rFonts w:hint="eastAsia" w:cs="黑体" w:asciiTheme="minorEastAsia" w:hAnsiTheme="minorEastAsia"/>
          <w:color w:val="000000"/>
          <w:kern w:val="0"/>
          <w:sz w:val="32"/>
          <w:szCs w:val="32"/>
          <w:lang w:val="en-US" w:eastAsia="zh-CN"/>
        </w:rPr>
        <w:t>36</w:t>
      </w:r>
      <w:r>
        <w:rPr>
          <w:rFonts w:hint="eastAsia" w:cs="黑体" w:asciiTheme="minorEastAsia" w:hAnsiTheme="minorEastAsia"/>
          <w:color w:val="000000"/>
          <w:kern w:val="0"/>
          <w:sz w:val="32"/>
          <w:szCs w:val="32"/>
        </w:rPr>
        <w:t>万元，政府性基金预算支出</w:t>
      </w:r>
      <w:r>
        <w:rPr>
          <w:rFonts w:hint="eastAsia" w:cs="黑体" w:asciiTheme="minorEastAsia" w:hAnsiTheme="minorEastAsia"/>
          <w:color w:val="000000"/>
          <w:kern w:val="0"/>
          <w:sz w:val="32"/>
          <w:szCs w:val="32"/>
          <w:lang w:val="en-US" w:eastAsia="zh-CN"/>
        </w:rPr>
        <w:t>0</w:t>
      </w:r>
      <w:r>
        <w:rPr>
          <w:rFonts w:cs="黑体" w:asciiTheme="minorEastAsia" w:hAnsiTheme="minorEastAsia"/>
          <w:color w:val="000000"/>
          <w:kern w:val="0"/>
          <w:sz w:val="32"/>
          <w:szCs w:val="32"/>
        </w:rPr>
        <w:t xml:space="preserve"> </w:t>
      </w:r>
      <w:r>
        <w:rPr>
          <w:rFonts w:hint="eastAsia" w:cs="黑体" w:asciiTheme="minorEastAsia" w:hAnsiTheme="minorEastAsia"/>
          <w:color w:val="000000"/>
          <w:kern w:val="0"/>
          <w:sz w:val="32"/>
          <w:szCs w:val="32"/>
        </w:rPr>
        <w:t>万元，国有资本经营预算支出</w:t>
      </w:r>
      <w:r>
        <w:rPr>
          <w:rFonts w:hint="eastAsia" w:cs="黑体" w:asciiTheme="minorEastAsia" w:hAnsiTheme="minorEastAsia"/>
          <w:color w:val="000000"/>
          <w:kern w:val="0"/>
          <w:sz w:val="32"/>
          <w:szCs w:val="32"/>
          <w:lang w:val="en-US" w:eastAsia="zh-CN"/>
        </w:rPr>
        <w:t>0</w:t>
      </w:r>
      <w:r>
        <w:rPr>
          <w:rFonts w:cs="黑体" w:asciiTheme="minorEastAsia" w:hAnsiTheme="minorEastAsia"/>
          <w:color w:val="000000"/>
          <w:kern w:val="0"/>
          <w:sz w:val="32"/>
          <w:szCs w:val="32"/>
        </w:rPr>
        <w:t xml:space="preserve"> </w:t>
      </w:r>
      <w:r>
        <w:rPr>
          <w:rFonts w:hint="eastAsia" w:cs="黑体" w:asciiTheme="minorEastAsia" w:hAnsiTheme="minorEastAsia"/>
          <w:color w:val="000000"/>
          <w:kern w:val="0"/>
          <w:sz w:val="32"/>
          <w:szCs w:val="32"/>
        </w:rPr>
        <w:t>万元。从评价情况来看</w:t>
      </w:r>
      <w:r>
        <w:rPr>
          <w:rFonts w:hint="eastAsia" w:cs="黑体" w:asciiTheme="minorEastAsia" w:hAnsiTheme="minorEastAsia"/>
          <w:color w:val="000000"/>
          <w:kern w:val="0"/>
          <w:sz w:val="32"/>
          <w:szCs w:val="32"/>
          <w:lang w:eastAsia="zh-CN"/>
        </w:rPr>
        <w:t>：</w:t>
      </w:r>
      <w:r>
        <w:rPr>
          <w:rFonts w:hint="eastAsia" w:ascii="宋体" w:hAnsi="宋体" w:cs="黑体"/>
          <w:color w:val="000000"/>
          <w:kern w:val="0"/>
          <w:sz w:val="32"/>
          <w:szCs w:val="32"/>
        </w:rPr>
        <w:fldChar w:fldCharType="begin"/>
      </w:r>
      <w:r>
        <w:rPr>
          <w:rFonts w:hint="eastAsia" w:ascii="宋体" w:hAnsi="宋体" w:cs="黑体"/>
          <w:color w:val="000000"/>
          <w:kern w:val="0"/>
          <w:sz w:val="32"/>
          <w:szCs w:val="32"/>
        </w:rPr>
        <w:instrText xml:space="preserve"> = 1 \* GB3 \* MERGEFORMAT </w:instrText>
      </w:r>
      <w:r>
        <w:rPr>
          <w:rFonts w:hint="eastAsia" w:ascii="宋体" w:hAnsi="宋体" w:cs="黑体"/>
          <w:color w:val="000000"/>
          <w:kern w:val="0"/>
          <w:sz w:val="32"/>
          <w:szCs w:val="32"/>
        </w:rPr>
        <w:fldChar w:fldCharType="separate"/>
      </w:r>
      <w:r>
        <w:t>①</w:t>
      </w:r>
      <w:r>
        <w:rPr>
          <w:rFonts w:hint="eastAsia" w:ascii="宋体" w:hAnsi="宋体" w:cs="黑体"/>
          <w:color w:val="000000"/>
          <w:kern w:val="0"/>
          <w:sz w:val="32"/>
          <w:szCs w:val="32"/>
        </w:rPr>
        <w:fldChar w:fldCharType="end"/>
      </w:r>
      <w:r>
        <w:rPr>
          <w:rFonts w:hint="eastAsia" w:ascii="宋体" w:hAnsi="宋体" w:cs="黑体"/>
          <w:color w:val="000000"/>
          <w:kern w:val="0"/>
          <w:sz w:val="32"/>
          <w:szCs w:val="32"/>
        </w:rPr>
        <w:t>东台山国家森林公园为免费开放的公园，</w:t>
      </w:r>
      <w:r>
        <w:rPr>
          <w:rFonts w:hint="eastAsia" w:ascii="宋体" w:hAnsi="宋体" w:cs="黑体"/>
          <w:color w:val="000000"/>
          <w:kern w:val="0"/>
          <w:sz w:val="32"/>
          <w:szCs w:val="32"/>
          <w:lang w:eastAsia="zh-CN"/>
        </w:rPr>
        <w:t>因疫情影响，</w:t>
      </w:r>
      <w:r>
        <w:rPr>
          <w:rFonts w:hint="eastAsia" w:ascii="宋体" w:hAnsi="宋体" w:cs="黑体"/>
          <w:color w:val="000000"/>
          <w:kern w:val="0"/>
          <w:sz w:val="32"/>
          <w:szCs w:val="32"/>
        </w:rPr>
        <w:t>今年共接待游客</w:t>
      </w:r>
      <w:r>
        <w:rPr>
          <w:rFonts w:hint="eastAsia" w:ascii="宋体" w:hAnsi="宋体" w:cs="黑体"/>
          <w:color w:val="000000"/>
          <w:kern w:val="0"/>
          <w:sz w:val="32"/>
          <w:szCs w:val="32"/>
          <w:lang w:val="en-US" w:eastAsia="zh-CN"/>
        </w:rPr>
        <w:t>2</w:t>
      </w:r>
      <w:r>
        <w:rPr>
          <w:rFonts w:hint="eastAsia" w:ascii="宋体" w:hAnsi="宋体" w:cs="黑体"/>
          <w:color w:val="000000"/>
          <w:kern w:val="0"/>
          <w:sz w:val="32"/>
          <w:szCs w:val="32"/>
        </w:rPr>
        <w:t>8万余人次，成为了长株潭市民休闲健身的理想场所。公园的发展带动了周边的产业经济发展，公园周边有四星、五星级农家乐如明月山庄、起风山庄、和源等5家，</w:t>
      </w:r>
      <w:r>
        <w:rPr>
          <w:rFonts w:hint="eastAsia" w:ascii="宋体" w:hAnsi="宋体" w:cs="黑体"/>
          <w:color w:val="000000"/>
          <w:kern w:val="0"/>
          <w:sz w:val="32"/>
          <w:szCs w:val="32"/>
          <w:lang w:eastAsia="zh-CN"/>
        </w:rPr>
        <w:t>农家乐总计十余家，</w:t>
      </w:r>
      <w:r>
        <w:rPr>
          <w:rFonts w:hint="eastAsia" w:ascii="宋体" w:hAnsi="宋体" w:cs="黑体"/>
          <w:color w:val="000000"/>
          <w:kern w:val="0"/>
          <w:sz w:val="32"/>
          <w:szCs w:val="32"/>
        </w:rPr>
        <w:t>目前安排就业</w:t>
      </w:r>
      <w:r>
        <w:rPr>
          <w:rFonts w:hint="eastAsia" w:ascii="宋体" w:hAnsi="宋体" w:cs="黑体"/>
          <w:color w:val="000000"/>
          <w:kern w:val="0"/>
          <w:sz w:val="32"/>
          <w:szCs w:val="32"/>
          <w:lang w:val="en-US" w:eastAsia="zh-CN"/>
        </w:rPr>
        <w:t>117</w:t>
      </w:r>
      <w:r>
        <w:rPr>
          <w:rFonts w:hint="eastAsia" w:ascii="宋体" w:hAnsi="宋体" w:cs="黑体"/>
          <w:color w:val="000000"/>
          <w:kern w:val="0"/>
          <w:sz w:val="32"/>
          <w:szCs w:val="32"/>
        </w:rPr>
        <w:t>人，202</w:t>
      </w:r>
      <w:r>
        <w:rPr>
          <w:rFonts w:hint="eastAsia" w:ascii="宋体" w:hAnsi="宋体" w:cs="黑体"/>
          <w:color w:val="000000"/>
          <w:kern w:val="0"/>
          <w:sz w:val="32"/>
          <w:szCs w:val="32"/>
          <w:lang w:val="en-US" w:eastAsia="zh-CN"/>
        </w:rPr>
        <w:t>1</w:t>
      </w:r>
      <w:r>
        <w:rPr>
          <w:rFonts w:hint="eastAsia" w:ascii="宋体" w:hAnsi="宋体" w:cs="黑体"/>
          <w:color w:val="000000"/>
          <w:kern w:val="0"/>
          <w:sz w:val="32"/>
          <w:szCs w:val="32"/>
        </w:rPr>
        <w:t>年带动周边经济收入达到了</w:t>
      </w:r>
      <w:r>
        <w:rPr>
          <w:rFonts w:hint="eastAsia" w:ascii="宋体" w:hAnsi="宋体" w:cs="黑体"/>
          <w:color w:val="000000"/>
          <w:kern w:val="0"/>
          <w:sz w:val="32"/>
          <w:szCs w:val="32"/>
          <w:lang w:val="en-US" w:eastAsia="zh-CN"/>
        </w:rPr>
        <w:t>200余</w:t>
      </w:r>
      <w:r>
        <w:rPr>
          <w:rFonts w:hint="eastAsia" w:ascii="宋体" w:hAnsi="宋体" w:cs="黑体"/>
          <w:color w:val="000000"/>
          <w:kern w:val="0"/>
          <w:sz w:val="32"/>
          <w:szCs w:val="32"/>
        </w:rPr>
        <w:t>万元。</w:t>
      </w:r>
      <w:r>
        <w:rPr>
          <w:rFonts w:hint="eastAsia" w:ascii="宋体" w:hAnsi="宋体" w:cs="黑体"/>
          <w:color w:val="000000"/>
          <w:kern w:val="0"/>
          <w:sz w:val="32"/>
          <w:szCs w:val="32"/>
        </w:rPr>
        <w:fldChar w:fldCharType="begin"/>
      </w:r>
      <w:r>
        <w:rPr>
          <w:rFonts w:hint="eastAsia" w:ascii="宋体" w:hAnsi="宋体" w:cs="黑体"/>
          <w:color w:val="000000"/>
          <w:kern w:val="0"/>
          <w:sz w:val="32"/>
          <w:szCs w:val="32"/>
        </w:rPr>
        <w:instrText xml:space="preserve"> = 2 \* GB3 \* MERGEFORMAT </w:instrText>
      </w:r>
      <w:r>
        <w:rPr>
          <w:rFonts w:hint="eastAsia" w:ascii="宋体" w:hAnsi="宋体" w:cs="黑体"/>
          <w:color w:val="000000"/>
          <w:kern w:val="0"/>
          <w:sz w:val="32"/>
          <w:szCs w:val="32"/>
        </w:rPr>
        <w:fldChar w:fldCharType="separate"/>
      </w:r>
      <w:r>
        <w:t>②</w:t>
      </w:r>
      <w:r>
        <w:rPr>
          <w:rFonts w:hint="eastAsia" w:ascii="宋体" w:hAnsi="宋体" w:cs="黑体"/>
          <w:color w:val="000000"/>
          <w:kern w:val="0"/>
          <w:sz w:val="32"/>
          <w:szCs w:val="32"/>
        </w:rPr>
        <w:fldChar w:fldCharType="end"/>
      </w:r>
      <w:r>
        <w:rPr>
          <w:rFonts w:hint="eastAsia" w:ascii="宋体" w:hAnsi="宋体" w:cs="黑体"/>
          <w:color w:val="000000"/>
          <w:kern w:val="0"/>
          <w:sz w:val="32"/>
          <w:szCs w:val="32"/>
        </w:rPr>
        <w:t>今年公园对新造林和中幼林基地及公路两旁进行了二次全面的抚育，同时对公路和游步道沿线、烈士纪念园、各景点周边的绿化带进行了修剪和杂草清除，抚育面积为近200亩，投入资金9万多元。通过除草、清灌，抚育、修剪等方式提高林分质量，提高林木美观度。</w:t>
      </w:r>
      <w:r>
        <w:rPr>
          <w:rFonts w:hint="eastAsia" w:ascii="宋体" w:hAnsi="宋体" w:cs="黑体"/>
          <w:color w:val="000000"/>
          <w:kern w:val="0"/>
          <w:sz w:val="32"/>
          <w:szCs w:val="32"/>
        </w:rPr>
        <w:fldChar w:fldCharType="begin"/>
      </w:r>
      <w:r>
        <w:rPr>
          <w:rFonts w:hint="eastAsia" w:ascii="宋体" w:hAnsi="宋体" w:cs="黑体"/>
          <w:color w:val="000000"/>
          <w:kern w:val="0"/>
          <w:sz w:val="32"/>
          <w:szCs w:val="32"/>
        </w:rPr>
        <w:instrText xml:space="preserve"> = 3 \* GB3 \* MERGEFORMAT </w:instrText>
      </w:r>
      <w:r>
        <w:rPr>
          <w:rFonts w:hint="eastAsia" w:ascii="宋体" w:hAnsi="宋体" w:cs="黑体"/>
          <w:color w:val="000000"/>
          <w:kern w:val="0"/>
          <w:sz w:val="32"/>
          <w:szCs w:val="32"/>
        </w:rPr>
        <w:fldChar w:fldCharType="separate"/>
      </w:r>
      <w:r>
        <w:t>③</w:t>
      </w:r>
      <w:r>
        <w:rPr>
          <w:rFonts w:hint="eastAsia" w:ascii="宋体" w:hAnsi="宋体" w:cs="黑体"/>
          <w:color w:val="000000"/>
          <w:kern w:val="0"/>
          <w:sz w:val="32"/>
          <w:szCs w:val="32"/>
        </w:rPr>
        <w:fldChar w:fldCharType="end"/>
      </w:r>
      <w:r>
        <w:rPr>
          <w:rFonts w:hint="eastAsia" w:ascii="宋体" w:hAnsi="宋体" w:cs="黑体"/>
          <w:color w:val="000000"/>
          <w:kern w:val="0"/>
          <w:sz w:val="32"/>
          <w:szCs w:val="32"/>
        </w:rPr>
        <w:t>、病虫害</w:t>
      </w:r>
      <w:r>
        <w:rPr>
          <w:rFonts w:hint="eastAsia" w:ascii="宋体" w:hAnsi="宋体" w:cs="黑体"/>
          <w:color w:val="000000"/>
          <w:kern w:val="0"/>
          <w:sz w:val="32"/>
          <w:szCs w:val="32"/>
          <w:lang w:eastAsia="zh-CN"/>
        </w:rPr>
        <w:t>得到有效遏制。</w:t>
      </w:r>
    </w:p>
    <w:p>
      <w:pPr>
        <w:spacing w:line="360" w:lineRule="auto"/>
        <w:ind w:firstLine="640" w:firstLineChars="200"/>
        <w:rPr>
          <w:rFonts w:hint="eastAsia" w:ascii="宋体" w:hAnsi="宋体" w:cs="黑体"/>
          <w:color w:val="000000"/>
          <w:kern w:val="0"/>
          <w:sz w:val="32"/>
          <w:szCs w:val="32"/>
          <w:lang w:val="en-US" w:eastAsia="zh-CN"/>
        </w:rPr>
      </w:pPr>
      <w:r>
        <w:rPr>
          <w:rFonts w:hint="eastAsia" w:ascii="宋体" w:hAnsi="宋体" w:cs="黑体"/>
          <w:color w:val="000000"/>
          <w:kern w:val="0"/>
          <w:sz w:val="32"/>
          <w:szCs w:val="32"/>
        </w:rPr>
        <w:t>组织对“</w:t>
      </w:r>
      <w:r>
        <w:rPr>
          <w:rFonts w:hint="eastAsia" w:ascii="宋体" w:hAnsi="宋体" w:cs="黑体"/>
          <w:color w:val="000000"/>
          <w:kern w:val="0"/>
          <w:sz w:val="32"/>
          <w:szCs w:val="32"/>
          <w:lang w:eastAsia="zh-CN"/>
        </w:rPr>
        <w:t>湘乡市东台山国家森林公园</w:t>
      </w:r>
      <w:r>
        <w:rPr>
          <w:rFonts w:hint="eastAsia" w:ascii="宋体" w:hAnsi="宋体" w:cs="黑体"/>
          <w:color w:val="000000"/>
          <w:kern w:val="0"/>
          <w:sz w:val="32"/>
          <w:szCs w:val="32"/>
        </w:rPr>
        <w:t>”等</w:t>
      </w:r>
      <w:r>
        <w:rPr>
          <w:rFonts w:hint="eastAsia" w:ascii="宋体" w:hAnsi="宋体" w:cs="黑体"/>
          <w:color w:val="000000"/>
          <w:kern w:val="0"/>
          <w:sz w:val="32"/>
          <w:szCs w:val="32"/>
          <w:lang w:val="en-US" w:eastAsia="zh-CN"/>
        </w:rPr>
        <w:t>1</w:t>
      </w:r>
      <w:r>
        <w:rPr>
          <w:rFonts w:hint="eastAsia" w:ascii="宋体" w:hAnsi="宋体" w:cs="黑体"/>
          <w:color w:val="000000"/>
          <w:kern w:val="0"/>
          <w:sz w:val="32"/>
          <w:szCs w:val="32"/>
        </w:rPr>
        <w:t>个单位开展整体支出绩效评价，涉及一般公共预算支出</w:t>
      </w:r>
      <w:r>
        <w:rPr>
          <w:rFonts w:hint="eastAsia" w:ascii="宋体" w:hAnsi="宋体" w:cs="黑体"/>
          <w:color w:val="000000"/>
          <w:kern w:val="0"/>
          <w:sz w:val="32"/>
          <w:szCs w:val="32"/>
          <w:lang w:val="en-US" w:eastAsia="zh-CN"/>
        </w:rPr>
        <w:t>210.08</w:t>
      </w:r>
      <w:r>
        <w:rPr>
          <w:rFonts w:hint="eastAsia" w:ascii="宋体" w:hAnsi="宋体" w:cs="黑体"/>
          <w:color w:val="000000"/>
          <w:kern w:val="0"/>
          <w:sz w:val="32"/>
          <w:szCs w:val="32"/>
        </w:rPr>
        <w:t>万元</w:t>
      </w:r>
      <w:r>
        <w:rPr>
          <w:rFonts w:hint="eastAsia" w:cs="黑体" w:asciiTheme="minorEastAsia" w:hAnsiTheme="minorEastAsia"/>
          <w:color w:val="000000"/>
          <w:kern w:val="0"/>
          <w:sz w:val="32"/>
          <w:szCs w:val="32"/>
        </w:rPr>
        <w:t>，政府性基金预算支出</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万元</w:t>
      </w:r>
      <w:r>
        <w:rPr>
          <w:rFonts w:hint="eastAsia" w:ascii="宋体" w:hAnsi="宋体" w:cs="黑体"/>
          <w:color w:val="000000"/>
          <w:kern w:val="0"/>
          <w:sz w:val="32"/>
          <w:szCs w:val="32"/>
        </w:rPr>
        <w:t>。从评价情况来看</w:t>
      </w:r>
      <w:r>
        <w:rPr>
          <w:rFonts w:hint="eastAsia" w:ascii="宋体" w:hAnsi="宋体" w:cs="黑体"/>
          <w:color w:val="000000"/>
          <w:kern w:val="0"/>
          <w:sz w:val="32"/>
          <w:szCs w:val="32"/>
          <w:lang w:eastAsia="zh-CN"/>
        </w:rPr>
        <w:t>：单位积极完成上级交办的各项事务，积极履行单位职责职能，主要表现为以下几点：</w:t>
      </w:r>
      <w:r>
        <w:rPr>
          <w:rFonts w:hint="eastAsia" w:ascii="宋体" w:hAnsi="宋体" w:cs="黑体"/>
          <w:color w:val="000000"/>
          <w:kern w:val="0"/>
          <w:sz w:val="32"/>
          <w:szCs w:val="32"/>
          <w:lang w:eastAsia="zh-CN"/>
        </w:rPr>
        <w:fldChar w:fldCharType="begin"/>
      </w:r>
      <w:r>
        <w:rPr>
          <w:rFonts w:hint="eastAsia" w:ascii="宋体" w:hAnsi="宋体" w:cs="黑体"/>
          <w:color w:val="000000"/>
          <w:kern w:val="0"/>
          <w:sz w:val="32"/>
          <w:szCs w:val="32"/>
          <w:lang w:eastAsia="zh-CN"/>
        </w:rPr>
        <w:instrText xml:space="preserve"> = 1 \* GB3 \* MERGEFORMAT </w:instrText>
      </w:r>
      <w:r>
        <w:rPr>
          <w:rFonts w:hint="eastAsia" w:ascii="宋体" w:hAnsi="宋体" w:cs="黑体"/>
          <w:color w:val="000000"/>
          <w:kern w:val="0"/>
          <w:sz w:val="32"/>
          <w:szCs w:val="32"/>
          <w:lang w:eastAsia="zh-CN"/>
        </w:rPr>
        <w:fldChar w:fldCharType="separate"/>
      </w:r>
      <w:r>
        <w:rPr>
          <w:rFonts w:hint="eastAsia" w:ascii="宋体" w:hAnsi="宋体" w:cs="黑体"/>
          <w:color w:val="000000"/>
          <w:kern w:val="0"/>
          <w:sz w:val="32"/>
          <w:szCs w:val="32"/>
          <w:lang w:eastAsia="zh-CN"/>
        </w:rPr>
        <w:t>①</w:t>
      </w:r>
      <w:r>
        <w:rPr>
          <w:rFonts w:hint="eastAsia" w:ascii="宋体" w:hAnsi="宋体" w:cs="黑体"/>
          <w:color w:val="000000"/>
          <w:kern w:val="0"/>
          <w:sz w:val="32"/>
          <w:szCs w:val="32"/>
          <w:lang w:eastAsia="zh-CN"/>
        </w:rPr>
        <w:fldChar w:fldCharType="end"/>
      </w:r>
      <w:r>
        <w:rPr>
          <w:rFonts w:hint="eastAsia" w:ascii="宋体" w:hAnsi="宋体" w:cs="黑体"/>
          <w:color w:val="000000"/>
          <w:kern w:val="0"/>
          <w:sz w:val="32"/>
          <w:szCs w:val="32"/>
          <w:lang w:eastAsia="zh-CN"/>
        </w:rPr>
        <w:t>多措并举，保证新冠肺炎防控工作有序开展 ；</w:t>
      </w:r>
      <w:r>
        <w:rPr>
          <w:rFonts w:hint="eastAsia" w:ascii="宋体" w:hAnsi="宋体" w:cs="黑体"/>
          <w:color w:val="000000"/>
          <w:kern w:val="0"/>
          <w:sz w:val="32"/>
          <w:szCs w:val="32"/>
          <w:lang w:eastAsia="zh-CN"/>
        </w:rPr>
        <w:fldChar w:fldCharType="begin"/>
      </w:r>
      <w:r>
        <w:rPr>
          <w:rFonts w:hint="eastAsia" w:ascii="宋体" w:hAnsi="宋体" w:cs="黑体"/>
          <w:color w:val="000000"/>
          <w:kern w:val="0"/>
          <w:sz w:val="32"/>
          <w:szCs w:val="32"/>
          <w:lang w:eastAsia="zh-CN"/>
        </w:rPr>
        <w:instrText xml:space="preserve"> = 2 \* GB3 \* MERGEFORMAT </w:instrText>
      </w:r>
      <w:r>
        <w:rPr>
          <w:rFonts w:hint="eastAsia" w:ascii="宋体" w:hAnsi="宋体" w:cs="黑体"/>
          <w:color w:val="000000"/>
          <w:kern w:val="0"/>
          <w:sz w:val="32"/>
          <w:szCs w:val="32"/>
          <w:lang w:eastAsia="zh-CN"/>
        </w:rPr>
        <w:fldChar w:fldCharType="separate"/>
      </w:r>
      <w:r>
        <w:rPr>
          <w:rFonts w:hint="eastAsia" w:ascii="宋体" w:hAnsi="宋体" w:cs="黑体"/>
          <w:color w:val="000000"/>
          <w:kern w:val="0"/>
          <w:sz w:val="32"/>
          <w:szCs w:val="32"/>
          <w:lang w:eastAsia="zh-CN"/>
        </w:rPr>
        <w:t>②</w:t>
      </w:r>
      <w:r>
        <w:rPr>
          <w:rFonts w:hint="eastAsia" w:ascii="宋体" w:hAnsi="宋体" w:cs="黑体"/>
          <w:color w:val="000000"/>
          <w:kern w:val="0"/>
          <w:sz w:val="32"/>
          <w:szCs w:val="32"/>
          <w:lang w:eastAsia="zh-CN"/>
        </w:rPr>
        <w:fldChar w:fldCharType="end"/>
      </w:r>
      <w:r>
        <w:rPr>
          <w:rFonts w:hint="eastAsia" w:ascii="宋体" w:hAnsi="宋体" w:cs="黑体"/>
          <w:color w:val="000000"/>
          <w:kern w:val="0"/>
          <w:sz w:val="32"/>
          <w:szCs w:val="32"/>
          <w:lang w:eastAsia="zh-CN"/>
        </w:rPr>
        <w:t>齐抓共管森林防火，确保了森林资源的安全和完整；</w:t>
      </w:r>
      <w:r>
        <w:rPr>
          <w:rFonts w:hint="eastAsia" w:ascii="宋体" w:hAnsi="宋体" w:cs="黑体"/>
          <w:color w:val="000000"/>
          <w:kern w:val="0"/>
          <w:sz w:val="32"/>
          <w:szCs w:val="32"/>
          <w:lang w:eastAsia="zh-CN"/>
        </w:rPr>
        <w:fldChar w:fldCharType="begin"/>
      </w:r>
      <w:r>
        <w:rPr>
          <w:rFonts w:hint="eastAsia" w:ascii="宋体" w:hAnsi="宋体" w:cs="黑体"/>
          <w:color w:val="000000"/>
          <w:kern w:val="0"/>
          <w:sz w:val="32"/>
          <w:szCs w:val="32"/>
          <w:lang w:eastAsia="zh-CN"/>
        </w:rPr>
        <w:instrText xml:space="preserve"> = 3 \* GB3 \* MERGEFORMAT </w:instrText>
      </w:r>
      <w:r>
        <w:rPr>
          <w:rFonts w:hint="eastAsia" w:ascii="宋体" w:hAnsi="宋体" w:cs="黑体"/>
          <w:color w:val="000000"/>
          <w:kern w:val="0"/>
          <w:sz w:val="32"/>
          <w:szCs w:val="32"/>
          <w:lang w:eastAsia="zh-CN"/>
        </w:rPr>
        <w:fldChar w:fldCharType="separate"/>
      </w:r>
      <w:r>
        <w:rPr>
          <w:rFonts w:hint="eastAsia" w:ascii="宋体" w:hAnsi="宋体" w:cs="黑体"/>
          <w:color w:val="000000"/>
          <w:kern w:val="0"/>
          <w:sz w:val="32"/>
          <w:szCs w:val="32"/>
          <w:lang w:eastAsia="zh-CN"/>
        </w:rPr>
        <w:t>③</w:t>
      </w:r>
      <w:r>
        <w:rPr>
          <w:rFonts w:hint="eastAsia" w:ascii="宋体" w:hAnsi="宋体" w:cs="黑体"/>
          <w:color w:val="000000"/>
          <w:kern w:val="0"/>
          <w:sz w:val="32"/>
          <w:szCs w:val="32"/>
          <w:lang w:eastAsia="zh-CN"/>
        </w:rPr>
        <w:fldChar w:fldCharType="end"/>
      </w:r>
      <w:r>
        <w:rPr>
          <w:rFonts w:hint="eastAsia" w:ascii="宋体" w:hAnsi="宋体" w:cs="黑体"/>
          <w:color w:val="000000"/>
          <w:kern w:val="0"/>
          <w:sz w:val="32"/>
          <w:szCs w:val="32"/>
          <w:lang w:eastAsia="zh-CN"/>
        </w:rPr>
        <w:t>加强林场的森林资源的保护和管理，启动东山国有林场确权勘界工作；</w:t>
      </w:r>
      <w:r>
        <w:rPr>
          <w:rFonts w:hint="eastAsia" w:ascii="宋体" w:hAnsi="宋体" w:cs="黑体"/>
          <w:color w:val="000000"/>
          <w:kern w:val="0"/>
          <w:sz w:val="32"/>
          <w:szCs w:val="32"/>
          <w:lang w:eastAsia="zh-CN"/>
        </w:rPr>
        <w:fldChar w:fldCharType="begin"/>
      </w:r>
      <w:r>
        <w:rPr>
          <w:rFonts w:hint="eastAsia" w:ascii="宋体" w:hAnsi="宋体" w:cs="黑体"/>
          <w:color w:val="000000"/>
          <w:kern w:val="0"/>
          <w:sz w:val="32"/>
          <w:szCs w:val="32"/>
          <w:lang w:eastAsia="zh-CN"/>
        </w:rPr>
        <w:instrText xml:space="preserve"> = 4 \* GB3 \* MERGEFORMAT </w:instrText>
      </w:r>
      <w:r>
        <w:rPr>
          <w:rFonts w:hint="eastAsia" w:ascii="宋体" w:hAnsi="宋体" w:cs="黑体"/>
          <w:color w:val="000000"/>
          <w:kern w:val="0"/>
          <w:sz w:val="32"/>
          <w:szCs w:val="32"/>
          <w:lang w:eastAsia="zh-CN"/>
        </w:rPr>
        <w:fldChar w:fldCharType="separate"/>
      </w:r>
      <w:r>
        <w:rPr>
          <w:rFonts w:hint="eastAsia" w:ascii="宋体" w:hAnsi="宋体" w:cs="黑体"/>
          <w:color w:val="000000"/>
          <w:kern w:val="0"/>
          <w:sz w:val="32"/>
          <w:szCs w:val="32"/>
          <w:lang w:eastAsia="zh-CN"/>
        </w:rPr>
        <w:t>④</w:t>
      </w:r>
      <w:r>
        <w:rPr>
          <w:rFonts w:hint="eastAsia" w:ascii="宋体" w:hAnsi="宋体" w:cs="黑体"/>
          <w:color w:val="000000"/>
          <w:kern w:val="0"/>
          <w:sz w:val="32"/>
          <w:szCs w:val="32"/>
          <w:lang w:eastAsia="zh-CN"/>
        </w:rPr>
        <w:fldChar w:fldCharType="end"/>
      </w:r>
      <w:r>
        <w:rPr>
          <w:rFonts w:hint="eastAsia" w:ascii="宋体" w:hAnsi="宋体" w:cs="黑体"/>
          <w:color w:val="000000"/>
          <w:kern w:val="0"/>
          <w:sz w:val="32"/>
          <w:szCs w:val="32"/>
          <w:lang w:eastAsia="zh-CN"/>
        </w:rPr>
        <w:t>狠抓落实，积极推行林长制工作；</w:t>
      </w:r>
      <w:r>
        <w:rPr>
          <w:rFonts w:hint="eastAsia" w:ascii="宋体" w:hAnsi="宋体" w:cs="黑体"/>
          <w:color w:val="000000"/>
          <w:kern w:val="0"/>
          <w:sz w:val="32"/>
          <w:szCs w:val="32"/>
          <w:lang w:eastAsia="zh-CN"/>
        </w:rPr>
        <w:fldChar w:fldCharType="begin"/>
      </w:r>
      <w:r>
        <w:rPr>
          <w:rFonts w:hint="eastAsia" w:ascii="宋体" w:hAnsi="宋体" w:cs="黑体"/>
          <w:color w:val="000000"/>
          <w:kern w:val="0"/>
          <w:sz w:val="32"/>
          <w:szCs w:val="32"/>
          <w:lang w:eastAsia="zh-CN"/>
        </w:rPr>
        <w:instrText xml:space="preserve"> = 5 \* GB3 \* MERGEFORMAT </w:instrText>
      </w:r>
      <w:r>
        <w:rPr>
          <w:rFonts w:hint="eastAsia" w:ascii="宋体" w:hAnsi="宋体" w:cs="黑体"/>
          <w:color w:val="000000"/>
          <w:kern w:val="0"/>
          <w:sz w:val="32"/>
          <w:szCs w:val="32"/>
          <w:lang w:eastAsia="zh-CN"/>
        </w:rPr>
        <w:fldChar w:fldCharType="separate"/>
      </w:r>
      <w:r>
        <w:rPr>
          <w:rFonts w:hint="eastAsia" w:ascii="宋体" w:hAnsi="宋体" w:cs="黑体"/>
          <w:color w:val="000000"/>
          <w:kern w:val="0"/>
          <w:sz w:val="32"/>
          <w:szCs w:val="32"/>
          <w:lang w:eastAsia="zh-CN"/>
        </w:rPr>
        <w:t>⑤</w:t>
      </w:r>
      <w:r>
        <w:rPr>
          <w:rFonts w:hint="eastAsia" w:ascii="宋体" w:hAnsi="宋体" w:cs="黑体"/>
          <w:color w:val="000000"/>
          <w:kern w:val="0"/>
          <w:sz w:val="32"/>
          <w:szCs w:val="32"/>
          <w:lang w:eastAsia="zh-CN"/>
        </w:rPr>
        <w:fldChar w:fldCharType="end"/>
      </w:r>
      <w:r>
        <w:rPr>
          <w:rFonts w:hint="eastAsia" w:ascii="宋体" w:hAnsi="宋体" w:cs="黑体"/>
          <w:color w:val="000000"/>
          <w:kern w:val="0"/>
          <w:sz w:val="32"/>
          <w:szCs w:val="32"/>
          <w:lang w:eastAsia="zh-CN"/>
        </w:rPr>
        <w:t>积极践行习近平总书记的生态发展观，全力推行义务植树活动；</w:t>
      </w:r>
      <w:r>
        <w:rPr>
          <w:rFonts w:hint="eastAsia" w:ascii="宋体" w:hAnsi="宋体" w:cs="黑体"/>
          <w:color w:val="000000"/>
          <w:kern w:val="0"/>
          <w:sz w:val="32"/>
          <w:szCs w:val="32"/>
          <w:lang w:val="en-US" w:eastAsia="zh-CN"/>
        </w:rPr>
        <w:t>聚焦“双碳标准”，推进零碳公园建设；</w:t>
      </w:r>
      <w:r>
        <w:rPr>
          <w:rFonts w:hint="eastAsia" w:ascii="宋体" w:hAnsi="宋体" w:cs="黑体"/>
          <w:color w:val="000000"/>
          <w:kern w:val="0"/>
          <w:sz w:val="32"/>
          <w:szCs w:val="32"/>
          <w:lang w:val="en-US" w:eastAsia="zh-CN"/>
        </w:rPr>
        <w:fldChar w:fldCharType="begin"/>
      </w:r>
      <w:r>
        <w:rPr>
          <w:rFonts w:hint="eastAsia" w:ascii="宋体" w:hAnsi="宋体" w:cs="黑体"/>
          <w:color w:val="000000"/>
          <w:kern w:val="0"/>
          <w:sz w:val="32"/>
          <w:szCs w:val="32"/>
          <w:lang w:val="en-US" w:eastAsia="zh-CN"/>
        </w:rPr>
        <w:instrText xml:space="preserve"> = 6 \* GB3 \* MERGEFORMAT </w:instrText>
      </w:r>
      <w:r>
        <w:rPr>
          <w:rFonts w:hint="eastAsia" w:ascii="宋体" w:hAnsi="宋体" w:cs="黑体"/>
          <w:color w:val="000000"/>
          <w:kern w:val="0"/>
          <w:sz w:val="32"/>
          <w:szCs w:val="32"/>
          <w:lang w:val="en-US" w:eastAsia="zh-CN"/>
        </w:rPr>
        <w:fldChar w:fldCharType="separate"/>
      </w:r>
      <w:r>
        <w:rPr>
          <w:rFonts w:hint="eastAsia" w:ascii="宋体" w:hAnsi="宋体" w:cs="黑体"/>
          <w:color w:val="000000"/>
          <w:kern w:val="0"/>
          <w:sz w:val="32"/>
          <w:szCs w:val="32"/>
          <w:lang w:eastAsia="zh-CN"/>
        </w:rPr>
        <w:t>⑥</w:t>
      </w:r>
      <w:r>
        <w:rPr>
          <w:rFonts w:hint="eastAsia" w:ascii="宋体" w:hAnsi="宋体" w:cs="黑体"/>
          <w:color w:val="000000"/>
          <w:kern w:val="0"/>
          <w:sz w:val="32"/>
          <w:szCs w:val="32"/>
          <w:lang w:val="en-US" w:eastAsia="zh-CN"/>
        </w:rPr>
        <w:fldChar w:fldCharType="end"/>
      </w:r>
      <w:r>
        <w:rPr>
          <w:rFonts w:hint="eastAsia" w:ascii="宋体" w:hAnsi="宋体" w:cs="黑体"/>
          <w:color w:val="000000"/>
          <w:kern w:val="0"/>
          <w:sz w:val="32"/>
          <w:szCs w:val="32"/>
          <w:lang w:val="en-US" w:eastAsia="zh-CN"/>
        </w:rPr>
        <w:t>科学规划，改善林区道路状况，推动基础设施建设。</w:t>
      </w:r>
    </w:p>
    <w:p>
      <w:pPr>
        <w:autoSpaceDE w:val="0"/>
        <w:autoSpaceDN w:val="0"/>
        <w:adjustRightInd w:val="0"/>
        <w:ind w:firstLine="640" w:firstLineChars="200"/>
        <w:jc w:val="left"/>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（2）部门决算中项目绩效自评结果（如有）。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default" w:cs="黑体" w:asciiTheme="minorEastAsia" w:hAnsiTheme="minorEastAsia"/>
          <w:color w:val="000000"/>
          <w:kern w:val="0"/>
          <w:sz w:val="32"/>
          <w:szCs w:val="32"/>
          <w:lang w:val="en-US" w:eastAsia="zh-CN"/>
        </w:rPr>
      </w:pPr>
      <w:r>
        <w:rPr>
          <w:rFonts w:hint="eastAsia" w:cs="黑体" w:asciiTheme="minorEastAsia" w:hAnsiTheme="minorEastAsia"/>
          <w:color w:val="000000"/>
          <w:kern w:val="0"/>
          <w:sz w:val="32"/>
          <w:szCs w:val="32"/>
          <w:lang w:eastAsia="zh-CN"/>
        </w:rPr>
        <w:t>免费开放门票补偿</w:t>
      </w:r>
      <w:r>
        <w:rPr>
          <w:rFonts w:hint="eastAsia" w:cs="黑体" w:asciiTheme="minorEastAsia" w:hAnsiTheme="minorEastAsia"/>
          <w:color w:val="000000"/>
          <w:kern w:val="0"/>
          <w:sz w:val="32"/>
          <w:szCs w:val="32"/>
        </w:rPr>
        <w:t>项目绩效自评综述：根据年初设定的绩效目标，项目绩效自评得分为</w:t>
      </w:r>
      <w:r>
        <w:rPr>
          <w:rFonts w:hint="eastAsia" w:cs="黑体" w:asciiTheme="minorEastAsia" w:hAnsiTheme="minorEastAsia"/>
          <w:color w:val="000000"/>
          <w:kern w:val="0"/>
          <w:sz w:val="32"/>
          <w:szCs w:val="32"/>
          <w:lang w:val="en-US" w:eastAsia="zh-CN"/>
        </w:rPr>
        <w:t>92</w:t>
      </w:r>
      <w:r>
        <w:rPr>
          <w:rFonts w:hint="eastAsia" w:cs="黑体" w:asciiTheme="minorEastAsia" w:hAnsiTheme="minorEastAsia"/>
          <w:color w:val="000000"/>
          <w:kern w:val="0"/>
          <w:sz w:val="32"/>
          <w:szCs w:val="32"/>
        </w:rPr>
        <w:t>分。项目全年预算数为</w:t>
      </w:r>
      <w:r>
        <w:rPr>
          <w:rFonts w:hint="eastAsia" w:cs="黑体" w:asciiTheme="minorEastAsia" w:hAnsiTheme="minorEastAsia"/>
          <w:color w:val="000000"/>
          <w:kern w:val="0"/>
          <w:sz w:val="32"/>
          <w:szCs w:val="32"/>
          <w:lang w:val="en-US" w:eastAsia="zh-CN"/>
        </w:rPr>
        <w:t>36</w:t>
      </w:r>
      <w:r>
        <w:rPr>
          <w:rFonts w:hint="eastAsia" w:cs="黑体" w:asciiTheme="minorEastAsia" w:hAnsiTheme="minorEastAsia"/>
          <w:color w:val="000000"/>
          <w:kern w:val="0"/>
          <w:sz w:val="32"/>
          <w:szCs w:val="32"/>
        </w:rPr>
        <w:t>万元，执行数为</w:t>
      </w:r>
      <w:r>
        <w:rPr>
          <w:rFonts w:hint="eastAsia" w:cs="黑体" w:asciiTheme="minorEastAsia" w:hAnsiTheme="minorEastAsia"/>
          <w:color w:val="000000"/>
          <w:kern w:val="0"/>
          <w:sz w:val="32"/>
          <w:szCs w:val="32"/>
          <w:lang w:val="en-US" w:eastAsia="zh-CN"/>
        </w:rPr>
        <w:t>33.77</w:t>
      </w:r>
      <w:r>
        <w:rPr>
          <w:rFonts w:cs="黑体" w:asciiTheme="minorEastAsia" w:hAnsiTheme="minorEastAsia"/>
          <w:color w:val="000000"/>
          <w:kern w:val="0"/>
          <w:sz w:val="32"/>
          <w:szCs w:val="32"/>
        </w:rPr>
        <w:t xml:space="preserve"> </w:t>
      </w:r>
      <w:r>
        <w:rPr>
          <w:rFonts w:hint="eastAsia" w:cs="黑体" w:asciiTheme="minorEastAsia" w:hAnsiTheme="minorEastAsia"/>
          <w:color w:val="000000"/>
          <w:kern w:val="0"/>
          <w:sz w:val="32"/>
          <w:szCs w:val="32"/>
        </w:rPr>
        <w:t>万元，完成预算的</w:t>
      </w:r>
      <w:r>
        <w:rPr>
          <w:rFonts w:hint="eastAsia" w:cs="黑体" w:asciiTheme="minorEastAsia" w:hAnsiTheme="minorEastAsia"/>
          <w:color w:val="000000"/>
          <w:kern w:val="0"/>
          <w:sz w:val="32"/>
          <w:szCs w:val="32"/>
          <w:lang w:val="en-US" w:eastAsia="zh-CN"/>
        </w:rPr>
        <w:t>93.81</w:t>
      </w:r>
      <w:r>
        <w:rPr>
          <w:rFonts w:cs="黑体" w:asciiTheme="minorEastAsia" w:hAnsiTheme="minorEastAsia"/>
          <w:color w:val="000000"/>
          <w:kern w:val="0"/>
          <w:sz w:val="32"/>
          <w:szCs w:val="32"/>
        </w:rPr>
        <w:t>%</w:t>
      </w:r>
      <w:r>
        <w:rPr>
          <w:rFonts w:hint="eastAsia" w:cs="黑体" w:asciiTheme="minorEastAsia" w:hAnsiTheme="minorEastAsia"/>
          <w:color w:val="000000"/>
          <w:kern w:val="0"/>
          <w:sz w:val="32"/>
          <w:szCs w:val="32"/>
        </w:rPr>
        <w:t>。项目绩效目标完成情况：</w:t>
      </w:r>
      <w:r>
        <w:rPr>
          <w:rFonts w:hint="eastAsia" w:cs="黑体" w:asciiTheme="minorEastAsia" w:hAnsiTheme="minorEastAsia"/>
          <w:color w:val="000000"/>
          <w:kern w:val="0"/>
          <w:sz w:val="32"/>
          <w:szCs w:val="32"/>
          <w:lang w:val="en-US" w:eastAsia="zh-CN"/>
        </w:rPr>
        <w:t>一是根据上级要求单位每年进行两次森林抚育；二是景区宣传根据要求及时更换；三是森林覆盖率达到</w:t>
      </w:r>
      <w:r>
        <w:rPr>
          <w:rFonts w:hint="eastAsia" w:cs="黑体" w:asciiTheme="minorEastAsia" w:hAnsiTheme="minorEastAsia"/>
          <w:color w:val="000000"/>
          <w:kern w:val="0"/>
          <w:sz w:val="32"/>
          <w:szCs w:val="32"/>
        </w:rPr>
        <w:t>95.45%；负氧离子平均含量11000个左右/立方厘米，pm2.5 日均值浓度平均含量 45个左右/立方厘米；</w:t>
      </w:r>
      <w:r>
        <w:rPr>
          <w:rFonts w:hint="eastAsia" w:cs="黑体" w:asciiTheme="minorEastAsia" w:hAnsiTheme="minorEastAsia"/>
          <w:color w:val="000000"/>
          <w:kern w:val="0"/>
          <w:sz w:val="32"/>
          <w:szCs w:val="32"/>
          <w:lang w:val="en-US" w:eastAsia="zh-CN"/>
        </w:rPr>
        <w:t>四是因疫情影响，单位闭园时间比较长，但相对于2020年度略有增长，游客主要为本地市民；五是各项工作都在2021年年底完成。</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发现的主要问题及原因：一是随着人流量的增加，景区压力日益增大，</w:t>
      </w:r>
      <w:r>
        <w:rPr>
          <w:rFonts w:hint="eastAsia" w:cs="黑体" w:asciiTheme="minorEastAsia" w:hAnsiTheme="minorEastAsia"/>
          <w:color w:val="000000"/>
          <w:kern w:val="0"/>
          <w:sz w:val="32"/>
          <w:szCs w:val="32"/>
          <w:lang w:eastAsia="zh-CN"/>
        </w:rPr>
        <w:t>免费开放导致游客素质参差不齐以及</w:t>
      </w:r>
      <w:r>
        <w:rPr>
          <w:rFonts w:hint="eastAsia" w:cs="黑体" w:asciiTheme="minorEastAsia" w:hAnsiTheme="minorEastAsia"/>
          <w:color w:val="000000"/>
          <w:kern w:val="0"/>
          <w:sz w:val="32"/>
          <w:szCs w:val="32"/>
        </w:rPr>
        <w:t>基础设施老化需要更多资金进行更新与维修；二是财政资金到位慢，工程结算跨年度，资金绩效评价工作受影响。</w:t>
      </w:r>
    </w:p>
    <w:p>
      <w:pPr>
        <w:autoSpaceDE w:val="0"/>
        <w:autoSpaceDN w:val="0"/>
        <w:adjustRightInd w:val="0"/>
        <w:ind w:firstLine="640" w:firstLineChars="200"/>
        <w:jc w:val="left"/>
        <w:rPr>
          <w:rFonts w:hint="eastAsia" w:cs="黑体" w:asciiTheme="minorEastAsia" w:hAnsiTheme="minorEastAsia"/>
          <w:color w:val="000000"/>
          <w:kern w:val="0"/>
          <w:sz w:val="32"/>
          <w:szCs w:val="32"/>
          <w:lang w:val="en-US" w:eastAsia="zh-CN"/>
        </w:rPr>
      </w:pPr>
      <w:r>
        <w:rPr>
          <w:rFonts w:hint="eastAsia" w:cs="黑体" w:asciiTheme="minorEastAsia" w:hAnsiTheme="minorEastAsia"/>
          <w:color w:val="000000"/>
          <w:kern w:val="0"/>
          <w:sz w:val="32"/>
          <w:szCs w:val="32"/>
        </w:rPr>
        <w:t>下一步改进措施：一是</w:t>
      </w:r>
      <w:r>
        <w:rPr>
          <w:rFonts w:hint="eastAsia" w:cs="黑体" w:asciiTheme="minorEastAsia" w:hAnsiTheme="minorEastAsia"/>
          <w:color w:val="000000"/>
          <w:kern w:val="0"/>
          <w:sz w:val="32"/>
          <w:szCs w:val="32"/>
          <w:lang w:eastAsia="zh-CN"/>
        </w:rPr>
        <w:t>积极向上争取资金，增加对基础设施的投入</w:t>
      </w:r>
      <w:r>
        <w:rPr>
          <w:rFonts w:hint="eastAsia" w:cs="黑体" w:asciiTheme="minorEastAsia" w:hAnsiTheme="minorEastAsia"/>
          <w:color w:val="000000"/>
          <w:kern w:val="0"/>
          <w:sz w:val="32"/>
          <w:szCs w:val="32"/>
        </w:rPr>
        <w:t>；二是</w:t>
      </w:r>
      <w:r>
        <w:rPr>
          <w:rFonts w:hint="eastAsia" w:cs="黑体" w:asciiTheme="minorEastAsia" w:hAnsiTheme="minorEastAsia"/>
          <w:color w:val="000000"/>
          <w:kern w:val="0"/>
          <w:sz w:val="32"/>
          <w:szCs w:val="32"/>
          <w:lang w:eastAsia="zh-CN"/>
        </w:rPr>
        <w:t>协助</w:t>
      </w:r>
      <w:r>
        <w:rPr>
          <w:rFonts w:hint="eastAsia" w:cs="黑体" w:asciiTheme="minorEastAsia" w:hAnsiTheme="minorEastAsia"/>
          <w:color w:val="000000"/>
          <w:kern w:val="0"/>
          <w:sz w:val="32"/>
          <w:szCs w:val="32"/>
          <w:lang w:val="en-US" w:eastAsia="zh-CN"/>
        </w:rPr>
        <w:t>旅游部门加大宣传力度，走出去，热门旅游景点、红色旅游景点相结合，打造一条龙的旅游业。</w:t>
      </w:r>
    </w:p>
    <w:p>
      <w:p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b/>
          <w:color w:val="000000"/>
          <w:kern w:val="0"/>
          <w:sz w:val="32"/>
          <w:szCs w:val="32"/>
        </w:rPr>
        <w:t>（</w:t>
      </w:r>
      <w:r>
        <w:rPr>
          <w:rFonts w:cs="黑体" w:asciiTheme="minorEastAsia" w:hAnsiTheme="minorEastAsia"/>
          <w:b/>
          <w:color w:val="000000"/>
          <w:kern w:val="0"/>
          <w:sz w:val="32"/>
          <w:szCs w:val="32"/>
        </w:rPr>
        <w:t>3</w:t>
      </w:r>
      <w:r>
        <w:rPr>
          <w:rFonts w:hint="eastAsia" w:cs="黑体" w:asciiTheme="minorEastAsia" w:hAnsiTheme="minorEastAsia"/>
          <w:b/>
          <w:color w:val="000000"/>
          <w:kern w:val="0"/>
          <w:sz w:val="32"/>
          <w:szCs w:val="32"/>
        </w:rPr>
        <w:t>）部门评价项目绩效评价结果。</w:t>
      </w:r>
    </w:p>
    <w:p>
      <w:p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部门评价项目数量</w:t>
      </w:r>
      <w:r>
        <w:rPr>
          <w:rFonts w:cs="黑体" w:asciiTheme="minorEastAsia" w:hAnsiTheme="minorEastAsia"/>
          <w:color w:val="000000"/>
          <w:kern w:val="0"/>
          <w:sz w:val="32"/>
          <w:szCs w:val="32"/>
        </w:rPr>
        <w:t>3</w:t>
      </w:r>
      <w:r>
        <w:rPr>
          <w:rFonts w:hint="eastAsia" w:cs="黑体" w:asciiTheme="minorEastAsia" w:hAnsiTheme="minorEastAsia"/>
          <w:color w:val="000000"/>
          <w:kern w:val="0"/>
          <w:sz w:val="32"/>
          <w:szCs w:val="32"/>
        </w:rPr>
        <w:t>个以内的，至少将</w:t>
      </w:r>
      <w:r>
        <w:rPr>
          <w:rFonts w:cs="黑体" w:asciiTheme="minorEastAsia" w:hAnsiTheme="minorEastAsia"/>
          <w:color w:val="000000"/>
          <w:kern w:val="0"/>
          <w:sz w:val="32"/>
          <w:szCs w:val="32"/>
        </w:rPr>
        <w:t xml:space="preserve">1 </w:t>
      </w:r>
      <w:r>
        <w:rPr>
          <w:rFonts w:hint="eastAsia" w:cs="黑体" w:asciiTheme="minorEastAsia" w:hAnsiTheme="minorEastAsia"/>
          <w:color w:val="000000"/>
          <w:kern w:val="0"/>
          <w:sz w:val="32"/>
          <w:szCs w:val="32"/>
        </w:rPr>
        <w:t>个部门评价报告向社会公开；部门评价项目数量大于</w:t>
      </w:r>
      <w:r>
        <w:rPr>
          <w:rFonts w:cs="黑体" w:asciiTheme="minorEastAsia" w:hAnsiTheme="minorEastAsia"/>
          <w:color w:val="000000"/>
          <w:kern w:val="0"/>
          <w:sz w:val="32"/>
          <w:szCs w:val="32"/>
        </w:rPr>
        <w:t xml:space="preserve">3 </w:t>
      </w:r>
      <w:r>
        <w:rPr>
          <w:rFonts w:hint="eastAsia" w:cs="黑体" w:asciiTheme="minorEastAsia" w:hAnsiTheme="minorEastAsia"/>
          <w:color w:val="000000"/>
          <w:kern w:val="0"/>
          <w:sz w:val="32"/>
          <w:szCs w:val="32"/>
        </w:rPr>
        <w:t>个的，至少将</w:t>
      </w:r>
      <w:r>
        <w:rPr>
          <w:rFonts w:cs="黑体" w:asciiTheme="minorEastAsia" w:hAnsiTheme="minorEastAsia"/>
          <w:color w:val="000000"/>
          <w:kern w:val="0"/>
          <w:sz w:val="32"/>
          <w:szCs w:val="32"/>
        </w:rPr>
        <w:t xml:space="preserve">2 </w:t>
      </w:r>
      <w:r>
        <w:rPr>
          <w:rFonts w:hint="eastAsia" w:cs="黑体" w:asciiTheme="minorEastAsia" w:hAnsiTheme="minorEastAsia"/>
          <w:color w:val="000000"/>
          <w:kern w:val="0"/>
          <w:sz w:val="32"/>
          <w:szCs w:val="32"/>
        </w:rPr>
        <w:t>个部门评价报告向社会公开。报告框架可参考《项目支出绩效评价办法》（财预〔</w:t>
      </w:r>
      <w:r>
        <w:rPr>
          <w:rFonts w:cs="黑体" w:asciiTheme="minorEastAsia" w:hAnsiTheme="minorEastAsia"/>
          <w:color w:val="000000"/>
          <w:kern w:val="0"/>
          <w:sz w:val="32"/>
          <w:szCs w:val="32"/>
        </w:rPr>
        <w:t>2020</w:t>
      </w:r>
      <w:r>
        <w:rPr>
          <w:rFonts w:hint="eastAsia" w:cs="黑体" w:asciiTheme="minorEastAsia" w:hAnsiTheme="minorEastAsia"/>
          <w:color w:val="000000"/>
          <w:kern w:val="0"/>
          <w:sz w:val="32"/>
          <w:szCs w:val="32"/>
        </w:rPr>
        <w:t>〕</w:t>
      </w:r>
      <w:r>
        <w:rPr>
          <w:rFonts w:cs="黑体" w:asciiTheme="minorEastAsia" w:hAnsiTheme="minorEastAsia"/>
          <w:color w:val="000000"/>
          <w:kern w:val="0"/>
          <w:sz w:val="32"/>
          <w:szCs w:val="32"/>
        </w:rPr>
        <w:t xml:space="preserve">10 </w:t>
      </w:r>
      <w:r>
        <w:rPr>
          <w:rFonts w:hint="eastAsia" w:cs="黑体" w:asciiTheme="minorEastAsia" w:hAnsiTheme="minorEastAsia"/>
          <w:color w:val="000000"/>
          <w:kern w:val="0"/>
          <w:sz w:val="32"/>
          <w:szCs w:val="32"/>
        </w:rPr>
        <w:t>号）中《项目支出绩效评价报告（参考提纲）》、《湖南省预算支出绩效评价管理办法》（湘财绩〔</w:t>
      </w:r>
      <w:r>
        <w:rPr>
          <w:rFonts w:cs="黑体" w:asciiTheme="minorEastAsia" w:hAnsiTheme="minorEastAsia"/>
          <w:color w:val="000000"/>
          <w:kern w:val="0"/>
          <w:sz w:val="32"/>
          <w:szCs w:val="32"/>
        </w:rPr>
        <w:t>2020</w:t>
      </w:r>
      <w:r>
        <w:rPr>
          <w:rFonts w:hint="eastAsia" w:cs="黑体" w:asciiTheme="minorEastAsia" w:hAnsiTheme="minorEastAsia"/>
          <w:color w:val="000000"/>
          <w:kern w:val="0"/>
          <w:sz w:val="32"/>
          <w:szCs w:val="32"/>
        </w:rPr>
        <w:t>〕7号）。</w:t>
      </w: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rPr>
          <w:sz w:val="72"/>
          <w:szCs w:val="72"/>
        </w:rPr>
      </w:pPr>
    </w:p>
    <w:p>
      <w:pPr>
        <w:pStyle w:val="10"/>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widowControl/>
        <w:ind w:firstLine="560" w:firstLineChars="200"/>
        <w:jc w:val="left"/>
        <w:rPr>
          <w:rFonts w:hint="eastAsia" w:cs="黑体" w:asciiTheme="minorEastAsia" w:hAnsiTheme="minorEastAsia" w:eastAsiaTheme="minorEastAsia"/>
          <w:color w:val="000000"/>
          <w:kern w:val="0"/>
          <w:sz w:val="28"/>
          <w:szCs w:val="28"/>
          <w:lang w:eastAsia="zh-CN"/>
        </w:rPr>
      </w:pPr>
      <w:r>
        <w:rPr>
          <w:rFonts w:cs="黑体" w:asciiTheme="minorEastAsia" w:hAnsiTheme="minorEastAsia"/>
          <w:b/>
          <w:color w:val="000000"/>
          <w:kern w:val="0"/>
          <w:sz w:val="28"/>
          <w:szCs w:val="28"/>
        </w:rPr>
        <w:t>财政拨款收入：</w:t>
      </w:r>
      <w:r>
        <w:rPr>
          <w:rFonts w:cs="黑体" w:asciiTheme="minorEastAsia" w:hAnsiTheme="minorEastAsia"/>
          <w:color w:val="000000"/>
          <w:kern w:val="0"/>
          <w:sz w:val="28"/>
          <w:szCs w:val="28"/>
        </w:rPr>
        <w:t>指财政当年拨付的资金。包括一般公共预算财政拨款和政府性基金财政拨款。</w:t>
      </w:r>
    </w:p>
    <w:p>
      <w:pPr>
        <w:widowControl/>
        <w:ind w:firstLine="560" w:firstLineChars="200"/>
        <w:jc w:val="left"/>
        <w:rPr>
          <w:rFonts w:cs="黑体" w:asciiTheme="minorEastAsia" w:hAnsiTheme="minorEastAsia"/>
          <w:color w:val="000000"/>
          <w:kern w:val="0"/>
          <w:sz w:val="28"/>
          <w:szCs w:val="28"/>
        </w:rPr>
      </w:pPr>
      <w:r>
        <w:rPr>
          <w:rFonts w:cs="黑体" w:asciiTheme="minorEastAsia" w:hAnsiTheme="minorEastAsia"/>
          <w:b/>
          <w:color w:val="000000"/>
          <w:kern w:val="0"/>
          <w:sz w:val="28"/>
          <w:szCs w:val="28"/>
        </w:rPr>
        <w:t>上级补助收入：</w:t>
      </w:r>
      <w:r>
        <w:rPr>
          <w:rFonts w:cs="黑体" w:asciiTheme="minorEastAsia" w:hAnsiTheme="minorEastAsia"/>
          <w:color w:val="000000"/>
          <w:kern w:val="0"/>
          <w:sz w:val="28"/>
          <w:szCs w:val="28"/>
        </w:rPr>
        <w:t>指事业单位从主管部门和上级单位取得的非财政补助收入。</w:t>
      </w:r>
    </w:p>
    <w:p>
      <w:pPr>
        <w:widowControl/>
        <w:ind w:firstLine="560" w:firstLineChars="200"/>
        <w:jc w:val="left"/>
        <w:rPr>
          <w:rFonts w:cs="黑体" w:asciiTheme="minorEastAsia" w:hAnsiTheme="minorEastAsia"/>
          <w:color w:val="000000"/>
          <w:kern w:val="0"/>
          <w:sz w:val="28"/>
          <w:szCs w:val="28"/>
        </w:rPr>
      </w:pPr>
      <w:r>
        <w:rPr>
          <w:rFonts w:cs="黑体" w:asciiTheme="minorEastAsia" w:hAnsiTheme="minorEastAsia"/>
          <w:b/>
          <w:color w:val="000000"/>
          <w:kern w:val="0"/>
          <w:sz w:val="28"/>
          <w:szCs w:val="28"/>
        </w:rPr>
        <w:t>事业收入：</w:t>
      </w:r>
      <w:r>
        <w:rPr>
          <w:rFonts w:cs="黑体" w:asciiTheme="minorEastAsia" w:hAnsiTheme="minorEastAsia"/>
          <w:color w:val="000000"/>
          <w:kern w:val="0"/>
          <w:sz w:val="28"/>
          <w:szCs w:val="28"/>
        </w:rPr>
        <w:t>指事业单位开展专业业务活动及辅助活动所取得的收入。</w:t>
      </w:r>
    </w:p>
    <w:p>
      <w:pPr>
        <w:widowControl/>
        <w:ind w:firstLine="560" w:firstLineChars="200"/>
        <w:jc w:val="left"/>
        <w:rPr>
          <w:rFonts w:cs="黑体" w:asciiTheme="minorEastAsia" w:hAnsiTheme="minorEastAsia"/>
          <w:color w:val="000000"/>
          <w:kern w:val="0"/>
          <w:sz w:val="28"/>
          <w:szCs w:val="28"/>
        </w:rPr>
      </w:pPr>
      <w:r>
        <w:rPr>
          <w:rFonts w:cs="黑体" w:asciiTheme="minorEastAsia" w:hAnsiTheme="minorEastAsia"/>
          <w:b/>
          <w:color w:val="000000"/>
          <w:kern w:val="0"/>
          <w:sz w:val="28"/>
          <w:szCs w:val="28"/>
        </w:rPr>
        <w:t>经营收入</w:t>
      </w:r>
      <w:r>
        <w:rPr>
          <w:rFonts w:cs="黑体" w:asciiTheme="minorEastAsia" w:hAnsiTheme="minorEastAsia"/>
          <w:color w:val="000000"/>
          <w:kern w:val="0"/>
          <w:sz w:val="28"/>
          <w:szCs w:val="28"/>
        </w:rPr>
        <w:t>：指事业单位在专业业务活动及其辅助活动之外开展非独立核算经营活动取得的收入。</w:t>
      </w:r>
    </w:p>
    <w:p>
      <w:pPr>
        <w:widowControl/>
        <w:ind w:firstLine="560" w:firstLineChars="200"/>
        <w:jc w:val="left"/>
        <w:rPr>
          <w:rFonts w:cs="黑体" w:asciiTheme="minorEastAsia" w:hAnsiTheme="minorEastAsia"/>
          <w:color w:val="000000"/>
          <w:kern w:val="0"/>
          <w:sz w:val="28"/>
          <w:szCs w:val="28"/>
        </w:rPr>
      </w:pPr>
      <w:r>
        <w:rPr>
          <w:rFonts w:cs="黑体" w:asciiTheme="minorEastAsia" w:hAnsiTheme="minorEastAsia"/>
          <w:b/>
          <w:color w:val="000000"/>
          <w:kern w:val="0"/>
          <w:sz w:val="28"/>
          <w:szCs w:val="28"/>
        </w:rPr>
        <w:t>附属单位上缴收入：</w:t>
      </w:r>
      <w:r>
        <w:rPr>
          <w:rFonts w:cs="黑体" w:asciiTheme="minorEastAsia" w:hAnsiTheme="minorEastAsia"/>
          <w:color w:val="000000"/>
          <w:kern w:val="0"/>
          <w:sz w:val="28"/>
          <w:szCs w:val="28"/>
        </w:rPr>
        <w:t>指事业单位附属独立核算单位按照有关规定上缴的收入。</w:t>
      </w:r>
    </w:p>
    <w:p>
      <w:pPr>
        <w:widowControl/>
        <w:ind w:firstLine="560" w:firstLineChars="200"/>
        <w:jc w:val="left"/>
        <w:rPr>
          <w:rFonts w:cs="黑体" w:asciiTheme="minorEastAsia" w:hAnsiTheme="minorEastAsia"/>
          <w:color w:val="000000"/>
          <w:kern w:val="0"/>
          <w:sz w:val="28"/>
          <w:szCs w:val="28"/>
        </w:rPr>
      </w:pPr>
      <w:r>
        <w:rPr>
          <w:rFonts w:cs="黑体" w:asciiTheme="minorEastAsia" w:hAnsiTheme="minorEastAsia"/>
          <w:b/>
          <w:color w:val="000000"/>
          <w:kern w:val="0"/>
          <w:sz w:val="28"/>
          <w:szCs w:val="28"/>
        </w:rPr>
        <w:t>其他收入：</w:t>
      </w:r>
      <w:r>
        <w:rPr>
          <w:rFonts w:cs="黑体" w:asciiTheme="minorEastAsia" w:hAnsiTheme="minorEastAsia"/>
          <w:color w:val="000000"/>
          <w:kern w:val="0"/>
          <w:sz w:val="28"/>
          <w:szCs w:val="28"/>
        </w:rPr>
        <w:t>指除上述“财政拨款收入”、“事业收入”、“经营收入”等以外的收入。</w:t>
      </w:r>
    </w:p>
    <w:p>
      <w:pPr>
        <w:widowControl/>
        <w:ind w:firstLine="560" w:firstLineChars="200"/>
        <w:jc w:val="left"/>
        <w:rPr>
          <w:rFonts w:cs="黑体" w:asciiTheme="minorEastAsia" w:hAnsiTheme="minorEastAsia"/>
          <w:color w:val="000000"/>
          <w:kern w:val="0"/>
          <w:sz w:val="28"/>
          <w:szCs w:val="28"/>
        </w:rPr>
      </w:pPr>
      <w:r>
        <w:rPr>
          <w:rFonts w:cs="黑体" w:asciiTheme="minorEastAsia" w:hAnsiTheme="minorEastAsia"/>
          <w:b/>
          <w:color w:val="000000"/>
          <w:kern w:val="0"/>
          <w:sz w:val="28"/>
          <w:szCs w:val="28"/>
        </w:rPr>
        <w:t>用事业基金弥补收支差额：</w:t>
      </w:r>
      <w:r>
        <w:rPr>
          <w:rFonts w:cs="黑体" w:asciiTheme="minorEastAsia" w:hAnsiTheme="minorEastAsia"/>
          <w:color w:val="000000"/>
          <w:kern w:val="0"/>
          <w:sz w:val="28"/>
          <w:szCs w:val="28"/>
        </w:rPr>
        <w:t>指事业单位在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widowControl/>
        <w:ind w:firstLine="560" w:firstLineChars="200"/>
        <w:jc w:val="left"/>
        <w:rPr>
          <w:rFonts w:hint="eastAsia" w:cs="黑体" w:asciiTheme="minorEastAsia" w:hAnsiTheme="minorEastAsia" w:eastAsiaTheme="minorEastAsia"/>
          <w:color w:val="000000"/>
          <w:kern w:val="0"/>
          <w:sz w:val="28"/>
          <w:szCs w:val="28"/>
          <w:lang w:eastAsia="zh-CN"/>
        </w:rPr>
      </w:pPr>
      <w:r>
        <w:rPr>
          <w:rFonts w:cs="黑体" w:asciiTheme="minorEastAsia" w:hAnsiTheme="minorEastAsia"/>
          <w:b/>
          <w:color w:val="000000"/>
          <w:kern w:val="0"/>
          <w:sz w:val="28"/>
          <w:szCs w:val="28"/>
        </w:rPr>
        <w:t>年初结转和结余：</w:t>
      </w:r>
      <w:r>
        <w:rPr>
          <w:rFonts w:cs="黑体" w:asciiTheme="minorEastAsia" w:hAnsiTheme="minorEastAsia"/>
          <w:color w:val="000000"/>
          <w:kern w:val="0"/>
          <w:sz w:val="28"/>
          <w:szCs w:val="28"/>
        </w:rPr>
        <w:t>指以前年度尚未完成、结转到本年按有关规定继续使用的资金。</w:t>
      </w:r>
    </w:p>
    <w:p>
      <w:pPr>
        <w:widowControl/>
        <w:ind w:firstLine="560" w:firstLineChars="200"/>
        <w:jc w:val="left"/>
        <w:rPr>
          <w:rFonts w:cs="黑体" w:asciiTheme="minorEastAsia" w:hAnsiTheme="minorEastAsia"/>
          <w:color w:val="000000"/>
          <w:kern w:val="0"/>
          <w:sz w:val="28"/>
          <w:szCs w:val="28"/>
        </w:rPr>
      </w:pPr>
      <w:r>
        <w:rPr>
          <w:rFonts w:hint="eastAsia" w:cs="黑体" w:asciiTheme="minorEastAsia" w:hAnsiTheme="minorEastAsia"/>
          <w:color w:val="000000"/>
          <w:kern w:val="0"/>
          <w:sz w:val="28"/>
          <w:szCs w:val="28"/>
        </w:rPr>
        <w:t xml:space="preserve">    </w:t>
      </w:r>
      <w:r>
        <w:rPr>
          <w:rFonts w:cs="黑体" w:asciiTheme="minorEastAsia" w:hAnsiTheme="minorEastAsia"/>
          <w:b/>
          <w:color w:val="000000"/>
          <w:kern w:val="0"/>
          <w:sz w:val="28"/>
          <w:szCs w:val="28"/>
        </w:rPr>
        <w:t>结余分配：</w:t>
      </w:r>
      <w:r>
        <w:rPr>
          <w:rFonts w:cs="黑体" w:asciiTheme="minorEastAsia" w:hAnsiTheme="minorEastAsia"/>
          <w:color w:val="000000"/>
          <w:kern w:val="0"/>
          <w:sz w:val="28"/>
          <w:szCs w:val="28"/>
        </w:rPr>
        <w:t>指事业事位按规定从非财政补助结余中分配的事业基金和职工福利基金等。</w:t>
      </w:r>
    </w:p>
    <w:p>
      <w:pPr>
        <w:widowControl/>
        <w:ind w:firstLine="560" w:firstLineChars="200"/>
        <w:jc w:val="left"/>
        <w:rPr>
          <w:rFonts w:cs="黑体" w:asciiTheme="minorEastAsia" w:hAnsiTheme="minorEastAsia"/>
          <w:color w:val="000000"/>
          <w:kern w:val="0"/>
          <w:sz w:val="28"/>
          <w:szCs w:val="28"/>
        </w:rPr>
      </w:pPr>
      <w:r>
        <w:rPr>
          <w:rFonts w:cs="黑体" w:asciiTheme="minorEastAsia" w:hAnsiTheme="minorEastAsia"/>
          <w:b/>
          <w:color w:val="000000"/>
          <w:kern w:val="0"/>
          <w:sz w:val="28"/>
          <w:szCs w:val="28"/>
        </w:rPr>
        <w:t>年末结转和结余：</w:t>
      </w:r>
      <w:r>
        <w:rPr>
          <w:rFonts w:cs="黑体" w:asciiTheme="minorEastAsia" w:hAnsiTheme="minorEastAsia"/>
          <w:color w:val="000000"/>
          <w:kern w:val="0"/>
          <w:sz w:val="28"/>
          <w:szCs w:val="28"/>
        </w:rPr>
        <w:t>指本年度或以前年度预算安排、因客观条件发生变化无法按原计划实施，需要延迟到以后年度按有关规定继续使用的资金。</w:t>
      </w:r>
    </w:p>
    <w:p>
      <w:pPr>
        <w:widowControl/>
        <w:ind w:firstLine="560" w:firstLineChars="200"/>
        <w:jc w:val="left"/>
        <w:rPr>
          <w:rFonts w:cs="黑体" w:asciiTheme="minorEastAsia" w:hAnsiTheme="minorEastAsia"/>
          <w:color w:val="000000"/>
          <w:kern w:val="0"/>
          <w:sz w:val="28"/>
          <w:szCs w:val="28"/>
        </w:rPr>
      </w:pPr>
      <w:r>
        <w:rPr>
          <w:rFonts w:cs="黑体" w:asciiTheme="minorEastAsia" w:hAnsiTheme="minorEastAsia"/>
          <w:b/>
          <w:color w:val="000000"/>
          <w:kern w:val="0"/>
          <w:sz w:val="28"/>
          <w:szCs w:val="28"/>
        </w:rPr>
        <w:t>基本支出：</w:t>
      </w:r>
      <w:r>
        <w:rPr>
          <w:rFonts w:cs="黑体" w:asciiTheme="minorEastAsia" w:hAnsiTheme="minorEastAsia"/>
          <w:color w:val="000000"/>
          <w:kern w:val="0"/>
          <w:sz w:val="28"/>
          <w:szCs w:val="28"/>
        </w:rPr>
        <w:t>指为保障机构正常运转、完成日常工作任务而发生的人员支出和公用支出。</w:t>
      </w:r>
    </w:p>
    <w:p>
      <w:pPr>
        <w:widowControl/>
        <w:ind w:firstLine="560" w:firstLineChars="200"/>
        <w:jc w:val="left"/>
        <w:rPr>
          <w:rFonts w:cs="黑体" w:asciiTheme="minorEastAsia" w:hAnsiTheme="minorEastAsia"/>
          <w:color w:val="000000"/>
          <w:kern w:val="0"/>
          <w:sz w:val="28"/>
          <w:szCs w:val="28"/>
        </w:rPr>
      </w:pPr>
      <w:r>
        <w:rPr>
          <w:rFonts w:cs="黑体" w:asciiTheme="minorEastAsia" w:hAnsiTheme="minorEastAsia"/>
          <w:b/>
          <w:color w:val="000000"/>
          <w:kern w:val="0"/>
          <w:sz w:val="28"/>
          <w:szCs w:val="28"/>
        </w:rPr>
        <w:t>项目支出：</w:t>
      </w:r>
      <w:r>
        <w:rPr>
          <w:rFonts w:cs="黑体" w:asciiTheme="minorEastAsia" w:hAnsiTheme="minorEastAsia"/>
          <w:color w:val="000000"/>
          <w:kern w:val="0"/>
          <w:sz w:val="28"/>
          <w:szCs w:val="28"/>
        </w:rPr>
        <w:t>指在基本支出之外为完成特定行政任务和事业发展目标所发生的支出。</w:t>
      </w:r>
    </w:p>
    <w:p>
      <w:pPr>
        <w:widowControl/>
        <w:ind w:firstLine="560" w:firstLineChars="200"/>
        <w:jc w:val="left"/>
        <w:rPr>
          <w:rFonts w:cs="黑体" w:asciiTheme="minorEastAsia" w:hAnsiTheme="minorEastAsia"/>
          <w:color w:val="000000"/>
          <w:kern w:val="0"/>
          <w:sz w:val="28"/>
          <w:szCs w:val="28"/>
        </w:rPr>
      </w:pPr>
      <w:r>
        <w:rPr>
          <w:rFonts w:cs="黑体" w:asciiTheme="minorEastAsia" w:hAnsiTheme="minorEastAsia"/>
          <w:b/>
          <w:color w:val="000000"/>
          <w:kern w:val="0"/>
          <w:sz w:val="28"/>
          <w:szCs w:val="28"/>
        </w:rPr>
        <w:t>经营支出：</w:t>
      </w:r>
      <w:r>
        <w:rPr>
          <w:rFonts w:cs="黑体" w:asciiTheme="minorEastAsia" w:hAnsiTheme="minorEastAsia"/>
          <w:color w:val="000000"/>
          <w:kern w:val="0"/>
          <w:sz w:val="28"/>
          <w:szCs w:val="28"/>
        </w:rPr>
        <w:t>指事业单位在专业业务活动及其辅助活动之外开展非独立核算经营活动所发生的支出。</w:t>
      </w:r>
    </w:p>
    <w:p>
      <w:pPr>
        <w:widowControl/>
        <w:ind w:firstLine="560" w:firstLineChars="200"/>
        <w:jc w:val="left"/>
        <w:rPr>
          <w:rFonts w:cs="黑体" w:asciiTheme="minorEastAsia" w:hAnsiTheme="minorEastAsia"/>
          <w:color w:val="000000"/>
          <w:kern w:val="0"/>
          <w:sz w:val="28"/>
          <w:szCs w:val="28"/>
        </w:rPr>
      </w:pPr>
      <w:r>
        <w:rPr>
          <w:rFonts w:cs="黑体" w:asciiTheme="minorEastAsia" w:hAnsiTheme="minorEastAsia"/>
          <w:b/>
          <w:color w:val="000000"/>
          <w:kern w:val="0"/>
          <w:sz w:val="28"/>
          <w:szCs w:val="28"/>
        </w:rPr>
        <w:t>“三公”经费：</w:t>
      </w:r>
      <w:r>
        <w:rPr>
          <w:rFonts w:cs="黑体" w:asciiTheme="minorEastAsia" w:hAnsiTheme="minorEastAsia"/>
          <w:color w:val="000000"/>
          <w:kern w:val="0"/>
          <w:sz w:val="28"/>
          <w:szCs w:val="28"/>
        </w:rPr>
        <w:t>按照党中央、国务院有关文件及部门预算管理有关规定，“三公”经费包括因公出国（境）费、公务用车购置及运行费和公务接待费。（1）因公出国（境）费，指单位工作人员公务出国（境）的住宿费、旅费、伙食补助费、杂费、培训费等支出。（2）公务用车购置及运行费，指单位公务用车购置费（含车辆购置税）及租用费、燃料费、维修费、过路过桥费、保险费等支出。（3）公务接待费，指单位按规定开支的各类公务接待（含外宾接待）支出。</w:t>
      </w:r>
    </w:p>
    <w:p>
      <w:pPr>
        <w:widowControl/>
        <w:ind w:firstLine="560" w:firstLineChars="200"/>
        <w:jc w:val="left"/>
        <w:rPr>
          <w:rFonts w:cs="黑体" w:asciiTheme="minorEastAsia" w:hAnsiTheme="minorEastAsia"/>
          <w:color w:val="000000"/>
          <w:kern w:val="0"/>
          <w:sz w:val="28"/>
          <w:szCs w:val="28"/>
        </w:rPr>
      </w:pPr>
      <w:r>
        <w:rPr>
          <w:rFonts w:cs="黑体" w:asciiTheme="minorEastAsia" w:hAnsiTheme="minorEastAsia"/>
          <w:b/>
          <w:color w:val="000000"/>
          <w:kern w:val="0"/>
          <w:sz w:val="28"/>
          <w:szCs w:val="28"/>
        </w:rPr>
        <w:t>机关运行经费：</w:t>
      </w:r>
      <w:r>
        <w:rPr>
          <w:rFonts w:cs="黑体" w:asciiTheme="minorEastAsia" w:hAnsiTheme="minorEastAsia"/>
          <w:color w:val="000000"/>
          <w:kern w:val="0"/>
          <w:sz w:val="28"/>
          <w:szCs w:val="28"/>
        </w:rPr>
        <w:t>指为保障行政单位（含参照公务员法管理的事业单位）运行用于购买货物和服务的各项资金，包括办公及印刷费、邮电费、差旅费、会议费、福利费、日常维修费、专项材料及一般设备购置费、办公用房水电费、取暖费、物业管理费、公务用车运行维护费以及其他费用。</w:t>
      </w: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pStyle w:val="2"/>
        <w:jc w:val="center"/>
        <w:rPr>
          <w:rFonts w:hint="eastAsia" w:cs="宋体"/>
        </w:rPr>
      </w:pPr>
      <w:r>
        <w:rPr>
          <w:rFonts w:hint="eastAsia" w:cs="宋体"/>
        </w:rPr>
        <w:t>湘乡市东台山国家森林公园部门整体支出绩效</w:t>
      </w:r>
    </w:p>
    <w:p>
      <w:pPr>
        <w:pStyle w:val="2"/>
        <w:jc w:val="center"/>
        <w:rPr>
          <w:rFonts w:cs="Times New Roman"/>
        </w:rPr>
      </w:pPr>
      <w:r>
        <w:rPr>
          <w:rFonts w:hint="eastAsia" w:cs="宋体"/>
        </w:rPr>
        <w:t>自评报告</w:t>
      </w:r>
    </w:p>
    <w:p>
      <w:pPr>
        <w:rPr>
          <w:rFonts w:ascii="宋体" w:cs="Times New Roman"/>
          <w:b/>
          <w:bCs/>
          <w:sz w:val="30"/>
          <w:szCs w:val="30"/>
        </w:rPr>
      </w:pPr>
      <w:r>
        <w:rPr>
          <w:rFonts w:hint="eastAsia" w:ascii="宋体" w:hAnsi="宋体" w:cs="宋体"/>
          <w:b/>
          <w:bCs/>
          <w:sz w:val="30"/>
          <w:szCs w:val="30"/>
        </w:rPr>
        <w:t>一、部门概况</w:t>
      </w:r>
    </w:p>
    <w:p>
      <w:pPr>
        <w:ind w:firstLine="560" w:firstLineChars="200"/>
        <w:rPr>
          <w:bCs/>
          <w:sz w:val="28"/>
          <w:szCs w:val="28"/>
        </w:rPr>
      </w:pPr>
      <w:r>
        <w:rPr>
          <w:rFonts w:hint="eastAsia"/>
          <w:bCs/>
          <w:sz w:val="28"/>
          <w:szCs w:val="28"/>
        </w:rPr>
        <w:t>湘乡市东台山国家森林公园位于湘乡涟水之滨，是东山新城的后花园，于1992年10月经原国家林业部批准在原湘乡市国有东山林场（1961年建场）的基础上建立；后经湘乡市人民政府批准于2009年4月1日起对外免费开放。经营总面积为340.5公顷，辖东台山、塔子山、狮子山、蜈蚣山四个山头，界定国家级二级公益林面积332.6公顷，占总面积的97.6%。按4.7%的增长速度计算，现有立木总蓄积2.75万立方米，以杉、松乔木为主，森林覆盖率为95.45%；负氧离子平均含量11000个左右/立方厘米，pm2.5 日均值浓度平均含量 45个左右/立方厘米；木本植物有63科187种，草本植物1000余种，主要经营树种有松、杉、樟、枫、银杏、桂花、楠竹、玉兰等；动物有穿山甲、猫头鹰、啄木鸟、大山雀、野兔、竹鸡、蛇、鼬等。</w:t>
      </w:r>
    </w:p>
    <w:p>
      <w:pPr>
        <w:ind w:firstLine="560" w:firstLineChars="200"/>
        <w:rPr>
          <w:rFonts w:hint="eastAsia" w:ascii="宋体" w:hAnsi="宋体" w:cs="宋体"/>
          <w:sz w:val="28"/>
          <w:szCs w:val="28"/>
        </w:rPr>
      </w:pPr>
      <w:r>
        <w:rPr>
          <w:bCs/>
          <w:sz w:val="28"/>
          <w:szCs w:val="28"/>
        </w:rPr>
        <w:t>20</w:t>
      </w:r>
      <w:r>
        <w:rPr>
          <w:rFonts w:hint="eastAsia"/>
          <w:bCs/>
          <w:sz w:val="28"/>
          <w:szCs w:val="28"/>
          <w:lang w:val="en-US" w:eastAsia="zh-CN"/>
        </w:rPr>
        <w:t>21</w:t>
      </w:r>
      <w:r>
        <w:rPr>
          <w:rFonts w:hint="eastAsia"/>
          <w:bCs/>
          <w:sz w:val="28"/>
          <w:szCs w:val="28"/>
        </w:rPr>
        <w:t>年度职工人数为46人，其中在编在岗职工1</w:t>
      </w:r>
      <w:r>
        <w:rPr>
          <w:rFonts w:hint="eastAsia"/>
          <w:bCs/>
          <w:sz w:val="28"/>
          <w:szCs w:val="28"/>
          <w:lang w:val="en-US" w:eastAsia="zh-CN"/>
        </w:rPr>
        <w:t>3</w:t>
      </w:r>
      <w:r>
        <w:rPr>
          <w:rFonts w:hint="eastAsia"/>
          <w:bCs/>
          <w:sz w:val="28"/>
          <w:szCs w:val="28"/>
        </w:rPr>
        <w:t>人，退休人员</w:t>
      </w:r>
      <w:r>
        <w:rPr>
          <w:bCs/>
          <w:sz w:val="28"/>
          <w:szCs w:val="28"/>
        </w:rPr>
        <w:t>3</w:t>
      </w:r>
      <w:r>
        <w:rPr>
          <w:rFonts w:hint="eastAsia"/>
          <w:bCs/>
          <w:sz w:val="28"/>
          <w:szCs w:val="28"/>
          <w:lang w:val="en-US" w:eastAsia="zh-CN"/>
        </w:rPr>
        <w:t>3</w:t>
      </w:r>
      <w:r>
        <w:rPr>
          <w:rFonts w:hint="eastAsia"/>
          <w:bCs/>
          <w:sz w:val="28"/>
          <w:szCs w:val="28"/>
        </w:rPr>
        <w:t>人，遗属</w:t>
      </w:r>
      <w:r>
        <w:rPr>
          <w:rFonts w:hint="eastAsia"/>
          <w:bCs/>
          <w:sz w:val="28"/>
          <w:szCs w:val="28"/>
          <w:lang w:val="en-US" w:eastAsia="zh-CN"/>
        </w:rPr>
        <w:t>3</w:t>
      </w:r>
      <w:r>
        <w:rPr>
          <w:rFonts w:hint="eastAsia"/>
          <w:bCs/>
          <w:sz w:val="28"/>
          <w:szCs w:val="28"/>
        </w:rPr>
        <w:t>人，</w:t>
      </w:r>
      <w:r>
        <w:rPr>
          <w:rFonts w:hint="eastAsia"/>
          <w:bCs/>
          <w:sz w:val="28"/>
          <w:szCs w:val="28"/>
          <w:lang w:eastAsia="zh-CN"/>
        </w:rPr>
        <w:t>公益性岗位</w:t>
      </w:r>
      <w:r>
        <w:rPr>
          <w:rFonts w:hint="eastAsia"/>
          <w:bCs/>
          <w:sz w:val="28"/>
          <w:szCs w:val="28"/>
          <w:lang w:val="en-US" w:eastAsia="zh-CN"/>
        </w:rPr>
        <w:t>3</w:t>
      </w:r>
      <w:r>
        <w:rPr>
          <w:rFonts w:hint="eastAsia"/>
          <w:bCs/>
          <w:sz w:val="28"/>
          <w:szCs w:val="28"/>
        </w:rPr>
        <w:t>人</w:t>
      </w:r>
      <w:r>
        <w:rPr>
          <w:rFonts w:hint="eastAsia" w:ascii="宋体" w:hAnsi="宋体" w:cs="宋体"/>
          <w:sz w:val="28"/>
          <w:szCs w:val="28"/>
        </w:rPr>
        <w:t>。</w:t>
      </w:r>
    </w:p>
    <w:p>
      <w:pPr>
        <w:ind w:firstLine="560" w:firstLineChars="200"/>
        <w:rPr>
          <w:rFonts w:ascii="宋体" w:cs="Times New Roman"/>
          <w:sz w:val="28"/>
          <w:szCs w:val="28"/>
        </w:rPr>
      </w:pPr>
      <w:r>
        <w:rPr>
          <w:rFonts w:ascii="宋体" w:hAnsi="宋体" w:cs="宋体"/>
          <w:sz w:val="28"/>
          <w:szCs w:val="28"/>
        </w:rPr>
        <w:t>20</w:t>
      </w:r>
      <w:r>
        <w:rPr>
          <w:rFonts w:hint="eastAsia" w:ascii="宋体" w:hAnsi="宋体" w:cs="宋体"/>
          <w:sz w:val="28"/>
          <w:szCs w:val="28"/>
        </w:rPr>
        <w:t>2</w:t>
      </w:r>
      <w:r>
        <w:rPr>
          <w:rFonts w:hint="eastAsia" w:ascii="宋体" w:hAnsi="宋体" w:cs="宋体"/>
          <w:sz w:val="28"/>
          <w:szCs w:val="28"/>
          <w:lang w:val="en-US" w:eastAsia="zh-CN"/>
        </w:rPr>
        <w:t>1</w:t>
      </w:r>
      <w:r>
        <w:rPr>
          <w:rFonts w:hint="eastAsia" w:ascii="宋体" w:hAnsi="宋体" w:cs="宋体"/>
          <w:sz w:val="28"/>
          <w:szCs w:val="28"/>
        </w:rPr>
        <w:t>年主要执行提供休闲场所，丰富人民群众文化生活。休闲场所提供，公园设施维护与管理，公园游览与娱乐项目组织管理，植物栽培与养护等相关社会服务工作。</w:t>
      </w:r>
    </w:p>
    <w:p>
      <w:pPr>
        <w:rPr>
          <w:rFonts w:ascii="宋体" w:cs="Times New Roman"/>
          <w:b/>
          <w:bCs/>
          <w:sz w:val="30"/>
          <w:szCs w:val="30"/>
        </w:rPr>
      </w:pPr>
      <w:r>
        <w:rPr>
          <w:rFonts w:hint="eastAsia" w:ascii="宋体" w:hAnsi="宋体" w:cs="宋体"/>
          <w:b/>
          <w:bCs/>
          <w:sz w:val="30"/>
          <w:szCs w:val="30"/>
        </w:rPr>
        <w:t>二、部门整体支出管理及使用情况</w:t>
      </w:r>
    </w:p>
    <w:p>
      <w:pPr>
        <w:ind w:firstLine="560" w:firstLineChars="200"/>
        <w:rPr>
          <w:rFonts w:ascii="宋体" w:cs="Times New Roman"/>
          <w:sz w:val="28"/>
          <w:szCs w:val="28"/>
        </w:rPr>
      </w:pPr>
      <w:r>
        <w:rPr>
          <w:rFonts w:hint="eastAsia" w:ascii="宋体" w:hAnsi="宋体" w:cs="宋体"/>
          <w:sz w:val="28"/>
          <w:szCs w:val="28"/>
        </w:rPr>
        <w:t>（一）预算情况</w:t>
      </w:r>
    </w:p>
    <w:p>
      <w:pPr>
        <w:spacing w:line="360" w:lineRule="auto"/>
        <w:ind w:firstLine="560" w:firstLineChars="200"/>
        <w:rPr>
          <w:sz w:val="28"/>
          <w:szCs w:val="28"/>
        </w:rPr>
      </w:pPr>
      <w:r>
        <w:rPr>
          <w:sz w:val="28"/>
          <w:szCs w:val="28"/>
        </w:rPr>
        <w:t>20</w:t>
      </w:r>
      <w:r>
        <w:rPr>
          <w:rFonts w:hint="eastAsia"/>
          <w:sz w:val="28"/>
          <w:szCs w:val="28"/>
        </w:rPr>
        <w:t>2</w:t>
      </w:r>
      <w:r>
        <w:rPr>
          <w:rFonts w:hint="eastAsia"/>
          <w:sz w:val="28"/>
          <w:szCs w:val="28"/>
          <w:lang w:val="en-US" w:eastAsia="zh-CN"/>
        </w:rPr>
        <w:t>1</w:t>
      </w:r>
      <w:r>
        <w:rPr>
          <w:rFonts w:hint="eastAsia"/>
          <w:sz w:val="28"/>
          <w:szCs w:val="28"/>
        </w:rPr>
        <w:t>年单位收入支出年初预算安排为</w:t>
      </w:r>
      <w:r>
        <w:rPr>
          <w:rFonts w:hint="eastAsia"/>
          <w:sz w:val="28"/>
          <w:szCs w:val="28"/>
          <w:lang w:val="en-US" w:eastAsia="zh-CN"/>
        </w:rPr>
        <w:t>2100791</w:t>
      </w:r>
      <w:r>
        <w:rPr>
          <w:rFonts w:hint="eastAsia"/>
          <w:sz w:val="28"/>
          <w:szCs w:val="28"/>
        </w:rPr>
        <w:t>元，对比</w:t>
      </w:r>
      <w:r>
        <w:rPr>
          <w:sz w:val="28"/>
          <w:szCs w:val="28"/>
        </w:rPr>
        <w:t>20</w:t>
      </w:r>
      <w:r>
        <w:rPr>
          <w:rFonts w:hint="eastAsia"/>
          <w:sz w:val="28"/>
          <w:szCs w:val="28"/>
          <w:lang w:val="en-US" w:eastAsia="zh-CN"/>
        </w:rPr>
        <w:t>20</w:t>
      </w:r>
      <w:r>
        <w:rPr>
          <w:rFonts w:hint="eastAsia"/>
          <w:sz w:val="28"/>
          <w:szCs w:val="28"/>
        </w:rPr>
        <w:t>年1700517元，增加</w:t>
      </w:r>
      <w:r>
        <w:rPr>
          <w:rFonts w:hint="eastAsia"/>
          <w:sz w:val="28"/>
          <w:szCs w:val="28"/>
          <w:lang w:val="en-US" w:eastAsia="zh-CN"/>
        </w:rPr>
        <w:t>400274</w:t>
      </w:r>
      <w:r>
        <w:rPr>
          <w:rFonts w:hint="eastAsia"/>
          <w:sz w:val="28"/>
          <w:szCs w:val="28"/>
        </w:rPr>
        <w:t>元，同比增加</w:t>
      </w:r>
      <w:r>
        <w:rPr>
          <w:rFonts w:hint="eastAsia"/>
          <w:sz w:val="28"/>
          <w:szCs w:val="28"/>
          <w:lang w:val="en-US" w:eastAsia="zh-CN"/>
        </w:rPr>
        <w:t>23.54</w:t>
      </w:r>
      <w:r>
        <w:rPr>
          <w:sz w:val="28"/>
          <w:szCs w:val="28"/>
        </w:rPr>
        <w:t>%</w:t>
      </w:r>
      <w:r>
        <w:rPr>
          <w:rFonts w:hint="eastAsia"/>
          <w:sz w:val="28"/>
          <w:szCs w:val="28"/>
        </w:rPr>
        <w:t>，变动原因为人员经费及项目支出的增加。</w:t>
      </w:r>
    </w:p>
    <w:p>
      <w:pPr>
        <w:ind w:firstLine="560" w:firstLineChars="200"/>
        <w:rPr>
          <w:rFonts w:hint="eastAsia" w:ascii="宋体" w:hAnsi="宋体" w:cs="宋体"/>
          <w:sz w:val="28"/>
          <w:szCs w:val="28"/>
        </w:rPr>
      </w:pPr>
      <w:r>
        <w:rPr>
          <w:rFonts w:hint="eastAsia" w:ascii="宋体" w:hAnsi="宋体" w:cs="宋体"/>
          <w:sz w:val="28"/>
          <w:szCs w:val="28"/>
        </w:rPr>
        <w:t>（二）预算执行情况</w:t>
      </w:r>
    </w:p>
    <w:p>
      <w:pPr>
        <w:spacing w:line="360" w:lineRule="auto"/>
        <w:ind w:firstLine="560" w:firstLineChars="200"/>
        <w:rPr>
          <w:sz w:val="28"/>
          <w:szCs w:val="28"/>
        </w:rPr>
      </w:pPr>
      <w:r>
        <w:rPr>
          <w:sz w:val="28"/>
          <w:szCs w:val="28"/>
        </w:rPr>
        <w:t>20</w:t>
      </w:r>
      <w:r>
        <w:rPr>
          <w:rFonts w:hint="eastAsia"/>
          <w:sz w:val="28"/>
          <w:szCs w:val="28"/>
        </w:rPr>
        <w:t>2</w:t>
      </w:r>
      <w:r>
        <w:rPr>
          <w:rFonts w:hint="eastAsia"/>
          <w:sz w:val="28"/>
          <w:szCs w:val="28"/>
          <w:lang w:val="en-US" w:eastAsia="zh-CN"/>
        </w:rPr>
        <w:t>1</w:t>
      </w:r>
      <w:r>
        <w:rPr>
          <w:rFonts w:hint="eastAsia"/>
          <w:sz w:val="28"/>
          <w:szCs w:val="28"/>
        </w:rPr>
        <w:t>年度收入支出预算执行中调整为</w:t>
      </w:r>
      <w:r>
        <w:rPr>
          <w:rFonts w:hint="eastAsia"/>
          <w:sz w:val="28"/>
          <w:szCs w:val="28"/>
          <w:lang w:val="en-US" w:eastAsia="zh-CN"/>
        </w:rPr>
        <w:t>1867296.88</w:t>
      </w:r>
      <w:r>
        <w:rPr>
          <w:rFonts w:hint="eastAsia"/>
          <w:sz w:val="28"/>
          <w:szCs w:val="28"/>
        </w:rPr>
        <w:t>元，对比202</w:t>
      </w:r>
      <w:r>
        <w:rPr>
          <w:rFonts w:hint="eastAsia"/>
          <w:sz w:val="28"/>
          <w:szCs w:val="28"/>
          <w:lang w:val="en-US" w:eastAsia="zh-CN"/>
        </w:rPr>
        <w:t>1</w:t>
      </w:r>
      <w:r>
        <w:rPr>
          <w:rFonts w:hint="eastAsia"/>
          <w:sz w:val="28"/>
          <w:szCs w:val="28"/>
        </w:rPr>
        <w:t>年预算安排</w:t>
      </w:r>
      <w:r>
        <w:rPr>
          <w:rFonts w:hint="eastAsia"/>
          <w:sz w:val="28"/>
          <w:szCs w:val="28"/>
          <w:lang w:eastAsia="zh-CN"/>
        </w:rPr>
        <w:t>减少</w:t>
      </w:r>
      <w:r>
        <w:rPr>
          <w:rFonts w:hint="eastAsia"/>
          <w:sz w:val="28"/>
          <w:szCs w:val="28"/>
          <w:lang w:val="en-US" w:eastAsia="zh-CN"/>
        </w:rPr>
        <w:t>233494.12</w:t>
      </w:r>
      <w:r>
        <w:rPr>
          <w:rFonts w:hint="eastAsia"/>
          <w:sz w:val="28"/>
          <w:szCs w:val="28"/>
        </w:rPr>
        <w:t>元，同比</w:t>
      </w:r>
      <w:r>
        <w:rPr>
          <w:rFonts w:hint="eastAsia"/>
          <w:sz w:val="28"/>
          <w:szCs w:val="28"/>
          <w:lang w:eastAsia="zh-CN"/>
        </w:rPr>
        <w:t>减少</w:t>
      </w:r>
      <w:r>
        <w:rPr>
          <w:rFonts w:hint="eastAsia"/>
          <w:sz w:val="28"/>
          <w:szCs w:val="28"/>
          <w:lang w:val="en-US" w:eastAsia="zh-CN"/>
        </w:rPr>
        <w:t>11.11</w:t>
      </w:r>
      <w:r>
        <w:rPr>
          <w:sz w:val="28"/>
          <w:szCs w:val="28"/>
        </w:rPr>
        <w:t>%</w:t>
      </w:r>
      <w:r>
        <w:rPr>
          <w:rFonts w:hint="eastAsia"/>
          <w:sz w:val="28"/>
          <w:szCs w:val="28"/>
        </w:rPr>
        <w:t>，变动原因为</w:t>
      </w:r>
      <w:r>
        <w:rPr>
          <w:rFonts w:hint="eastAsia"/>
          <w:sz w:val="28"/>
          <w:szCs w:val="28"/>
          <w:lang w:eastAsia="zh-CN"/>
        </w:rPr>
        <w:t>财政拨款不足，项目支出未结算</w:t>
      </w:r>
      <w:r>
        <w:rPr>
          <w:rFonts w:hint="eastAsia"/>
          <w:sz w:val="28"/>
          <w:szCs w:val="28"/>
        </w:rPr>
        <w:t>。</w:t>
      </w:r>
    </w:p>
    <w:p>
      <w:pPr>
        <w:spacing w:line="360" w:lineRule="auto"/>
        <w:ind w:firstLine="560" w:firstLineChars="200"/>
        <w:rPr>
          <w:sz w:val="28"/>
          <w:szCs w:val="28"/>
        </w:rPr>
      </w:pPr>
      <w:r>
        <w:rPr>
          <w:sz w:val="28"/>
          <w:szCs w:val="28"/>
        </w:rPr>
        <w:t>20</w:t>
      </w:r>
      <w:r>
        <w:rPr>
          <w:rFonts w:hint="eastAsia"/>
          <w:sz w:val="28"/>
          <w:szCs w:val="28"/>
        </w:rPr>
        <w:t>2</w:t>
      </w:r>
      <w:r>
        <w:rPr>
          <w:rFonts w:hint="eastAsia"/>
          <w:sz w:val="28"/>
          <w:szCs w:val="28"/>
          <w:lang w:val="en-US" w:eastAsia="zh-CN"/>
        </w:rPr>
        <w:t>1</w:t>
      </w:r>
      <w:r>
        <w:rPr>
          <w:rFonts w:hint="eastAsia"/>
          <w:sz w:val="28"/>
          <w:szCs w:val="28"/>
        </w:rPr>
        <w:t>年度财政收入决算数为</w:t>
      </w:r>
      <w:r>
        <w:rPr>
          <w:rFonts w:hint="eastAsia"/>
          <w:sz w:val="28"/>
          <w:szCs w:val="28"/>
          <w:lang w:val="en-US" w:eastAsia="zh-CN"/>
        </w:rPr>
        <w:t>1867296.88</w:t>
      </w:r>
      <w:r>
        <w:rPr>
          <w:rFonts w:hint="eastAsia"/>
          <w:sz w:val="28"/>
          <w:szCs w:val="28"/>
        </w:rPr>
        <w:t>元，与上年度2931190元相比，收入</w:t>
      </w:r>
      <w:r>
        <w:rPr>
          <w:rFonts w:hint="eastAsia"/>
          <w:sz w:val="28"/>
          <w:szCs w:val="28"/>
          <w:lang w:eastAsia="zh-CN"/>
        </w:rPr>
        <w:t>减少</w:t>
      </w:r>
      <w:r>
        <w:rPr>
          <w:rFonts w:hint="eastAsia"/>
          <w:sz w:val="28"/>
          <w:szCs w:val="28"/>
          <w:lang w:val="en-US" w:eastAsia="zh-CN"/>
        </w:rPr>
        <w:t>36.30</w:t>
      </w:r>
      <w:r>
        <w:rPr>
          <w:sz w:val="28"/>
          <w:szCs w:val="28"/>
        </w:rPr>
        <w:t>%</w:t>
      </w:r>
      <w:r>
        <w:rPr>
          <w:rFonts w:hint="eastAsia"/>
          <w:sz w:val="28"/>
          <w:szCs w:val="28"/>
        </w:rPr>
        <w:t>，原因为</w:t>
      </w:r>
      <w:r>
        <w:rPr>
          <w:rFonts w:hint="eastAsia"/>
          <w:sz w:val="28"/>
          <w:szCs w:val="28"/>
          <w:lang w:eastAsia="zh-CN"/>
        </w:rPr>
        <w:t>项目资金收入减少</w:t>
      </w:r>
      <w:r>
        <w:rPr>
          <w:rFonts w:hint="eastAsia"/>
          <w:sz w:val="28"/>
          <w:szCs w:val="28"/>
        </w:rPr>
        <w:t>。</w:t>
      </w:r>
    </w:p>
    <w:p>
      <w:pPr>
        <w:spacing w:line="360" w:lineRule="auto"/>
        <w:ind w:firstLine="560" w:firstLineChars="200"/>
        <w:rPr>
          <w:rFonts w:hint="eastAsia"/>
          <w:sz w:val="28"/>
          <w:szCs w:val="28"/>
        </w:rPr>
      </w:pPr>
      <w:r>
        <w:rPr>
          <w:sz w:val="28"/>
          <w:szCs w:val="28"/>
        </w:rPr>
        <w:t>20</w:t>
      </w:r>
      <w:r>
        <w:rPr>
          <w:rFonts w:hint="eastAsia"/>
          <w:sz w:val="28"/>
          <w:szCs w:val="28"/>
        </w:rPr>
        <w:t>2</w:t>
      </w:r>
      <w:r>
        <w:rPr>
          <w:rFonts w:hint="eastAsia"/>
          <w:sz w:val="28"/>
          <w:szCs w:val="28"/>
          <w:lang w:val="en-US" w:eastAsia="zh-CN"/>
        </w:rPr>
        <w:t>1</w:t>
      </w:r>
      <w:r>
        <w:rPr>
          <w:rFonts w:hint="eastAsia"/>
          <w:sz w:val="28"/>
          <w:szCs w:val="28"/>
        </w:rPr>
        <w:t>年度支出决算数为</w:t>
      </w:r>
      <w:r>
        <w:rPr>
          <w:rFonts w:hint="eastAsia"/>
          <w:sz w:val="28"/>
          <w:szCs w:val="28"/>
          <w:lang w:val="en-US" w:eastAsia="zh-CN"/>
        </w:rPr>
        <w:t>1867296.88</w:t>
      </w:r>
      <w:r>
        <w:rPr>
          <w:rFonts w:hint="eastAsia"/>
          <w:sz w:val="28"/>
          <w:szCs w:val="28"/>
        </w:rPr>
        <w:t>元，与上年度2903253.97元相比</w:t>
      </w:r>
      <w:r>
        <w:rPr>
          <w:rFonts w:hint="eastAsia"/>
          <w:sz w:val="28"/>
          <w:szCs w:val="28"/>
          <w:lang w:eastAsia="zh-CN"/>
        </w:rPr>
        <w:t>减少</w:t>
      </w:r>
      <w:r>
        <w:rPr>
          <w:rFonts w:hint="eastAsia"/>
          <w:sz w:val="28"/>
          <w:szCs w:val="28"/>
          <w:lang w:val="en-US" w:eastAsia="zh-CN"/>
        </w:rPr>
        <w:t>35.68</w:t>
      </w:r>
      <w:r>
        <w:rPr>
          <w:sz w:val="28"/>
          <w:szCs w:val="28"/>
        </w:rPr>
        <w:t>%</w:t>
      </w:r>
      <w:r>
        <w:rPr>
          <w:rFonts w:hint="eastAsia"/>
          <w:sz w:val="28"/>
          <w:szCs w:val="28"/>
        </w:rPr>
        <w:t>，原因是为</w:t>
      </w:r>
      <w:r>
        <w:rPr>
          <w:rFonts w:hint="eastAsia"/>
          <w:sz w:val="28"/>
          <w:szCs w:val="28"/>
          <w:lang w:eastAsia="zh-CN"/>
        </w:rPr>
        <w:t>财政拨款不足，项目支出未结算</w:t>
      </w:r>
      <w:r>
        <w:rPr>
          <w:rFonts w:hint="eastAsia"/>
          <w:sz w:val="28"/>
          <w:szCs w:val="28"/>
        </w:rPr>
        <w:t>。</w:t>
      </w:r>
    </w:p>
    <w:p>
      <w:pPr>
        <w:numPr>
          <w:ilvl w:val="0"/>
          <w:numId w:val="3"/>
        </w:numPr>
        <w:spacing w:line="360" w:lineRule="auto"/>
        <w:ind w:firstLine="560" w:firstLineChars="200"/>
        <w:rPr>
          <w:rFonts w:hint="eastAsia"/>
          <w:sz w:val="28"/>
          <w:szCs w:val="28"/>
          <w:lang w:eastAsia="zh-CN"/>
        </w:rPr>
      </w:pPr>
      <w:r>
        <w:rPr>
          <w:rFonts w:hint="eastAsia"/>
          <w:sz w:val="28"/>
          <w:szCs w:val="28"/>
          <w:lang w:eastAsia="zh-CN"/>
        </w:rPr>
        <w:t>项目支出情况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default" w:eastAsia="宋体"/>
          <w:sz w:val="28"/>
          <w:szCs w:val="28"/>
          <w:lang w:val="en-US" w:eastAsia="zh-CN"/>
        </w:rPr>
      </w:pPr>
      <w:r>
        <w:rPr>
          <w:rFonts w:hint="eastAsia"/>
          <w:sz w:val="28"/>
          <w:szCs w:val="28"/>
        </w:rPr>
        <w:t>基本支出</w:t>
      </w:r>
      <w:r>
        <w:rPr>
          <w:rFonts w:hint="eastAsia"/>
          <w:sz w:val="28"/>
          <w:szCs w:val="28"/>
          <w:lang w:val="en-US" w:eastAsia="zh-CN"/>
        </w:rPr>
        <w:t>1586312.16</w:t>
      </w:r>
      <w:r>
        <w:rPr>
          <w:rFonts w:hint="eastAsia"/>
          <w:sz w:val="28"/>
          <w:szCs w:val="28"/>
        </w:rPr>
        <w:t>元，占比</w:t>
      </w:r>
      <w:r>
        <w:rPr>
          <w:rFonts w:hint="eastAsia"/>
          <w:sz w:val="28"/>
          <w:szCs w:val="28"/>
          <w:lang w:val="en-US" w:eastAsia="zh-CN"/>
        </w:rPr>
        <w:t>84.95</w:t>
      </w:r>
      <w:r>
        <w:rPr>
          <w:rFonts w:hint="eastAsia"/>
          <w:sz w:val="28"/>
          <w:szCs w:val="28"/>
        </w:rPr>
        <w:t>%；项目支出</w:t>
      </w:r>
      <w:r>
        <w:rPr>
          <w:rFonts w:hint="eastAsia"/>
          <w:sz w:val="28"/>
          <w:szCs w:val="28"/>
          <w:lang w:val="en-US" w:eastAsia="zh-CN"/>
        </w:rPr>
        <w:t>280984.72</w:t>
      </w:r>
      <w:r>
        <w:rPr>
          <w:rFonts w:hint="eastAsia"/>
          <w:sz w:val="28"/>
          <w:szCs w:val="28"/>
        </w:rPr>
        <w:t>元，占比</w:t>
      </w:r>
      <w:r>
        <w:rPr>
          <w:rFonts w:hint="eastAsia"/>
          <w:sz w:val="28"/>
          <w:szCs w:val="28"/>
          <w:lang w:val="en-US" w:eastAsia="zh-CN"/>
        </w:rPr>
        <w:t>15.05</w:t>
      </w:r>
      <w:r>
        <w:rPr>
          <w:rFonts w:hint="eastAsia"/>
          <w:sz w:val="28"/>
          <w:szCs w:val="28"/>
        </w:rPr>
        <w:t>%。</w:t>
      </w:r>
      <w:r>
        <w:rPr>
          <w:rFonts w:hint="eastAsia"/>
          <w:sz w:val="28"/>
          <w:szCs w:val="28"/>
          <w:lang w:eastAsia="zh-CN"/>
        </w:rPr>
        <w:t>项目支出因国库资金拨付不及时，产生了预算支出挤占财政代管资金的情况，后在年底结账时按决算要求一并转至财政代管资金，导致财政预算</w:t>
      </w:r>
      <w:r>
        <w:rPr>
          <w:rFonts w:hint="eastAsia"/>
          <w:sz w:val="28"/>
          <w:szCs w:val="28"/>
          <w:lang w:val="en-US" w:eastAsia="zh-CN"/>
        </w:rPr>
        <w:t>56万元，决算及财务系统支出28.1万元。</w:t>
      </w:r>
    </w:p>
    <w:p>
      <w:pPr>
        <w:numPr>
          <w:ilvl w:val="0"/>
          <w:numId w:val="4"/>
        </w:numPr>
        <w:rPr>
          <w:rFonts w:hint="eastAsia" w:ascii="宋体" w:hAnsi="宋体" w:eastAsia="宋体" w:cs="宋体"/>
          <w:b/>
          <w:bCs/>
          <w:sz w:val="30"/>
          <w:szCs w:val="30"/>
        </w:rPr>
      </w:pPr>
      <w:r>
        <w:rPr>
          <w:rFonts w:hint="eastAsia" w:ascii="宋体" w:hAnsi="宋体" w:eastAsia="宋体" w:cs="宋体"/>
          <w:b/>
          <w:bCs/>
          <w:sz w:val="30"/>
          <w:szCs w:val="30"/>
        </w:rPr>
        <w:t>政府性基金预算支出情况</w:t>
      </w:r>
    </w:p>
    <w:p>
      <w:pPr>
        <w:numPr>
          <w:ilvl w:val="0"/>
          <w:numId w:val="0"/>
        </w:numPr>
        <w:rPr>
          <w:rFonts w:hint="eastAsia" w:ascii="宋体" w:hAnsi="宋体" w:eastAsia="宋体" w:cs="宋体"/>
          <w:b w:val="0"/>
          <w:bCs w:val="0"/>
          <w:sz w:val="28"/>
          <w:szCs w:val="28"/>
          <w:lang w:eastAsia="zh-CN"/>
        </w:rPr>
      </w:pPr>
      <w:r>
        <w:rPr>
          <w:rFonts w:hint="eastAsia" w:ascii="宋体" w:hAnsi="宋体" w:eastAsia="宋体" w:cs="宋体"/>
          <w:b w:val="0"/>
          <w:bCs w:val="0"/>
          <w:sz w:val="28"/>
          <w:szCs w:val="28"/>
          <w:lang w:eastAsia="zh-CN"/>
        </w:rPr>
        <w:t>无此项支出。</w:t>
      </w:r>
    </w:p>
    <w:p>
      <w:pPr>
        <w:numPr>
          <w:ilvl w:val="0"/>
          <w:numId w:val="4"/>
        </w:numPr>
        <w:ind w:left="0" w:leftChars="0" w:firstLine="0" w:firstLineChars="0"/>
        <w:rPr>
          <w:rFonts w:hint="eastAsia" w:ascii="宋体" w:hAnsi="宋体" w:eastAsia="宋体" w:cs="宋体"/>
          <w:b/>
          <w:bCs/>
          <w:sz w:val="30"/>
          <w:szCs w:val="30"/>
        </w:rPr>
      </w:pPr>
      <w:r>
        <w:rPr>
          <w:rFonts w:hint="eastAsia" w:ascii="宋体" w:hAnsi="宋体" w:eastAsia="宋体" w:cs="宋体"/>
          <w:b/>
          <w:bCs/>
          <w:sz w:val="30"/>
          <w:szCs w:val="30"/>
        </w:rPr>
        <w:t>国有资本经营预算支出情况</w:t>
      </w:r>
    </w:p>
    <w:p>
      <w:pPr>
        <w:numPr>
          <w:ilvl w:val="0"/>
          <w:numId w:val="0"/>
        </w:numPr>
        <w:rPr>
          <w:rFonts w:hint="eastAsia" w:ascii="宋体" w:hAnsi="宋体" w:eastAsia="宋体" w:cs="宋体"/>
          <w:b/>
          <w:bCs/>
          <w:sz w:val="30"/>
          <w:szCs w:val="30"/>
        </w:rPr>
      </w:pPr>
      <w:r>
        <w:rPr>
          <w:rFonts w:hint="eastAsia" w:ascii="宋体" w:hAnsi="宋体" w:eastAsia="宋体" w:cs="宋体"/>
          <w:b w:val="0"/>
          <w:bCs w:val="0"/>
          <w:sz w:val="28"/>
          <w:szCs w:val="28"/>
          <w:lang w:eastAsia="zh-CN"/>
        </w:rPr>
        <w:t>无此项支出。</w:t>
      </w:r>
    </w:p>
    <w:p>
      <w:pPr>
        <w:numPr>
          <w:ilvl w:val="0"/>
          <w:numId w:val="4"/>
        </w:numPr>
        <w:ind w:left="0" w:leftChars="0" w:firstLine="0" w:firstLineChars="0"/>
        <w:rPr>
          <w:rFonts w:hint="eastAsia" w:ascii="宋体" w:hAnsi="宋体" w:eastAsia="宋体" w:cs="宋体"/>
          <w:b/>
          <w:bCs/>
          <w:sz w:val="30"/>
          <w:szCs w:val="30"/>
        </w:rPr>
      </w:pPr>
      <w:r>
        <w:rPr>
          <w:rFonts w:hint="eastAsia" w:ascii="宋体" w:hAnsi="宋体" w:eastAsia="宋体" w:cs="宋体"/>
          <w:b/>
          <w:bCs/>
          <w:sz w:val="30"/>
          <w:szCs w:val="30"/>
        </w:rPr>
        <w:t>社会保险基金预算支出情况</w:t>
      </w:r>
    </w:p>
    <w:p>
      <w:pPr>
        <w:numPr>
          <w:ilvl w:val="0"/>
          <w:numId w:val="0"/>
        </w:numPr>
        <w:rPr>
          <w:rFonts w:hint="eastAsia" w:ascii="宋体" w:hAnsi="宋体" w:eastAsia="宋体" w:cs="宋体"/>
          <w:b/>
          <w:bCs/>
          <w:sz w:val="30"/>
          <w:szCs w:val="30"/>
        </w:rPr>
      </w:pPr>
      <w:r>
        <w:rPr>
          <w:rFonts w:hint="eastAsia" w:ascii="宋体" w:hAnsi="宋体" w:eastAsia="宋体" w:cs="宋体"/>
          <w:b w:val="0"/>
          <w:bCs w:val="0"/>
          <w:sz w:val="28"/>
          <w:szCs w:val="28"/>
          <w:lang w:eastAsia="zh-CN"/>
        </w:rPr>
        <w:t>无此项支出。</w:t>
      </w:r>
    </w:p>
    <w:p>
      <w:pPr>
        <w:rPr>
          <w:rFonts w:hint="eastAsia" w:ascii="宋体" w:hAnsi="宋体" w:eastAsia="宋体" w:cs="宋体"/>
          <w:b/>
          <w:bCs/>
          <w:sz w:val="30"/>
          <w:szCs w:val="30"/>
        </w:rPr>
      </w:pPr>
      <w:r>
        <w:rPr>
          <w:rFonts w:hint="eastAsia" w:ascii="宋体" w:hAnsi="宋体" w:eastAsia="宋体" w:cs="宋体"/>
          <w:b/>
          <w:bCs/>
          <w:sz w:val="30"/>
          <w:szCs w:val="30"/>
        </w:rPr>
        <w:t>六、单位整体支出绩效情况</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sz w:val="28"/>
          <w:szCs w:val="28"/>
        </w:rPr>
      </w:pPr>
      <w:r>
        <w:rPr>
          <w:rFonts w:hint="eastAsia"/>
          <w:sz w:val="28"/>
          <w:szCs w:val="28"/>
        </w:rPr>
        <w:t>1、东台山国家森林公园为免费开放的公园，今年共接待游客</w:t>
      </w:r>
      <w:r>
        <w:rPr>
          <w:rFonts w:hint="eastAsia"/>
          <w:sz w:val="28"/>
          <w:szCs w:val="28"/>
          <w:lang w:val="en-US" w:eastAsia="zh-CN"/>
        </w:rPr>
        <w:t>36</w:t>
      </w:r>
      <w:r>
        <w:rPr>
          <w:rFonts w:hint="eastAsia"/>
          <w:sz w:val="28"/>
          <w:szCs w:val="28"/>
        </w:rPr>
        <w:t>万余人次，成为了长株潭市民休闲健身的理想场所。公园的发展带动了周边的产业经济发展，公园周边有四星、五星级农家乐如明月山庄、起风山庄、和源等5家，</w:t>
      </w:r>
      <w:r>
        <w:rPr>
          <w:rFonts w:hint="eastAsia"/>
          <w:sz w:val="28"/>
          <w:szCs w:val="28"/>
          <w:lang w:eastAsia="zh-CN"/>
        </w:rPr>
        <w:t>其余小型农家乐、餐饮类</w:t>
      </w:r>
      <w:r>
        <w:rPr>
          <w:rFonts w:hint="eastAsia"/>
          <w:sz w:val="28"/>
          <w:szCs w:val="28"/>
          <w:lang w:val="en-US" w:eastAsia="zh-CN"/>
        </w:rPr>
        <w:t>30余家，</w:t>
      </w:r>
      <w:r>
        <w:rPr>
          <w:rFonts w:hint="eastAsia"/>
          <w:sz w:val="28"/>
          <w:szCs w:val="28"/>
        </w:rPr>
        <w:t>目前安排就业20</w:t>
      </w:r>
      <w:r>
        <w:rPr>
          <w:rFonts w:hint="eastAsia"/>
          <w:sz w:val="28"/>
          <w:szCs w:val="28"/>
          <w:lang w:val="en-US" w:eastAsia="zh-CN"/>
        </w:rPr>
        <w:t>0多</w:t>
      </w:r>
      <w:r>
        <w:rPr>
          <w:rFonts w:hint="eastAsia"/>
          <w:sz w:val="28"/>
          <w:szCs w:val="28"/>
        </w:rPr>
        <w:t>人，202</w:t>
      </w:r>
      <w:r>
        <w:rPr>
          <w:rFonts w:hint="eastAsia"/>
          <w:sz w:val="28"/>
          <w:szCs w:val="28"/>
          <w:lang w:val="en-US" w:eastAsia="zh-CN"/>
        </w:rPr>
        <w:t>1</w:t>
      </w:r>
      <w:r>
        <w:rPr>
          <w:rFonts w:hint="eastAsia"/>
          <w:sz w:val="28"/>
          <w:szCs w:val="28"/>
        </w:rPr>
        <w:t>年带动周边经济收入达到了</w:t>
      </w:r>
      <w:r>
        <w:rPr>
          <w:rFonts w:hint="eastAsia"/>
          <w:sz w:val="28"/>
          <w:szCs w:val="28"/>
          <w:lang w:eastAsia="zh-CN"/>
        </w:rPr>
        <w:t>两百多</w:t>
      </w:r>
      <w:r>
        <w:rPr>
          <w:rFonts w:hint="eastAsia"/>
          <w:sz w:val="28"/>
          <w:szCs w:val="28"/>
        </w:rPr>
        <w:t>万元。</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ascii="宋体" w:hAnsi="宋体"/>
          <w:bCs/>
          <w:sz w:val="28"/>
          <w:szCs w:val="28"/>
        </w:rPr>
      </w:pPr>
      <w:r>
        <w:rPr>
          <w:rFonts w:hint="eastAsia" w:ascii="宋体" w:hAnsi="宋体"/>
          <w:bCs/>
          <w:sz w:val="28"/>
          <w:szCs w:val="28"/>
          <w:lang w:val="en-US" w:eastAsia="zh-CN"/>
        </w:rPr>
        <w:t>2、</w:t>
      </w:r>
      <w:r>
        <w:rPr>
          <w:rFonts w:hint="eastAsia" w:ascii="宋体" w:hAnsi="宋体"/>
          <w:bCs/>
          <w:sz w:val="28"/>
          <w:szCs w:val="28"/>
          <w:lang w:eastAsia="zh-CN"/>
        </w:rPr>
        <w:t>多措并举，</w:t>
      </w:r>
      <w:r>
        <w:rPr>
          <w:rFonts w:ascii="宋体" w:hAnsi="宋体"/>
          <w:bCs/>
          <w:sz w:val="28"/>
          <w:szCs w:val="28"/>
        </w:rPr>
        <w:t>新</w:t>
      </w:r>
      <w:r>
        <w:rPr>
          <w:rFonts w:hint="eastAsia" w:ascii="宋体" w:hAnsi="宋体"/>
          <w:bCs/>
          <w:sz w:val="28"/>
          <w:szCs w:val="28"/>
        </w:rPr>
        <w:t>冠肺炎防控工作</w:t>
      </w:r>
      <w:r>
        <w:rPr>
          <w:rFonts w:hint="eastAsia" w:ascii="宋体" w:hAnsi="宋体"/>
          <w:bCs/>
          <w:sz w:val="28"/>
          <w:szCs w:val="28"/>
          <w:lang w:eastAsia="zh-CN"/>
        </w:rPr>
        <w:t>有序开展</w:t>
      </w:r>
      <w:r>
        <w:rPr>
          <w:rFonts w:hint="eastAsia" w:ascii="宋体" w:hAnsi="宋体"/>
          <w:bCs/>
          <w:sz w:val="28"/>
          <w:szCs w:val="28"/>
        </w:rPr>
        <w:t xml:space="preserve">                                                                                                                                                                                                                                                                                                                                          </w:t>
      </w:r>
    </w:p>
    <w:p>
      <w:pPr>
        <w:numPr>
          <w:ilvl w:val="0"/>
          <w:numId w:val="0"/>
        </w:numPr>
        <w:spacing w:line="360" w:lineRule="auto"/>
        <w:rPr>
          <w:rFonts w:hint="default" w:ascii="宋体" w:hAnsi="宋体"/>
          <w:bCs/>
          <w:sz w:val="28"/>
          <w:szCs w:val="28"/>
          <w:lang w:val="en-US" w:eastAsia="zh-CN"/>
        </w:rPr>
      </w:pPr>
      <w:r>
        <w:rPr>
          <w:rFonts w:hint="eastAsia" w:ascii="宋体" w:hAnsi="宋体"/>
          <w:bCs/>
          <w:sz w:val="28"/>
          <w:szCs w:val="28"/>
          <w:lang w:eastAsia="zh-CN"/>
        </w:rPr>
        <w:t>今年</w:t>
      </w:r>
      <w:r>
        <w:rPr>
          <w:rFonts w:hint="eastAsia" w:ascii="宋体" w:hAnsi="宋体"/>
          <w:bCs/>
          <w:sz w:val="28"/>
          <w:szCs w:val="28"/>
          <w:lang w:val="en-US" w:eastAsia="zh-CN"/>
        </w:rPr>
        <w:t>7月底新冠肺炎出现反弹，</w:t>
      </w:r>
      <w:r>
        <w:rPr>
          <w:rFonts w:ascii="宋体" w:hAnsi="宋体"/>
          <w:bCs/>
          <w:sz w:val="28"/>
          <w:szCs w:val="28"/>
        </w:rPr>
        <w:t>为切实做好新冠肺炎防控工作，东台山国家森林公园</w:t>
      </w:r>
      <w:r>
        <w:rPr>
          <w:rFonts w:hint="eastAsia" w:ascii="宋体" w:hAnsi="宋体"/>
          <w:bCs/>
          <w:sz w:val="28"/>
          <w:szCs w:val="28"/>
          <w:lang w:eastAsia="zh-CN"/>
        </w:rPr>
        <w:t>筑牢疫情防线</w:t>
      </w:r>
      <w:r>
        <w:rPr>
          <w:rFonts w:hint="eastAsia" w:ascii="宋体" w:hAnsi="宋体"/>
          <w:bCs/>
          <w:sz w:val="28"/>
          <w:szCs w:val="28"/>
          <w:lang w:val="en-US" w:eastAsia="zh-CN"/>
        </w:rPr>
        <w:t>,开展了一系列工作</w:t>
      </w:r>
      <w:r>
        <w:rPr>
          <w:rFonts w:hint="eastAsia" w:ascii="宋体" w:hAnsi="宋体"/>
          <w:bCs/>
          <w:sz w:val="28"/>
          <w:szCs w:val="28"/>
          <w:lang w:eastAsia="zh-CN"/>
        </w:rPr>
        <w:t>。一是成立了新冠肺炎疫情防控领导小组，负责公园新冠肺炎疫情防控工作的安排部署；二是配备了足额的防控物资，如：口罩、消毒水、酒精、测温仪等等；三是</w:t>
      </w:r>
      <w:r>
        <w:rPr>
          <w:rFonts w:hint="eastAsia" w:ascii="宋体" w:hAnsi="宋体"/>
          <w:bCs/>
          <w:sz w:val="28"/>
          <w:szCs w:val="28"/>
          <w:lang w:val="en-US" w:eastAsia="zh-CN"/>
        </w:rPr>
        <w:t>为避免人员聚集引发交叉感染，2021年7月30日8月14日公园实行封园；四是根据湘乡市防控指挥部要求，东台山国家森林公园新冠疫苗接种做到迎接尽接，接种率达到100%；五是利用宣传栏、广播、电子显示屏、海报等宣传方式宣传新冠肺炎防控知识；六是建立了值班制度，值班人员必须保持手机24小时畅通，掌握人员动态，做到“早发现、早报告、早隔离、早治疗”；七是加强环境卫生整治，定期对办公、厕所等公共区域进行消杀、消毒等等，通过一系列措施，确保公园疫情防控工作安全有序开展。</w:t>
      </w:r>
    </w:p>
    <w:p>
      <w:pPr>
        <w:numPr>
          <w:ilvl w:val="0"/>
          <w:numId w:val="0"/>
        </w:numPr>
        <w:spacing w:line="360" w:lineRule="auto"/>
        <w:ind w:leftChars="200"/>
        <w:rPr>
          <w:rFonts w:hint="eastAsia" w:ascii="宋体" w:hAnsi="宋体"/>
          <w:bCs/>
          <w:sz w:val="28"/>
          <w:szCs w:val="28"/>
          <w:lang w:eastAsia="zh-CN"/>
        </w:rPr>
      </w:pPr>
      <w:r>
        <w:rPr>
          <w:rFonts w:hint="eastAsia" w:ascii="宋体" w:hAnsi="宋体"/>
          <w:bCs/>
          <w:sz w:val="28"/>
          <w:szCs w:val="28"/>
          <w:lang w:val="en-US" w:eastAsia="zh-CN"/>
        </w:rPr>
        <w:t>3、</w:t>
      </w:r>
      <w:r>
        <w:rPr>
          <w:rFonts w:hint="eastAsia" w:ascii="宋体" w:hAnsi="宋体"/>
          <w:bCs/>
          <w:sz w:val="28"/>
          <w:szCs w:val="28"/>
          <w:lang w:eastAsia="zh-CN"/>
        </w:rPr>
        <w:t>景区增绿，助力省级森林城市创建</w:t>
      </w:r>
    </w:p>
    <w:p>
      <w:pPr>
        <w:numPr>
          <w:ilvl w:val="0"/>
          <w:numId w:val="0"/>
        </w:numPr>
        <w:spacing w:line="360" w:lineRule="auto"/>
        <w:ind w:firstLine="560" w:firstLineChars="200"/>
        <w:rPr>
          <w:rFonts w:hint="eastAsia" w:ascii="宋体" w:hAnsi="宋体"/>
          <w:bCs/>
          <w:sz w:val="28"/>
          <w:szCs w:val="28"/>
          <w:lang w:val="en-US" w:eastAsia="zh-CN"/>
        </w:rPr>
      </w:pPr>
      <w:r>
        <w:rPr>
          <w:rFonts w:hint="eastAsia" w:ascii="宋体" w:hAnsi="宋体"/>
          <w:bCs/>
          <w:sz w:val="28"/>
          <w:szCs w:val="28"/>
          <w:lang w:val="en-US" w:eastAsia="zh-CN"/>
        </w:rPr>
        <w:t>（1）植树造林</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560" w:firstLineChars="200"/>
        <w:textAlignment w:val="auto"/>
        <w:rPr>
          <w:rFonts w:hint="eastAsia" w:ascii="宋体" w:hAnsi="宋体"/>
          <w:bCs/>
          <w:sz w:val="28"/>
          <w:szCs w:val="28"/>
          <w:lang w:val="en-US" w:eastAsia="zh-CN"/>
        </w:rPr>
      </w:pPr>
      <w:r>
        <w:rPr>
          <w:rFonts w:hint="eastAsia" w:ascii="宋体" w:hAnsi="宋体"/>
          <w:bCs/>
          <w:sz w:val="28"/>
          <w:szCs w:val="28"/>
          <w:lang w:val="en-US" w:eastAsia="zh-CN"/>
        </w:rPr>
        <w:t>3月，又是一年植树好时节，</w:t>
      </w:r>
      <w:r>
        <w:rPr>
          <w:rFonts w:ascii="宋体" w:hAnsi="宋体"/>
          <w:bCs/>
          <w:sz w:val="28"/>
          <w:szCs w:val="28"/>
        </w:rPr>
        <w:t>为把握好绿化造林时机，公园</w:t>
      </w:r>
      <w:r>
        <w:rPr>
          <w:rFonts w:hint="eastAsia" w:ascii="宋体" w:hAnsi="宋体"/>
          <w:bCs/>
          <w:sz w:val="28"/>
          <w:szCs w:val="28"/>
          <w:lang w:eastAsia="zh-CN"/>
        </w:rPr>
        <w:t>开展增绿、补绿活动。一是在</w:t>
      </w:r>
      <w:r>
        <w:rPr>
          <w:rFonts w:hint="eastAsia" w:ascii="宋体" w:hAnsi="宋体"/>
          <w:bCs/>
          <w:sz w:val="28"/>
          <w:szCs w:val="28"/>
          <w:lang w:val="en-US" w:eastAsia="zh-CN"/>
        </w:rPr>
        <w:t>3月12日</w:t>
      </w:r>
      <w:r>
        <w:rPr>
          <w:rFonts w:hint="eastAsia" w:ascii="宋体" w:hAnsi="宋体"/>
          <w:bCs/>
          <w:sz w:val="28"/>
          <w:szCs w:val="28"/>
          <w:lang w:eastAsia="zh-CN"/>
        </w:rPr>
        <w:t>植树节这天开展全民义务植树活动，全市四大家领导</w:t>
      </w:r>
      <w:r>
        <w:rPr>
          <w:rFonts w:ascii="宋体" w:hAnsi="宋体"/>
          <w:bCs/>
          <w:sz w:val="28"/>
          <w:szCs w:val="28"/>
        </w:rPr>
        <w:t>在烈士纪念园至览湘亭区域</w:t>
      </w:r>
      <w:r>
        <w:rPr>
          <w:rFonts w:hint="eastAsia" w:ascii="宋体" w:hAnsi="宋体"/>
          <w:bCs/>
          <w:sz w:val="28"/>
          <w:szCs w:val="28"/>
          <w:lang w:eastAsia="zh-CN"/>
        </w:rPr>
        <w:t>最下方</w:t>
      </w:r>
      <w:r>
        <w:rPr>
          <w:rFonts w:ascii="宋体" w:hAnsi="宋体"/>
          <w:bCs/>
          <w:sz w:val="28"/>
          <w:szCs w:val="28"/>
        </w:rPr>
        <w:t>开展了植树造林活动，种植树种主要为</w:t>
      </w:r>
      <w:r>
        <w:rPr>
          <w:rFonts w:hint="eastAsia" w:ascii="宋体" w:hAnsi="宋体"/>
          <w:bCs/>
          <w:sz w:val="28"/>
          <w:szCs w:val="28"/>
          <w:lang w:eastAsia="zh-CN"/>
        </w:rPr>
        <w:t>榉木、金丝楠木、桂花等共计</w:t>
      </w:r>
      <w:r>
        <w:rPr>
          <w:rFonts w:hint="eastAsia" w:ascii="宋体" w:hAnsi="宋体"/>
          <w:bCs/>
          <w:sz w:val="28"/>
          <w:szCs w:val="28"/>
          <w:lang w:val="en-US" w:eastAsia="zh-CN"/>
        </w:rPr>
        <w:t>15亩。二是在樱花林里种植林下观赏木茶花共500株；三是在公园的公路沿线及裸露山坡进行了一次全面的增绿、补绿、覆绿，</w:t>
      </w:r>
      <w:r>
        <w:rPr>
          <w:rFonts w:hint="eastAsia" w:ascii="宋体" w:hAnsi="宋体"/>
          <w:bCs/>
          <w:sz w:val="28"/>
          <w:szCs w:val="28"/>
        </w:rPr>
        <w:t>在公园老墓群的周边种植绿植、隔离带</w:t>
      </w:r>
      <w:r>
        <w:rPr>
          <w:rFonts w:hint="eastAsia" w:ascii="宋体" w:hAnsi="宋体"/>
          <w:bCs/>
          <w:sz w:val="28"/>
          <w:szCs w:val="28"/>
          <w:lang w:eastAsia="zh-CN"/>
        </w:rPr>
        <w:t>等</w:t>
      </w:r>
      <w:r>
        <w:rPr>
          <w:rFonts w:hint="eastAsia" w:ascii="宋体" w:hAnsi="宋体"/>
          <w:bCs/>
          <w:sz w:val="28"/>
          <w:szCs w:val="28"/>
        </w:rPr>
        <w:t>，</w:t>
      </w:r>
      <w:r>
        <w:rPr>
          <w:rFonts w:hint="eastAsia" w:ascii="宋体" w:hAnsi="宋体"/>
          <w:bCs/>
          <w:sz w:val="28"/>
          <w:szCs w:val="28"/>
          <w:lang w:val="en-US" w:eastAsia="zh-CN"/>
        </w:rPr>
        <w:t>主要栽种的绿化苗木有茶花球、红檵木、红叶石楠、杜鹃、四季桂、孝顺竹等；四是市公安局组织单位干部职工在公园开展义务植树活动，种植红枫120株，共计面积2亩左右。以上投入资金共计37万多元。通过各种植树绿化活动，秉承让森林走进城市，让城市拥抱森林的宗旨，改良了公园树种，提升公园绿地景观质量，助力推进湘乡市省级森林森林城市的创建。</w:t>
      </w:r>
    </w:p>
    <w:p>
      <w:pPr>
        <w:numPr>
          <w:ilvl w:val="0"/>
          <w:numId w:val="5"/>
        </w:numPr>
        <w:spacing w:line="360" w:lineRule="auto"/>
        <w:ind w:firstLine="560" w:firstLineChars="200"/>
        <w:rPr>
          <w:rFonts w:hint="eastAsia" w:ascii="宋体" w:hAnsi="宋体"/>
          <w:bCs/>
          <w:sz w:val="28"/>
          <w:szCs w:val="28"/>
          <w:lang w:val="en-US" w:eastAsia="zh-CN"/>
        </w:rPr>
      </w:pPr>
      <w:r>
        <w:rPr>
          <w:rFonts w:hint="eastAsia" w:ascii="宋体" w:hAnsi="宋体"/>
          <w:bCs/>
          <w:sz w:val="28"/>
          <w:szCs w:val="28"/>
          <w:lang w:val="en-US" w:eastAsia="zh-CN"/>
        </w:rPr>
        <w:t>树木科普铭牌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560" w:firstLineChars="200"/>
        <w:textAlignment w:val="auto"/>
        <w:rPr>
          <w:rFonts w:hint="default" w:ascii="宋体" w:hAnsi="宋体"/>
          <w:bCs/>
          <w:sz w:val="28"/>
          <w:szCs w:val="28"/>
          <w:lang w:val="en-US" w:eastAsia="zh-CN"/>
        </w:rPr>
      </w:pPr>
      <w:r>
        <w:rPr>
          <w:rFonts w:hint="eastAsia" w:ascii="宋体" w:hAnsi="宋体"/>
          <w:bCs/>
          <w:sz w:val="28"/>
          <w:szCs w:val="28"/>
          <w:lang w:val="en-US" w:eastAsia="zh-CN"/>
        </w:rPr>
        <w:t>为方便人们更好的了解树木的名称及属性，公园对核心景区的树木悬挂了科普铭牌，通过扫二维码的方式让游客朋友们了解树木的中英文名称、学名、科目、属种、习性、产地与生长分布等科普知识。使人们在林中观赏树木的同时也能对树木的特性有相应的了解。总计投入资金0.4万元左右。</w:t>
      </w:r>
    </w:p>
    <w:p>
      <w:pPr>
        <w:numPr>
          <w:ilvl w:val="0"/>
          <w:numId w:val="0"/>
        </w:numPr>
        <w:spacing w:line="360" w:lineRule="auto"/>
        <w:ind w:leftChars="200"/>
        <w:rPr>
          <w:rFonts w:hint="default" w:ascii="宋体" w:hAnsi="宋体"/>
          <w:bCs/>
          <w:sz w:val="28"/>
          <w:szCs w:val="28"/>
          <w:lang w:val="en-US" w:eastAsia="zh-CN"/>
        </w:rPr>
      </w:pPr>
      <w:r>
        <w:rPr>
          <w:rFonts w:hint="eastAsia" w:ascii="宋体" w:hAnsi="宋体"/>
          <w:bCs/>
          <w:sz w:val="28"/>
          <w:szCs w:val="28"/>
          <w:lang w:val="en-US" w:eastAsia="zh-CN"/>
        </w:rPr>
        <w:t>4、</w:t>
      </w:r>
      <w:r>
        <w:rPr>
          <w:rFonts w:hint="eastAsia" w:ascii="宋体" w:hAnsi="宋体"/>
          <w:bCs/>
          <w:sz w:val="28"/>
          <w:szCs w:val="28"/>
          <w:lang w:eastAsia="zh-CN"/>
        </w:rPr>
        <w:t>加大</w:t>
      </w:r>
      <w:r>
        <w:rPr>
          <w:rFonts w:hint="eastAsia" w:ascii="宋体" w:hAnsi="宋体"/>
          <w:bCs/>
          <w:sz w:val="28"/>
          <w:szCs w:val="28"/>
        </w:rPr>
        <w:t>保护</w:t>
      </w:r>
      <w:r>
        <w:rPr>
          <w:rFonts w:hint="eastAsia" w:ascii="宋体" w:hAnsi="宋体"/>
          <w:bCs/>
          <w:sz w:val="28"/>
          <w:szCs w:val="28"/>
          <w:lang w:eastAsia="zh-CN"/>
        </w:rPr>
        <w:t>力度</w:t>
      </w:r>
      <w:r>
        <w:rPr>
          <w:rFonts w:hint="eastAsia" w:ascii="宋体" w:hAnsi="宋体"/>
          <w:bCs/>
          <w:sz w:val="28"/>
          <w:szCs w:val="28"/>
          <w:lang w:val="en-US" w:eastAsia="zh-CN"/>
        </w:rPr>
        <w:t xml:space="preserve"> ，确保森林生态资源资源安全、稳定</w:t>
      </w:r>
    </w:p>
    <w:p>
      <w:pPr>
        <w:numPr>
          <w:ilvl w:val="0"/>
          <w:numId w:val="0"/>
        </w:numPr>
        <w:spacing w:line="360" w:lineRule="auto"/>
        <w:ind w:leftChars="200"/>
        <w:rPr>
          <w:rFonts w:ascii="宋体" w:hAnsi="宋体"/>
          <w:bCs/>
          <w:sz w:val="28"/>
          <w:szCs w:val="28"/>
        </w:rPr>
      </w:pPr>
      <w:r>
        <w:rPr>
          <w:rFonts w:hint="eastAsia" w:ascii="宋体" w:hAnsi="宋体"/>
          <w:bCs/>
          <w:sz w:val="28"/>
          <w:szCs w:val="28"/>
          <w:lang w:eastAsia="zh-CN"/>
        </w:rPr>
        <w:t>（</w:t>
      </w:r>
      <w:r>
        <w:rPr>
          <w:rFonts w:hint="eastAsia" w:ascii="宋体" w:hAnsi="宋体"/>
          <w:bCs/>
          <w:sz w:val="28"/>
          <w:szCs w:val="28"/>
          <w:lang w:val="en-US" w:eastAsia="zh-CN"/>
        </w:rPr>
        <w:t>1</w:t>
      </w:r>
      <w:r>
        <w:rPr>
          <w:rFonts w:hint="eastAsia" w:ascii="宋体" w:hAnsi="宋体"/>
          <w:bCs/>
          <w:sz w:val="28"/>
          <w:szCs w:val="28"/>
          <w:lang w:eastAsia="zh-CN"/>
        </w:rPr>
        <w:t>）</w:t>
      </w:r>
      <w:r>
        <w:rPr>
          <w:rFonts w:ascii="宋体" w:hAnsi="宋体"/>
          <w:bCs/>
          <w:sz w:val="28"/>
          <w:szCs w:val="28"/>
        </w:rPr>
        <w:t>松材线虫防治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560" w:firstLineChars="200"/>
        <w:textAlignment w:val="auto"/>
        <w:rPr>
          <w:rFonts w:hint="eastAsia" w:ascii="宋体" w:hAnsi="宋体" w:eastAsia="宋体" w:cs="Times New Roman"/>
          <w:bCs/>
          <w:sz w:val="28"/>
          <w:szCs w:val="28"/>
          <w:lang w:val="en-US" w:eastAsia="zh-CN"/>
        </w:rPr>
      </w:pPr>
      <w:r>
        <w:rPr>
          <w:rFonts w:hint="eastAsia" w:ascii="宋体" w:hAnsi="宋体" w:eastAsia="宋体" w:cs="Times New Roman"/>
          <w:bCs/>
          <w:sz w:val="28"/>
          <w:szCs w:val="28"/>
          <w:lang w:val="en-US" w:eastAsia="zh-CN"/>
        </w:rPr>
        <w:t>松材线虫可谓松树的“癌症”，具有极强的传染性，为遏制松材线虫病的蔓延，巩固去年的松材线虫病防治成果，公园聘请“湖南惠春农业有限公司”对原已感染的松材线虫疫区进行了再次彻底清理并进行了集中焚烧，对伐桩进行了放药、覆膜等措施，共计清理枯死松树280多株，投入资金7万余元；同时聘请了“湖南护丽生物防治有限公司”对未感染的松科植物实行打孔注药防治，采用的药物为松线光3.2%阿维菌素，注射松树2087多株，投入资金16.6万元;与湖南护丽生物防治有限公司签订松材线虫病普查协议等等。通过一系列措施，松材线虫病得到了有效遏制，园内的松树得到有效的保护。</w:t>
      </w:r>
    </w:p>
    <w:p>
      <w:pPr>
        <w:numPr>
          <w:ilvl w:val="0"/>
          <w:numId w:val="0"/>
        </w:numPr>
        <w:spacing w:line="360" w:lineRule="auto"/>
        <w:ind w:leftChars="200"/>
        <w:rPr>
          <w:rFonts w:ascii="宋体" w:hAnsi="宋体"/>
          <w:bCs/>
          <w:sz w:val="28"/>
          <w:szCs w:val="28"/>
        </w:rPr>
      </w:pPr>
      <w:r>
        <w:rPr>
          <w:rFonts w:hint="eastAsia" w:ascii="宋体" w:hAnsi="宋体"/>
          <w:bCs/>
          <w:sz w:val="28"/>
          <w:szCs w:val="28"/>
          <w:lang w:eastAsia="zh-CN"/>
        </w:rPr>
        <w:t>（</w:t>
      </w:r>
      <w:r>
        <w:rPr>
          <w:rFonts w:hint="eastAsia" w:ascii="宋体" w:hAnsi="宋体"/>
          <w:bCs/>
          <w:sz w:val="28"/>
          <w:szCs w:val="28"/>
          <w:lang w:val="en-US" w:eastAsia="zh-CN"/>
        </w:rPr>
        <w:t>2</w:t>
      </w:r>
      <w:r>
        <w:rPr>
          <w:rFonts w:hint="eastAsia" w:ascii="宋体" w:hAnsi="宋体"/>
          <w:bCs/>
          <w:sz w:val="28"/>
          <w:szCs w:val="28"/>
          <w:lang w:eastAsia="zh-CN"/>
        </w:rPr>
        <w:t>）</w:t>
      </w:r>
      <w:r>
        <w:rPr>
          <w:rFonts w:ascii="宋体" w:hAnsi="宋体"/>
          <w:bCs/>
          <w:sz w:val="28"/>
          <w:szCs w:val="28"/>
        </w:rPr>
        <w:t>森林防火</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560" w:firstLineChars="200"/>
        <w:textAlignment w:val="auto"/>
        <w:rPr>
          <w:rFonts w:hint="eastAsia" w:ascii="宋体" w:hAnsi="宋体" w:eastAsia="宋体" w:cs="Times New Roman"/>
          <w:bCs/>
          <w:sz w:val="28"/>
          <w:szCs w:val="28"/>
          <w:lang w:val="en-US" w:eastAsia="zh-CN"/>
        </w:rPr>
      </w:pPr>
      <w:r>
        <w:rPr>
          <w:rFonts w:hint="eastAsia" w:ascii="宋体" w:hAnsi="宋体" w:eastAsia="宋体" w:cs="Times New Roman"/>
          <w:bCs/>
          <w:sz w:val="28"/>
          <w:szCs w:val="28"/>
          <w:lang w:val="en-US" w:eastAsia="zh-CN"/>
        </w:rPr>
        <w:t>森林防火工作责任重于泰山，公园人始终保持高度警惕状态，一是不定期地召开护林员工作会议，明确责任，强调纪律，做好护林工作的“信息员”；二是加强宣传，共发放宣传单160份，悬挂宣传横幅50多条，制作防火宣传牌35块，出动宣传车365天不间断全天候在公园重点地段及周边村组进行宣传，景区采用携带便携式宣传喇叭进行宣传。三是加强巡查，巡逻队全天候全覆盖在辖区和辖区周边开展巡逻，确保第一时间掌握信息和动态，将事态控制在萌芽状态，全年共计处理林地侵占纠纷6起；排查隐患30多处。四是是对公园沿线、康养步道、坟山等重点地段的枯枝落叶不定期进行清理；五是在今年春节和清明期间，公园全体职工放弃节假日休息，仍然坚持不懈在公园进山口处进行蹲点守卡，宣传文明祭祖新风尚，用鲜花、矿泉水兑换祭祖人员的鞭炮、蜡烛、钱纸等，筑牢森林防火墙，严控火源上山。六是护林员巡查日志的填写，围绕巡山的路线，详细记录了护林巡山的主要内容和情况，并将事情处理的情况进行综合评价和记录，同时保存相关照片等等，确保巡逻日志的完整、详细。全年来在全体干部职工的齐抓共管下，在资源管护巡逻队的努力下，公园森林生态资源得到了有效的保护，确保了森林资源的安全和完整。</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560" w:firstLineChars="200"/>
        <w:textAlignment w:val="auto"/>
        <w:rPr>
          <w:rFonts w:hint="eastAsia" w:ascii="宋体" w:hAnsi="宋体" w:eastAsia="宋体" w:cs="Times New Roman"/>
          <w:bCs/>
          <w:sz w:val="28"/>
          <w:szCs w:val="28"/>
          <w:lang w:val="en-US" w:eastAsia="zh-CN"/>
        </w:rPr>
      </w:pPr>
      <w:r>
        <w:rPr>
          <w:rFonts w:hint="eastAsia" w:ascii="宋体" w:hAnsi="宋体" w:eastAsia="宋体" w:cs="Times New Roman"/>
          <w:bCs/>
          <w:sz w:val="28"/>
          <w:szCs w:val="28"/>
          <w:lang w:val="en-US" w:eastAsia="zh-CN"/>
        </w:rPr>
        <w:t>5、抚育工作</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560" w:firstLineChars="200"/>
        <w:textAlignment w:val="auto"/>
        <w:rPr>
          <w:rFonts w:hint="eastAsia" w:ascii="宋体" w:hAnsi="宋体" w:eastAsia="宋体" w:cs="Times New Roman"/>
          <w:bCs/>
          <w:sz w:val="28"/>
          <w:szCs w:val="28"/>
          <w:lang w:val="en-US" w:eastAsia="zh-CN"/>
        </w:rPr>
      </w:pPr>
      <w:r>
        <w:rPr>
          <w:rFonts w:hint="eastAsia" w:ascii="宋体" w:hAnsi="宋体" w:eastAsia="宋体" w:cs="Times New Roman"/>
          <w:bCs/>
          <w:sz w:val="28"/>
          <w:szCs w:val="28"/>
          <w:lang w:val="en-US" w:eastAsia="zh-CN"/>
        </w:rPr>
        <w:t>今年公园对新造林和中幼林基地及公路两旁进行了二次全面的抚育，抚育面积240亩，投入资金9万多元。通过除草、清灌，抚育、修剪等方式提高林分质量，提高林木美观度。</w:t>
      </w:r>
    </w:p>
    <w:p>
      <w:pPr>
        <w:spacing w:line="360" w:lineRule="auto"/>
        <w:ind w:firstLine="560" w:firstLineChars="200"/>
        <w:rPr>
          <w:rFonts w:hint="eastAsia" w:ascii="宋体" w:hAnsi="宋体"/>
          <w:bCs/>
          <w:sz w:val="28"/>
          <w:szCs w:val="28"/>
          <w:lang w:val="en-US" w:eastAsia="zh-CN"/>
        </w:rPr>
      </w:pPr>
      <w:r>
        <w:rPr>
          <w:rFonts w:hint="eastAsia" w:ascii="宋体" w:hAnsi="宋体"/>
          <w:bCs/>
          <w:sz w:val="28"/>
          <w:szCs w:val="28"/>
          <w:lang w:val="en-US" w:eastAsia="zh-CN"/>
        </w:rPr>
        <w:t>6、聚焦“双碳标准”，推进零碳公园建设</w:t>
      </w:r>
    </w:p>
    <w:p>
      <w:pPr>
        <w:spacing w:line="360" w:lineRule="auto"/>
        <w:ind w:firstLine="560" w:firstLineChars="200"/>
        <w:rPr>
          <w:rFonts w:hint="eastAsia" w:ascii="宋体" w:hAnsi="宋体"/>
          <w:bCs/>
          <w:sz w:val="28"/>
          <w:szCs w:val="28"/>
        </w:rPr>
      </w:pPr>
      <w:r>
        <w:rPr>
          <w:rFonts w:hint="eastAsia" w:ascii="宋体" w:hAnsi="宋体"/>
          <w:bCs/>
          <w:sz w:val="28"/>
          <w:szCs w:val="28"/>
          <w:lang w:val="en-US" w:eastAsia="zh-CN"/>
        </w:rPr>
        <w:t xml:space="preserve"> </w:t>
      </w:r>
      <w:r>
        <w:rPr>
          <w:rFonts w:hint="eastAsia" w:ascii="宋体" w:hAnsi="宋体"/>
          <w:bCs/>
          <w:sz w:val="28"/>
          <w:szCs w:val="28"/>
        </w:rPr>
        <w:t>坚持生态优先、绿色发展，因地制宜</w:t>
      </w:r>
      <w:r>
        <w:rPr>
          <w:rFonts w:hint="eastAsia" w:ascii="宋体" w:hAnsi="宋体"/>
          <w:bCs/>
          <w:sz w:val="28"/>
          <w:szCs w:val="28"/>
          <w:lang w:eastAsia="zh-CN"/>
        </w:rPr>
        <w:t>，</w:t>
      </w:r>
      <w:r>
        <w:rPr>
          <w:rFonts w:hint="eastAsia" w:ascii="宋体" w:hAnsi="宋体"/>
          <w:bCs/>
          <w:sz w:val="28"/>
          <w:szCs w:val="28"/>
          <w:lang w:val="en-US" w:eastAsia="zh-CN"/>
        </w:rPr>
        <w:t>聚焦“双碳标准”，</w:t>
      </w:r>
      <w:r>
        <w:rPr>
          <w:rFonts w:hint="eastAsia" w:ascii="宋体" w:hAnsi="宋体"/>
          <w:bCs/>
          <w:sz w:val="28"/>
          <w:szCs w:val="28"/>
        </w:rPr>
        <w:t>东台山国家森林公园</w:t>
      </w:r>
      <w:r>
        <w:rPr>
          <w:rFonts w:hint="eastAsia" w:ascii="宋体" w:hAnsi="宋体"/>
          <w:bCs/>
          <w:sz w:val="28"/>
          <w:szCs w:val="28"/>
          <w:lang w:eastAsia="zh-CN"/>
        </w:rPr>
        <w:t>今年</w:t>
      </w:r>
      <w:r>
        <w:rPr>
          <w:rFonts w:hint="eastAsia" w:ascii="宋体" w:hAnsi="宋体"/>
          <w:bCs/>
          <w:sz w:val="28"/>
          <w:szCs w:val="28"/>
        </w:rPr>
        <w:t>循序渐进推进零碳公园示范工程建设，</w:t>
      </w:r>
      <w:r>
        <w:rPr>
          <w:rFonts w:hint="eastAsia" w:ascii="宋体" w:hAnsi="宋体"/>
          <w:bCs/>
          <w:sz w:val="28"/>
          <w:szCs w:val="28"/>
          <w:lang w:eastAsia="zh-CN"/>
        </w:rPr>
        <w:t>一是制订《</w:t>
      </w:r>
      <w:r>
        <w:rPr>
          <w:rFonts w:hint="eastAsia" w:ascii="宋体" w:hAnsi="宋体"/>
          <w:bCs/>
          <w:sz w:val="28"/>
          <w:szCs w:val="28"/>
        </w:rPr>
        <w:t>东台山国家森林公园零碳公园建设工作方案</w:t>
      </w:r>
      <w:r>
        <w:rPr>
          <w:rFonts w:hint="eastAsia" w:ascii="宋体" w:hAnsi="宋体"/>
          <w:bCs/>
          <w:sz w:val="28"/>
          <w:szCs w:val="28"/>
          <w:lang w:eastAsia="zh-CN"/>
        </w:rPr>
        <w:t>》；二是启动了</w:t>
      </w:r>
      <w:r>
        <w:rPr>
          <w:rFonts w:hint="eastAsia" w:ascii="宋体" w:hAnsi="宋体"/>
          <w:bCs/>
          <w:sz w:val="28"/>
          <w:szCs w:val="28"/>
        </w:rPr>
        <w:t>零碳主题公园标示标牌</w:t>
      </w:r>
      <w:r>
        <w:rPr>
          <w:rFonts w:hint="eastAsia" w:ascii="宋体" w:hAnsi="宋体"/>
          <w:bCs/>
          <w:sz w:val="28"/>
          <w:szCs w:val="28"/>
          <w:lang w:eastAsia="zh-CN"/>
        </w:rPr>
        <w:t>建设，</w:t>
      </w:r>
      <w:r>
        <w:rPr>
          <w:rFonts w:hint="eastAsia" w:ascii="宋体" w:hAnsi="宋体"/>
          <w:bCs/>
          <w:sz w:val="28"/>
          <w:szCs w:val="28"/>
        </w:rPr>
        <w:t>使用环保材料结合零碳主题宣传，在提升国家森林公园的品牌形象的同时达到</w:t>
      </w:r>
      <w:r>
        <w:rPr>
          <w:rFonts w:hint="eastAsia" w:ascii="宋体" w:hAnsi="宋体"/>
          <w:bCs/>
          <w:sz w:val="28"/>
          <w:szCs w:val="28"/>
          <w:lang w:eastAsia="zh-CN"/>
        </w:rPr>
        <w:t>宣传</w:t>
      </w:r>
      <w:r>
        <w:rPr>
          <w:rFonts w:hint="eastAsia" w:ascii="宋体" w:hAnsi="宋体"/>
          <w:bCs/>
          <w:sz w:val="28"/>
          <w:szCs w:val="28"/>
        </w:rPr>
        <w:t>绿色低碳品牌的效果。</w:t>
      </w:r>
    </w:p>
    <w:p>
      <w:pPr>
        <w:spacing w:line="360" w:lineRule="auto"/>
        <w:ind w:firstLine="560" w:firstLineChars="200"/>
        <w:rPr>
          <w:rFonts w:hint="eastAsia" w:ascii="宋体" w:hAnsi="宋体" w:eastAsia="宋体" w:cs="Times New Roman"/>
          <w:bCs/>
          <w:sz w:val="28"/>
          <w:szCs w:val="28"/>
          <w:lang w:val="en-US" w:eastAsia="zh-CN"/>
        </w:rPr>
      </w:pPr>
      <w:r>
        <w:rPr>
          <w:rFonts w:hint="eastAsia" w:ascii="宋体" w:hAnsi="宋体" w:eastAsia="宋体" w:cs="Times New Roman"/>
          <w:bCs/>
          <w:sz w:val="28"/>
          <w:szCs w:val="28"/>
          <w:lang w:val="en-US" w:eastAsia="zh-CN"/>
        </w:rPr>
        <w:t>7、科学规划，改善林区道路状况</w:t>
      </w:r>
    </w:p>
    <w:p>
      <w:pPr>
        <w:spacing w:line="360" w:lineRule="auto"/>
        <w:ind w:firstLine="280" w:firstLineChars="100"/>
        <w:rPr>
          <w:rFonts w:hint="eastAsia" w:ascii="宋体" w:hAnsi="宋体" w:eastAsia="宋体" w:cs="Times New Roman"/>
          <w:bCs/>
          <w:sz w:val="28"/>
          <w:szCs w:val="28"/>
          <w:lang w:val="en-US" w:eastAsia="zh-CN"/>
        </w:rPr>
      </w:pPr>
      <w:r>
        <w:rPr>
          <w:rFonts w:hint="eastAsia" w:ascii="宋体" w:hAnsi="宋体" w:eastAsia="宋体" w:cs="Times New Roman"/>
          <w:bCs/>
          <w:sz w:val="28"/>
          <w:szCs w:val="28"/>
          <w:lang w:val="en-US" w:eastAsia="zh-CN"/>
        </w:rPr>
        <w:t>（1）硬化了猫冲至文塔公路的排水沟，沿山开挖，宽度40厘米，深度40厘米，总长度1000米，易积水处修建排水通道，共计投入资金约11.1万元。</w:t>
      </w:r>
    </w:p>
    <w:p>
      <w:pPr>
        <w:spacing w:line="360" w:lineRule="auto"/>
        <w:ind w:firstLine="280" w:firstLineChars="100"/>
        <w:rPr>
          <w:rFonts w:hint="eastAsia" w:ascii="宋体" w:hAnsi="宋体" w:eastAsia="宋体" w:cs="Times New Roman"/>
          <w:bCs/>
          <w:sz w:val="28"/>
          <w:szCs w:val="28"/>
          <w:lang w:val="en-US" w:eastAsia="zh-CN"/>
        </w:rPr>
      </w:pPr>
      <w:r>
        <w:rPr>
          <w:rFonts w:hint="eastAsia" w:ascii="宋体" w:hAnsi="宋体" w:eastAsia="宋体" w:cs="Times New Roman"/>
          <w:bCs/>
          <w:sz w:val="28"/>
          <w:szCs w:val="28"/>
          <w:lang w:val="en-US" w:eastAsia="zh-CN"/>
        </w:rPr>
        <w:t>（２）完成了森林康养步道项目建设，并验收合格。打造了一条3200米长的休闲、养生、漫步为特色的高标准步道。</w:t>
      </w:r>
    </w:p>
    <w:p>
      <w:pPr>
        <w:spacing w:line="360" w:lineRule="auto"/>
        <w:ind w:firstLine="280" w:firstLineChars="100"/>
        <w:rPr>
          <w:rFonts w:hint="eastAsia" w:ascii="宋体" w:hAnsi="宋体" w:eastAsia="宋体" w:cs="Times New Roman"/>
          <w:bCs/>
          <w:sz w:val="28"/>
          <w:szCs w:val="28"/>
          <w:lang w:val="en-US" w:eastAsia="zh-CN"/>
        </w:rPr>
      </w:pPr>
      <w:r>
        <w:rPr>
          <w:rFonts w:hint="eastAsia" w:ascii="宋体" w:hAnsi="宋体" w:eastAsia="宋体" w:cs="Times New Roman"/>
          <w:bCs/>
          <w:sz w:val="28"/>
          <w:szCs w:val="28"/>
          <w:lang w:val="en-US" w:eastAsia="zh-CN"/>
        </w:rPr>
        <w:t>（3）对林区内林道及游步道进行一次全面的整修，投入资金6万多元。</w:t>
      </w:r>
    </w:p>
    <w:p>
      <w:pPr>
        <w:spacing w:line="360" w:lineRule="auto"/>
        <w:rPr>
          <w:rFonts w:hint="eastAsia" w:ascii="宋体" w:hAnsi="宋体" w:eastAsia="宋体" w:cs="Times New Roman"/>
          <w:bCs/>
          <w:sz w:val="28"/>
          <w:szCs w:val="28"/>
          <w:lang w:val="en-US" w:eastAsia="zh-CN"/>
        </w:rPr>
      </w:pPr>
      <w:r>
        <w:rPr>
          <w:rFonts w:hint="eastAsia" w:ascii="宋体" w:hAnsi="宋体" w:eastAsia="宋体" w:cs="Times New Roman"/>
          <w:bCs/>
          <w:sz w:val="28"/>
          <w:szCs w:val="28"/>
          <w:lang w:val="en-US" w:eastAsia="zh-CN"/>
        </w:rPr>
        <w:t>（4）对公园景区内的公共服务设施及消防设施进行了一次全面的维护，投入资金4万多元。</w:t>
      </w:r>
    </w:p>
    <w:p>
      <w:pPr>
        <w:spacing w:line="360" w:lineRule="auto"/>
        <w:ind w:firstLine="560" w:firstLineChars="200"/>
        <w:rPr>
          <w:rFonts w:hint="default" w:ascii="宋体" w:hAnsi="宋体" w:eastAsia="宋体" w:cs="Times New Roman"/>
          <w:bCs/>
          <w:sz w:val="28"/>
          <w:szCs w:val="28"/>
          <w:lang w:val="en-US" w:eastAsia="zh-CN"/>
        </w:rPr>
      </w:pPr>
      <w:r>
        <w:rPr>
          <w:rFonts w:hint="eastAsia" w:ascii="宋体" w:hAnsi="宋体" w:eastAsia="宋体" w:cs="Times New Roman"/>
          <w:bCs/>
          <w:sz w:val="28"/>
          <w:szCs w:val="28"/>
          <w:lang w:val="en-US" w:eastAsia="zh-CN"/>
        </w:rPr>
        <w:t>8、</w:t>
      </w:r>
      <w:r>
        <w:rPr>
          <w:rFonts w:hint="default" w:ascii="宋体" w:hAnsi="宋体" w:eastAsia="宋体" w:cs="Times New Roman"/>
          <w:bCs/>
          <w:sz w:val="28"/>
          <w:szCs w:val="28"/>
          <w:lang w:val="en-US" w:eastAsia="zh-CN"/>
        </w:rPr>
        <w:t>找准问题导向，严格落实整改工作</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宋体" w:hAnsi="宋体" w:eastAsia="宋体" w:cs="Times New Roman"/>
          <w:bCs/>
          <w:sz w:val="28"/>
          <w:szCs w:val="28"/>
          <w:lang w:val="en-US" w:eastAsia="zh-CN"/>
        </w:rPr>
      </w:pPr>
      <w:r>
        <w:rPr>
          <w:rFonts w:hint="default" w:ascii="宋体" w:hAnsi="宋体" w:eastAsia="宋体" w:cs="Times New Roman"/>
          <w:bCs/>
          <w:sz w:val="28"/>
          <w:szCs w:val="28"/>
          <w:lang w:val="en-US" w:eastAsia="zh-CN"/>
        </w:rPr>
        <w:t>按照湘乡市委统一部署，2021年4月9日至5月20日，湘乡市委第十二轮第二巡察组对湘乡市东台山国家森林公园进行了政治巡察。2021年7月2日反馈了巡察意见，在市林业局党组及巡察整改领导小组的领导、安排部署下，一是认真制订整改方案和整改清单，明确整改内容、整改目标、整改责任、整改措施、整改时限。按照“即知即改、限时整改、完成销号、建立长效”的工作要求，将巡察问题整改作为当前工作的重心来抓，全面完成整改。二是精心安排组织召开巡察整改专题组织生活会，通过广泛听取各方意见建议，针对性地查找问题原因，对症下药，确保整改严肃性和实效性。三是建章立制落实整改。对照整改清单，结合单位实际，修订完善各项管理制度。通过此次巡察，东台山国家森林公园重新制订和完善管理制度7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宋体" w:hAnsi="宋体" w:eastAsia="宋体" w:cs="Times New Roman"/>
          <w:bCs/>
          <w:sz w:val="28"/>
          <w:szCs w:val="28"/>
          <w:lang w:val="en-US" w:eastAsia="zh-CN"/>
        </w:rPr>
      </w:pPr>
      <w:r>
        <w:rPr>
          <w:rFonts w:hint="default" w:ascii="宋体" w:hAnsi="宋体" w:eastAsia="宋体" w:cs="Times New Roman"/>
          <w:bCs/>
          <w:sz w:val="28"/>
          <w:szCs w:val="28"/>
          <w:lang w:val="en-US" w:eastAsia="zh-CN"/>
        </w:rPr>
        <w:t>通过坚持问题导向，认真剖析，找准问题根源，一项一项抓好整改落实。目前巡察反馈的31个具体问题已大部分整改，销号24个。</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宋体" w:hAnsi="宋体" w:eastAsia="宋体" w:cs="Times New Roman"/>
          <w:bCs/>
          <w:sz w:val="28"/>
          <w:szCs w:val="28"/>
          <w:lang w:val="en-US" w:eastAsia="zh-CN"/>
        </w:rPr>
      </w:pPr>
      <w:r>
        <w:rPr>
          <w:rFonts w:hint="eastAsia" w:ascii="宋体" w:hAnsi="宋体" w:eastAsia="宋体" w:cs="Times New Roman"/>
          <w:bCs/>
          <w:sz w:val="28"/>
          <w:szCs w:val="28"/>
          <w:lang w:val="en-US" w:eastAsia="zh-CN"/>
        </w:rPr>
        <w:t>9、</w:t>
      </w:r>
      <w:r>
        <w:rPr>
          <w:rFonts w:hint="default" w:ascii="宋体" w:hAnsi="宋体" w:eastAsia="宋体" w:cs="Times New Roman"/>
          <w:bCs/>
          <w:sz w:val="28"/>
          <w:szCs w:val="28"/>
          <w:lang w:val="en-US" w:eastAsia="zh-CN"/>
        </w:rPr>
        <w:t>公园全年来举办的重要活动</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宋体" w:hAnsi="宋体" w:eastAsia="宋体" w:cs="Times New Roman"/>
          <w:bCs/>
          <w:sz w:val="28"/>
          <w:szCs w:val="28"/>
          <w:lang w:val="en-US" w:eastAsia="zh-CN"/>
        </w:rPr>
      </w:pPr>
      <w:r>
        <w:rPr>
          <w:rFonts w:hint="eastAsia" w:ascii="宋体" w:hAnsi="宋体" w:eastAsia="宋体" w:cs="Times New Roman"/>
          <w:bCs/>
          <w:sz w:val="28"/>
          <w:szCs w:val="28"/>
          <w:lang w:val="en-US" w:eastAsia="zh-CN"/>
        </w:rPr>
        <w:t>（1）</w:t>
      </w:r>
      <w:r>
        <w:rPr>
          <w:rFonts w:hint="default" w:ascii="宋体" w:hAnsi="宋体" w:eastAsia="宋体" w:cs="Times New Roman"/>
          <w:bCs/>
          <w:sz w:val="28"/>
          <w:szCs w:val="28"/>
          <w:lang w:val="en-US" w:eastAsia="zh-CN"/>
        </w:rPr>
        <w:t>6月26日晚，湘乡市委副书记、代市长郭勇到东台山国家森林公园调研，市长强调，东台山国家森林公园班子成员要加强学习，创新机制，规范景区的管理和服务；整体规划，分步实施，充分挖掘文化内涵，完善景区的配套服务功能，提高游客的聚集度。</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宋体" w:hAnsi="宋体" w:eastAsia="宋体" w:cs="Times New Roman"/>
          <w:bCs/>
          <w:sz w:val="28"/>
          <w:szCs w:val="28"/>
          <w:lang w:val="en-US" w:eastAsia="zh-CN"/>
        </w:rPr>
      </w:pPr>
      <w:r>
        <w:rPr>
          <w:rFonts w:hint="eastAsia" w:ascii="宋体" w:hAnsi="宋体" w:eastAsia="宋体" w:cs="Times New Roman"/>
          <w:bCs/>
          <w:sz w:val="28"/>
          <w:szCs w:val="28"/>
          <w:lang w:val="en-US" w:eastAsia="zh-CN"/>
        </w:rPr>
        <w:t>（2）</w:t>
      </w:r>
      <w:r>
        <w:rPr>
          <w:rFonts w:hint="default" w:ascii="宋体" w:hAnsi="宋体" w:eastAsia="宋体" w:cs="Times New Roman"/>
          <w:bCs/>
          <w:sz w:val="28"/>
          <w:szCs w:val="28"/>
          <w:lang w:val="en-US" w:eastAsia="zh-CN"/>
        </w:rPr>
        <w:t>为全面推行林长制，实现林长治，11月10日，湘潭市委常委、市人民政府党组副书记、市级林长吴志雄带队来东台山国家森林公园巡林，这是湘潭市落实党中央、国务院和省委、省政府全面推行林长制重大决策部署的第一场巡林。参加巡林的还有湘潭市发改委、市林业局、市消防救援支队，湘乡市负责人。吴志雄一行在东台山国家森林公园巡林后，听取了湘乡市委、市政府关于林长制工作的情况汇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cs="宋体"/>
          <w:sz w:val="28"/>
          <w:szCs w:val="28"/>
        </w:rPr>
      </w:pPr>
      <w:r>
        <w:rPr>
          <w:rFonts w:hint="eastAsia" w:ascii="宋体" w:hAnsi="宋体" w:eastAsia="宋体" w:cs="Times New Roman"/>
          <w:bCs/>
          <w:sz w:val="28"/>
          <w:szCs w:val="28"/>
          <w:lang w:val="en-US" w:eastAsia="zh-CN"/>
        </w:rPr>
        <w:t>（3）</w:t>
      </w:r>
      <w:r>
        <w:rPr>
          <w:rFonts w:hint="default" w:ascii="宋体" w:hAnsi="宋体" w:eastAsia="宋体" w:cs="Times New Roman"/>
          <w:bCs/>
          <w:sz w:val="28"/>
          <w:szCs w:val="28"/>
          <w:lang w:val="en-US" w:eastAsia="zh-CN"/>
        </w:rPr>
        <w:t>为缅怀革命先烈，弘扬革命烈士精神，今年9月30日在东台山国家森林公园烈士纪念园举行向人民英雄敬献花篮仪式，参加活动的有市委书记和各市级领导、各部门领导、少先队员代表、各界群众代表以及烈士家属，陵园红旗飘扬，仪式庄严肃穆，表达对人民英雄的深切缅怀和崇高的敬意。</w:t>
      </w:r>
    </w:p>
    <w:p>
      <w:pPr>
        <w:spacing w:line="500" w:lineRule="exact"/>
        <w:ind w:firstLine="560" w:firstLineChars="200"/>
        <w:rPr>
          <w:rFonts w:ascii="宋体" w:hAnsi="宋体"/>
          <w:sz w:val="28"/>
          <w:szCs w:val="28"/>
        </w:rPr>
      </w:pPr>
      <w:r>
        <w:rPr>
          <w:rFonts w:hint="eastAsia" w:ascii="宋体" w:hAnsi="宋体"/>
          <w:sz w:val="28"/>
          <w:szCs w:val="28"/>
          <w:lang w:val="en-US" w:eastAsia="zh-CN"/>
        </w:rPr>
        <w:t>10</w:t>
      </w:r>
      <w:r>
        <w:rPr>
          <w:rFonts w:hint="eastAsia" w:ascii="宋体" w:hAnsi="宋体"/>
          <w:sz w:val="28"/>
          <w:szCs w:val="28"/>
        </w:rPr>
        <w:t>、游客投诉显著下降，因顺畅及诉求的问题得到及时处理，投诉率下降至5%。</w:t>
      </w:r>
    </w:p>
    <w:p>
      <w:pPr>
        <w:ind w:firstLine="560" w:firstLineChars="200"/>
        <w:rPr>
          <w:rFonts w:ascii="宋体" w:cs="Times New Roman"/>
          <w:sz w:val="28"/>
          <w:szCs w:val="28"/>
        </w:rPr>
      </w:pPr>
    </w:p>
    <w:p>
      <w:pPr>
        <w:pStyle w:val="11"/>
        <w:widowControl/>
        <w:spacing w:line="540" w:lineRule="exact"/>
        <w:ind w:left="640" w:firstLine="0" w:firstLineChars="0"/>
        <w:jc w:val="left"/>
        <w:rPr>
          <w:rFonts w:ascii="Times New Roman" w:hAnsi="Times New Roman" w:eastAsia="黑体"/>
          <w:sz w:val="32"/>
          <w:szCs w:val="32"/>
        </w:rPr>
      </w:pPr>
      <w:r>
        <w:rPr>
          <w:rFonts w:hint="eastAsia" w:ascii="Times New Roman" w:hAnsi="Times New Roman" w:eastAsia="黑体"/>
          <w:sz w:val="32"/>
          <w:szCs w:val="32"/>
        </w:rPr>
        <w:t>七、</w:t>
      </w:r>
      <w:r>
        <w:rPr>
          <w:rFonts w:ascii="Times New Roman" w:hAnsi="Times New Roman" w:eastAsia="黑体"/>
          <w:sz w:val="32"/>
          <w:szCs w:val="32"/>
        </w:rPr>
        <w:t>存在的问题及原因分析</w:t>
      </w:r>
    </w:p>
    <w:p>
      <w:pPr>
        <w:ind w:firstLine="560" w:firstLineChars="200"/>
        <w:rPr>
          <w:rFonts w:ascii="宋体" w:cs="宋体"/>
          <w:sz w:val="28"/>
          <w:szCs w:val="28"/>
        </w:rPr>
      </w:pPr>
      <w:r>
        <w:rPr>
          <w:rFonts w:hint="eastAsia" w:ascii="宋体" w:hAnsi="宋体" w:cs="宋体"/>
          <w:sz w:val="28"/>
          <w:szCs w:val="28"/>
        </w:rPr>
        <w:t>一是资金使用效益有待进一步提高；</w:t>
      </w:r>
    </w:p>
    <w:p>
      <w:pPr>
        <w:ind w:firstLine="560" w:firstLineChars="200"/>
        <w:rPr>
          <w:rFonts w:ascii="宋体" w:cs="宋体"/>
          <w:sz w:val="28"/>
          <w:szCs w:val="28"/>
        </w:rPr>
      </w:pPr>
      <w:r>
        <w:rPr>
          <w:rFonts w:hint="eastAsia" w:ascii="宋体" w:hAnsi="宋体" w:cs="宋体"/>
          <w:sz w:val="28"/>
          <w:szCs w:val="28"/>
        </w:rPr>
        <w:t>二是绩效目标设立不够明确、细化和量化</w:t>
      </w:r>
      <w:r>
        <w:rPr>
          <w:rFonts w:hint="eastAsia" w:ascii="宋体" w:hAnsi="宋体" w:cs="宋体"/>
          <w:sz w:val="28"/>
          <w:szCs w:val="28"/>
          <w:lang w:eastAsia="zh-CN"/>
        </w:rPr>
        <w:t>，主要原因是对绩效评价理解不透彻</w:t>
      </w:r>
      <w:r>
        <w:rPr>
          <w:rFonts w:hint="eastAsia" w:ascii="宋体" w:hAnsi="宋体" w:cs="宋体"/>
          <w:sz w:val="28"/>
          <w:szCs w:val="28"/>
        </w:rPr>
        <w:t>；</w:t>
      </w:r>
    </w:p>
    <w:p>
      <w:pPr>
        <w:ind w:firstLine="560" w:firstLineChars="200"/>
        <w:rPr>
          <w:rFonts w:ascii="宋体" w:cs="Times New Roman"/>
          <w:sz w:val="28"/>
          <w:szCs w:val="28"/>
        </w:rPr>
      </w:pPr>
      <w:r>
        <w:rPr>
          <w:rFonts w:hint="eastAsia" w:ascii="宋体" w:hAnsi="宋体" w:cs="宋体"/>
          <w:sz w:val="28"/>
          <w:szCs w:val="28"/>
        </w:rPr>
        <w:t>三是财政资金到位慢，工程结算跨年度，资金绩效评价工作受影响。</w:t>
      </w:r>
    </w:p>
    <w:p>
      <w:pPr>
        <w:widowControl/>
        <w:spacing w:line="540" w:lineRule="exact"/>
        <w:ind w:firstLine="640" w:firstLineChars="200"/>
        <w:jc w:val="left"/>
        <w:rPr>
          <w:rFonts w:eastAsia="黑体"/>
          <w:sz w:val="32"/>
          <w:szCs w:val="32"/>
        </w:rPr>
      </w:pPr>
      <w:r>
        <w:rPr>
          <w:rFonts w:eastAsia="黑体"/>
          <w:sz w:val="32"/>
          <w:szCs w:val="32"/>
        </w:rPr>
        <w:t>八、下一步改进措施</w:t>
      </w:r>
    </w:p>
    <w:p>
      <w:pPr>
        <w:ind w:firstLine="560" w:firstLineChars="200"/>
        <w:rPr>
          <w:rFonts w:hint="eastAsia" w:ascii="宋体" w:cs="宋体"/>
          <w:sz w:val="28"/>
          <w:szCs w:val="28"/>
        </w:rPr>
      </w:pPr>
      <w:r>
        <w:rPr>
          <w:rFonts w:hint="eastAsia" w:ascii="宋体" w:cs="宋体"/>
          <w:sz w:val="28"/>
          <w:szCs w:val="28"/>
          <w:lang w:eastAsia="zh-CN"/>
        </w:rPr>
        <w:t>加强绩效评价及管理的学习，</w:t>
      </w:r>
      <w:r>
        <w:rPr>
          <w:rFonts w:hint="eastAsia" w:ascii="宋体" w:cs="宋体"/>
          <w:sz w:val="28"/>
          <w:szCs w:val="28"/>
        </w:rPr>
        <w:t>进一步规范绩效目标编制。在编制项目资金绩效目标时要求指向明确、细化量化、合理可行、相应匹配。</w:t>
      </w:r>
    </w:p>
    <w:p>
      <w:pPr>
        <w:widowControl/>
        <w:spacing w:line="540" w:lineRule="exact"/>
        <w:ind w:firstLine="645"/>
        <w:jc w:val="left"/>
        <w:rPr>
          <w:rFonts w:eastAsia="黑体"/>
          <w:sz w:val="32"/>
          <w:szCs w:val="32"/>
        </w:rPr>
      </w:pPr>
      <w:r>
        <w:rPr>
          <w:rFonts w:eastAsia="黑体"/>
          <w:sz w:val="32"/>
          <w:szCs w:val="32"/>
        </w:rPr>
        <w:t>九、其他需要说明的情况</w:t>
      </w:r>
    </w:p>
    <w:p>
      <w:pPr>
        <w:ind w:firstLine="560" w:firstLineChars="200"/>
        <w:rPr>
          <w:rFonts w:cs="Times New Roman"/>
          <w:b/>
          <w:bCs/>
          <w:sz w:val="30"/>
          <w:szCs w:val="30"/>
        </w:rPr>
      </w:pPr>
      <w:r>
        <w:rPr>
          <w:rFonts w:hint="eastAsia" w:ascii="宋体" w:cs="宋体"/>
          <w:sz w:val="28"/>
          <w:szCs w:val="28"/>
          <w:lang w:eastAsia="zh-CN"/>
        </w:rPr>
        <w:t>无</w:t>
      </w:r>
    </w:p>
    <w:p>
      <w:pPr>
        <w:ind w:firstLine="640" w:firstLineChars="200"/>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34076E"/>
    <w:multiLevelType w:val="singleLevel"/>
    <w:tmpl w:val="B934076E"/>
    <w:lvl w:ilvl="0" w:tentative="0">
      <w:start w:val="3"/>
      <w:numFmt w:val="chineseCounting"/>
      <w:suff w:val="nothing"/>
      <w:lvlText w:val="（%1）"/>
      <w:lvlJc w:val="left"/>
      <w:rPr>
        <w:rFonts w:hint="eastAsia"/>
      </w:rPr>
    </w:lvl>
  </w:abstractNum>
  <w:abstractNum w:abstractNumId="1">
    <w:nsid w:val="E33874BC"/>
    <w:multiLevelType w:val="singleLevel"/>
    <w:tmpl w:val="E33874BC"/>
    <w:lvl w:ilvl="0" w:tentative="0">
      <w:start w:val="3"/>
      <w:numFmt w:val="chineseCounting"/>
      <w:suff w:val="nothing"/>
      <w:lvlText w:val="%1、"/>
      <w:lvlJc w:val="left"/>
      <w:rPr>
        <w:rFonts w:hint="eastAsia"/>
      </w:rPr>
    </w:lvl>
  </w:abstractNum>
  <w:abstractNum w:abstractNumId="2">
    <w:nsid w:val="03E6C3D4"/>
    <w:multiLevelType w:val="singleLevel"/>
    <w:tmpl w:val="03E6C3D4"/>
    <w:lvl w:ilvl="0" w:tentative="0">
      <w:start w:val="1"/>
      <w:numFmt w:val="decimal"/>
      <w:suff w:val="nothing"/>
      <w:lvlText w:val="%1、"/>
      <w:lvlJc w:val="left"/>
    </w:lvl>
  </w:abstractNum>
  <w:abstractNum w:abstractNumId="3">
    <w:nsid w:val="1F0B3228"/>
    <w:multiLevelType w:val="multilevel"/>
    <w:tmpl w:val="1F0B3228"/>
    <w:lvl w:ilvl="0" w:tentative="0">
      <w:start w:val="2"/>
      <w:numFmt w:val="decimalFullWidth"/>
      <w:suff w:val="nothing"/>
      <w:lvlText w:val="（%1）"/>
      <w:lvlJc w:val="left"/>
      <w:pPr>
        <w:ind w:left="0" w:firstLine="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4">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4"/>
  </w:num>
  <w:num w:numId="2">
    <w:abstractNumId w:val="2"/>
  </w:num>
  <w:num w:numId="3">
    <w:abstractNumId w:val="0"/>
  </w:num>
  <w:num w:numId="4">
    <w:abstractNumId w:val="1"/>
  </w:num>
  <w:num w:numId="5">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diYTFjMTVhNTE0MWEzNTRmZTYzNzRjYzcxZTE2MjQifQ=="/>
  </w:docVars>
  <w:rsids>
    <w:rsidRoot w:val="004506F9"/>
    <w:rsid w:val="0002229B"/>
    <w:rsid w:val="000273BD"/>
    <w:rsid w:val="000415B7"/>
    <w:rsid w:val="00041E3F"/>
    <w:rsid w:val="00055DAA"/>
    <w:rsid w:val="00061F7B"/>
    <w:rsid w:val="000658A3"/>
    <w:rsid w:val="00074155"/>
    <w:rsid w:val="000873EF"/>
    <w:rsid w:val="000A3F69"/>
    <w:rsid w:val="00103957"/>
    <w:rsid w:val="00124A1F"/>
    <w:rsid w:val="00152C6D"/>
    <w:rsid w:val="00162D39"/>
    <w:rsid w:val="001678BD"/>
    <w:rsid w:val="00182373"/>
    <w:rsid w:val="001A67DB"/>
    <w:rsid w:val="001C3C29"/>
    <w:rsid w:val="001D51E5"/>
    <w:rsid w:val="001E080D"/>
    <w:rsid w:val="001E53D0"/>
    <w:rsid w:val="001F0C3B"/>
    <w:rsid w:val="00202C14"/>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197"/>
    <w:rsid w:val="003C47E6"/>
    <w:rsid w:val="003C4FC2"/>
    <w:rsid w:val="003E2331"/>
    <w:rsid w:val="00416E61"/>
    <w:rsid w:val="0042790C"/>
    <w:rsid w:val="004506F9"/>
    <w:rsid w:val="004717A2"/>
    <w:rsid w:val="00473DF3"/>
    <w:rsid w:val="00487911"/>
    <w:rsid w:val="00491741"/>
    <w:rsid w:val="004B0CEE"/>
    <w:rsid w:val="00500E5F"/>
    <w:rsid w:val="005122EF"/>
    <w:rsid w:val="0051441A"/>
    <w:rsid w:val="00517C33"/>
    <w:rsid w:val="00517D5F"/>
    <w:rsid w:val="00521AF2"/>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48B"/>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75489"/>
    <w:rsid w:val="00DD06FF"/>
    <w:rsid w:val="00DD5FE9"/>
    <w:rsid w:val="00E00C7A"/>
    <w:rsid w:val="00E209CF"/>
    <w:rsid w:val="00E37D6C"/>
    <w:rsid w:val="00E55B68"/>
    <w:rsid w:val="00E67BE6"/>
    <w:rsid w:val="00E8683C"/>
    <w:rsid w:val="00EA2B72"/>
    <w:rsid w:val="00F74360"/>
    <w:rsid w:val="00FB462F"/>
    <w:rsid w:val="00FE16FA"/>
    <w:rsid w:val="00FE328A"/>
    <w:rsid w:val="00FE6269"/>
    <w:rsid w:val="00FF5CD6"/>
    <w:rsid w:val="185348DE"/>
    <w:rsid w:val="1E560BB7"/>
    <w:rsid w:val="35A44A2D"/>
    <w:rsid w:val="38292786"/>
    <w:rsid w:val="3EDE69B4"/>
    <w:rsid w:val="54FC3502"/>
    <w:rsid w:val="70C34D54"/>
    <w:rsid w:val="711B36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9"/>
    <w:pPr>
      <w:keepNext/>
      <w:keepLines/>
      <w:spacing w:before="340" w:after="330" w:line="578" w:lineRule="auto"/>
      <w:outlineLvl w:val="0"/>
    </w:pPr>
    <w:rPr>
      <w:b/>
      <w:bCs/>
      <w:kern w:val="44"/>
      <w:sz w:val="44"/>
      <w:szCs w:val="44"/>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semiHidden/>
    <w:unhideWhenUsed/>
    <w:qFormat/>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uiPriority w:val="99"/>
    <w:rPr>
      <w:sz w:val="18"/>
      <w:szCs w:val="18"/>
    </w:rPr>
  </w:style>
  <w:style w:type="character" w:customStyle="1" w:styleId="9">
    <w:name w:val="页脚 Char"/>
    <w:basedOn w:val="7"/>
    <w:link w:val="4"/>
    <w:qFormat/>
    <w:uiPriority w:val="99"/>
    <w:rPr>
      <w:sz w:val="18"/>
      <w:szCs w:val="18"/>
    </w:rPr>
  </w:style>
  <w:style w:type="paragraph" w:customStyle="1" w:styleId="10">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批注框文本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480904-B2FB-4FE3-894F-42F14B17BC5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39</Pages>
  <Words>13055</Words>
  <Characters>15200</Characters>
  <Lines>69</Lines>
  <Paragraphs>19</Paragraphs>
  <TotalTime>265</TotalTime>
  <ScaleCrop>false</ScaleCrop>
  <LinksUpToDate>false</LinksUpToDate>
  <CharactersWithSpaces>16863</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Administrator</cp:lastModifiedBy>
  <cp:lastPrinted>2022-09-07T02:35:49Z</cp:lastPrinted>
  <dcterms:modified xsi:type="dcterms:W3CDTF">2022-09-07T07:43:23Z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D89B377EF4AA4305933B1FEB960E141C</vt:lpwstr>
  </property>
</Properties>
</file>