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Times New Roman" w:eastAsia="仿宋_GB2312" w:cs="Times New Roman"/>
          <w:color w:val="FF0000"/>
          <w:sz w:val="32"/>
          <w:szCs w:val="32"/>
        </w:rPr>
      </w:pPr>
      <w:bookmarkStart w:id="2" w:name="_GoBack"/>
      <w:bookmarkEnd w:id="2"/>
    </w:p>
    <w:p>
      <w:pPr>
        <w:jc w:val="center"/>
        <w:rPr>
          <w:rFonts w:hint="eastAsia" w:ascii="创艺简标宋" w:hAnsi="Times New Roman" w:eastAsia="创艺简标宋" w:cs="Times New Roman"/>
          <w:color w:val="FF0000"/>
          <w:w w:val="55"/>
          <w:sz w:val="140"/>
          <w:szCs w:val="140"/>
        </w:rPr>
      </w:pPr>
      <w:r>
        <w:rPr>
          <w:rFonts w:hint="eastAsia" w:ascii="创艺简标宋" w:hAnsi="Times New Roman" w:eastAsia="创艺简标宋" w:cs="Times New Roman"/>
          <w:color w:val="FF0000"/>
          <w:w w:val="55"/>
          <w:sz w:val="140"/>
          <w:szCs w:val="140"/>
        </w:rPr>
        <w:t>中共湘乡市委办公室文件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ascii="方正仿宋_GBK" w:hAnsi="Times New Roman" w:eastAsia="方正仿宋_GBK" w:cs="Times New Roman"/>
          <w:snapToGrid w:val="0"/>
          <w:w w:val="100"/>
          <w:kern w:val="0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napToGrid w:val="0"/>
          <w:w w:val="100"/>
          <w:kern w:val="0"/>
          <w:sz w:val="32"/>
          <w:szCs w:val="32"/>
        </w:rPr>
        <w:t>湘党办发</w:t>
      </w:r>
      <w:r>
        <w:rPr>
          <w:rFonts w:hint="eastAsia" w:ascii="方正仿宋_GBK" w:hAnsi="宋体" w:eastAsia="方正仿宋_GBK" w:cs="Times New Roman"/>
          <w:snapToGrid w:val="0"/>
          <w:w w:val="100"/>
          <w:kern w:val="0"/>
          <w:sz w:val="32"/>
          <w:szCs w:val="32"/>
        </w:rPr>
        <w:t>〔</w:t>
      </w:r>
      <w:r>
        <w:rPr>
          <w:rFonts w:ascii="方正仿宋_GBK" w:hAnsi="宋体" w:eastAsia="方正仿宋_GBK" w:cs="Times New Roman"/>
          <w:snapToGrid w:val="0"/>
          <w:w w:val="100"/>
          <w:kern w:val="0"/>
          <w:sz w:val="32"/>
          <w:szCs w:val="32"/>
        </w:rPr>
        <w:t>20</w:t>
      </w:r>
      <w:r>
        <w:rPr>
          <w:rFonts w:hint="eastAsia" w:ascii="方正仿宋_GBK" w:hAnsi="宋体" w:eastAsia="方正仿宋_GBK" w:cs="Times New Roman"/>
          <w:snapToGrid w:val="0"/>
          <w:w w:val="100"/>
          <w:kern w:val="0"/>
          <w:sz w:val="32"/>
          <w:szCs w:val="32"/>
          <w:lang w:val="en-US" w:eastAsia="zh-CN"/>
        </w:rPr>
        <w:t>22</w:t>
      </w:r>
      <w:r>
        <w:rPr>
          <w:rFonts w:hint="eastAsia" w:ascii="方正仿宋_GBK" w:hAnsi="宋体" w:eastAsia="方正仿宋_GBK" w:cs="Times New Roman"/>
          <w:snapToGrid w:val="0"/>
          <w:w w:val="100"/>
          <w:kern w:val="0"/>
          <w:sz w:val="32"/>
          <w:szCs w:val="32"/>
        </w:rPr>
        <w:t>〕</w:t>
      </w:r>
      <w:r>
        <w:rPr>
          <w:rFonts w:hint="eastAsia" w:ascii="方正仿宋_GBK" w:hAnsi="宋体" w:eastAsia="方正仿宋_GBK" w:cs="Times New Roman"/>
          <w:snapToGrid w:val="0"/>
          <w:w w:val="100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 w:cs="Times New Roman"/>
          <w:snapToGrid w:val="0"/>
          <w:w w:val="100"/>
          <w:kern w:val="0"/>
          <w:sz w:val="32"/>
          <w:szCs w:val="32"/>
        </w:rPr>
        <w:t>号</w:t>
      </w:r>
    </w:p>
    <w:p>
      <w:pPr>
        <w:spacing w:line="900" w:lineRule="exact"/>
        <w:jc w:val="center"/>
        <w:rPr>
          <w:rFonts w:hint="eastAsia" w:ascii="仿宋_GB2312" w:hAnsi="Times New Roman" w:eastAsia="仿宋_GB2312" w:cs="Times New Roman"/>
          <w:color w:val="FF0000"/>
          <w:sz w:val="72"/>
          <w:szCs w:val="72"/>
        </w:rPr>
      </w:pPr>
      <w:r>
        <w:rPr>
          <w:rFonts w:hint="eastAsia" w:ascii="仿宋_GB2312" w:hAnsi="Times New Roman" w:eastAsia="仿宋_GB2312" w:cs="Times New Roman"/>
          <w:color w:val="FF000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3048000</wp:posOffset>
                </wp:positionH>
                <wp:positionV relativeFrom="paragraph">
                  <wp:posOffset>269875</wp:posOffset>
                </wp:positionV>
                <wp:extent cx="2540000" cy="0"/>
                <wp:effectExtent l="0" t="15875" r="12700" b="2222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0pt;margin-top:21.25pt;height:0pt;width:200pt;z-index:251664384;mso-width-relative:page;mso-height-relative:page;" filled="f" stroked="t" coordsize="21600,21600" o:gfxdata="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36m19YAAAAJAQAADwAAAAAAAAABACAAAAAiAAAAZHJzL2Rvd25yZXYueG1s&#10;UEsBAhQAFAAAAAgAh07iQHeFp8T6AQAA8wMAAA4AAAAAAAAAAQAgAAAAJQEAAGRycy9lMm9Eb2Mu&#10;eG1sUEsFBgAAAAAGAAYAWQEAAJEFAAAAAA==&#10;">
                <v:fill on="f" focussize="0,0"/>
                <v:stroke weight="2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Times New Roman" w:eastAsia="仿宋_GB2312" w:cs="Times New Roman"/>
          <w:color w:val="FF000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263525</wp:posOffset>
                </wp:positionV>
                <wp:extent cx="2540000" cy="0"/>
                <wp:effectExtent l="0" t="15875" r="12700" b="2222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0.75pt;height:0pt;width:200pt;z-index:251663360;mso-width-relative:page;mso-height-relative:page;" filled="f" stroked="t" coordsize="21600,21600" o:gfxdata="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IvloG1QAAAAYBAAAPAAAAAAAAAAEAIAAAACIAAABkcnMvZG93bnJldi54bWxQ&#10;SwECFAAUAAAACACHTuJAqVYwX/oBAADzAwAADgAAAAAAAAABACAAAAAkAQAAZHJzL2Uyb0RvYy54&#10;bWxQSwUGAAAAAAYABgBZAQAAkAUAAAAA&#10;">
                <v:fill on="f" focussize="0,0"/>
                <v:stroke weight="2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Times New Roman" w:eastAsia="仿宋_GB2312" w:cs="Times New Roman"/>
          <w:color w:val="FF0000"/>
          <w:sz w:val="72"/>
          <w:szCs w:val="72"/>
        </w:rPr>
        <w:t>★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spacing w:val="20"/>
          <w:sz w:val="44"/>
          <w:szCs w:val="44"/>
          <w:u w:val="none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spacing w:val="2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snapToGrid w:val="0"/>
          <w:spacing w:val="20"/>
          <w:sz w:val="44"/>
          <w:szCs w:val="44"/>
          <w:u w:val="none"/>
        </w:rPr>
        <w:t>中共湘乡市委办公室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napToGrid w:val="0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sz w:val="44"/>
          <w:szCs w:val="44"/>
          <w:u w:val="none"/>
          <w:lang w:val="en-US" w:eastAsia="zh-CN"/>
        </w:rPr>
        <w:t>湘乡市人民政府办公室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sz w:val="44"/>
          <w:szCs w:val="44"/>
          <w:u w:val="none"/>
          <w:lang w:val="en-US" w:eastAsia="zh-CN"/>
        </w:rPr>
        <w:t>关于印发《湘乡市落实〈湘潭市强化企业招工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sz w:val="44"/>
          <w:szCs w:val="44"/>
          <w:u w:val="none"/>
          <w:lang w:val="en-US" w:eastAsia="zh-CN"/>
        </w:rPr>
        <w:t>服务二十条措施〉工作实施方案》的通知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napToGrid w:val="0"/>
          <w:sz w:val="32"/>
          <w:szCs w:val="32"/>
          <w:u w:val="none"/>
          <w:lang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eastAsia" w:ascii="方正楷体_GBK" w:hAnsi="方正楷体_GBK" w:eastAsia="方正楷体_GBK" w:cs="方正楷体_GBK"/>
          <w:snapToGrid w:val="0"/>
          <w:color w:val="000000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各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eastAsia="zh-CN"/>
        </w:rPr>
        <w:t>乡镇（街道）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党（工）委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  <w:t>人民政府（办事处）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，市直机关各单位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snapToGrid w:val="0"/>
          <w:color w:val="000000"/>
          <w:sz w:val="32"/>
          <w:szCs w:val="32"/>
          <w:highlight w:val="none"/>
          <w:u w:val="none"/>
          <w:shd w:val="clear" w:color="auto" w:fill="auto"/>
        </w:rPr>
        <w:t>市属和驻市各企事业单位</w:t>
      </w:r>
      <w:r>
        <w:rPr>
          <w:rFonts w:hint="eastAsia" w:ascii="方正楷体_GBK" w:hAnsi="方正楷体_GBK" w:eastAsia="方正楷体_GBK" w:cs="方正楷体_GBK"/>
          <w:snapToGrid w:val="0"/>
          <w:color w:val="000000"/>
          <w:sz w:val="32"/>
          <w:szCs w:val="32"/>
          <w:highlight w:val="none"/>
          <w:u w:val="none"/>
          <w:shd w:val="clear" w:color="auto" w:fill="auto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各人民团体</w:t>
      </w:r>
      <w:r>
        <w:rPr>
          <w:rFonts w:hint="eastAsia" w:ascii="方正楷体_GBK" w:hAnsi="方正楷体_GBK" w:eastAsia="方正楷体_GBK" w:cs="方正楷体_GBK"/>
          <w:snapToGrid w:val="0"/>
          <w:color w:val="000000"/>
          <w:sz w:val="32"/>
          <w:szCs w:val="32"/>
          <w:highlight w:val="none"/>
          <w:u w:val="none"/>
          <w:shd w:val="clear" w:color="auto" w:fill="auto"/>
        </w:rPr>
        <w:t>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</w:pP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  <w:t>现将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《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  <w:t>湘乡市落实〈湘潭市强化企业招工服务二十条措施〉工作实施方案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》印发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  <w:t>给你们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，请认真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  <w:t>组织实施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leftChars="0" w:right="0" w:rightChars="0" w:firstLine="640" w:firstLineChars="200"/>
        <w:jc w:val="right"/>
        <w:textAlignment w:val="auto"/>
        <w:rPr>
          <w:rFonts w:hint="default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中共湘乡市委办公室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  <w:t xml:space="preserve">    湘乡市人民政府办公室        </w:t>
      </w:r>
    </w:p>
    <w:p>
      <w:pPr>
        <w:pStyle w:val="8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leftChars="0" w:right="0" w:rightChars="0" w:firstLine="640" w:firstLineChars="200"/>
        <w:jc w:val="right"/>
        <w:textAlignment w:val="auto"/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20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"/>
        </w:rPr>
        <w:t>22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年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  <w:t>3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月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  <w:t>31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</w:rPr>
        <w:t>日</w:t>
      </w: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  <w:t xml:space="preserve">   </w:t>
      </w:r>
    </w:p>
    <w:p>
      <w:pPr>
        <w:pStyle w:val="8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leftChars="0" w:right="0" w:rightChars="0" w:firstLine="640" w:firstLineChars="200"/>
        <w:jc w:val="right"/>
        <w:textAlignment w:val="auto"/>
        <w:rPr>
          <w:rFonts w:hint="default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  <w:u w:val="non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湘乡市落实《湘潭市强化企业招工服务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二十条措施》工作实施方案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为深入贯彻落实国、省、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湘潭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市关于稳就业、保就业的系列决策部署和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湘潭市强化企业招工服务二十条措施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》工作安排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坚持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“政府引导、企业主体、社会参与、市场运作”原则，聚焦强园区兴实体，持续优化营商环境，缓解当前企业“招工难”问题，更好服务全市主特产业发展，在闯新路、破险阻中实现政府与企业同心同向同行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结合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我市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实际，制定本方案。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一、组织领导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成立湘乡市强化企业招工服务工作领导小组，由市委常委、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市人民政府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常务副市长谢志宏任组长，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市委办公室、市政府办公室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经开区管委会、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市委组织部、市委宣传部、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  <w:lang w:eastAsia="zh-CN"/>
        </w:rPr>
        <w:t>市发改局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、市科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局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  <w:lang w:eastAsia="zh-CN"/>
        </w:rPr>
        <w:t>市财政局、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</w:rPr>
        <w:t>市自然资源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人社局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、市文旅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体局、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市城管执法局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市交通运输局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、市教育局、市商务局、市农业农村局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市融媒体中心、市工商联、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市总工会和各乡镇（街道）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单位相关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负责人为成员。领导小组下设办公室，办公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地点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设市人社局，由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市人社局局长兼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任办公室主任，负责统筹协调深入推进强化企业招工服务工作。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二、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通过落实强化企业招工服务二十条措施，调动各方力量，缓解企业用工难、老百姓就业难，稳就业、保就业，服务“三高四新”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“一点三区”“三大进位”工程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等战略大局，推动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市经济社会高质量发展，为建设现代化新湘乡作出新的更大贡献。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三、具体措施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/>
        </w:rPr>
        <w:t>（一）摸清底数，夯实工作基础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1</w:t>
      </w:r>
      <w:r>
        <w:rPr>
          <w:rFonts w:hint="eastAsia" w:cs="方正仿宋_GBK"/>
          <w:b/>
          <w:bCs/>
          <w:sz w:val="32"/>
          <w:szCs w:val="32"/>
          <w:lang w:val="en-US" w:eastAsia="zh-CN"/>
        </w:rPr>
        <w:t xml:space="preserve">.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建立本地劳动力资源库。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结合充分就业村（社区）建设和失业率调查工作，组织各</w:t>
      </w:r>
      <w:r>
        <w:rPr>
          <w:rFonts w:hint="eastAsia" w:cs="方正仿宋_GBK"/>
          <w:sz w:val="32"/>
          <w:szCs w:val="32"/>
          <w:lang w:val="en-US" w:eastAsia="zh-CN"/>
        </w:rPr>
        <w:t>乡镇（街道）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、村（社区）开展全面系统的劳动力资源调查，摸清所有劳动年龄内的劳动者基本信息、技能情况、就业意向、培训意愿等，建立本地劳动力资源库，实行动态化管理。</w:t>
      </w:r>
      <w:r>
        <w:rPr>
          <w:rFonts w:hint="eastAsia" w:cs="方正仿宋_GBK"/>
          <w:sz w:val="32"/>
          <w:szCs w:val="32"/>
          <w:lang w:val="en-US" w:eastAsia="zh-CN"/>
        </w:rPr>
        <w:t>[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责任单位：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市人社局</w:t>
      </w:r>
      <w:r>
        <w:rPr>
          <w:rFonts w:hint="eastAsia" w:cs="方正仿宋_GBK"/>
          <w:sz w:val="32"/>
          <w:szCs w:val="32"/>
          <w:lang w:val="en-US"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各</w:t>
      </w:r>
      <w:r>
        <w:rPr>
          <w:rFonts w:hint="eastAsia" w:cs="方正仿宋_GBK"/>
          <w:sz w:val="32"/>
          <w:szCs w:val="32"/>
          <w:lang w:val="en-US" w:eastAsia="zh-CN"/>
        </w:rPr>
        <w:t>乡镇（街道）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；排名第一的为牵头责任单位，下同</w:t>
      </w:r>
      <w:r>
        <w:rPr>
          <w:rFonts w:hint="eastAsia" w:cs="方正仿宋_GBK"/>
          <w:sz w:val="32"/>
          <w:szCs w:val="32"/>
          <w:lang w:val="en-US" w:eastAsia="zh-CN"/>
        </w:rPr>
        <w:t>]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2</w:t>
      </w:r>
      <w:r>
        <w:rPr>
          <w:rFonts w:hint="eastAsia" w:cs="方正仿宋_GBK"/>
          <w:b/>
          <w:bCs/>
          <w:sz w:val="32"/>
          <w:szCs w:val="32"/>
          <w:lang w:val="en-US" w:eastAsia="zh-CN"/>
        </w:rPr>
        <w:t xml:space="preserve">.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建立技能型人才信息库。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结合劳动力资源调查及职业技能培训情况，掌握全市转移就业劳动力的职业技能等级、专业技术职称、特种作业操作证等情况，建立技能型人才信息库。</w:t>
      </w:r>
      <w:r>
        <w:rPr>
          <w:rFonts w:hint="eastAsia" w:cs="方正仿宋_GBK"/>
          <w:sz w:val="32"/>
          <w:szCs w:val="32"/>
          <w:lang w:val="en-US" w:eastAsia="zh-CN"/>
        </w:rPr>
        <w:t>[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责任单位：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市人社局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、市应急管理局</w:t>
      </w:r>
      <w:r>
        <w:rPr>
          <w:rFonts w:hint="eastAsia" w:cs="方正仿宋_GBK"/>
          <w:sz w:val="32"/>
          <w:szCs w:val="32"/>
          <w:lang w:val="en-US" w:eastAsia="zh-CN"/>
        </w:rPr>
        <w:t>、市住建局，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各</w:t>
      </w:r>
      <w:r>
        <w:rPr>
          <w:rFonts w:hint="eastAsia" w:cs="方正仿宋_GBK"/>
          <w:sz w:val="32"/>
          <w:szCs w:val="32"/>
          <w:lang w:val="en-US" w:eastAsia="zh-CN"/>
        </w:rPr>
        <w:t>乡镇（街道）]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3.</w:t>
      </w:r>
      <w:r>
        <w:rPr>
          <w:rFonts w:hint="eastAsia" w:cs="方正仿宋_GBK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建立园区企业用工信息库。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全面摸排企业用工需求、岗位信息、薪酬待遇</w:t>
      </w:r>
      <w:r>
        <w:rPr>
          <w:rFonts w:hint="eastAsia" w:cs="方正仿宋_GBK"/>
          <w:sz w:val="32"/>
          <w:szCs w:val="32"/>
          <w:lang w:val="en-US" w:eastAsia="zh-CN"/>
        </w:rPr>
        <w:t>等情况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，建立用工信息库；充分利用“湘就业”</w:t>
      </w:r>
      <w:r>
        <w:rPr>
          <w:rFonts w:hint="eastAsia" w:cs="方正仿宋_GBK"/>
          <w:sz w:val="32"/>
          <w:szCs w:val="32"/>
          <w:lang w:val="en-US" w:eastAsia="zh-CN"/>
        </w:rPr>
        <w:t>“湘潭人力资源服务”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“湘乡就业”微信公众号，精准匹配人岗信息，多渠道搭建劳动力与企业对接平台。</w:t>
      </w:r>
      <w:r>
        <w:rPr>
          <w:rFonts w:hint="eastAsia" w:cs="方正仿宋_GBK"/>
          <w:sz w:val="32"/>
          <w:szCs w:val="32"/>
          <w:lang w:val="en-US"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责任单位：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市人社局</w:t>
      </w:r>
      <w:r>
        <w:rPr>
          <w:rFonts w:hint="eastAsia" w:cs="方正仿宋_GBK"/>
          <w:sz w:val="32"/>
          <w:szCs w:val="32"/>
          <w:lang w:val="en-US"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经开区管委会</w:t>
      </w:r>
      <w:r>
        <w:rPr>
          <w:rFonts w:hint="eastAsia" w:cs="方正仿宋_GBK"/>
          <w:sz w:val="32"/>
          <w:szCs w:val="32"/>
          <w:lang w:val="en-US" w:eastAsia="zh-CN"/>
        </w:rPr>
        <w:t>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/>
        </w:rPr>
        <w:t>二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/>
        </w:rPr>
        <w:t>加强宣传，营造招工氛围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39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1</w:t>
      </w:r>
      <w:r>
        <w:rPr>
          <w:rFonts w:hint="eastAsia" w:cs="方正仿宋_GBK"/>
          <w:b/>
          <w:bCs/>
          <w:sz w:val="32"/>
          <w:szCs w:val="32"/>
          <w:lang w:val="en-US" w:eastAsia="zh-CN"/>
        </w:rPr>
        <w:t xml:space="preserve">.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进行全媒体宣传发布。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充分利用各种机会、各种途径和各种载体加强对湘乡城市形象、区位优势、产业特色、宜居宜业环境等方面的宣传推介。宣传部门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要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牵头组织策划定期摄制湘乡城市形象推介宣传片，利用抖音、微信等媒介大力宣传。（责任单位：市委宣传部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、经开区管委会、市文旅广体局，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各相关单位）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39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园区和企业要充分利用网络、电视、报纸、公众号、视频号、宣传栏、电子显示屏、村村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响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等宣传载体，多形式、全方位发布企业简况、招工信息、线下线上招聘会信息，加强园区企业形象宣传，积极营造招工宣传良好氛围。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（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责任单位：市委宣传部、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经开区管委会、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融媒体中心，各相关单位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）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39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通过户外电子屏、公交车站、公交车身、的士顶灯等媒介半价发布园区企业招工信息。市属新闻宣传单位全年定期刊播企业招聘信息，在新媒体、电视频道和电台开设专栏。（责任单位：市委宣传部、市城管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执法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局、市交通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运输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局、市融媒体中心、市人社局）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39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在春节、中秋等农民工返乡高峰期，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加大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对外出务工人员在家乡发展前景、宜居宜业环境、名企优岗情况等方面的定向宣传推介力度，积极引导外出务工人员返乡就业。（责任单位：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经开区管委会、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市商务局、市工商联）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2</w:t>
      </w:r>
      <w:r>
        <w:rPr>
          <w:rFonts w:hint="eastAsia" w:cs="方正仿宋_GBK"/>
          <w:b/>
          <w:bCs/>
          <w:sz w:val="32"/>
          <w:szCs w:val="32"/>
          <w:lang w:val="en-US" w:eastAsia="zh-CN"/>
        </w:rPr>
        <w:t xml:space="preserve">.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开展多层面领导推介。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加大城市品牌、城市形象和知名企业的推介力度，各级领导干部要在各类招商、招聘、引才和商会联谊等活动中大力推介湘乡人文环境、区位优势、发展前景、产业基础、宜居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宜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业环境等地方优势，吸引更多劳动者来本地就业。（责任单位：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市委宣传部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、市委组织部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、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市商务局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、市工商联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/>
        </w:rPr>
        <w:t>（三）多措并举，拓宽招工渠道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39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zh-CN"/>
        </w:rPr>
        <w:t>1.</w:t>
      </w:r>
      <w:r>
        <w:rPr>
          <w:rFonts w:hint="eastAsia" w:cs="方正仿宋_GBK"/>
          <w:b/>
          <w:bCs/>
          <w:kern w:val="2"/>
          <w:sz w:val="32"/>
          <w:szCs w:val="32"/>
          <w:lang w:val="en-US" w:eastAsia="zh-CN" w:bidi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zh-CN"/>
        </w:rPr>
        <w:t>全力推动本地劳动力就近就地就业。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大力宣传“就业不用去远方，家乡就是好地方”理念，在政务服务大厅、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便民服务中心和城乡各类车站、商场、集市、居民小区、村部等人员集中区设立招工宣传栏、张贴岗位信息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。编印重点企业招工信息和招工政策，组织村（社区）干部入户发放。结合本地劳动力资源库、园区企业用工信息库，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每周在网格员群、业主群、村（社区）群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各类微信群发布招聘信息，将岗位信息直接推送给劳动者；人力资源服务机构建立岗位推送信息平台，汇总各类求职信息，精准匹配人岗信息推送给劳动者、园区和重点用工企业进行精准对接和招聘邀约。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[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责任单位：市人社局、经开区管委会、各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乡镇（街道）]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加强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对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全市劳动力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的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培训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，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结合经济发展、产业振兴发展规划和新兴战略性产业发展，建立全市职业技能公共实训基地和高技能人才培训基地，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进一步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解决企业技能型人才的需求，提高劳动力技能水平。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在全市新型职业农民培训中加强就业观念、市情及产业发展情况和职业技能等方面教育引导，推动更多本地富余劳动力在市内就近就业。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（责任单位：市人社局、市发改局、市教育局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、市农业农村局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2.</w:t>
      </w:r>
      <w:r>
        <w:rPr>
          <w:rFonts w:hint="eastAsia" w:cs="方正仿宋_GBK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积极回引外出务工人员。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在春节、中秋等节日前后，组织返乡农民工代表、劳务经纪人和村组干部到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园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区、产业项目示范点等现场参观、座谈交流，实地感受家乡发展变化和企业发展状况，引导更多外出务工人员回乡就业。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[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责任单位：市人社局、经开区管委会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、各乡镇（街道）]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利用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传统节日和农村赶集日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等重要时段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，组织重点用工企业分批轮流到各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和村组集中开展小分队招工，送岗上门，引导返乡农民工就近就地转移就业。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[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责任单位：市人社局、各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乡镇（街道）]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各用工企业要采取远程视频、微信和电话等便民方式开展面试甄选，最大程度为外出务工人员返乡就业提供便利。（责任单位：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经开区管委会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、市工商联）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588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  <w:lang w:val="en-US"/>
        </w:rPr>
        <w:t>3</w:t>
      </w: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  <w:lang w:val="en-US" w:eastAsia="zh-CN"/>
        </w:rPr>
        <w:t>.</w:t>
      </w:r>
      <w:r>
        <w:rPr>
          <w:rFonts w:hint="eastAsia" w:cs="方正仿宋_GBK"/>
          <w:b/>
          <w:bCs/>
          <w:spacing w:val="-13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大力招聘外地劳动力。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加强与云南、贵州、四川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、湘西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等劳动力资源丰富地区的劳务协作，建立劳务输入基地。继续组织赴外招工小分队开展“点对点”劳务协作对接，不定期组织企业参加跨地区劳务交流活动，组织专场招聘会和入校招聘活动，积极引入外地劳动力。（责任单位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经开区管委会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、市人社局）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lang w:eastAsia="zh-CN"/>
        </w:rPr>
        <w:t>.</w:t>
      </w:r>
      <w:r>
        <w:rPr>
          <w:rFonts w:hint="eastAsia" w:cs="方正仿宋_GBK"/>
          <w:b/>
          <w:spacing w:val="-1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</w:rPr>
        <w:t>鼓励新生劳动力本地就业。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进一步深化产教融合，引导中职院校根据全市产业结构，精准对接企业需求调整专业设置，开展订单式培训、学徒制培训。要大力引导中职学生优先本地就近就业。（责任单位：市人社局、市教育局）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39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588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  <w:lang w:val="en-US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  <w:lang w:val="en-US" w:eastAsia="zh-CN"/>
        </w:rPr>
        <w:t>.</w:t>
      </w:r>
      <w:r>
        <w:rPr>
          <w:rFonts w:hint="eastAsia" w:cs="方正仿宋_GBK"/>
          <w:b/>
          <w:bCs/>
          <w:spacing w:val="-13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  <w:lang w:val="en-US"/>
        </w:rPr>
        <w:t>大力引进高校毕业生回乡就业</w:t>
      </w:r>
      <w:r>
        <w:rPr>
          <w:rFonts w:hint="eastAsia" w:ascii="方正仿宋_GBK" w:hAnsi="方正仿宋_GBK" w:eastAsia="方正仿宋_GBK" w:cs="方正仿宋_GBK"/>
          <w:b/>
          <w:bCs/>
          <w:spacing w:val="-1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实施“龙城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人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才”工程，鼓励企业积极引进人才。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开展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“引凤回巢”行动，组织“湘乡学子家乡名企行”“返乡学子茶话会”等活动，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u w:val="none"/>
          <w:lang w:val="en-US" w:eastAsia="zh-CN" w:bidi="zh-CN"/>
        </w:rPr>
        <w:t>引导湘乡籍大学生回乡就业创业，落实好大学生就业创业相关政策。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（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责任单位：市委组织部、市人社局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、市教育局）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（四）创新手段，保障要素供给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39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1.</w:t>
      </w:r>
      <w:r>
        <w:rPr>
          <w:rFonts w:hint="eastAsia" w:cs="方正仿宋_GBK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密集组织线下招聘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抓住春节、中秋等关键节点，利用农民工返乡时机，深入实施“春风行动”。公共就业服务机构要广泛宣传组织，每年开展招聘活动不少于20 场次，对接服务缺工企业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不少于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100家次，积极为辖区企业提供用工招聘服务。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[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责任单位：市人社局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、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乡镇（街道）]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39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/>
        </w:rPr>
        <w:t>2.</w:t>
      </w:r>
      <w:r>
        <w:rPr>
          <w:rFonts w:hint="eastAsia" w:cs="方正仿宋_GBK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常态开展线上招聘。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以新引进企业和园区企业为重点，充分利用“湘乡就业”“湘潭人力资源服务”“湘就业”等线上招聘平台，以及直播带岗等方式，精准推送岗位信息，保持各类线上招聘活动实时在线，做到天天有招聘、时时可求职、随时有服务。（责任单位：市人社局、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融媒体中心、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经开区管委会、市科技工信局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2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5"/>
          <w:sz w:val="32"/>
          <w:szCs w:val="32"/>
          <w:lang w:val="en-US"/>
        </w:rPr>
        <w:t>3.</w:t>
      </w:r>
      <w:r>
        <w:rPr>
          <w:rFonts w:hint="eastAsia" w:cs="方正仿宋_GBK"/>
          <w:b/>
          <w:bCs/>
          <w:spacing w:val="-5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-5"/>
          <w:sz w:val="32"/>
          <w:szCs w:val="32"/>
        </w:rPr>
        <w:t>创新开设夜市招聘。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每年夏秋时节，在人口密集和人群流动大的场所，集中1个月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以上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的时间，开展 3-5 场“招聘夜市”活动，将招聘岗位送到年轻人聚集区。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[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责任单位：市人社局、市城管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执法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局、各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乡镇（街道）]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54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10"/>
          <w:sz w:val="32"/>
          <w:szCs w:val="32"/>
          <w:lang w:val="en-US"/>
        </w:rPr>
        <w:t>4.</w:t>
      </w:r>
      <w:r>
        <w:rPr>
          <w:rFonts w:hint="eastAsia" w:cs="方正仿宋_GBK"/>
          <w:b/>
          <w:bCs/>
          <w:spacing w:val="-1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-10"/>
          <w:sz w:val="32"/>
          <w:szCs w:val="32"/>
        </w:rPr>
        <w:t>精心选聘大使招聘。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在劳动力资源较为丰富的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和村（社区），选聘威望较高、沟通能力强的人担任园区企业招工招聘大使，帮助企业招工，稳定就业6个月以上的，给予300元/人的劳务补助；对招工成效明显的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给予5-10万元的奖励。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[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责任单位：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经开区管委会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、市人社局、各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乡镇（街道）]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12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7"/>
          <w:sz w:val="32"/>
          <w:szCs w:val="32"/>
          <w:lang w:val="en-US"/>
        </w:rPr>
        <w:t>5.</w:t>
      </w:r>
      <w:r>
        <w:rPr>
          <w:rFonts w:hint="eastAsia" w:cs="方正仿宋_GBK"/>
          <w:b/>
          <w:bCs/>
          <w:spacing w:val="-7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-7"/>
          <w:sz w:val="32"/>
          <w:szCs w:val="32"/>
        </w:rPr>
        <w:t>鼓励市场力量招聘。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在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园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区建立人力资源服务平台，引导人力资源服务企业集聚发展，吸引经营性人力资源服务机构入驻园区，及时收集企业岗位信息和本地劳动力信息，为企业提供招聘、劳务派遣等服务。（责任单位：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经开区管委会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、市人社局）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54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12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7"/>
          <w:sz w:val="32"/>
          <w:szCs w:val="32"/>
          <w:lang w:val="en-US"/>
        </w:rPr>
        <w:t>6.</w:t>
      </w:r>
      <w:r>
        <w:rPr>
          <w:rFonts w:hint="eastAsia" w:cs="方正仿宋_GBK"/>
          <w:b/>
          <w:bCs/>
          <w:spacing w:val="-7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-7"/>
          <w:sz w:val="32"/>
          <w:szCs w:val="32"/>
        </w:rPr>
        <w:t>探索促推共享用工。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支持企业开展共享用工，开展同类企业、相近工种之间用工余缺调剂合作，保障劳动者在共享用工期间的合法权益。加强共享用工指导服务，积极搭建共享用工服务平台，及时汇集发布企业缺工和劳动力富余信息，组织各类专场对接活动。（责任单位：市人社局、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经开区管委会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（五）强化服务，优化用工环境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54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588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  <w:lang w:val="en-US"/>
        </w:rPr>
        <w:t>1</w:t>
      </w:r>
      <w:r>
        <w:rPr>
          <w:rFonts w:hint="eastAsia" w:cs="方正仿宋_GBK"/>
          <w:b/>
          <w:bCs/>
          <w:spacing w:val="-13"/>
          <w:sz w:val="32"/>
          <w:szCs w:val="32"/>
          <w:lang w:val="en-US" w:eastAsia="zh-CN"/>
        </w:rPr>
        <w:t xml:space="preserve">. </w:t>
      </w: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</w:rPr>
        <w:t>深化“三送”活动。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持续深入开展送政策、送培训、送服务进企业系列活动，帮助企业（项目）享受各项惠企政策，提供用工、引才、培训、维权等服务，指导企业（项目）签订劳动合同、缴纳社会保险等，促进企业（项目）良性发展，为企业解决“招工难”问题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[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责任单位：市人社局、各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乡镇（街道）]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54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588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  <w:lang w:val="en-US"/>
        </w:rPr>
        <w:t>2</w:t>
      </w:r>
      <w:r>
        <w:rPr>
          <w:rFonts w:hint="eastAsia" w:cs="方正仿宋_GBK"/>
          <w:b/>
          <w:bCs/>
          <w:spacing w:val="-13"/>
          <w:sz w:val="32"/>
          <w:szCs w:val="32"/>
          <w:lang w:val="en-US" w:eastAsia="zh-CN"/>
        </w:rPr>
        <w:t xml:space="preserve">. </w:t>
      </w: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  <w:lang w:val="en-US"/>
        </w:rPr>
        <w:t>优化用工环境。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引导企业通过优化招工条件，提高薪酬待遇，形成同类地区有比较优势的薪酬增长机制，改善员工工作环境。同时，丰富人文关怀，提高企业品牌形象，增强企业招聘吸引力，努力做到“环境留人、待遇留人、感情留人、事业留人”，增强员工归属感，吸引和留住员工。要加大用工园区企业周边“衣、食、住、行、玩”等生活配套设施建设，加强企业员工子女就学、安居落户等方面的机制保障，为企业招工、用工、留工营造良好环境。（责任单位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经开区管委会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、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产业集团、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市发改局、市自然资源局、市教育局、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市交通运输局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、市住建局、市商务局、市市场监管局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，各相关单位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）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54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588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  <w:lang w:val="en-US"/>
        </w:rPr>
        <w:t>3</w:t>
      </w:r>
      <w:r>
        <w:rPr>
          <w:rFonts w:hint="eastAsia" w:cs="方正仿宋_GBK"/>
          <w:b/>
          <w:bCs/>
          <w:spacing w:val="-13"/>
          <w:sz w:val="32"/>
          <w:szCs w:val="32"/>
          <w:lang w:val="en-US" w:eastAsia="zh-CN"/>
        </w:rPr>
        <w:t xml:space="preserve">. </w:t>
      </w:r>
      <w:r>
        <w:rPr>
          <w:rFonts w:hint="eastAsia" w:ascii="方正仿宋_GBK" w:hAnsi="方正仿宋_GBK" w:eastAsia="方正仿宋_GBK" w:cs="方正仿宋_GBK"/>
          <w:b/>
          <w:bCs/>
          <w:spacing w:val="-13"/>
          <w:sz w:val="32"/>
          <w:szCs w:val="32"/>
          <w:lang w:val="en-US"/>
        </w:rPr>
        <w:t>构建和谐劳动关系。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加大政策宣传力度，督促企业与员工依法签订劳动合同，及时足额支付员工工资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；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进一步完善预防和解决农民工工资拖欠长效机制，从源头上根治欠薪顽疾。督促落实劳动者休息休假、劳动安全和社会保障等各方面权益，及时解决劳资、福利、工伤等员企纠纷，营造和谐劳动关系，切实维护员工合法权益。加强劳务监管，常态化排查劳动争议隐患，及时预警，做到早介入、早调解，指导企业依法用工，敦促企业自觉遵守法律规定，及时解决好劳动者最关心、最直接、最现实的利益问题。（责任单位：市人社局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、市总工会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（六）整合力量，强化招工保障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12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7"/>
          <w:sz w:val="32"/>
          <w:szCs w:val="32"/>
          <w:lang w:val="en-US"/>
        </w:rPr>
        <w:t>1.</w:t>
      </w:r>
      <w:r>
        <w:rPr>
          <w:rFonts w:hint="eastAsia" w:cs="方正仿宋_GBK"/>
          <w:b/>
          <w:bCs/>
          <w:spacing w:val="-7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-7"/>
          <w:sz w:val="32"/>
          <w:szCs w:val="32"/>
        </w:rPr>
        <w:t>压实招工责任。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各企业要切实履行招工主体责任，加强人、财、物保障，建立健全招工奖补机制，主动以各种方式和多种渠道开展参与各类招工招聘活动，充分发挥自主招工优势，实现以工招工、以工带工、以工引工和市场化用工。各相关职能部门要切实履行相关职责，及时调度落实，努力解决服务企业招工方面的难点堵点问题，想方设法服务企业招工，千方百计帮助企业留人。园区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要切实履行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服务主责，落实好服务企业招工主阵地责任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，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及时收集招聘信息、企业缺工情况，加强监测调度，及时与市人社局、异地劳务协作地对接联络，定期组织园区企业赴外开展招工招聘活动。各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乡镇（街道）要切实承担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劳务就近输出责任，千方百计支持重点园区企业招工工作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，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常态化开展本地劳动力资源监测调度，引导劳动力在本地就业。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[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责任单位：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经开区管委会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、各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乡镇（街道），各相关单位]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12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7"/>
          <w:sz w:val="32"/>
          <w:szCs w:val="32"/>
          <w:lang w:val="en-US"/>
        </w:rPr>
        <w:t>2.</w:t>
      </w:r>
      <w:r>
        <w:rPr>
          <w:rFonts w:hint="eastAsia" w:cs="方正仿宋_GBK"/>
          <w:b/>
          <w:bCs/>
          <w:spacing w:val="-7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-7"/>
          <w:sz w:val="32"/>
          <w:szCs w:val="32"/>
        </w:rPr>
        <w:t>强化招工经费保障。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设立全市招工专项保障资金，每年从市就业专项资金中安排 200万元，用于保障全市各类重点招工活动的组织实施和相关补贴奖励，专项解决园区企业“招工难”问题。（责任单位：市财政局、市人社局）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154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16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  <w:lang w:val="en-US"/>
        </w:rPr>
        <w:t>3.</w:t>
      </w:r>
      <w:r>
        <w:rPr>
          <w:rFonts w:hint="eastAsia" w:cs="方正仿宋_GBK"/>
          <w:b/>
          <w:bCs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-6"/>
          <w:sz w:val="32"/>
          <w:szCs w:val="32"/>
        </w:rPr>
        <w:t>强化考核调度。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把解决“招工难”问题作为“一把手”工程，将各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乡镇（街道）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、各职能部门服务招工情况统筹纳入领导班子绩效考核内容，强化考核调度，促推责任落实，确保工作实效。市委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督查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室、市政府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督查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室定期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开展专项督查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，掌握有关情况，推动政策落实。（责任单位：市委办公室、市政府办公室</w:t>
      </w:r>
      <w:r>
        <w:rPr>
          <w:rFonts w:hint="eastAsia" w:cs="方正仿宋_GBK"/>
          <w:kern w:val="2"/>
          <w:sz w:val="32"/>
          <w:szCs w:val="32"/>
          <w:lang w:val="en-US" w:eastAsia="zh-CN" w:bidi="zh-CN"/>
        </w:rPr>
        <w:t>、市委组织部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四、工作要求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en-US" w:bidi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zh-CN" w:bidi="zh-CN"/>
        </w:rPr>
        <w:t>一</w:t>
      </w:r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en-US" w:bidi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zh-CN" w:bidi="zh-CN"/>
        </w:rPr>
        <w:t>高度重视。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各地各部门要提高政治站位，坚定不移地贯彻落实强化企业招工服务二十条措施，强化使命担当、履职尽责，齐心协力将各项工作落到实处。</w:t>
      </w: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bookmarkStart w:id="0" w:name="bookmark52"/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en-US" w:bidi="zh-CN"/>
        </w:rPr>
        <w:t>（</w:t>
      </w:r>
      <w:bookmarkEnd w:id="0"/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en-US" w:bidi="zh-CN"/>
        </w:rPr>
        <w:t>二）精心组织。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en-US" w:bidi="zh-CN"/>
        </w:rPr>
        <w:t>市强化企业招工服务工作领导小组各成员单位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zh-CN"/>
        </w:rPr>
        <w:t>要主动服从发展大局，积极配合，定期召开联席会议，通报工作开展情况，提出工作建议，及时解决困难和问题，确保工作有序开展。</w:t>
      </w: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  <w:bookmarkStart w:id="1" w:name="bookmark53"/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en-US" w:bidi="zh-CN"/>
        </w:rPr>
        <w:t>（</w:t>
      </w:r>
      <w:bookmarkEnd w:id="1"/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en-US" w:bidi="zh-CN"/>
        </w:rPr>
        <w:t>三）广泛宣传。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en-US" w:bidi="zh-CN"/>
        </w:rPr>
        <w:t>各地各部门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zh-CN"/>
        </w:rPr>
        <w:t>要充分利用网络平台、电视、报纸等媒介，加强对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zh-CN" w:eastAsia="zh-CN" w:bidi="zh-CN"/>
        </w:rPr>
        <w:t>履行强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zh-CN" w:eastAsia="zh-CN" w:bidi="zh-CN"/>
        </w:rPr>
        <w:t>化企业招工服务二十条措施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  <w:t>工作开展情况的宣传报道，注重工作成效的梳理总结，收集可用于借鉴和推广的典型事例，营造招工服务优、企业用工满意的良好氛围。</w:t>
      </w: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2"/>
          <w:sz w:val="28"/>
          <w:szCs w:val="28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234315</wp:posOffset>
                </wp:positionV>
                <wp:extent cx="5600700" cy="0"/>
                <wp:effectExtent l="0" t="9525" r="0" b="952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8.45pt;height:0pt;width:441pt;z-index:251662336;mso-width-relative:page;mso-height-relative:page;" filled="f" stroked="t" coordsize="21600,21600" o:gfxdata="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cYr0u0wAAAAYBAAAPAAAAAAAAAAEAIAAAACIAAABkcnMvZG93bnJldi54bWxQSwEC&#10;FAAUAAAACACHTuJAy6glGPkBAADzAwAADgAAAAAAAAABACAAAAAiAQAAZHJzL2Uyb0RvYy54bWxQ&#10;SwUGAAAAAAYABgBZAQAAj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ind w:left="0" w:leftChars="0" w:firstLine="0" w:firstLineChars="0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2"/>
          <w:sz w:val="28"/>
          <w:szCs w:val="28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323215</wp:posOffset>
                </wp:positionV>
                <wp:extent cx="56007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65pt;margin-top:25.45pt;height:0pt;width:441pt;z-index:251661312;mso-width-relative:page;mso-height-relative:page;" filled="f" stroked="t" coordsize="21600,21600" o:gfxdata="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ScAON9YAAAAIAQAADwAAAAAAAAABACAAAAAiAAAAZHJzL2Rvd25yZXYueG1s&#10;UEsBAhQAFAAAAAgAh07iQK8182T6AQAA8g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b w:val="0"/>
          <w:bCs/>
          <w:kern w:val="2"/>
          <w:sz w:val="28"/>
          <w:szCs w:val="28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3238500</wp:posOffset>
                </wp:positionH>
                <wp:positionV relativeFrom="paragraph">
                  <wp:posOffset>290830</wp:posOffset>
                </wp:positionV>
                <wp:extent cx="2362200" cy="99060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99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宋体" w:cs="Times New Roma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kern w:val="0"/>
                                <w:sz w:val="20"/>
                              </w:rPr>
                              <w:drawing>
                                <wp:inline distT="0" distB="0" distL="114300" distR="114300">
                                  <wp:extent cx="2179320" cy="862330"/>
                                  <wp:effectExtent l="0" t="0" r="0" b="6350"/>
                                  <wp:docPr id="2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/>
                                          <pic:cNvPicPr preferRelativeResize="0"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lum contrast="29999"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79320" cy="862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non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5pt;margin-top:22.9pt;height:78pt;width:186pt;mso-wrap-style:none;z-index:-251656192;mso-width-relative:page;mso-height-relative:page;" filled="f" stroked="f" coordsize="21600,21600" o:gfxdata="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HY7t+HaAAAACgEAAA8AAAAAAAAAAQAgAAAAIgAAAGRycy9kb3ducmV2LnhtbFBLAQIU&#10;ABQAAAAIAIdO4kDCx/RxuAEAAGgDAAAOAAAAAAAAAAEAIAAAACkBAABkcnMvZTJvRG9jLnhtbFBL&#10;BQYAAAAABgAGAFkBAABT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宋体" w:cs="Times New Roma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kern w:val="0"/>
                          <w:sz w:val="20"/>
                        </w:rPr>
                        <w:drawing>
                          <wp:inline distT="0" distB="0" distL="114300" distR="114300">
                            <wp:extent cx="2179320" cy="862330"/>
                            <wp:effectExtent l="0" t="0" r="0" b="6350"/>
                            <wp:docPr id="2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/>
                                    <pic:cNvPicPr preferRelativeResize="0"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>
                                      <a:lum contrast="29999"/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79320" cy="862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b w:val="0"/>
          <w:bCs/>
          <w:kern w:val="2"/>
          <w:sz w:val="28"/>
          <w:szCs w:val="28"/>
          <w:lang w:val="en-US" w:eastAsia="zh-CN" w:bidi="ar-SA"/>
        </w:rPr>
        <w:t>中 共 湘 乡 市 委 办 公 室                2022年4月2日印发</w:t>
      </w:r>
    </w:p>
    <w:p>
      <w:pPr>
        <w:pStyle w:val="13"/>
        <w:keepNext w:val="0"/>
        <w:keepLines w:val="0"/>
        <w:pageBreakBefore w:val="0"/>
        <w:widowControl w:val="0"/>
        <w:tabs>
          <w:tab w:val="left" w:pos="20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zh-CN"/>
        </w:rPr>
      </w:pPr>
    </w:p>
    <w:sectPr>
      <w:footerReference r:id="rId3" w:type="default"/>
      <w:pgSz w:w="11906" w:h="16838"/>
      <w:pgMar w:top="1984" w:right="1531" w:bottom="1417" w:left="1587" w:header="851" w:footer="113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F58A9"/>
    <w:rsid w:val="00052654"/>
    <w:rsid w:val="001A726C"/>
    <w:rsid w:val="002010BF"/>
    <w:rsid w:val="0028581F"/>
    <w:rsid w:val="002A4E8B"/>
    <w:rsid w:val="002C3541"/>
    <w:rsid w:val="003A5EB0"/>
    <w:rsid w:val="00433CCE"/>
    <w:rsid w:val="004B2EC2"/>
    <w:rsid w:val="004E3B2B"/>
    <w:rsid w:val="0053578F"/>
    <w:rsid w:val="00577584"/>
    <w:rsid w:val="005D556A"/>
    <w:rsid w:val="00734DC4"/>
    <w:rsid w:val="00751286"/>
    <w:rsid w:val="00753BEB"/>
    <w:rsid w:val="007E3C5A"/>
    <w:rsid w:val="00820AFC"/>
    <w:rsid w:val="00830F06"/>
    <w:rsid w:val="00892659"/>
    <w:rsid w:val="008E7A61"/>
    <w:rsid w:val="009A7DDE"/>
    <w:rsid w:val="009E4B7B"/>
    <w:rsid w:val="00B745E6"/>
    <w:rsid w:val="00BD1A9C"/>
    <w:rsid w:val="00C06F7E"/>
    <w:rsid w:val="00C77251"/>
    <w:rsid w:val="00CD1933"/>
    <w:rsid w:val="00D45761"/>
    <w:rsid w:val="00E536BE"/>
    <w:rsid w:val="00ED3986"/>
    <w:rsid w:val="00EE4765"/>
    <w:rsid w:val="00F060EC"/>
    <w:rsid w:val="00F51287"/>
    <w:rsid w:val="01592E5C"/>
    <w:rsid w:val="016F58A9"/>
    <w:rsid w:val="01D32DCE"/>
    <w:rsid w:val="01F4302D"/>
    <w:rsid w:val="026A045F"/>
    <w:rsid w:val="026D4C37"/>
    <w:rsid w:val="03031491"/>
    <w:rsid w:val="049A4A5B"/>
    <w:rsid w:val="05476ED2"/>
    <w:rsid w:val="0624008E"/>
    <w:rsid w:val="07AD5E6F"/>
    <w:rsid w:val="08055CAB"/>
    <w:rsid w:val="08F527BD"/>
    <w:rsid w:val="0AB6328D"/>
    <w:rsid w:val="0B745622"/>
    <w:rsid w:val="0B9F79D3"/>
    <w:rsid w:val="0BB06091"/>
    <w:rsid w:val="0D135F97"/>
    <w:rsid w:val="0D3A0435"/>
    <w:rsid w:val="0F274759"/>
    <w:rsid w:val="0F952434"/>
    <w:rsid w:val="10914580"/>
    <w:rsid w:val="10B767E7"/>
    <w:rsid w:val="110765F0"/>
    <w:rsid w:val="11B61CD4"/>
    <w:rsid w:val="13426012"/>
    <w:rsid w:val="14267043"/>
    <w:rsid w:val="147B6225"/>
    <w:rsid w:val="14B94BCE"/>
    <w:rsid w:val="15B42ABF"/>
    <w:rsid w:val="15DF4CCA"/>
    <w:rsid w:val="16E80C72"/>
    <w:rsid w:val="17A4380B"/>
    <w:rsid w:val="17D366C1"/>
    <w:rsid w:val="17DA7247"/>
    <w:rsid w:val="18535B2D"/>
    <w:rsid w:val="194F53F4"/>
    <w:rsid w:val="1A776CE1"/>
    <w:rsid w:val="1AA653E5"/>
    <w:rsid w:val="1AEE29A9"/>
    <w:rsid w:val="1B9770E2"/>
    <w:rsid w:val="1BB56320"/>
    <w:rsid w:val="1C035D3F"/>
    <w:rsid w:val="1E012619"/>
    <w:rsid w:val="1E047553"/>
    <w:rsid w:val="1E771919"/>
    <w:rsid w:val="1F1E3A4F"/>
    <w:rsid w:val="206C2914"/>
    <w:rsid w:val="20AC2D10"/>
    <w:rsid w:val="20CC5161"/>
    <w:rsid w:val="21821CC3"/>
    <w:rsid w:val="219519F6"/>
    <w:rsid w:val="21C65B6A"/>
    <w:rsid w:val="2351139E"/>
    <w:rsid w:val="23C87E61"/>
    <w:rsid w:val="23F22244"/>
    <w:rsid w:val="245426C4"/>
    <w:rsid w:val="24556625"/>
    <w:rsid w:val="248F3BA6"/>
    <w:rsid w:val="24CE6F8B"/>
    <w:rsid w:val="263D18F4"/>
    <w:rsid w:val="26F60CCF"/>
    <w:rsid w:val="27257379"/>
    <w:rsid w:val="279938C3"/>
    <w:rsid w:val="27C96834"/>
    <w:rsid w:val="27E2170E"/>
    <w:rsid w:val="294855A0"/>
    <w:rsid w:val="297E7214"/>
    <w:rsid w:val="29D67050"/>
    <w:rsid w:val="29E277A3"/>
    <w:rsid w:val="2A4346E5"/>
    <w:rsid w:val="2BEA471F"/>
    <w:rsid w:val="2C4D1431"/>
    <w:rsid w:val="2D5A5855"/>
    <w:rsid w:val="2DD33896"/>
    <w:rsid w:val="2E0C3040"/>
    <w:rsid w:val="2FB13E9F"/>
    <w:rsid w:val="2FBA7C5F"/>
    <w:rsid w:val="2FE93ACB"/>
    <w:rsid w:val="309D7BB6"/>
    <w:rsid w:val="30E834E0"/>
    <w:rsid w:val="31336B36"/>
    <w:rsid w:val="31A312F0"/>
    <w:rsid w:val="31B9528D"/>
    <w:rsid w:val="31C83722"/>
    <w:rsid w:val="31ED55D3"/>
    <w:rsid w:val="32975BD1"/>
    <w:rsid w:val="347B2CCE"/>
    <w:rsid w:val="34987C67"/>
    <w:rsid w:val="351B6F73"/>
    <w:rsid w:val="355169BE"/>
    <w:rsid w:val="35EB4569"/>
    <w:rsid w:val="362B4280"/>
    <w:rsid w:val="36B129D7"/>
    <w:rsid w:val="36D466C5"/>
    <w:rsid w:val="372A515D"/>
    <w:rsid w:val="37EB0A6B"/>
    <w:rsid w:val="38D34E86"/>
    <w:rsid w:val="38EE4A5F"/>
    <w:rsid w:val="3AE74C19"/>
    <w:rsid w:val="3B2C3DF2"/>
    <w:rsid w:val="3E377F90"/>
    <w:rsid w:val="3F007CE2"/>
    <w:rsid w:val="3F05798E"/>
    <w:rsid w:val="3F4168C2"/>
    <w:rsid w:val="40DC1BFE"/>
    <w:rsid w:val="40F005A0"/>
    <w:rsid w:val="41E64CB2"/>
    <w:rsid w:val="42005FAB"/>
    <w:rsid w:val="4281050D"/>
    <w:rsid w:val="4388680F"/>
    <w:rsid w:val="45721D8E"/>
    <w:rsid w:val="458473BF"/>
    <w:rsid w:val="45AA51C1"/>
    <w:rsid w:val="45CE25F1"/>
    <w:rsid w:val="462D194E"/>
    <w:rsid w:val="46865705"/>
    <w:rsid w:val="47D32185"/>
    <w:rsid w:val="48146EBC"/>
    <w:rsid w:val="49422384"/>
    <w:rsid w:val="4A1210B1"/>
    <w:rsid w:val="4AB83EDC"/>
    <w:rsid w:val="4B6B069D"/>
    <w:rsid w:val="4BCB7C3F"/>
    <w:rsid w:val="4D725395"/>
    <w:rsid w:val="4E394BA6"/>
    <w:rsid w:val="4E472EFD"/>
    <w:rsid w:val="4E8A2707"/>
    <w:rsid w:val="4EF63EA4"/>
    <w:rsid w:val="501F49FD"/>
    <w:rsid w:val="51BA2C30"/>
    <w:rsid w:val="51C44D18"/>
    <w:rsid w:val="53091BE6"/>
    <w:rsid w:val="533B7DA0"/>
    <w:rsid w:val="53A4119C"/>
    <w:rsid w:val="54BE6593"/>
    <w:rsid w:val="5579695E"/>
    <w:rsid w:val="56431F67"/>
    <w:rsid w:val="567726B1"/>
    <w:rsid w:val="56DF14D7"/>
    <w:rsid w:val="57232C73"/>
    <w:rsid w:val="596343BE"/>
    <w:rsid w:val="59634EBD"/>
    <w:rsid w:val="5C163158"/>
    <w:rsid w:val="5CAA299B"/>
    <w:rsid w:val="5D055D7B"/>
    <w:rsid w:val="5DF108A3"/>
    <w:rsid w:val="5E3B3F24"/>
    <w:rsid w:val="60561D95"/>
    <w:rsid w:val="60675F52"/>
    <w:rsid w:val="60B85343"/>
    <w:rsid w:val="6131633F"/>
    <w:rsid w:val="635E03B3"/>
    <w:rsid w:val="63EB3675"/>
    <w:rsid w:val="64207A48"/>
    <w:rsid w:val="645667E8"/>
    <w:rsid w:val="66C76562"/>
    <w:rsid w:val="66DE5639"/>
    <w:rsid w:val="673120B6"/>
    <w:rsid w:val="67E4235D"/>
    <w:rsid w:val="68B910F3"/>
    <w:rsid w:val="68EA74FF"/>
    <w:rsid w:val="69112CDD"/>
    <w:rsid w:val="694806C9"/>
    <w:rsid w:val="6A643ACF"/>
    <w:rsid w:val="6A8F61F9"/>
    <w:rsid w:val="6ADA5F95"/>
    <w:rsid w:val="6B790047"/>
    <w:rsid w:val="6BB90EE5"/>
    <w:rsid w:val="6CBB375B"/>
    <w:rsid w:val="6DA52DA6"/>
    <w:rsid w:val="6E7D7067"/>
    <w:rsid w:val="6F383CE2"/>
    <w:rsid w:val="6F9270F3"/>
    <w:rsid w:val="700C2451"/>
    <w:rsid w:val="702774E2"/>
    <w:rsid w:val="7082711C"/>
    <w:rsid w:val="713372D0"/>
    <w:rsid w:val="71593474"/>
    <w:rsid w:val="71C87D99"/>
    <w:rsid w:val="71D81BCA"/>
    <w:rsid w:val="72B868C0"/>
    <w:rsid w:val="73256FA8"/>
    <w:rsid w:val="733D6046"/>
    <w:rsid w:val="744761FA"/>
    <w:rsid w:val="74DF184C"/>
    <w:rsid w:val="75155B81"/>
    <w:rsid w:val="75371715"/>
    <w:rsid w:val="77340579"/>
    <w:rsid w:val="796F5AD6"/>
    <w:rsid w:val="79FF0356"/>
    <w:rsid w:val="7B784E3E"/>
    <w:rsid w:val="7B8F7A0C"/>
    <w:rsid w:val="7BE44282"/>
    <w:rsid w:val="7C5E2286"/>
    <w:rsid w:val="7DEE5699"/>
    <w:rsid w:val="7F56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line="560" w:lineRule="exact"/>
      <w:ind w:firstLine="538" w:firstLineChars="192"/>
    </w:pPr>
    <w:rPr>
      <w:rFonts w:ascii="宋体" w:hAnsi="宋体" w:eastAsia="仿宋_GB2312" w:cs="宋体"/>
      <w:sz w:val="28"/>
      <w:szCs w:val="28"/>
    </w:rPr>
  </w:style>
  <w:style w:type="paragraph" w:styleId="5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bidi="zh-CN"/>
    </w:r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1">
    <w:name w:val="样式2"/>
    <w:basedOn w:val="1"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 w:cs="宋体"/>
      <w:b/>
      <w:bCs/>
    </w:rPr>
  </w:style>
  <w:style w:type="paragraph" w:styleId="12">
    <w:name w:val="List Paragraph"/>
    <w:basedOn w:val="1"/>
    <w:qFormat/>
    <w:uiPriority w:val="1"/>
    <w:pPr>
      <w:ind w:left="279" w:right="113" w:firstLine="638"/>
    </w:pPr>
    <w:rPr>
      <w:rFonts w:ascii="方正仿宋_GBK" w:hAnsi="方正仿宋_GBK" w:eastAsia="方正仿宋_GBK" w:cs="方正仿宋_GBK"/>
      <w:lang w:val="zh-CN" w:bidi="zh-CN"/>
    </w:rPr>
  </w:style>
  <w:style w:type="paragraph" w:customStyle="1" w:styleId="13">
    <w:name w:val="Body text|1"/>
    <w:basedOn w:val="1"/>
    <w:qFormat/>
    <w:uiPriority w:val="0"/>
    <w:pPr>
      <w:spacing w:after="60" w:line="406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5231</Words>
  <Characters>5275</Characters>
  <Lines>37</Lines>
  <Paragraphs>10</Paragraphs>
  <TotalTime>0</TotalTime>
  <ScaleCrop>false</ScaleCrop>
  <LinksUpToDate>false</LinksUpToDate>
  <CharactersWithSpaces>5347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2021-11-17T15:36:00Z</dcterms:created>
  <dc:creator>彭欣欣</dc:creator>
  <cp:lastModifiedBy>彭欣欣</cp:lastModifiedBy>
  <cp:lastPrinted>2022-04-02T03:09:00Z</cp:lastPrinted>
  <dcterms:modified xsi:type="dcterms:W3CDTF">2022-06-14T08:32:02Z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7F7D8F00C20B4087BDA79404FF829DDF</vt:lpwstr>
  </property>
</Properties>
</file>