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rPr>
        <w:t>湘乡市城区中心校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spacing w:line="540" w:lineRule="exact"/>
        <w:jc w:val="both"/>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第一部分湘乡市城区中心校概况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rPr>
        <w:t>湘乡市城区中心校</w:t>
      </w:r>
    </w:p>
    <w:p>
      <w:pPr>
        <w:pStyle w:val="10"/>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firstLine="0" w:firstLineChars="0"/>
        <w:jc w:val="left"/>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部门职责</w:t>
      </w:r>
    </w:p>
    <w:p>
      <w:pPr>
        <w:snapToGrid w:val="0"/>
        <w:spacing w:line="360" w:lineRule="auto"/>
        <w:ind w:firstLine="640" w:firstLineChars="200"/>
        <w:rPr>
          <w:rFonts w:asciiTheme="minorEastAsia" w:hAnsiTheme="minorEastAsia"/>
          <w:bCs/>
          <w:kern w:val="0"/>
          <w:sz w:val="32"/>
          <w:szCs w:val="32"/>
        </w:rPr>
      </w:pPr>
      <w:r>
        <w:rPr>
          <w:rFonts w:hint="eastAsia" w:asciiTheme="minorEastAsia" w:hAnsiTheme="minorEastAsia"/>
          <w:sz w:val="32"/>
          <w:szCs w:val="32"/>
        </w:rPr>
        <w:t>（一）</w:t>
      </w:r>
      <w:r>
        <w:rPr>
          <w:rFonts w:hint="eastAsia" w:ascii="仿宋" w:hAnsi="仿宋" w:eastAsia="仿宋"/>
          <w:sz w:val="24"/>
        </w:rPr>
        <w:t xml:space="preserve"> </w:t>
      </w:r>
      <w:r>
        <w:rPr>
          <w:rFonts w:hint="eastAsia" w:asciiTheme="minorEastAsia" w:hAnsiTheme="minorEastAsia"/>
          <w:bCs/>
          <w:kern w:val="0"/>
          <w:sz w:val="32"/>
          <w:szCs w:val="32"/>
        </w:rPr>
        <w:t>实施初中、小学义务教育，幼儿教育，促进基础教育发展,初中、小学学历教育及相关社会服务。</w:t>
      </w:r>
    </w:p>
    <w:p>
      <w:pPr>
        <w:snapToGrid w:val="0"/>
        <w:spacing w:line="360" w:lineRule="auto"/>
        <w:ind w:firstLine="560" w:firstLineChars="200"/>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（一）内设机构设置。湘乡市城区中心校内设机构包括：总务室、教务处、办公室、工会室等</w:t>
      </w:r>
    </w:p>
    <w:p>
      <w:pPr>
        <w:widowControl/>
        <w:spacing w:line="600" w:lineRule="exact"/>
        <w:ind w:left="1280" w:hanging="1280" w:hangingChars="400"/>
        <w:rPr>
          <w:rFonts w:asciiTheme="minorEastAsia" w:hAnsiTheme="minorEastAsia"/>
          <w:bCs/>
          <w:kern w:val="0"/>
          <w:sz w:val="32"/>
          <w:szCs w:val="32"/>
        </w:rPr>
      </w:pPr>
      <w:r>
        <w:rPr>
          <w:rFonts w:hint="eastAsia" w:asciiTheme="minorEastAsia" w:hAnsiTheme="minorEastAsia"/>
          <w:bCs/>
          <w:kern w:val="0"/>
          <w:sz w:val="32"/>
          <w:szCs w:val="32"/>
        </w:rPr>
        <w:t>（二）决算单位构成。湘乡市城区中心校</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21年部门决算汇总公开单位构成包括：湘乡市城区中心学校</w:t>
      </w:r>
    </w:p>
    <w:p>
      <w:pPr>
        <w:jc w:val="left"/>
        <w:rPr>
          <w:rFonts w:ascii="仿宋_GB2312" w:eastAsia="仿宋_GB2312" w:hAnsiTheme="minorEastAsia"/>
          <w:sz w:val="28"/>
          <w:szCs w:val="32"/>
        </w:rPr>
      </w:pPr>
    </w:p>
    <w:p>
      <w:pPr>
        <w:widowControl/>
        <w:spacing w:line="600" w:lineRule="exact"/>
        <w:ind w:left="1280" w:hanging="1280" w:hangingChars="400"/>
        <w:rPr>
          <w:rFonts w:asciiTheme="minorEastAsia" w:hAnsiTheme="minorEastAsia"/>
          <w:bCs/>
          <w:kern w:val="0"/>
          <w:sz w:val="32"/>
          <w:szCs w:val="32"/>
          <w:highlight w:val="yellow"/>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599"/>
        <w:gridCol w:w="98"/>
        <w:gridCol w:w="240"/>
        <w:gridCol w:w="3460"/>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湘乡市城区中心校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七、其他支出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314.55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313.56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556.03</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557.02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1.38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0.39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557.41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557.41</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408" w:type="dxa"/>
        <w:tblInd w:w="96" w:type="dxa"/>
        <w:tblLayout w:type="autofit"/>
        <w:tblCellMar>
          <w:top w:w="0" w:type="dxa"/>
          <w:left w:w="108" w:type="dxa"/>
          <w:bottom w:w="0" w:type="dxa"/>
          <w:right w:w="108" w:type="dxa"/>
        </w:tblCellMar>
      </w:tblPr>
      <w:tblGrid>
        <w:gridCol w:w="2616"/>
        <w:gridCol w:w="222"/>
        <w:gridCol w:w="222"/>
        <w:gridCol w:w="2196"/>
        <w:gridCol w:w="1840"/>
        <w:gridCol w:w="1840"/>
        <w:gridCol w:w="1157"/>
        <w:gridCol w:w="1157"/>
        <w:gridCol w:w="1157"/>
        <w:gridCol w:w="1157"/>
        <w:gridCol w:w="1851"/>
      </w:tblGrid>
      <w:tr>
        <w:tblPrEx>
          <w:tblCellMar>
            <w:top w:w="0" w:type="dxa"/>
            <w:left w:w="108" w:type="dxa"/>
            <w:bottom w:w="0" w:type="dxa"/>
            <w:right w:w="108" w:type="dxa"/>
          </w:tblCellMar>
        </w:tblPrEx>
        <w:trPr>
          <w:trHeight w:val="384" w:hRule="atLeast"/>
        </w:trPr>
        <w:tc>
          <w:tcPr>
            <w:tcW w:w="15414" w:type="dxa"/>
            <w:gridSpan w:val="11"/>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rPr>
            </w:pPr>
            <w:r>
              <w:rPr>
                <w:rFonts w:hint="eastAsia" w:ascii="宋体" w:hAnsi="宋体" w:eastAsia="宋体" w:cs="宋体"/>
                <w:color w:val="000000"/>
                <w:kern w:val="0"/>
                <w:sz w:val="30"/>
                <w:szCs w:val="30"/>
              </w:rPr>
              <w:t>收入决算表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公开02表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部门：湘乡市城区中心学校</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本年收入合计</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财政拨款收入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上级补助收入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事业收入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经营收入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附属单位上缴收入</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其他收入</w:t>
            </w:r>
          </w:p>
        </w:tc>
      </w:tr>
      <w:tr>
        <w:tblPrEx>
          <w:tblCellMar>
            <w:top w:w="0" w:type="dxa"/>
            <w:left w:w="108" w:type="dxa"/>
            <w:bottom w:w="0" w:type="dxa"/>
            <w:right w:w="108" w:type="dxa"/>
          </w:tblCellMar>
        </w:tblPrEx>
        <w:trPr>
          <w:trHeight w:val="312"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12"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1851"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851"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62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62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62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62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851"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556.03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313.56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普通教育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其他普通教育支出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313.56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11"/>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rPr>
          <w:rFonts w:ascii="Times New Roman" w:hAnsi="Times New Roman" w:eastAsia="方正小标宋_GBK" w:cs="Times New Roman"/>
          <w:color w:val="000000"/>
          <w:kern w:val="0"/>
          <w:sz w:val="36"/>
          <w:szCs w:val="36"/>
        </w:rPr>
      </w:pPr>
    </w:p>
    <w:tbl>
      <w:tblPr>
        <w:tblStyle w:val="6"/>
        <w:tblW w:w="14360" w:type="dxa"/>
        <w:tblInd w:w="96" w:type="dxa"/>
        <w:tblLayout w:type="autofit"/>
        <w:tblCellMar>
          <w:top w:w="0" w:type="dxa"/>
          <w:left w:w="108" w:type="dxa"/>
          <w:bottom w:w="0" w:type="dxa"/>
          <w:right w:w="108" w:type="dxa"/>
        </w:tblCellMar>
      </w:tblPr>
      <w:tblGrid>
        <w:gridCol w:w="3084"/>
        <w:gridCol w:w="262"/>
        <w:gridCol w:w="262"/>
        <w:gridCol w:w="2589"/>
        <w:gridCol w:w="1527"/>
        <w:gridCol w:w="1527"/>
        <w:gridCol w:w="1373"/>
        <w:gridCol w:w="831"/>
        <w:gridCol w:w="800"/>
        <w:gridCol w:w="2105"/>
      </w:tblGrid>
      <w:tr>
        <w:tblPrEx>
          <w:tblCellMar>
            <w:top w:w="0" w:type="dxa"/>
            <w:left w:w="108" w:type="dxa"/>
            <w:bottom w:w="0" w:type="dxa"/>
            <w:right w:w="108" w:type="dxa"/>
          </w:tblCellMar>
        </w:tblPrEx>
        <w:trPr>
          <w:trHeight w:val="801" w:hRule="atLeast"/>
        </w:trPr>
        <w:tc>
          <w:tcPr>
            <w:tcW w:w="14360" w:type="dxa"/>
            <w:gridSpan w:val="10"/>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rPr>
            </w:pPr>
            <w:r>
              <w:rPr>
                <w:rFonts w:hint="eastAsia" w:ascii="宋体" w:hAnsi="宋体" w:eastAsia="宋体" w:cs="宋体"/>
                <w:color w:val="000000"/>
                <w:kern w:val="0"/>
                <w:sz w:val="30"/>
                <w:szCs w:val="30"/>
              </w:rPr>
              <w:t>支出决算表</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部门：湘乡市城区中心学校</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413"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70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本年支出合计</w:t>
            </w:r>
          </w:p>
        </w:tc>
        <w:tc>
          <w:tcPr>
            <w:tcW w:w="170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97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上缴上级支出</w:t>
            </w:r>
          </w:p>
        </w:tc>
        <w:tc>
          <w:tcPr>
            <w:tcW w:w="92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经营支出</w:t>
            </w:r>
          </w:p>
        </w:tc>
        <w:tc>
          <w:tcPr>
            <w:tcW w:w="195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对附属单位补助支出</w:t>
            </w:r>
          </w:p>
        </w:tc>
      </w:tr>
      <w:tr>
        <w:tblPrEx>
          <w:tblCellMar>
            <w:top w:w="0" w:type="dxa"/>
            <w:left w:w="108" w:type="dxa"/>
            <w:bottom w:w="0" w:type="dxa"/>
            <w:right w:w="108" w:type="dxa"/>
          </w:tblCellMar>
        </w:tblPrEx>
        <w:trPr>
          <w:trHeight w:val="408" w:hRule="atLeast"/>
        </w:trPr>
        <w:tc>
          <w:tcPr>
            <w:tcW w:w="3221"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55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7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95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408" w:hRule="atLeast"/>
        </w:trPr>
        <w:tc>
          <w:tcPr>
            <w:tcW w:w="3221"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55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7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95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408" w:hRule="atLeast"/>
        </w:trPr>
        <w:tc>
          <w:tcPr>
            <w:tcW w:w="3221"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70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55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7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92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195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1708"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708"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97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922"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955"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r>
      <w:tr>
        <w:tblPrEx>
          <w:tblCellMar>
            <w:top w:w="0" w:type="dxa"/>
            <w:left w:w="108" w:type="dxa"/>
            <w:bottom w:w="0" w:type="dxa"/>
            <w:right w:w="108" w:type="dxa"/>
          </w:tblCellMar>
        </w:tblPrEx>
        <w:trPr>
          <w:trHeight w:val="413"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557.02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507.02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50.00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普通教育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其他普通教育支出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264.55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413" w:hRule="atLeast"/>
        </w:trPr>
        <w:tc>
          <w:tcPr>
            <w:tcW w:w="0" w:type="auto"/>
            <w:gridSpan w:val="10"/>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rPr>
          <w:rFonts w:ascii="Times New Roman" w:hAnsi="Times New Roman" w:eastAsia="方正小标宋_GBK" w:cs="Times New Roman"/>
          <w:color w:val="000000"/>
          <w:kern w:val="0"/>
          <w:sz w:val="36"/>
          <w:szCs w:val="21"/>
        </w:rPr>
      </w:pPr>
    </w:p>
    <w:tbl>
      <w:tblPr>
        <w:tblStyle w:val="6"/>
        <w:tblpPr w:leftFromText="180" w:rightFromText="180" w:vertAnchor="text" w:horzAnchor="page" w:tblpX="806" w:tblpY="204"/>
        <w:tblOverlap w:val="never"/>
        <w:tblW w:w="15539" w:type="dxa"/>
        <w:tblInd w:w="0" w:type="dxa"/>
        <w:tblLayout w:type="autofit"/>
        <w:tblCellMar>
          <w:top w:w="0" w:type="dxa"/>
          <w:left w:w="108" w:type="dxa"/>
          <w:bottom w:w="0" w:type="dxa"/>
          <w:right w:w="108" w:type="dxa"/>
        </w:tblCellMar>
      </w:tblPr>
      <w:tblGrid>
        <w:gridCol w:w="3595"/>
        <w:gridCol w:w="436"/>
        <w:gridCol w:w="1096"/>
        <w:gridCol w:w="3411"/>
        <w:gridCol w:w="632"/>
        <w:gridCol w:w="435"/>
        <w:gridCol w:w="1573"/>
        <w:gridCol w:w="1394"/>
        <w:gridCol w:w="1394"/>
        <w:gridCol w:w="1573"/>
      </w:tblGrid>
      <w:tr>
        <w:tblPrEx>
          <w:tblCellMar>
            <w:top w:w="0" w:type="dxa"/>
            <w:left w:w="108" w:type="dxa"/>
            <w:bottom w:w="0" w:type="dxa"/>
            <w:right w:w="108" w:type="dxa"/>
          </w:tblCellMar>
        </w:tblPrEx>
        <w:trPr>
          <w:trHeight w:val="636" w:hRule="atLeast"/>
        </w:trPr>
        <w:tc>
          <w:tcPr>
            <w:tcW w:w="15539" w:type="dxa"/>
            <w:gridSpan w:val="10"/>
            <w:tcBorders>
              <w:top w:val="nil"/>
              <w:left w:val="nil"/>
              <w:bottom w:val="nil"/>
              <w:right w:val="nil"/>
            </w:tcBorders>
            <w:shd w:val="clear" w:color="auto" w:fill="auto"/>
            <w:noWrap/>
            <w:vAlign w:val="center"/>
          </w:tcPr>
          <w:p>
            <w:pPr>
              <w:widowControl/>
              <w:rPr>
                <w:rFonts w:ascii="华文中宋" w:hAnsi="华文中宋" w:eastAsia="华文中宋" w:cs="宋体"/>
                <w:color w:val="000000"/>
                <w:kern w:val="0"/>
                <w:sz w:val="32"/>
                <w:szCs w:val="32"/>
              </w:rPr>
            </w:pPr>
          </w:p>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部门：湘乡市城区中心学校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9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rPr>
                <w:rFonts w:ascii="宋体" w:hAnsi="宋体" w:eastAsia="宋体" w:cs="宋体"/>
                <w:kern w:val="0"/>
                <w:sz w:val="22"/>
              </w:rP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textAlignment w:val="center"/>
            </w:pPr>
            <w:r>
              <w:rPr>
                <w:rFonts w:hint="eastAsia" w:ascii="宋体" w:hAnsi="宋体" w:eastAsia="宋体" w:cs="宋体"/>
                <w:color w:val="000000"/>
                <w:kern w:val="0"/>
                <w:sz w:val="22"/>
              </w:rPr>
              <w:t>242.47</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39"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tbl>
      <w:tblPr>
        <w:tblStyle w:val="6"/>
        <w:tblW w:w="14900" w:type="dxa"/>
        <w:tblInd w:w="96" w:type="dxa"/>
        <w:tblLayout w:type="autofit"/>
        <w:tblCellMar>
          <w:top w:w="0" w:type="dxa"/>
          <w:left w:w="108" w:type="dxa"/>
          <w:bottom w:w="0" w:type="dxa"/>
          <w:right w:w="108" w:type="dxa"/>
        </w:tblCellMar>
      </w:tblPr>
      <w:tblGrid>
        <w:gridCol w:w="3501"/>
        <w:gridCol w:w="297"/>
        <w:gridCol w:w="297"/>
        <w:gridCol w:w="2939"/>
        <w:gridCol w:w="2490"/>
        <w:gridCol w:w="2370"/>
        <w:gridCol w:w="3006"/>
      </w:tblGrid>
      <w:tr>
        <w:tblPrEx>
          <w:tblCellMar>
            <w:top w:w="0" w:type="dxa"/>
            <w:left w:w="108" w:type="dxa"/>
            <w:bottom w:w="0" w:type="dxa"/>
            <w:right w:w="108" w:type="dxa"/>
          </w:tblCellMar>
        </w:tblPrEx>
        <w:trPr>
          <w:trHeight w:val="691" w:hRule="atLeast"/>
        </w:trPr>
        <w:tc>
          <w:tcPr>
            <w:tcW w:w="14900" w:type="dxa"/>
            <w:gridSpan w:val="7"/>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rPr>
            </w:pPr>
            <w:bookmarkStart w:id="0" w:name="RANGE!A1:I22"/>
            <w:bookmarkEnd w:id="0"/>
            <w:bookmarkStart w:id="1" w:name="RANGE!A1:F16"/>
            <w:r>
              <w:rPr>
                <w:rFonts w:hint="eastAsia" w:ascii="宋体" w:hAnsi="宋体" w:eastAsia="宋体" w:cs="宋体"/>
                <w:color w:val="000000"/>
                <w:kern w:val="0"/>
                <w:sz w:val="30"/>
                <w:szCs w:val="30"/>
              </w:rPr>
              <w:t>一般公共预算财政拨款支出决算表</w:t>
            </w:r>
          </w:p>
        </w:tc>
      </w:tr>
      <w:tr>
        <w:tblPrEx>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公开05表</w:t>
            </w:r>
          </w:p>
        </w:tc>
      </w:tr>
      <w:tr>
        <w:tblPrEx>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部门：湘乡市城区中心学校</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金额单位：万元</w:t>
            </w:r>
          </w:p>
        </w:tc>
      </w:tr>
      <w:tr>
        <w:tblPrEx>
          <w:tblCellMar>
            <w:top w:w="0" w:type="dxa"/>
            <w:left w:w="108" w:type="dxa"/>
            <w:bottom w:w="0" w:type="dxa"/>
            <w:right w:w="108" w:type="dxa"/>
          </w:tblCellMar>
        </w:tblPrEx>
        <w:trPr>
          <w:trHeight w:val="356"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8377"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w:t>
            </w:r>
          </w:p>
        </w:tc>
      </w:tr>
      <w:tr>
        <w:tblPrEx>
          <w:tblCellMar>
            <w:top w:w="0" w:type="dxa"/>
            <w:left w:w="108" w:type="dxa"/>
            <w:bottom w:w="0" w:type="dxa"/>
            <w:right w:w="108" w:type="dxa"/>
          </w:tblCellMar>
        </w:tblPrEx>
        <w:trPr>
          <w:trHeight w:val="352" w:hRule="atLeast"/>
        </w:trPr>
        <w:tc>
          <w:tcPr>
            <w:tcW w:w="379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284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266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287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r>
      <w:tr>
        <w:tblPrEx>
          <w:tblCellMar>
            <w:top w:w="0" w:type="dxa"/>
            <w:left w:w="108" w:type="dxa"/>
            <w:bottom w:w="0" w:type="dxa"/>
            <w:right w:w="108" w:type="dxa"/>
          </w:tblCellMar>
        </w:tblPrEx>
        <w:trPr>
          <w:trHeight w:val="317" w:hRule="atLeast"/>
        </w:trPr>
        <w:tc>
          <w:tcPr>
            <w:tcW w:w="379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284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66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87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52" w:hRule="atLeast"/>
        </w:trPr>
        <w:tc>
          <w:tcPr>
            <w:tcW w:w="379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rPr>
            </w:pPr>
          </w:p>
        </w:tc>
        <w:tc>
          <w:tcPr>
            <w:tcW w:w="284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66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c>
          <w:tcPr>
            <w:tcW w:w="287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r>
      <w:tr>
        <w:tblPrEx>
          <w:tblCellMar>
            <w:top w:w="0" w:type="dxa"/>
            <w:left w:w="108" w:type="dxa"/>
            <w:bottom w:w="0" w:type="dxa"/>
            <w:right w:w="108" w:type="dxa"/>
          </w:tblCellMar>
        </w:tblPrEx>
        <w:trPr>
          <w:trHeight w:val="356"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普通教育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242.47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239.48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2050299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其他普通教育支出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56" w:hRule="atLeast"/>
        </w:trPr>
        <w:tc>
          <w:tcPr>
            <w:tcW w:w="0" w:type="auto"/>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注：本表反映部门本年度一般公共预算财政拨款支出情况。</w:t>
            </w:r>
          </w:p>
        </w:tc>
      </w:tr>
    </w:tbl>
    <w:p>
      <w:pPr>
        <w:widowControl/>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ascii="Times New Roman" w:hAnsi="Times New Roman" w:eastAsia="仿宋_GB2312" w:cs="Times New Roman"/>
          <w:bCs/>
          <w:kern w:val="0"/>
          <w:szCs w:val="21"/>
        </w:rPr>
        <w:br w:type="page"/>
      </w:r>
    </w:p>
    <w:tbl>
      <w:tblPr>
        <w:tblStyle w:val="6"/>
        <w:tblW w:w="15984" w:type="dxa"/>
        <w:tblInd w:w="0" w:type="dxa"/>
        <w:tblLayout w:type="fixed"/>
        <w:tblCellMar>
          <w:top w:w="0" w:type="dxa"/>
          <w:left w:w="108" w:type="dxa"/>
          <w:bottom w:w="0" w:type="dxa"/>
          <w:right w:w="108" w:type="dxa"/>
        </w:tblCellMar>
      </w:tblPr>
      <w:tblGrid>
        <w:gridCol w:w="1140"/>
        <w:gridCol w:w="2955"/>
        <w:gridCol w:w="1575"/>
        <w:gridCol w:w="1080"/>
        <w:gridCol w:w="2235"/>
        <w:gridCol w:w="975"/>
        <w:gridCol w:w="1200"/>
        <w:gridCol w:w="3405"/>
        <w:gridCol w:w="1419"/>
      </w:tblGrid>
      <w:tr>
        <w:tblPrEx>
          <w:tblCellMar>
            <w:top w:w="0" w:type="dxa"/>
            <w:left w:w="108" w:type="dxa"/>
            <w:bottom w:w="0" w:type="dxa"/>
            <w:right w:w="108" w:type="dxa"/>
          </w:tblCellMar>
        </w:tblPrEx>
        <w:trPr>
          <w:trHeight w:val="113" w:hRule="atLeast"/>
        </w:trPr>
        <w:tc>
          <w:tcPr>
            <w:tcW w:w="1598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湘乡市城区中心学校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189.57</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52.77</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84.21</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13.84</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1.55</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1.58</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8.99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28.46</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1.84</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21.90</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2.97</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0.16</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11.85</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5.46</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16.98</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0.12</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10.17</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5.20</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0.13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1.58</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0.13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24.99</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Cs w:val="20"/>
              </w:rPr>
            </w:pPr>
            <w:r>
              <w:rPr>
                <w:rFonts w:hint="eastAsia" w:ascii="宋体" w:hAnsi="宋体" w:eastAsia="宋体" w:cs="宋体"/>
                <w:color w:val="000000"/>
                <w:kern w:val="0"/>
                <w:sz w:val="22"/>
              </w:rPr>
              <w:t>0.50</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59"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0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75"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189.71</w:t>
            </w:r>
          </w:p>
        </w:tc>
        <w:tc>
          <w:tcPr>
            <w:tcW w:w="889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52.77</w:t>
            </w:r>
          </w:p>
        </w:tc>
      </w:tr>
      <w:tr>
        <w:tblPrEx>
          <w:tblCellMar>
            <w:top w:w="0" w:type="dxa"/>
            <w:left w:w="108" w:type="dxa"/>
            <w:bottom w:w="0" w:type="dxa"/>
            <w:right w:w="108" w:type="dxa"/>
          </w:tblCellMar>
        </w:tblPrEx>
        <w:trPr>
          <w:trHeight w:val="284" w:hRule="exact"/>
        </w:trPr>
        <w:tc>
          <w:tcPr>
            <w:tcW w:w="1598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湘乡市城区中心学校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534"/>
        <w:gridCol w:w="906"/>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3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346"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53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906"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rPr>
        <w:t>湘乡市城区中心学校</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仿宋_GB2312" w:cs="宋体"/>
                <w:kern w:val="0"/>
                <w:sz w:val="20"/>
                <w:szCs w:val="20"/>
                <w:lang w:eastAsia="zh-CN"/>
              </w:rPr>
            </w:pPr>
            <w:r>
              <w:rPr>
                <w:rFonts w:hint="eastAsia" w:ascii="宋体" w:hAnsi="宋体" w:eastAsia="宋体" w:cs="宋体"/>
                <w:color w:val="000000"/>
                <w:kern w:val="0"/>
                <w:sz w:val="20"/>
                <w:szCs w:val="20"/>
              </w:rPr>
              <w:t>湘乡市城区中心学校</w:t>
            </w:r>
            <w:r>
              <w:rPr>
                <w:rFonts w:ascii="Times New Roman" w:hAnsi="Times New Roman" w:eastAsia="仿宋_GB2312" w:cs="Times New Roman"/>
                <w:color w:val="000000"/>
                <w:kern w:val="0"/>
                <w:szCs w:val="21"/>
              </w:rPr>
              <w:t xml:space="preserve">  </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tabs>
                <w:tab w:val="center" w:pos="1499"/>
              </w:tabs>
              <w:jc w:val="left"/>
              <w:rPr>
                <w:rFonts w:ascii="宋体" w:hAnsi="宋体" w:eastAsia="宋体" w:cs="宋体"/>
                <w:kern w:val="0"/>
                <w:sz w:val="20"/>
                <w:szCs w:val="20"/>
              </w:rPr>
            </w:pPr>
            <w:r>
              <w:rPr>
                <w:rFonts w:hint="eastAsia" w:ascii="宋体" w:hAnsi="宋体" w:eastAsia="宋体" w:cs="宋体"/>
                <w:kern w:val="0"/>
                <w:sz w:val="20"/>
                <w:szCs w:val="20"/>
              </w:rPr>
              <w:tab/>
            </w:r>
            <w:r>
              <w:rPr>
                <w:rFonts w:hint="eastAsia" w:ascii="Times New Roman" w:hAnsi="Times New Roman" w:eastAsia="仿宋_GB2312" w:cs="Times New Roman"/>
                <w:kern w:val="0"/>
                <w:szCs w:val="21"/>
              </w:rPr>
              <w:t>本表为空白表</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2021年度收、支总计1113.05万元。与上年相比，减少535.75万元，减少48.13%，主要是因为项目支出减少，学校学生人数减少。</w:t>
      </w:r>
    </w:p>
    <w:p>
      <w:pPr>
        <w:pStyle w:val="10"/>
        <w:rPr>
          <w:rFonts w:hAnsi="黑体"/>
          <w:b/>
          <w:sz w:val="32"/>
          <w:szCs w:val="32"/>
        </w:rPr>
      </w:pPr>
      <w:r>
        <w:rPr>
          <w:rFonts w:hint="eastAsia" w:hAnsi="黑体"/>
          <w:b/>
          <w:sz w:val="32"/>
          <w:szCs w:val="32"/>
        </w:rPr>
        <w:t>二、收入决算情况说明</w:t>
      </w:r>
    </w:p>
    <w:p>
      <w:pPr>
        <w:snapToGrid w:val="0"/>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2021年度本年收入合计556.03万元，其中财政拨款242.47万元,占43.61%；其他收入313,56万元，占56.40%。</w:t>
      </w:r>
    </w:p>
    <w:p>
      <w:pPr>
        <w:pStyle w:val="10"/>
        <w:spacing w:beforeLines="0" w:afterLines="0"/>
        <w:rPr>
          <w:rFonts w:hint="eastAsia" w:hAnsi="黑体"/>
          <w:b/>
          <w:sz w:val="32"/>
          <w:szCs w:val="32"/>
        </w:rPr>
      </w:pPr>
      <w:r>
        <w:rPr>
          <w:rFonts w:hint="eastAsia" w:hAnsi="黑体"/>
          <w:b/>
          <w:sz w:val="32"/>
          <w:szCs w:val="32"/>
        </w:rPr>
        <w:t>三、支出决算情况说明</w:t>
      </w:r>
    </w:p>
    <w:p>
      <w:pPr>
        <w:snapToGrid w:val="0"/>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2021年度本年支出557.02万元，其中：基本支出507.02万元，占91.02%，项目支出50万元，占8.98%。</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484.94</w:t>
      </w:r>
      <w:r>
        <w:rPr>
          <w:rFonts w:hint="eastAsia" w:asciiTheme="minorEastAsia" w:hAnsiTheme="minorEastAsia" w:eastAsiaTheme="minorEastAsia"/>
          <w:sz w:val="32"/>
          <w:szCs w:val="32"/>
        </w:rPr>
        <w:t>万元，与上年相比，减</w:t>
      </w:r>
      <w:r>
        <w:rPr>
          <w:rFonts w:hint="eastAsia" w:asciiTheme="minorEastAsia" w:hAnsiTheme="minorEastAsia" w:eastAsiaTheme="minorEastAsia"/>
          <w:color w:val="auto"/>
          <w:sz w:val="32"/>
          <w:szCs w:val="32"/>
        </w:rPr>
        <w:t>少</w:t>
      </w:r>
      <w:r>
        <w:rPr>
          <w:rFonts w:hint="eastAsia" w:asciiTheme="minorEastAsia" w:hAnsiTheme="minorEastAsia" w:eastAsiaTheme="minorEastAsia"/>
          <w:color w:val="auto"/>
          <w:sz w:val="32"/>
          <w:szCs w:val="32"/>
          <w:lang w:val="en-US" w:eastAsia="zh-CN"/>
        </w:rPr>
        <w:t>379.55</w:t>
      </w:r>
      <w:r>
        <w:rPr>
          <w:rFonts w:hint="eastAsia" w:asciiTheme="minorEastAsia" w:hAnsiTheme="minorEastAsia" w:eastAsiaTheme="minorEastAsia"/>
          <w:color w:val="auto"/>
          <w:sz w:val="32"/>
          <w:szCs w:val="32"/>
        </w:rPr>
        <w:t>万元,减少</w:t>
      </w:r>
      <w:r>
        <w:rPr>
          <w:rFonts w:hint="eastAsia" w:asciiTheme="minorEastAsia" w:hAnsiTheme="minorEastAsia" w:eastAsiaTheme="minorEastAsia"/>
          <w:color w:val="auto"/>
          <w:sz w:val="32"/>
          <w:szCs w:val="32"/>
          <w:lang w:val="en-US" w:eastAsia="zh-CN"/>
        </w:rPr>
        <w:t>78.26</w:t>
      </w:r>
      <w:r>
        <w:rPr>
          <w:rFonts w:hint="eastAsia" w:asciiTheme="minorEastAsia" w:hAnsiTheme="minorEastAsia" w:eastAsiaTheme="minorEastAsia"/>
          <w:color w:val="auto"/>
          <w:sz w:val="32"/>
          <w:szCs w:val="32"/>
        </w:rPr>
        <w:t>%，主要是因为本年度年末公用经费减少</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年度费</w:t>
      </w:r>
      <w:r>
        <w:rPr>
          <w:rFonts w:hint="eastAsia" w:asciiTheme="minorEastAsia" w:hAnsiTheme="minorEastAsia" w:eastAsiaTheme="minorEastAsia"/>
          <w:sz w:val="32"/>
          <w:szCs w:val="32"/>
          <w:lang w:val="en-US" w:eastAsia="zh-CN"/>
        </w:rPr>
        <w:t>用支出暂未支付。</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snapToGrid w:val="0"/>
        <w:spacing w:line="360" w:lineRule="auto"/>
        <w:ind w:firstLine="640" w:firstLineChars="200"/>
        <w:rPr>
          <w:rFonts w:asciiTheme="minorEastAsia" w:hAnsiTheme="minorEastAsia"/>
          <w:sz w:val="32"/>
          <w:szCs w:val="32"/>
        </w:rPr>
      </w:pPr>
      <w:r>
        <w:rPr>
          <w:rFonts w:hint="eastAsia" w:asciiTheme="minorEastAsia" w:hAnsiTheme="minorEastAsia"/>
          <w:sz w:val="32"/>
          <w:szCs w:val="32"/>
        </w:rPr>
        <w:t>2021年度本年财政拨款决算支出242.47万元</w:t>
      </w:r>
      <w:r>
        <w:rPr>
          <w:rFonts w:hint="eastAsia" w:ascii="仿宋" w:hAnsi="仿宋" w:eastAsia="仿宋"/>
          <w:sz w:val="24"/>
        </w:rPr>
        <w:t>，</w:t>
      </w:r>
      <w:r>
        <w:rPr>
          <w:rFonts w:hint="eastAsia" w:asciiTheme="minorEastAsia" w:hAnsiTheme="minorEastAsia"/>
          <w:sz w:val="32"/>
          <w:szCs w:val="32"/>
          <w:lang w:val="en-US" w:eastAsia="zh-CN"/>
        </w:rPr>
        <w:t>占本年支出的43.53%，</w:t>
      </w:r>
      <w:r>
        <w:rPr>
          <w:rFonts w:hint="eastAsia" w:asciiTheme="minorEastAsia" w:hAnsiTheme="minorEastAsia"/>
          <w:sz w:val="32"/>
          <w:szCs w:val="32"/>
        </w:rPr>
        <w:t>与上年相比，减少90.47万元,减少</w:t>
      </w:r>
      <w:r>
        <w:rPr>
          <w:rFonts w:hint="eastAsia" w:asciiTheme="minorEastAsia" w:hAnsiTheme="minorEastAsia"/>
          <w:sz w:val="32"/>
          <w:szCs w:val="32"/>
          <w:lang w:val="en-US" w:eastAsia="zh-CN"/>
        </w:rPr>
        <w:t>37.31</w:t>
      </w:r>
      <w:r>
        <w:rPr>
          <w:rFonts w:hint="eastAsia" w:asciiTheme="minorEastAsia" w:hAnsiTheme="minorEastAsia"/>
          <w:sz w:val="32"/>
          <w:szCs w:val="32"/>
        </w:rPr>
        <w:t>%，主要原因是：项目支出减少，学校学生人数减少。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2021年度财政拨款支出242.47万元，主要用于以下方面：教育（类）支出普通教育占242.47万元，占100%。</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2021年度财政拨款支出年初预算数为198.40万元，支出决算数为242.47万元，完成年初预算的122.27%，其中：</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color w:val="auto"/>
          <w:sz w:val="32"/>
          <w:szCs w:val="32"/>
          <w:lang w:val="en-US" w:eastAsia="zh-CN"/>
        </w:rPr>
        <w:t>教育支出（类）普通教育（款）小学教育（项）</w:t>
      </w:r>
      <w:r>
        <w:rPr>
          <w:rFonts w:hint="eastAsia" w:asciiTheme="minorEastAsia" w:hAnsiTheme="minorEastAsia" w:eastAsiaTheme="minorEastAsia"/>
          <w:color w:val="auto"/>
          <w:sz w:val="32"/>
          <w:szCs w:val="32"/>
        </w:rPr>
        <w:t>。</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年初</w:t>
      </w:r>
      <w:r>
        <w:rPr>
          <w:rFonts w:hint="eastAsia" w:asciiTheme="minorEastAsia" w:hAnsiTheme="minorEastAsia" w:eastAsiaTheme="minorEastAsia"/>
          <w:sz w:val="32"/>
          <w:szCs w:val="32"/>
        </w:rPr>
        <w:t>初预算数为198.40万元，支出决算数为2</w:t>
      </w:r>
      <w:r>
        <w:rPr>
          <w:rFonts w:hint="eastAsia" w:asciiTheme="minorEastAsia" w:hAnsiTheme="minorEastAsia" w:eastAsiaTheme="minorEastAsia"/>
          <w:sz w:val="32"/>
          <w:szCs w:val="32"/>
          <w:lang w:val="en-US" w:eastAsia="zh-CN"/>
        </w:rPr>
        <w:t>39.48</w:t>
      </w:r>
      <w:r>
        <w:rPr>
          <w:rFonts w:hint="eastAsia" w:asciiTheme="minorEastAsia" w:hAnsiTheme="minorEastAsia" w:eastAsiaTheme="minorEastAsia"/>
          <w:sz w:val="32"/>
          <w:szCs w:val="32"/>
        </w:rPr>
        <w:t>万元，完成年初预算的12</w:t>
      </w:r>
      <w:r>
        <w:rPr>
          <w:rFonts w:hint="eastAsia" w:asciiTheme="minorEastAsia" w:hAnsiTheme="minorEastAsia" w:eastAsiaTheme="minorEastAsia"/>
          <w:sz w:val="32"/>
          <w:szCs w:val="32"/>
          <w:lang w:val="en-US" w:eastAsia="zh-CN"/>
        </w:rPr>
        <w:t>3.44</w:t>
      </w:r>
      <w:r>
        <w:rPr>
          <w:rFonts w:hint="eastAsia" w:asciiTheme="minorEastAsia" w:hAnsiTheme="minorEastAsia" w:eastAsiaTheme="minorEastAsia"/>
          <w:sz w:val="32"/>
          <w:szCs w:val="32"/>
        </w:rPr>
        <w:t>%，决算数大于年初预算数的主要原因是：本年度人员增加，人员经费增加。</w:t>
      </w:r>
    </w:p>
    <w:p>
      <w:pPr>
        <w:pStyle w:val="10"/>
        <w:numPr>
          <w:ilvl w:val="0"/>
          <w:numId w:val="1"/>
        </w:numPr>
        <w:ind w:firstLine="640" w:firstLineChars="20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教育支出（类）普通教育（款）其他普通教育支出（项）</w:t>
      </w:r>
    </w:p>
    <w:p>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2.99</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FF0000"/>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大</w:t>
      </w:r>
      <w:r>
        <w:rPr>
          <w:rFonts w:hint="eastAsia" w:asciiTheme="minorEastAsia" w:hAnsiTheme="minorEastAsia" w:eastAsiaTheme="minorEastAsia"/>
          <w:sz w:val="32"/>
          <w:szCs w:val="32"/>
        </w:rPr>
        <w:t>于年初预算数的主要原因是：</w:t>
      </w:r>
      <w:r>
        <w:rPr>
          <w:rFonts w:hint="eastAsia" w:asciiTheme="minorEastAsia" w:hAnsiTheme="minorEastAsia" w:eastAsiaTheme="minorEastAsia"/>
          <w:sz w:val="32"/>
          <w:szCs w:val="32"/>
          <w:lang w:val="en-US" w:eastAsia="zh-CN"/>
        </w:rPr>
        <w:t>本年度其他项目经费增加。</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2021年度财政拨款基本支出242.47万元，其中：人员经费189.71万元，占基本支出的78.24%,主要包括基本工资、津贴补贴、</w:t>
      </w:r>
      <w:r>
        <w:rPr>
          <w:rFonts w:hint="eastAsia" w:asciiTheme="minorEastAsia" w:hAnsiTheme="minorEastAsia" w:eastAsiaTheme="minorEastAsia"/>
          <w:color w:val="auto"/>
          <w:sz w:val="32"/>
          <w:szCs w:val="32"/>
          <w:lang w:val="en-US" w:eastAsia="zh-CN"/>
        </w:rPr>
        <w:t>奖金、</w:t>
      </w:r>
      <w:r>
        <w:rPr>
          <w:rFonts w:hint="eastAsia" w:asciiTheme="minorEastAsia" w:hAnsiTheme="minorEastAsia" w:eastAsiaTheme="minorEastAsia"/>
          <w:color w:val="auto"/>
          <w:sz w:val="32"/>
          <w:szCs w:val="32"/>
          <w:lang w:eastAsia="zh-CN"/>
        </w:rPr>
        <w:t>绩效工资、机关事业单位基本养老保险缴费、</w:t>
      </w:r>
      <w:r>
        <w:rPr>
          <w:rFonts w:hint="eastAsia" w:asciiTheme="minorEastAsia" w:hAnsiTheme="minorEastAsia" w:eastAsiaTheme="minorEastAsia"/>
          <w:sz w:val="32"/>
          <w:szCs w:val="32"/>
        </w:rPr>
        <w:t>公务员医疗补助缴费</w:t>
      </w:r>
      <w:r>
        <w:rPr>
          <w:rFonts w:hint="eastAsia" w:asciiTheme="minorEastAsia" w:hAnsiTheme="minorEastAsia" w:eastAsiaTheme="minorEastAsia"/>
          <w:color w:val="auto"/>
          <w:sz w:val="32"/>
          <w:szCs w:val="32"/>
          <w:lang w:eastAsia="zh-CN"/>
        </w:rPr>
        <w:t>、职工基本医疗保险缴费、其他社会保障缴费、住房公积金、</w:t>
      </w:r>
      <w:r>
        <w:rPr>
          <w:rFonts w:hint="eastAsia" w:asciiTheme="minorEastAsia" w:hAnsiTheme="minorEastAsia" w:eastAsiaTheme="minorEastAsia"/>
          <w:color w:val="auto"/>
          <w:sz w:val="32"/>
          <w:szCs w:val="32"/>
          <w:lang w:val="en-US" w:eastAsia="zh-CN"/>
        </w:rPr>
        <w:t>生活补助</w:t>
      </w:r>
      <w:r>
        <w:rPr>
          <w:rFonts w:hint="eastAsia" w:asciiTheme="minorEastAsia" w:hAnsiTheme="minorEastAsia" w:eastAsiaTheme="minorEastAsia"/>
          <w:sz w:val="32"/>
          <w:szCs w:val="32"/>
        </w:rPr>
        <w:t>；公用经费52.77万元，占基本支出的21.76%，主要包括办公费、印刷费、</w:t>
      </w:r>
      <w:r>
        <w:rPr>
          <w:rFonts w:hint="eastAsia" w:asciiTheme="minorEastAsia" w:hAnsiTheme="minorEastAsia" w:eastAsiaTheme="minorEastAsia"/>
          <w:sz w:val="32"/>
          <w:szCs w:val="32"/>
          <w:lang w:val="en-US" w:eastAsia="zh-CN"/>
        </w:rPr>
        <w:t>邮电费、差旅费、培训费、维修（护）费、</w:t>
      </w:r>
      <w:r>
        <w:rPr>
          <w:rFonts w:hint="eastAsia" w:asciiTheme="minorEastAsia" w:hAnsiTheme="minorEastAsia" w:eastAsiaTheme="minorEastAsia"/>
          <w:sz w:val="32"/>
          <w:szCs w:val="32"/>
        </w:rPr>
        <w:t>水费、电费</w:t>
      </w:r>
      <w:r>
        <w:rPr>
          <w:rFonts w:hint="eastAsia" w:asciiTheme="minorEastAsia" w:hAnsiTheme="minorEastAsia" w:eastAsiaTheme="minorEastAsia"/>
          <w:sz w:val="32"/>
          <w:szCs w:val="32"/>
          <w:lang w:eastAsia="zh-CN"/>
        </w:rPr>
        <w:t>、劳务费、工会经费</w:t>
      </w:r>
      <w:r>
        <w:rPr>
          <w:rFonts w:hint="eastAsia" w:asciiTheme="minorEastAsia" w:hAnsiTheme="minorEastAsia" w:eastAsiaTheme="minorEastAsia"/>
          <w:sz w:val="32"/>
          <w:szCs w:val="32"/>
        </w:rPr>
        <w:t>等。</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“三公”经费财政拨款支出预算为0万元，支出决算为0万元，完成预算的0%，其中：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公务接待费支出预算为0万元，支出决算为0万元，完成预算的0%。</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公务用车购置费及运行维护费支出预算为0万元，支出决算为0万元，完成预算的0%。</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 万元，占 %,因公出国（境）费支出决算0万元，占0%,公务用车购置费及运行维护费支出决算0万元，占0%。其中：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2、公务接待费支出决算为0万元，全年共接待来访团组0个、来宾0人次。</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3、公务用车购置费及运行维护费支出决算为0万元，公务用车运行维护费0万元。</w:t>
      </w:r>
    </w:p>
    <w:p>
      <w:pPr>
        <w:pStyle w:val="10"/>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2021年度本单位无政府性基金收支。</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本部门2021年度机关运行经费支出52.77万元，比上年决算数减少26.62万元，降低50.44%。主要原因是：本年度公用经费减少。</w:t>
      </w:r>
    </w:p>
    <w:p>
      <w:pPr>
        <w:pStyle w:val="10"/>
        <w:rPr>
          <w:rFonts w:hAnsi="黑体"/>
          <w:b/>
          <w:sz w:val="32"/>
          <w:szCs w:val="32"/>
        </w:rPr>
      </w:pPr>
      <w:r>
        <w:rPr>
          <w:rFonts w:hint="eastAsia" w:hAnsi="黑体"/>
          <w:b/>
          <w:sz w:val="32"/>
          <w:szCs w:val="32"/>
        </w:rPr>
        <w:t>十、一般性支出情况说明</w:t>
      </w:r>
    </w:p>
    <w:p>
      <w:pPr>
        <w:ind w:firstLine="640" w:firstLineChars="200"/>
        <w:rPr>
          <w:rFonts w:asciiTheme="minorEastAsia" w:hAnsiTheme="minorEastAsia" w:eastAsiaTheme="minorEastAsia"/>
          <w:sz w:val="32"/>
          <w:szCs w:val="32"/>
        </w:rPr>
      </w:pPr>
      <w:r>
        <w:rPr>
          <w:rFonts w:hint="eastAsia" w:asciiTheme="minorEastAsia" w:hAnsiTheme="minorEastAsia"/>
          <w:sz w:val="32"/>
          <w:szCs w:val="32"/>
        </w:rPr>
        <w:t>2021年本部门开支会议费0万元，开支培训费3.14万元，</w:t>
      </w:r>
      <w:r>
        <w:rPr>
          <w:rFonts w:hint="eastAsia" w:cs="黑体" w:asciiTheme="minorEastAsia" w:hAnsiTheme="minorEastAsia"/>
          <w:color w:val="000000"/>
          <w:kern w:val="0"/>
          <w:sz w:val="32"/>
          <w:szCs w:val="32"/>
        </w:rPr>
        <w:t>用于开展教师教育培训，人数20人，内容为：学科培训，教师提高培训等。</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0万元，其中：政府采购货物支出0万元、政府采购工程支出0万元、政府采购服务支出0万元。授予中小企业合同金额0万元，占政府采购支出总额的0%，其中：授予小微企业合同金额0万元，占授予中小企业合同金额的0%；货物采购授予中小企业合同金额占货物支出金额的0%，工程采购授予中小企业合同金额占工程支出金额的0%，服务采购授予中小企业合同金额占服务支出金额的0%。</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0辆，其中，主要领导干部用车0辆，机要通信用车0辆、应急保障用车0辆、执法执勤用车0辆、特种专业技术用车0辆、其他用车0辆，单位价值50万元以上通用设备0台（套）；单位价值100万元以上专用设备0台（套）。</w:t>
      </w:r>
    </w:p>
    <w:p>
      <w:pPr>
        <w:pStyle w:val="10"/>
        <w:rPr>
          <w:rFonts w:hAnsi="黑体"/>
          <w:b/>
          <w:sz w:val="32"/>
          <w:szCs w:val="32"/>
        </w:rPr>
      </w:pPr>
      <w:r>
        <w:rPr>
          <w:rFonts w:hint="eastAsia" w:hAnsi="黑体"/>
          <w:b/>
          <w:sz w:val="32"/>
          <w:szCs w:val="32"/>
        </w:rPr>
        <w:t>十三、2021年度预算绩效情况说明</w:t>
      </w:r>
    </w:p>
    <w:p>
      <w:pPr>
        <w:numPr>
          <w:ilvl w:val="0"/>
          <w:numId w:val="2"/>
        </w:num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asciiTheme="minorEastAsia" w:hAnsiTheme="minorEastAsia" w:cstheme="minorEastAsia"/>
          <w:kern w:val="0"/>
          <w:sz w:val="32"/>
          <w:szCs w:val="32"/>
        </w:rPr>
        <w:t>本单位为二级预算单位，无项目绩效。</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bookmarkStart w:id="3" w:name="_GoBack"/>
      <w:bookmarkEnd w:id="3"/>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宋体"/>
          <w:sz w:val="32"/>
          <w:szCs w:val="32"/>
        </w:rPr>
      </w:pPr>
      <w:r>
        <w:rPr>
          <w:rFonts w:hint="eastAsia" w:eastAsia="宋体"/>
          <w:sz w:val="32"/>
          <w:szCs w:val="32"/>
        </w:rPr>
        <w:t>一、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widowControl/>
        <w:spacing w:line="600" w:lineRule="exact"/>
        <w:ind w:firstLine="660"/>
        <w:rPr>
          <w:sz w:val="72"/>
          <w:szCs w:val="72"/>
        </w:rPr>
      </w:pPr>
      <w:r>
        <w:rPr>
          <w:rFonts w:hint="eastAsia" w:eastAsia="宋体"/>
          <w:sz w:val="32"/>
          <w:szCs w:val="32"/>
        </w:rPr>
        <w:t>二</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28AD7F6-EA22-4B2F-BA5C-6107AA50A5AE}"/>
  </w:font>
  <w:font w:name="黑体">
    <w:panose1 w:val="02010609060101010101"/>
    <w:charset w:val="86"/>
    <w:family w:val="auto"/>
    <w:pitch w:val="default"/>
    <w:sig w:usb0="800002BF" w:usb1="38CF7CFA" w:usb2="00000016" w:usb3="00000000" w:csb0="00040001" w:csb1="00000000"/>
    <w:embedRegular r:id="rId2" w:fontKey="{8BD699CE-1FC7-433B-891B-6BB2E8E0DC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D1793CF9-CA9D-4043-9925-5856195969F3}"/>
  </w:font>
  <w:font w:name="仿宋">
    <w:panose1 w:val="02010609060101010101"/>
    <w:charset w:val="86"/>
    <w:family w:val="modern"/>
    <w:pitch w:val="default"/>
    <w:sig w:usb0="800002BF" w:usb1="38CF7CFA" w:usb2="00000016" w:usb3="00000000" w:csb0="00040001" w:csb1="00000000"/>
    <w:embedRegular r:id="rId4" w:fontKey="{6125BCCD-E765-4837-BE02-3BA86F6ED026}"/>
  </w:font>
  <w:font w:name="华文中宋">
    <w:altName w:val="宋体"/>
    <w:panose1 w:val="02010600040101010101"/>
    <w:charset w:val="86"/>
    <w:family w:val="auto"/>
    <w:pitch w:val="default"/>
    <w:sig w:usb0="00000000" w:usb1="00000000" w:usb2="00000000" w:usb3="00000000" w:csb0="0004009F" w:csb1="DFD70000"/>
    <w:embedRegular r:id="rId5" w:fontKey="{77EA7854-637F-4DE3-A2CF-EF80072D3F52}"/>
  </w:font>
  <w:font w:name="方正小标宋_GBK">
    <w:panose1 w:val="02000000000000000000"/>
    <w:charset w:val="86"/>
    <w:family w:val="script"/>
    <w:pitch w:val="default"/>
    <w:sig w:usb0="00000001" w:usb1="080E0000" w:usb2="00000000" w:usb3="00000000" w:csb0="00040000" w:csb1="00000000"/>
    <w:embedRegular r:id="rId6" w:fontKey="{BA6AFBE9-86D4-46D7-85DD-6B50799EAE84}"/>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25268F"/>
    <w:multiLevelType w:val="singleLevel"/>
    <w:tmpl w:val="BB25268F"/>
    <w:lvl w:ilvl="0" w:tentative="0">
      <w:start w:val="1"/>
      <w:numFmt w:val="decimal"/>
      <w:suff w:val="nothing"/>
      <w:lvlText w:val="（%1）"/>
      <w:lvlJc w:val="left"/>
    </w:lvl>
  </w:abstractNum>
  <w:abstractNum w:abstractNumId="1">
    <w:nsid w:val="DEEB87A0"/>
    <w:multiLevelType w:val="singleLevel"/>
    <w:tmpl w:val="DEEB87A0"/>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72A27"/>
    <w:rsid w:val="00182373"/>
    <w:rsid w:val="001A67DB"/>
    <w:rsid w:val="001C3C29"/>
    <w:rsid w:val="001D51E5"/>
    <w:rsid w:val="001E080D"/>
    <w:rsid w:val="001E53D0"/>
    <w:rsid w:val="001F0C3B"/>
    <w:rsid w:val="00202C14"/>
    <w:rsid w:val="00202C82"/>
    <w:rsid w:val="00207AB5"/>
    <w:rsid w:val="00214427"/>
    <w:rsid w:val="00226CB7"/>
    <w:rsid w:val="00264552"/>
    <w:rsid w:val="00264EF9"/>
    <w:rsid w:val="00265724"/>
    <w:rsid w:val="0027426B"/>
    <w:rsid w:val="002B2631"/>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BF61AD"/>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75A76BF"/>
    <w:rsid w:val="162F69DF"/>
    <w:rsid w:val="2A5C6331"/>
    <w:rsid w:val="40447CA6"/>
    <w:rsid w:val="4787325F"/>
    <w:rsid w:val="6291512D"/>
    <w:rsid w:val="69BC6CFF"/>
    <w:rsid w:val="6ED57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A0877-1DA4-4533-93A8-9F5FF5D9EB4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5057</Words>
  <Characters>6165</Characters>
  <Lines>62</Lines>
  <Paragraphs>17</Paragraphs>
  <TotalTime>6</TotalTime>
  <ScaleCrop>false</ScaleCrop>
  <LinksUpToDate>false</LinksUpToDate>
  <CharactersWithSpaces>6959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2022-10-12T07:21:27Z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D211CFC67BA74D6E873FD544720ABD2E</vt:lpwstr>
  </property>
</Properties>
</file>