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hint="eastAsia"/>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2021年度</w:t>
      </w:r>
    </w:p>
    <w:p>
      <w:pPr>
        <w:pStyle w:val="10"/>
        <w:jc w:val="center"/>
        <w:rPr>
          <w:rFonts w:hint="eastAsia"/>
          <w:sz w:val="84"/>
          <w:szCs w:val="84"/>
        </w:rPr>
      </w:pPr>
      <w:r>
        <w:rPr>
          <w:rFonts w:hint="eastAsia"/>
          <w:sz w:val="84"/>
          <w:szCs w:val="84"/>
        </w:rPr>
        <w:t>湘乡市</w:t>
      </w:r>
      <w:r>
        <w:rPr>
          <w:rFonts w:hint="eastAsia"/>
          <w:sz w:val="84"/>
          <w:szCs w:val="84"/>
          <w:lang w:val="en-US" w:eastAsia="zh-CN"/>
        </w:rPr>
        <w:t>湖铁</w:t>
      </w:r>
      <w:r>
        <w:rPr>
          <w:rFonts w:hint="eastAsia"/>
          <w:sz w:val="84"/>
          <w:szCs w:val="84"/>
        </w:rPr>
        <w:t>学校</w:t>
      </w:r>
    </w:p>
    <w:p>
      <w:pPr>
        <w:pStyle w:val="10"/>
        <w:jc w:val="center"/>
        <w:rPr>
          <w:sz w:val="84"/>
          <w:szCs w:val="84"/>
        </w:rPr>
      </w:pPr>
      <w:r>
        <w:rPr>
          <w:rFonts w:hint="eastAsia"/>
          <w:sz w:val="84"/>
          <w:szCs w:val="84"/>
        </w:rPr>
        <w:t>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32"/>
          <w:szCs w:val="32"/>
        </w:rPr>
      </w:pPr>
    </w:p>
    <w:p>
      <w:pPr>
        <w:pStyle w:val="10"/>
        <w:jc w:val="center"/>
        <w:rPr>
          <w:sz w:val="32"/>
          <w:szCs w:val="32"/>
        </w:rPr>
      </w:pPr>
    </w:p>
    <w:p>
      <w:pPr>
        <w:pStyle w:val="10"/>
        <w:spacing w:line="540" w:lineRule="exact"/>
        <w:jc w:val="both"/>
        <w:rPr>
          <w:sz w:val="56"/>
          <w:szCs w:val="56"/>
        </w:rPr>
      </w:pPr>
    </w:p>
    <w:p>
      <w:pPr>
        <w:pStyle w:val="10"/>
        <w:spacing w:line="500" w:lineRule="exact"/>
        <w:jc w:val="center"/>
        <w:rPr>
          <w:b/>
          <w:sz w:val="36"/>
          <w:szCs w:val="28"/>
        </w:rPr>
      </w:pPr>
    </w:p>
    <w:p>
      <w:pPr>
        <w:pStyle w:val="10"/>
        <w:spacing w:line="500" w:lineRule="exact"/>
        <w:jc w:val="center"/>
        <w:rPr>
          <w:b/>
          <w:sz w:val="36"/>
          <w:szCs w:val="28"/>
        </w:rPr>
      </w:pPr>
    </w:p>
    <w:p>
      <w:pPr>
        <w:pStyle w:val="10"/>
        <w:spacing w:line="500" w:lineRule="exact"/>
        <w:jc w:val="center"/>
        <w:rPr>
          <w:rFonts w:hint="eastAsia"/>
          <w:b/>
          <w:sz w:val="36"/>
          <w:szCs w:val="28"/>
        </w:rPr>
      </w:pPr>
    </w:p>
    <w:p>
      <w:pPr>
        <w:pStyle w:val="10"/>
        <w:spacing w:line="500" w:lineRule="exact"/>
        <w:jc w:val="center"/>
        <w:rPr>
          <w:b/>
          <w:sz w:val="36"/>
          <w:szCs w:val="28"/>
        </w:rPr>
      </w:pPr>
      <w:r>
        <w:rPr>
          <w:rFonts w:hint="eastAsia"/>
          <w:b/>
          <w:sz w:val="36"/>
          <w:szCs w:val="28"/>
        </w:rPr>
        <w:t>目录</w:t>
      </w:r>
    </w:p>
    <w:p>
      <w:pPr>
        <w:pStyle w:val="10"/>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val="en-US" w:eastAsia="zh-CN"/>
        </w:rPr>
        <w:t>湘乡市湖铁学校</w:t>
      </w:r>
      <w:r>
        <w:rPr>
          <w:rFonts w:hint="eastAsia"/>
          <w:b/>
          <w:sz w:val="28"/>
          <w:szCs w:val="28"/>
        </w:rPr>
        <w:t>概况</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21年度部门决算表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21年度部门决算情况说明</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r>
        <w:rPr>
          <w:sz w:val="84"/>
          <w:szCs w:val="84"/>
        </w:rPr>
        <w:t xml:space="preserve"> </w:t>
      </w:r>
    </w:p>
    <w:p>
      <w:pPr>
        <w:pStyle w:val="10"/>
        <w:jc w:val="center"/>
        <w:rPr>
          <w:sz w:val="84"/>
          <w:szCs w:val="84"/>
        </w:rPr>
      </w:pPr>
    </w:p>
    <w:p>
      <w:pPr>
        <w:pStyle w:val="10"/>
        <w:jc w:val="center"/>
        <w:rPr>
          <w:rFonts w:hint="eastAsia"/>
          <w:sz w:val="84"/>
          <w:szCs w:val="84"/>
        </w:rPr>
      </w:pPr>
      <w:r>
        <w:rPr>
          <w:rFonts w:hint="eastAsia"/>
          <w:sz w:val="84"/>
          <w:szCs w:val="84"/>
        </w:rPr>
        <w:t>湘乡市</w:t>
      </w:r>
      <w:r>
        <w:rPr>
          <w:rFonts w:hint="eastAsia"/>
          <w:sz w:val="84"/>
          <w:szCs w:val="84"/>
          <w:lang w:val="en-US" w:eastAsia="zh-CN"/>
        </w:rPr>
        <w:t>湖铁</w:t>
      </w:r>
      <w:r>
        <w:rPr>
          <w:rFonts w:hint="eastAsia"/>
          <w:sz w:val="84"/>
          <w:szCs w:val="84"/>
        </w:rPr>
        <w:t>学校</w:t>
      </w:r>
    </w:p>
    <w:p>
      <w:pPr>
        <w:pStyle w:val="10"/>
        <w:jc w:val="center"/>
        <w:rPr>
          <w:sz w:val="84"/>
          <w:szCs w:val="84"/>
        </w:rPr>
      </w:pPr>
      <w:r>
        <w:rPr>
          <w:rFonts w:hint="eastAsia"/>
          <w:sz w:val="84"/>
          <w:szCs w:val="84"/>
        </w:rPr>
        <w:t>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numPr>
          <w:ilvl w:val="0"/>
          <w:numId w:val="0"/>
        </w:numPr>
        <w:ind w:leftChars="0"/>
        <w:jc w:val="left"/>
        <w:rPr>
          <w:rFonts w:ascii="黑体" w:hAnsi="黑体" w:eastAsia="黑体"/>
          <w:sz w:val="32"/>
          <w:szCs w:val="32"/>
        </w:rPr>
      </w:pPr>
      <w:r>
        <w:rPr>
          <w:rFonts w:hint="eastAsia" w:ascii="黑体" w:hAnsi="黑体" w:eastAsia="黑体"/>
          <w:sz w:val="32"/>
          <w:szCs w:val="32"/>
          <w:lang w:eastAsia="zh-CN"/>
        </w:rPr>
        <w:t>一、</w:t>
      </w:r>
      <w:r>
        <w:rPr>
          <w:rFonts w:ascii="黑体" w:hAnsi="黑体" w:eastAsia="黑体"/>
          <w:sz w:val="32"/>
          <w:szCs w:val="32"/>
        </w:rPr>
        <w:t>部门职责</w:t>
      </w:r>
    </w:p>
    <w:p>
      <w:pPr>
        <w:snapToGrid w:val="0"/>
        <w:spacing w:line="360" w:lineRule="auto"/>
        <w:ind w:firstLine="640" w:firstLineChars="200"/>
        <w:rPr>
          <w:rFonts w:ascii="仿宋_GB2312" w:eastAsia="仿宋_GB2312" w:hAnsiTheme="minorEastAsia"/>
          <w:sz w:val="28"/>
          <w:szCs w:val="32"/>
        </w:rPr>
      </w:pPr>
      <w:r>
        <w:rPr>
          <w:rFonts w:hint="eastAsia" w:asciiTheme="minorEastAsia" w:hAnsiTheme="minorEastAsia"/>
          <w:sz w:val="32"/>
          <w:szCs w:val="32"/>
        </w:rPr>
        <w:t>（一）</w:t>
      </w:r>
      <w:r>
        <w:rPr>
          <w:rFonts w:hint="eastAsia" w:asciiTheme="minorEastAsia" w:hAnsiTheme="minorEastAsia"/>
          <w:bCs/>
          <w:kern w:val="0"/>
          <w:sz w:val="32"/>
          <w:szCs w:val="32"/>
        </w:rPr>
        <w:t>实施</w:t>
      </w:r>
      <w:r>
        <w:rPr>
          <w:rFonts w:hint="eastAsia" w:asciiTheme="minorEastAsia" w:hAnsiTheme="minorEastAsia"/>
          <w:bCs/>
          <w:kern w:val="0"/>
          <w:sz w:val="32"/>
          <w:szCs w:val="32"/>
          <w:lang w:val="en-US" w:eastAsia="zh-CN"/>
        </w:rPr>
        <w:t>小学义务教育，</w:t>
      </w:r>
      <w:r>
        <w:rPr>
          <w:rFonts w:hint="eastAsia" w:asciiTheme="minorEastAsia" w:hAnsiTheme="minorEastAsia"/>
          <w:bCs/>
          <w:kern w:val="0"/>
          <w:sz w:val="32"/>
          <w:szCs w:val="32"/>
        </w:rPr>
        <w:t>促进基础教育发展，</w:t>
      </w:r>
      <w:r>
        <w:rPr>
          <w:rFonts w:hint="eastAsia" w:asciiTheme="minorEastAsia" w:hAnsiTheme="minorEastAsia"/>
          <w:bCs/>
          <w:kern w:val="0"/>
          <w:sz w:val="32"/>
          <w:szCs w:val="32"/>
          <w:lang w:val="en-US" w:eastAsia="zh-CN"/>
        </w:rPr>
        <w:t>小学</w:t>
      </w:r>
      <w:r>
        <w:rPr>
          <w:rFonts w:hint="eastAsia" w:asciiTheme="minorEastAsia" w:hAnsiTheme="minorEastAsia"/>
          <w:bCs/>
          <w:kern w:val="0"/>
          <w:sz w:val="32"/>
          <w:szCs w:val="32"/>
        </w:rPr>
        <w:t>教育及相关社会服务。</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hint="eastAsia" w:asciiTheme="minorEastAsia" w:hAnsiTheme="minorEastAsia" w:eastAsiaTheme="minorEastAsia"/>
          <w:bCs/>
          <w:kern w:val="0"/>
          <w:sz w:val="32"/>
          <w:szCs w:val="32"/>
          <w:lang w:eastAsia="zh-CN"/>
        </w:rPr>
      </w:pPr>
      <w:r>
        <w:rPr>
          <w:rFonts w:hint="eastAsia" w:asciiTheme="minorEastAsia" w:hAnsiTheme="minorEastAsia"/>
          <w:bCs/>
          <w:kern w:val="0"/>
          <w:sz w:val="32"/>
          <w:szCs w:val="32"/>
        </w:rPr>
        <w:t>（一）内设机构设置。</w:t>
      </w:r>
      <w:r>
        <w:rPr>
          <w:rFonts w:hint="eastAsia" w:asciiTheme="minorEastAsia" w:hAnsiTheme="minorEastAsia"/>
          <w:bCs/>
          <w:kern w:val="0"/>
          <w:sz w:val="32"/>
          <w:szCs w:val="32"/>
          <w:lang w:eastAsia="zh-CN"/>
        </w:rPr>
        <w:t>湘乡市</w:t>
      </w:r>
      <w:r>
        <w:rPr>
          <w:rFonts w:hint="eastAsia" w:asciiTheme="minorEastAsia" w:hAnsiTheme="minorEastAsia"/>
          <w:bCs/>
          <w:kern w:val="0"/>
          <w:sz w:val="32"/>
          <w:szCs w:val="32"/>
          <w:lang w:val="en-US" w:eastAsia="zh-CN"/>
        </w:rPr>
        <w:t>湖铁</w:t>
      </w:r>
      <w:r>
        <w:rPr>
          <w:rFonts w:hint="eastAsia" w:asciiTheme="minorEastAsia" w:hAnsiTheme="minorEastAsia"/>
          <w:bCs/>
          <w:kern w:val="0"/>
          <w:sz w:val="32"/>
          <w:szCs w:val="32"/>
          <w:lang w:eastAsia="zh-CN"/>
        </w:rPr>
        <w:t>学校</w:t>
      </w:r>
      <w:r>
        <w:rPr>
          <w:rFonts w:hint="eastAsia" w:asciiTheme="minorEastAsia" w:hAnsiTheme="minorEastAsia"/>
          <w:bCs/>
          <w:kern w:val="0"/>
          <w:sz w:val="32"/>
          <w:szCs w:val="32"/>
        </w:rPr>
        <w:t>内设机构包括：</w:t>
      </w:r>
      <w:r>
        <w:rPr>
          <w:rFonts w:hint="eastAsia" w:asciiTheme="minorEastAsia" w:hAnsiTheme="minorEastAsia"/>
          <w:bCs/>
          <w:kern w:val="0"/>
          <w:sz w:val="32"/>
          <w:szCs w:val="32"/>
          <w:lang w:eastAsia="zh-CN"/>
        </w:rPr>
        <w:t>总务室、教务处、办公室、工会室等</w:t>
      </w:r>
    </w:p>
    <w:p>
      <w:pPr>
        <w:widowControl/>
        <w:spacing w:line="600" w:lineRule="exact"/>
        <w:ind w:left="1280" w:hanging="1280" w:hangingChars="400"/>
        <w:rPr>
          <w:rFonts w:hint="default" w:asciiTheme="minorEastAsia" w:hAnsiTheme="minorEastAsia"/>
          <w:bCs/>
          <w:kern w:val="0"/>
          <w:sz w:val="32"/>
          <w:szCs w:val="32"/>
          <w:lang w:val="en-US"/>
        </w:rPr>
      </w:pPr>
      <w:r>
        <w:rPr>
          <w:rFonts w:hint="eastAsia" w:asciiTheme="minorEastAsia" w:hAnsiTheme="minorEastAsia"/>
          <w:bCs/>
          <w:kern w:val="0"/>
          <w:sz w:val="32"/>
          <w:szCs w:val="32"/>
        </w:rPr>
        <w:t>（二）决算单位构成。</w:t>
      </w:r>
      <w:r>
        <w:rPr>
          <w:rFonts w:hint="eastAsia" w:asciiTheme="minorEastAsia" w:hAnsiTheme="minorEastAsia"/>
          <w:bCs/>
          <w:kern w:val="0"/>
          <w:sz w:val="32"/>
          <w:szCs w:val="32"/>
          <w:lang w:eastAsia="zh-CN"/>
        </w:rPr>
        <w:t>湘乡市</w:t>
      </w:r>
      <w:r>
        <w:rPr>
          <w:rFonts w:hint="eastAsia" w:asciiTheme="minorEastAsia" w:hAnsiTheme="minorEastAsia"/>
          <w:bCs/>
          <w:kern w:val="0"/>
          <w:sz w:val="32"/>
          <w:szCs w:val="32"/>
          <w:lang w:val="en-US" w:eastAsia="zh-CN"/>
        </w:rPr>
        <w:t>湖铁</w:t>
      </w:r>
      <w:r>
        <w:rPr>
          <w:rFonts w:hint="eastAsia" w:asciiTheme="minorEastAsia" w:hAnsiTheme="minorEastAsia"/>
          <w:bCs/>
          <w:kern w:val="0"/>
          <w:sz w:val="32"/>
          <w:szCs w:val="32"/>
          <w:lang w:eastAsia="zh-CN"/>
        </w:rPr>
        <w:t>学校</w:t>
      </w:r>
      <w:r>
        <w:rPr>
          <w:rFonts w:asciiTheme="minorEastAsia" w:hAnsiTheme="minorEastAsia"/>
          <w:bCs/>
          <w:kern w:val="0"/>
          <w:sz w:val="32"/>
          <w:szCs w:val="32"/>
        </w:rPr>
        <w:t>20</w:t>
      </w:r>
      <w:r>
        <w:rPr>
          <w:rFonts w:hint="eastAsia" w:asciiTheme="minorEastAsia" w:hAnsiTheme="minorEastAsia"/>
          <w:bCs/>
          <w:kern w:val="0"/>
          <w:sz w:val="32"/>
          <w:szCs w:val="32"/>
          <w:lang w:val="en-US" w:eastAsia="zh-CN"/>
        </w:rPr>
        <w:t>21</w:t>
      </w:r>
      <w:r>
        <w:rPr>
          <w:rFonts w:hint="eastAsia" w:asciiTheme="minorEastAsia" w:hAnsiTheme="minorEastAsia"/>
          <w:bCs/>
          <w:kern w:val="0"/>
          <w:sz w:val="32"/>
          <w:szCs w:val="32"/>
        </w:rPr>
        <w:t>年部门决算汇总公开单位构成包括：</w:t>
      </w:r>
      <w:r>
        <w:rPr>
          <w:rFonts w:hint="eastAsia" w:asciiTheme="minorEastAsia" w:hAnsiTheme="minorEastAsia"/>
          <w:bCs/>
          <w:kern w:val="0"/>
          <w:sz w:val="32"/>
          <w:szCs w:val="32"/>
          <w:lang w:eastAsia="zh-CN"/>
        </w:rPr>
        <w:t>湘乡市</w:t>
      </w:r>
      <w:r>
        <w:rPr>
          <w:rFonts w:hint="eastAsia" w:asciiTheme="minorEastAsia" w:hAnsiTheme="minorEastAsia"/>
          <w:bCs/>
          <w:kern w:val="0"/>
          <w:sz w:val="32"/>
          <w:szCs w:val="32"/>
          <w:lang w:val="en-US" w:eastAsia="zh-CN"/>
        </w:rPr>
        <w:t>湖铁</w:t>
      </w:r>
      <w:r>
        <w:rPr>
          <w:rFonts w:hint="eastAsia" w:asciiTheme="minorEastAsia" w:hAnsiTheme="minorEastAsia"/>
          <w:bCs/>
          <w:kern w:val="0"/>
          <w:sz w:val="32"/>
          <w:szCs w:val="32"/>
          <w:lang w:eastAsia="zh-CN"/>
        </w:rPr>
        <w:t>学校、</w:t>
      </w:r>
      <w:r>
        <w:rPr>
          <w:rFonts w:hint="eastAsia" w:asciiTheme="minorEastAsia" w:hAnsiTheme="minorEastAsia"/>
          <w:bCs/>
          <w:kern w:val="0"/>
          <w:sz w:val="32"/>
          <w:szCs w:val="32"/>
          <w:lang w:val="en-US" w:eastAsia="zh-CN"/>
        </w:rPr>
        <w:t>一公司校区、湘化校区</w:t>
      </w:r>
    </w:p>
    <w:p>
      <w:pPr>
        <w:jc w:val="left"/>
        <w:rPr>
          <w:rFonts w:ascii="仿宋_GB2312" w:eastAsia="仿宋_GB2312" w:hAnsiTheme="minorEastAsia"/>
          <w:sz w:val="28"/>
          <w:szCs w:val="32"/>
        </w:rPr>
      </w:pPr>
    </w:p>
    <w:p>
      <w:pPr>
        <w:widowControl/>
        <w:spacing w:line="600" w:lineRule="exact"/>
        <w:ind w:left="1280" w:hanging="1280" w:hangingChars="400"/>
        <w:rPr>
          <w:rFonts w:asciiTheme="minorEastAsia" w:hAnsiTheme="minorEastAsia"/>
          <w:bCs/>
          <w:kern w:val="0"/>
          <w:sz w:val="32"/>
          <w:szCs w:val="32"/>
          <w:highlight w:val="yellow"/>
        </w:rPr>
      </w:pP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6"/>
        <w:tblW w:w="14081" w:type="dxa"/>
        <w:tblInd w:w="93" w:type="dxa"/>
        <w:tblLayout w:type="fixed"/>
        <w:tblCellMar>
          <w:top w:w="0" w:type="dxa"/>
          <w:left w:w="108" w:type="dxa"/>
          <w:bottom w:w="0" w:type="dxa"/>
          <w:right w:w="108" w:type="dxa"/>
        </w:tblCellMar>
      </w:tblPr>
      <w:tblGrid>
        <w:gridCol w:w="4126"/>
        <w:gridCol w:w="449"/>
        <w:gridCol w:w="631"/>
        <w:gridCol w:w="599"/>
        <w:gridCol w:w="98"/>
        <w:gridCol w:w="240"/>
        <w:gridCol w:w="3460"/>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97"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4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5765"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5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湘乡市昆仑桥湖铁实验学校</w:t>
            </w:r>
          </w:p>
        </w:tc>
        <w:tc>
          <w:tcPr>
            <w:tcW w:w="697"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4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5765"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5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szCs w:val="24"/>
                <w:lang w:eastAsia="zh-CN"/>
              </w:rPr>
            </w:pP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szCs w:val="24"/>
                <w:lang w:eastAsia="zh-CN"/>
              </w:rPr>
            </w:pP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1,258.83</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1,637.79</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389.74</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lang w:eastAsia="zh-CN"/>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lang w:eastAsia="zh-CN"/>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1,648.57</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1,637.79</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151.08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140.30</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1,788.87</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1,788.87</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注：1.本表反映部门本年度的总收支和年末结转结余情况。</w:t>
            </w:r>
          </w:p>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438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685"/>
        <w:gridCol w:w="254"/>
        <w:gridCol w:w="240"/>
        <w:gridCol w:w="1367"/>
        <w:gridCol w:w="1232"/>
        <w:gridCol w:w="1408"/>
        <w:gridCol w:w="1112"/>
        <w:gridCol w:w="1157"/>
        <w:gridCol w:w="1123"/>
        <w:gridCol w:w="1582"/>
        <w:gridCol w:w="12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3" w:hRule="atLeast"/>
        </w:trPr>
        <w:tc>
          <w:tcPr>
            <w:tcW w:w="14382" w:type="dxa"/>
            <w:gridSpan w:val="11"/>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收入决算表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3685" w:type="dxa"/>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25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4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367"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23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08"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1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57"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23"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8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222"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368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部门：湘乡市昆仑桥湖铁实验学校</w:t>
            </w:r>
          </w:p>
        </w:tc>
        <w:tc>
          <w:tcPr>
            <w:tcW w:w="25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4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367"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23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08"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1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57"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23"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8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222"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5546"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232"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408"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1112"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1157"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1123"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1582"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1222"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4179"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1367"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23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0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1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57"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2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8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22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4179"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367"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23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0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1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57"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2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8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22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4179"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367"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23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0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1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57"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2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8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22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5546"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232"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08"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12"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5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23"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82"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22"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5546"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3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1,648.57</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1,258.83</w:t>
            </w:r>
          </w:p>
        </w:tc>
        <w:tc>
          <w:tcPr>
            <w:tcW w:w="111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1157"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1123"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158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122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389.74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417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136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教育支出</w:t>
            </w:r>
          </w:p>
        </w:tc>
        <w:tc>
          <w:tcPr>
            <w:tcW w:w="123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1,648.57</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1,258.83</w:t>
            </w:r>
          </w:p>
        </w:tc>
        <w:tc>
          <w:tcPr>
            <w:tcW w:w="111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57"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23"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8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2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389.74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417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w:t>
            </w:r>
          </w:p>
        </w:tc>
        <w:tc>
          <w:tcPr>
            <w:tcW w:w="136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普通教育</w:t>
            </w:r>
          </w:p>
        </w:tc>
        <w:tc>
          <w:tcPr>
            <w:tcW w:w="123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1,648.57</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1,258.83</w:t>
            </w:r>
          </w:p>
        </w:tc>
        <w:tc>
          <w:tcPr>
            <w:tcW w:w="111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57"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23"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8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2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389.74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417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2050202</w:t>
            </w:r>
          </w:p>
        </w:tc>
        <w:tc>
          <w:tcPr>
            <w:tcW w:w="136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小学教育</w:t>
            </w:r>
          </w:p>
        </w:tc>
        <w:tc>
          <w:tcPr>
            <w:tcW w:w="123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1,648.57</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1,258.83</w:t>
            </w:r>
          </w:p>
        </w:tc>
        <w:tc>
          <w:tcPr>
            <w:tcW w:w="111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57"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23"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8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2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389.74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4179" w:type="dxa"/>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367"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23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0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1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57"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23"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8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4179" w:type="dxa"/>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367"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23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0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1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57"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23"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8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4179" w:type="dxa"/>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367"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23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0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1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57"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23"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8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4179" w:type="dxa"/>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367"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23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0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1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57"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23"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8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4179" w:type="dxa"/>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367"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23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0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1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57"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23"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8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14382" w:type="dxa"/>
            <w:gridSpan w:val="11"/>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tc>
      </w:tr>
    </w:tbl>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tbl>
      <w:tblPr>
        <w:tblStyle w:val="6"/>
        <w:tblW w:w="14569"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216"/>
        <w:gridCol w:w="222"/>
        <w:gridCol w:w="222"/>
        <w:gridCol w:w="1316"/>
        <w:gridCol w:w="1851"/>
        <w:gridCol w:w="1851"/>
        <w:gridCol w:w="1348"/>
        <w:gridCol w:w="1348"/>
        <w:gridCol w:w="1348"/>
        <w:gridCol w:w="18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 w:hRule="atLeast"/>
        </w:trPr>
        <w:tc>
          <w:tcPr>
            <w:tcW w:w="14571" w:type="dxa"/>
            <w:gridSpan w:val="10"/>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0" w:type="auto"/>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部门：湘乡市昆仑桥湖铁实验学校</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851"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851"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851"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851"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1851"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1851"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017"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017"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017"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851"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851"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851"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851"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851"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851"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1,637.79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1,637.79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1,637.79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1,637.79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普通教育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1,637.79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1,637.79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小学教育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1,637.79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1,637.79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tc>
      </w:tr>
    </w:tbl>
    <w:p>
      <w:pPr>
        <w:widowControl/>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6"/>
        <w:tblpPr w:leftFromText="180" w:rightFromText="180" w:vertAnchor="text" w:horzAnchor="page" w:tblpX="806" w:tblpY="204"/>
        <w:tblOverlap w:val="never"/>
        <w:tblW w:w="15539" w:type="dxa"/>
        <w:tblInd w:w="0" w:type="dxa"/>
        <w:tblLayout w:type="autofit"/>
        <w:tblCellMar>
          <w:top w:w="0" w:type="dxa"/>
          <w:left w:w="108" w:type="dxa"/>
          <w:bottom w:w="0" w:type="dxa"/>
          <w:right w:w="108" w:type="dxa"/>
        </w:tblCellMar>
      </w:tblPr>
      <w:tblGrid>
        <w:gridCol w:w="3595"/>
        <w:gridCol w:w="436"/>
        <w:gridCol w:w="1096"/>
        <w:gridCol w:w="3411"/>
        <w:gridCol w:w="632"/>
        <w:gridCol w:w="435"/>
        <w:gridCol w:w="1573"/>
        <w:gridCol w:w="1394"/>
        <w:gridCol w:w="1394"/>
        <w:gridCol w:w="1573"/>
      </w:tblGrid>
      <w:tr>
        <w:tblPrEx>
          <w:tblCellMar>
            <w:top w:w="0" w:type="dxa"/>
            <w:left w:w="108" w:type="dxa"/>
            <w:bottom w:w="0" w:type="dxa"/>
            <w:right w:w="108" w:type="dxa"/>
          </w:tblCellMar>
        </w:tblPrEx>
        <w:trPr>
          <w:trHeight w:val="360" w:hRule="atLeast"/>
        </w:trPr>
        <w:tc>
          <w:tcPr>
            <w:tcW w:w="15539" w:type="dxa"/>
            <w:gridSpan w:val="10"/>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6"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096"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043"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hint="default" w:ascii="宋体" w:hAnsi="宋体" w:eastAsia="宋体" w:cs="宋体"/>
                <w:color w:val="000000"/>
                <w:kern w:val="0"/>
                <w:sz w:val="20"/>
                <w:szCs w:val="20"/>
                <w:lang w:val="en-US"/>
              </w:rPr>
            </w:pPr>
            <w:r>
              <w:rPr>
                <w:rFonts w:hint="eastAsia" w:ascii="宋体" w:hAnsi="宋体" w:eastAsia="宋体" w:cs="宋体"/>
                <w:color w:val="000000"/>
                <w:kern w:val="0"/>
                <w:sz w:val="20"/>
                <w:szCs w:val="20"/>
              </w:rPr>
              <w:t>部门：</w:t>
            </w:r>
            <w:r>
              <w:rPr>
                <w:rFonts w:hint="eastAsia" w:ascii="宋体" w:hAnsi="宋体" w:eastAsia="宋体" w:cs="宋体"/>
                <w:i w:val="0"/>
                <w:iCs w:val="0"/>
                <w:color w:val="000000"/>
                <w:kern w:val="0"/>
                <w:sz w:val="20"/>
                <w:szCs w:val="20"/>
                <w:u w:val="none"/>
                <w:lang w:val="en-US" w:eastAsia="zh-CN" w:bidi="ar"/>
              </w:rPr>
              <w:t>湘乡市昆仑桥湖铁实验学校</w:t>
            </w:r>
          </w:p>
        </w:tc>
        <w:tc>
          <w:tcPr>
            <w:tcW w:w="436"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096"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043"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2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lang w:eastAsia="zh-CN"/>
              </w:rPr>
            </w:pP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1,258.83</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1,258.83</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1,258.83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09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1,258.83</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1,258.83</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1,258.83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1,258.83</w:t>
            </w:r>
          </w:p>
        </w:tc>
        <w:tc>
          <w:tcPr>
            <w:tcW w:w="341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1,258.83</w:t>
            </w:r>
          </w:p>
        </w:tc>
        <w:tc>
          <w:tcPr>
            <w:tcW w:w="139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1,258.83</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585" w:hRule="atLeast"/>
        </w:trPr>
        <w:tc>
          <w:tcPr>
            <w:tcW w:w="15539" w:type="dxa"/>
            <w:gridSpan w:val="10"/>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both"/>
        <w:rPr>
          <w:rFonts w:ascii="Times New Roman" w:hAnsi="Times New Roman" w:eastAsia="方正小标宋_GBK" w:cs="Times New Roman"/>
          <w:kern w:val="0"/>
          <w:sz w:val="36"/>
          <w:szCs w:val="36"/>
        </w:rPr>
      </w:pPr>
      <w:bookmarkStart w:id="0" w:name="RANGE!A1:I22"/>
      <w:bookmarkEnd w:id="0"/>
      <w:bookmarkStart w:id="1" w:name="RANGE!A1:F16"/>
    </w:p>
    <w:bookmarkEnd w:id="1"/>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    </w:t>
      </w:r>
    </w:p>
    <w:tbl>
      <w:tblPr>
        <w:tblStyle w:val="6"/>
        <w:tblW w:w="1406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280"/>
        <w:gridCol w:w="295"/>
        <w:gridCol w:w="295"/>
        <w:gridCol w:w="1751"/>
        <w:gridCol w:w="2188"/>
        <w:gridCol w:w="2188"/>
        <w:gridCol w:w="30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9" w:hRule="atLeast"/>
        </w:trPr>
        <w:tc>
          <w:tcPr>
            <w:tcW w:w="14060" w:type="dxa"/>
            <w:gridSpan w:val="7"/>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一般公共预算财政拨款支出决算表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4" w:hRule="atLeast"/>
        </w:trPr>
        <w:tc>
          <w:tcPr>
            <w:tcW w:w="0" w:type="auto"/>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4"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部门：湘乡市昆仑桥湖铁实验学校</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7355" w:type="dxa"/>
            <w:gridSpan w:val="3"/>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atLeast"/>
        </w:trPr>
        <w:tc>
          <w:tcPr>
            <w:tcW w:w="4932"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185"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2185"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985"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7" w:hRule="atLeast"/>
        </w:trPr>
        <w:tc>
          <w:tcPr>
            <w:tcW w:w="4932"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2185"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185"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985"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atLeast"/>
        </w:trPr>
        <w:tc>
          <w:tcPr>
            <w:tcW w:w="4932"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2185"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185"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985"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1,258.83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1,258.83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1,258.83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1,258.83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普通教育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1,258.83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1,258.83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小学教育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1,258.83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1,258.83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trPr>
        <w:tc>
          <w:tcPr>
            <w:tcW w:w="0" w:type="auto"/>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tc>
      </w:tr>
    </w:tbl>
    <w:p>
      <w:pPr>
        <w:widowControl/>
        <w:jc w:val="left"/>
        <w:rPr>
          <w:rFonts w:ascii="Times New Roman" w:hAnsi="Times New Roman" w:eastAsia="仿宋_GB2312" w:cs="Times New Roman"/>
          <w:bCs/>
          <w:kern w:val="0"/>
          <w:szCs w:val="21"/>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ascii="Times New Roman" w:hAnsi="Times New Roman" w:eastAsia="仿宋_GB2312" w:cs="Times New Roman"/>
          <w:bCs/>
          <w:kern w:val="0"/>
          <w:szCs w:val="21"/>
        </w:rPr>
        <w:br w:type="page"/>
      </w:r>
    </w:p>
    <w:tbl>
      <w:tblPr>
        <w:tblStyle w:val="6"/>
        <w:tblW w:w="15984" w:type="dxa"/>
        <w:tblInd w:w="0" w:type="dxa"/>
        <w:tblLayout w:type="fixed"/>
        <w:tblCellMar>
          <w:top w:w="0" w:type="dxa"/>
          <w:left w:w="108" w:type="dxa"/>
          <w:bottom w:w="0" w:type="dxa"/>
          <w:right w:w="108" w:type="dxa"/>
        </w:tblCellMar>
      </w:tblPr>
      <w:tblGrid>
        <w:gridCol w:w="1140"/>
        <w:gridCol w:w="2955"/>
        <w:gridCol w:w="1575"/>
        <w:gridCol w:w="1080"/>
        <w:gridCol w:w="2235"/>
        <w:gridCol w:w="975"/>
        <w:gridCol w:w="1200"/>
        <w:gridCol w:w="3405"/>
        <w:gridCol w:w="1419"/>
      </w:tblGrid>
      <w:tr>
        <w:tblPrEx>
          <w:tblCellMar>
            <w:top w:w="0" w:type="dxa"/>
            <w:left w:w="108" w:type="dxa"/>
            <w:bottom w:w="0" w:type="dxa"/>
            <w:right w:w="108" w:type="dxa"/>
          </w:tblCellMar>
        </w:tblPrEx>
        <w:trPr>
          <w:trHeight w:val="113" w:hRule="atLeast"/>
        </w:trPr>
        <w:tc>
          <w:tcPr>
            <w:tcW w:w="15984"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w:t>
            </w:r>
            <w:r>
              <w:rPr>
                <w:rFonts w:hint="eastAsia" w:ascii="Times New Roman" w:hAnsi="Times New Roman" w:eastAsia="仿宋_GB2312" w:cs="Times New Roman"/>
                <w:color w:val="000000"/>
                <w:kern w:val="0"/>
                <w:szCs w:val="21"/>
                <w:lang w:val="en-US" w:eastAsia="zh-CN"/>
              </w:rPr>
              <w:t>湘乡市昆仑桥湖铁实验学校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29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57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23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7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40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4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1,258.83</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p>
          <w:tbl>
            <w:tblPr>
              <w:tblStyle w:val="6"/>
              <w:tblW w:w="1848" w:type="dxa"/>
              <w:tblInd w:w="-1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8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8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43.11</w:t>
                  </w:r>
                </w:p>
              </w:tc>
            </w:tr>
          </w:tbl>
          <w:p>
            <w:pPr>
              <w:widowControl/>
              <w:jc w:val="left"/>
              <w:rPr>
                <w:rFonts w:ascii="宋体" w:hAnsi="宋体" w:eastAsia="宋体" w:cs="宋体"/>
                <w:color w:val="000000"/>
                <w:kern w:val="0"/>
                <w:szCs w:val="20"/>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373.58</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5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45.47</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5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282.29</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211.09</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35.49</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95.99</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5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14.93</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199.99</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5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59"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409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1,258.83</w:t>
            </w:r>
          </w:p>
        </w:tc>
        <w:tc>
          <w:tcPr>
            <w:tcW w:w="8895"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4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p>
        </w:tc>
      </w:tr>
      <w:tr>
        <w:tblPrEx>
          <w:tblCellMar>
            <w:top w:w="0" w:type="dxa"/>
            <w:left w:w="108" w:type="dxa"/>
            <w:bottom w:w="0" w:type="dxa"/>
            <w:right w:w="108" w:type="dxa"/>
          </w:tblCellMar>
        </w:tblPrEx>
        <w:trPr>
          <w:trHeight w:val="284" w:hRule="exact"/>
        </w:trPr>
        <w:tc>
          <w:tcPr>
            <w:tcW w:w="15984"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ind w:left="14070" w:hanging="14070" w:hangingChars="67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宋体" w:hAnsi="宋体" w:eastAsia="宋体" w:cs="宋体"/>
          <w:i w:val="0"/>
          <w:iCs w:val="0"/>
          <w:color w:val="000000"/>
          <w:kern w:val="0"/>
          <w:sz w:val="20"/>
          <w:szCs w:val="20"/>
          <w:u w:val="none"/>
          <w:lang w:val="en-US" w:eastAsia="zh-CN" w:bidi="ar"/>
        </w:rPr>
        <w:t>湘乡市昆仑桥湖铁实验学校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autofit"/>
        <w:tblCellMar>
          <w:top w:w="0" w:type="dxa"/>
          <w:left w:w="108" w:type="dxa"/>
          <w:bottom w:w="0" w:type="dxa"/>
          <w:right w:w="108" w:type="dxa"/>
        </w:tblCellMar>
      </w:tblPr>
      <w:tblGrid>
        <w:gridCol w:w="1220"/>
        <w:gridCol w:w="1534"/>
        <w:gridCol w:w="906"/>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534"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346"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5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90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90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534"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本表为空白表</w:t>
            </w:r>
          </w:p>
        </w:tc>
        <w:tc>
          <w:tcPr>
            <w:tcW w:w="906"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nil"/>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宋体" w:hAnsi="宋体" w:eastAsia="宋体" w:cs="宋体"/>
          <w:i w:val="0"/>
          <w:iCs w:val="0"/>
          <w:color w:val="000000"/>
          <w:kern w:val="0"/>
          <w:sz w:val="20"/>
          <w:szCs w:val="20"/>
          <w:u w:val="none"/>
          <w:lang w:val="en-US" w:eastAsia="zh-CN" w:bidi="ar"/>
        </w:rPr>
        <w:t>湘乡市昆仑桥湖铁实验学校</w:t>
      </w:r>
      <w:r>
        <w:rPr>
          <w:rFonts w:ascii="Times New Roman" w:hAnsi="Times New Roman" w:eastAsia="仿宋_GB2312" w:cs="Times New Roman"/>
          <w:color w:val="000000"/>
          <w:kern w:val="0"/>
          <w:szCs w:val="21"/>
        </w:rPr>
        <w:t xml:space="preserve">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本表为空白表</w:t>
            </w: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6"/>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301" w:hRule="atLeast"/>
        </w:trPr>
        <w:tc>
          <w:tcPr>
            <w:tcW w:w="10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5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3215" w:type="dxa"/>
            <w:gridSpan w:val="2"/>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1225" w:type="dxa"/>
            <w:tcBorders>
              <w:top w:val="nil"/>
              <w:left w:val="nil"/>
              <w:bottom w:val="nil"/>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2620" w:type="dxa"/>
            <w:gridSpan w:val="2"/>
            <w:tcBorders>
              <w:top w:val="nil"/>
              <w:left w:val="nil"/>
              <w:bottom w:val="nil"/>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3215" w:type="dxa"/>
            <w:gridSpan w:val="2"/>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r>
              <w:rPr>
                <w:rFonts w:hint="eastAsia" w:ascii="宋体" w:hAnsi="宋体" w:eastAsia="宋体" w:cs="宋体"/>
                <w:i w:val="0"/>
                <w:iCs w:val="0"/>
                <w:color w:val="000000"/>
                <w:kern w:val="0"/>
                <w:sz w:val="20"/>
                <w:szCs w:val="20"/>
                <w:u w:val="none"/>
                <w:lang w:val="en-US" w:eastAsia="zh-CN" w:bidi="ar"/>
              </w:rPr>
              <w:t>湘乡市昆仑桥湖铁实验学校</w:t>
            </w:r>
          </w:p>
        </w:tc>
        <w:tc>
          <w:tcPr>
            <w:tcW w:w="1225" w:type="dxa"/>
            <w:tcBorders>
              <w:top w:val="nil"/>
              <w:left w:val="nil"/>
              <w:bottom w:val="single" w:color="auto" w:sz="8" w:space="0"/>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2620" w:type="dxa"/>
            <w:gridSpan w:val="2"/>
            <w:tcBorders>
              <w:top w:val="nil"/>
              <w:left w:val="nil"/>
              <w:bottom w:val="single" w:color="auto" w:sz="8" w:space="0"/>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tabs>
                <w:tab w:val="center" w:pos="1499"/>
              </w:tabs>
              <w:jc w:val="left"/>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ab/>
            </w:r>
            <w:r>
              <w:rPr>
                <w:rFonts w:hint="eastAsia" w:ascii="Times New Roman" w:hAnsi="Times New Roman" w:eastAsia="仿宋_GB2312" w:cs="Times New Roman"/>
                <w:kern w:val="0"/>
                <w:szCs w:val="21"/>
              </w:rPr>
              <w:t>本表为空白表</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0"/>
        <w:rPr>
          <w:sz w:val="72"/>
          <w:szCs w:val="72"/>
        </w:rPr>
        <w:sectPr>
          <w:pgSz w:w="16838" w:h="11906" w:orient="landscape"/>
          <w:pgMar w:top="720" w:right="720" w:bottom="720" w:left="720" w:header="851" w:footer="992" w:gutter="0"/>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一、收入支出决算总体情况说明</w:t>
      </w:r>
    </w:p>
    <w:p>
      <w:pPr>
        <w:pStyle w:val="10"/>
        <w:ind w:firstLine="640" w:firstLineChars="200"/>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rPr>
        <w:t>2021年度收、支总计</w:t>
      </w:r>
      <w:r>
        <w:rPr>
          <w:rFonts w:hint="eastAsia" w:asciiTheme="minorEastAsia" w:hAnsiTheme="minorEastAsia" w:eastAsiaTheme="minorEastAsia"/>
          <w:color w:val="auto"/>
          <w:sz w:val="32"/>
          <w:szCs w:val="32"/>
          <w:lang w:val="en-US" w:eastAsia="zh-CN"/>
        </w:rPr>
        <w:t>3286.36</w:t>
      </w:r>
      <w:r>
        <w:rPr>
          <w:rFonts w:hint="eastAsia" w:asciiTheme="minorEastAsia" w:hAnsiTheme="minorEastAsia" w:eastAsiaTheme="minorEastAsia"/>
          <w:color w:val="auto"/>
          <w:sz w:val="32"/>
          <w:szCs w:val="32"/>
        </w:rPr>
        <w:t>万元。与上年相比，</w:t>
      </w:r>
      <w:r>
        <w:rPr>
          <w:rFonts w:hint="eastAsia" w:asciiTheme="minorEastAsia" w:hAnsiTheme="minorEastAsia" w:eastAsiaTheme="minorEastAsia"/>
          <w:color w:val="auto"/>
          <w:sz w:val="32"/>
          <w:szCs w:val="32"/>
          <w:lang w:val="en-US" w:eastAsia="zh-CN"/>
        </w:rPr>
        <w:t>增加247.37</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val="en-US" w:eastAsia="zh-CN"/>
        </w:rPr>
        <w:t>增加7.53</w:t>
      </w:r>
      <w:r>
        <w:rPr>
          <w:rFonts w:hint="eastAsia" w:asciiTheme="minorEastAsia" w:hAnsiTheme="minorEastAsia" w:eastAsiaTheme="minorEastAsia"/>
          <w:color w:val="auto"/>
          <w:sz w:val="32"/>
          <w:szCs w:val="32"/>
        </w:rPr>
        <w:t>%，主要是因为</w:t>
      </w:r>
      <w:r>
        <w:rPr>
          <w:rFonts w:hint="eastAsia" w:asciiTheme="minorEastAsia" w:hAnsiTheme="minorEastAsia" w:eastAsiaTheme="minorEastAsia"/>
          <w:color w:val="auto"/>
          <w:sz w:val="32"/>
          <w:szCs w:val="32"/>
          <w:lang w:val="en-US" w:eastAsia="zh-CN"/>
        </w:rPr>
        <w:t>项目经费及人员经费增加。</w:t>
      </w:r>
    </w:p>
    <w:p>
      <w:pPr>
        <w:pStyle w:val="10"/>
        <w:rPr>
          <w:rFonts w:hAnsi="黑体"/>
          <w:b/>
          <w:sz w:val="32"/>
          <w:szCs w:val="32"/>
        </w:rPr>
      </w:pPr>
      <w:r>
        <w:rPr>
          <w:rFonts w:hint="eastAsia" w:hAnsi="黑体"/>
          <w:b/>
          <w:sz w:val="32"/>
          <w:szCs w:val="32"/>
        </w:rPr>
        <w:t>二、收入决算情况说明</w:t>
      </w:r>
    </w:p>
    <w:p>
      <w:pPr>
        <w:snapToGrid w:val="0"/>
        <w:spacing w:line="520" w:lineRule="exact"/>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2021年度本年收入</w:t>
      </w:r>
      <w:r>
        <w:rPr>
          <w:rFonts w:hint="eastAsia" w:asciiTheme="minorEastAsia" w:hAnsiTheme="minorEastAsia"/>
          <w:sz w:val="32"/>
          <w:szCs w:val="32"/>
          <w:lang w:val="en-US" w:eastAsia="zh-CN"/>
        </w:rPr>
        <w:t>1648.57</w:t>
      </w:r>
      <w:r>
        <w:rPr>
          <w:rFonts w:hint="eastAsia" w:asciiTheme="minorEastAsia" w:hAnsiTheme="minorEastAsia" w:eastAsiaTheme="minorEastAsia"/>
          <w:sz w:val="32"/>
          <w:szCs w:val="32"/>
          <w:lang w:val="en-US" w:eastAsia="zh-CN"/>
        </w:rPr>
        <w:t>万</w:t>
      </w:r>
      <w:r>
        <w:rPr>
          <w:rFonts w:hint="eastAsia" w:asciiTheme="minorEastAsia" w:hAnsiTheme="minorEastAsia" w:eastAsiaTheme="minorEastAsia"/>
          <w:sz w:val="32"/>
          <w:szCs w:val="32"/>
        </w:rPr>
        <w:t>元，财政拨款收入</w:t>
      </w:r>
      <w:r>
        <w:rPr>
          <w:rFonts w:hint="eastAsia" w:asciiTheme="minorEastAsia" w:hAnsiTheme="minorEastAsia"/>
          <w:sz w:val="32"/>
          <w:szCs w:val="32"/>
          <w:lang w:val="en-US" w:eastAsia="zh-CN"/>
        </w:rPr>
        <w:t>1258.83</w:t>
      </w:r>
      <w:r>
        <w:rPr>
          <w:rFonts w:hint="eastAsia" w:asciiTheme="minorEastAsia" w:hAnsiTheme="minorEastAsia" w:eastAsiaTheme="minorEastAsia"/>
          <w:sz w:val="32"/>
          <w:szCs w:val="32"/>
          <w:lang w:val="en-US" w:eastAsia="zh-CN"/>
        </w:rPr>
        <w:t>万元，占本来收入的</w:t>
      </w:r>
      <w:r>
        <w:rPr>
          <w:rFonts w:hint="eastAsia" w:asciiTheme="minorEastAsia" w:hAnsiTheme="minorEastAsia"/>
          <w:sz w:val="32"/>
          <w:szCs w:val="32"/>
          <w:lang w:val="en-US" w:eastAsia="zh-CN"/>
        </w:rPr>
        <w:t>76.36</w:t>
      </w:r>
      <w:r>
        <w:rPr>
          <w:rFonts w:hint="eastAsia" w:asciiTheme="minorEastAsia" w:hAnsiTheme="minorEastAsia" w:eastAsiaTheme="minorEastAsia"/>
          <w:sz w:val="32"/>
          <w:szCs w:val="32"/>
          <w:lang w:val="en-US" w:eastAsia="zh-CN"/>
        </w:rPr>
        <w:t>%，其他收入</w:t>
      </w:r>
      <w:r>
        <w:rPr>
          <w:rFonts w:hint="eastAsia" w:asciiTheme="minorEastAsia" w:hAnsiTheme="minorEastAsia"/>
          <w:sz w:val="32"/>
          <w:szCs w:val="32"/>
          <w:lang w:val="en-US" w:eastAsia="zh-CN"/>
        </w:rPr>
        <w:t>389.74</w:t>
      </w:r>
      <w:r>
        <w:rPr>
          <w:rFonts w:hint="eastAsia" w:asciiTheme="minorEastAsia" w:hAnsiTheme="minorEastAsia" w:eastAsiaTheme="minorEastAsia"/>
          <w:sz w:val="32"/>
          <w:szCs w:val="32"/>
          <w:lang w:val="en-US" w:eastAsia="zh-CN"/>
        </w:rPr>
        <w:t>万元，占总收入的</w:t>
      </w:r>
      <w:r>
        <w:rPr>
          <w:rFonts w:hint="eastAsia" w:asciiTheme="minorEastAsia" w:hAnsiTheme="minorEastAsia"/>
          <w:sz w:val="32"/>
          <w:szCs w:val="32"/>
          <w:lang w:val="en-US" w:eastAsia="zh-CN"/>
        </w:rPr>
        <w:t>23.64</w:t>
      </w:r>
      <w:r>
        <w:rPr>
          <w:rFonts w:hint="eastAsia" w:asciiTheme="minorEastAsia" w:hAnsiTheme="minorEastAsia" w:eastAsiaTheme="minorEastAsia"/>
          <w:sz w:val="32"/>
          <w:szCs w:val="32"/>
          <w:lang w:val="en-US" w:eastAsia="zh-CN"/>
        </w:rPr>
        <w:t>%。</w:t>
      </w:r>
    </w:p>
    <w:p>
      <w:pPr>
        <w:pStyle w:val="10"/>
        <w:rPr>
          <w:rFonts w:hAnsi="黑体"/>
          <w:b/>
          <w:sz w:val="32"/>
          <w:szCs w:val="32"/>
        </w:rPr>
      </w:pPr>
      <w:r>
        <w:rPr>
          <w:rFonts w:hint="eastAsia" w:hAnsi="黑体"/>
          <w:b/>
          <w:sz w:val="32"/>
          <w:szCs w:val="32"/>
        </w:rPr>
        <w:t>三、支出决算情况说明</w:t>
      </w:r>
    </w:p>
    <w:p>
      <w:pPr>
        <w:snapToGrid w:val="0"/>
        <w:spacing w:line="520" w:lineRule="exact"/>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2021年度本年支出</w:t>
      </w:r>
      <w:r>
        <w:rPr>
          <w:rFonts w:hint="eastAsia" w:asciiTheme="minorEastAsia" w:hAnsiTheme="minorEastAsia"/>
          <w:sz w:val="32"/>
          <w:szCs w:val="32"/>
          <w:lang w:val="en-US" w:eastAsia="zh-CN"/>
        </w:rPr>
        <w:t>1637.79</w:t>
      </w:r>
      <w:r>
        <w:rPr>
          <w:rFonts w:hint="eastAsia" w:asciiTheme="minorEastAsia" w:hAnsiTheme="minorEastAsia" w:eastAsiaTheme="minorEastAsia"/>
          <w:sz w:val="32"/>
          <w:szCs w:val="32"/>
          <w:lang w:val="en-US" w:eastAsia="zh-CN"/>
        </w:rPr>
        <w:t>万</w:t>
      </w:r>
      <w:r>
        <w:rPr>
          <w:rFonts w:hint="eastAsia" w:asciiTheme="minorEastAsia" w:hAnsiTheme="minorEastAsia" w:eastAsiaTheme="minorEastAsia"/>
          <w:sz w:val="32"/>
          <w:szCs w:val="32"/>
        </w:rPr>
        <w:t>元，其中：基本支出</w:t>
      </w:r>
      <w:r>
        <w:rPr>
          <w:rFonts w:hint="eastAsia" w:asciiTheme="minorEastAsia" w:hAnsiTheme="minorEastAsia"/>
          <w:sz w:val="32"/>
          <w:szCs w:val="32"/>
          <w:lang w:val="en-US" w:eastAsia="zh-CN"/>
        </w:rPr>
        <w:t>1637.79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0"/>
        <w:rPr>
          <w:rFonts w:hAnsi="黑体"/>
          <w:b/>
          <w:sz w:val="32"/>
          <w:szCs w:val="32"/>
        </w:rPr>
      </w:pPr>
      <w:r>
        <w:rPr>
          <w:rFonts w:hint="eastAsia" w:hAnsi="黑体"/>
          <w:b/>
          <w:sz w:val="32"/>
          <w:szCs w:val="32"/>
        </w:rPr>
        <w:t>四、财政拨款收入支出决算总体情况说明</w:t>
      </w:r>
    </w:p>
    <w:p>
      <w:pPr>
        <w:pStyle w:val="10"/>
        <w:ind w:firstLine="64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w:t>
      </w:r>
      <w:r>
        <w:rPr>
          <w:rFonts w:hint="eastAsia" w:asciiTheme="minorEastAsia" w:hAnsiTheme="minorEastAsia" w:eastAsiaTheme="minorEastAsia"/>
          <w:color w:val="auto"/>
          <w:sz w:val="32"/>
          <w:szCs w:val="32"/>
        </w:rPr>
        <w:t>度财政拨款收、支总计</w:t>
      </w:r>
      <w:r>
        <w:rPr>
          <w:rFonts w:hint="eastAsia" w:asciiTheme="minorEastAsia" w:hAnsiTheme="minorEastAsia" w:eastAsiaTheme="minorEastAsia"/>
          <w:color w:val="auto"/>
          <w:sz w:val="32"/>
          <w:szCs w:val="32"/>
          <w:lang w:val="en-US" w:eastAsia="zh-CN"/>
        </w:rPr>
        <w:t>2517.66</w:t>
      </w:r>
      <w:r>
        <w:rPr>
          <w:rFonts w:hint="eastAsia" w:asciiTheme="minorEastAsia" w:hAnsiTheme="minorEastAsia" w:eastAsiaTheme="minorEastAsia"/>
          <w:color w:val="auto"/>
          <w:sz w:val="32"/>
          <w:szCs w:val="32"/>
        </w:rPr>
        <w:t>万元，与上年相比，减少</w:t>
      </w:r>
      <w:r>
        <w:rPr>
          <w:rFonts w:hint="eastAsia" w:asciiTheme="minorEastAsia" w:hAnsiTheme="minorEastAsia" w:eastAsiaTheme="minorEastAsia"/>
          <w:color w:val="auto"/>
          <w:sz w:val="32"/>
          <w:szCs w:val="32"/>
          <w:lang w:val="en-US" w:eastAsia="zh-CN"/>
        </w:rPr>
        <w:t>505.68</w:t>
      </w:r>
      <w:r>
        <w:rPr>
          <w:rFonts w:hint="eastAsia" w:asciiTheme="minorEastAsia" w:hAnsiTheme="minorEastAsia" w:eastAsiaTheme="minorEastAsia"/>
          <w:color w:val="auto"/>
          <w:sz w:val="32"/>
          <w:szCs w:val="32"/>
        </w:rPr>
        <w:t>万元,减少</w:t>
      </w:r>
      <w:r>
        <w:rPr>
          <w:rFonts w:hint="eastAsia" w:asciiTheme="minorEastAsia" w:hAnsiTheme="minorEastAsia" w:eastAsiaTheme="minorEastAsia"/>
          <w:color w:val="auto"/>
          <w:sz w:val="32"/>
          <w:szCs w:val="32"/>
          <w:lang w:val="en-US" w:eastAsia="zh-CN"/>
        </w:rPr>
        <w:t>20.08</w:t>
      </w:r>
      <w:r>
        <w:rPr>
          <w:rFonts w:hint="eastAsia" w:asciiTheme="minorEastAsia" w:hAnsiTheme="minorEastAsia" w:eastAsiaTheme="minorEastAsia"/>
          <w:color w:val="auto"/>
          <w:sz w:val="32"/>
          <w:szCs w:val="32"/>
        </w:rPr>
        <w:t>%，主要是因为</w:t>
      </w:r>
      <w:r>
        <w:rPr>
          <w:rFonts w:hint="eastAsia" w:asciiTheme="minorEastAsia" w:hAnsiTheme="minorEastAsia" w:eastAsiaTheme="minorEastAsia"/>
          <w:color w:val="auto"/>
          <w:sz w:val="32"/>
          <w:szCs w:val="32"/>
          <w:lang w:val="en-US" w:eastAsia="zh-CN"/>
        </w:rPr>
        <w:t>本年度公用经费支出减少。</w:t>
      </w:r>
    </w:p>
    <w:p>
      <w:pPr>
        <w:pStyle w:val="10"/>
        <w:ind w:firstLine="64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1258.83</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76.86</w:t>
      </w:r>
      <w:r>
        <w:rPr>
          <w:rFonts w:hint="eastAsia" w:asciiTheme="minorEastAsia" w:hAnsiTheme="minorEastAsia" w:eastAsiaTheme="minorEastAsia"/>
          <w:sz w:val="32"/>
          <w:szCs w:val="32"/>
        </w:rPr>
        <w:t>%，与上年相比，财政拨款支出减少</w:t>
      </w:r>
      <w:r>
        <w:rPr>
          <w:rFonts w:hint="eastAsia" w:asciiTheme="minorEastAsia" w:hAnsiTheme="minorEastAsia" w:eastAsiaTheme="minorEastAsia"/>
          <w:sz w:val="32"/>
          <w:szCs w:val="32"/>
          <w:lang w:val="en-US" w:eastAsia="zh-CN"/>
        </w:rPr>
        <w:t>462.33</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36.73</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本年度公用经费减少，年底费用支出暂未支付。</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1258.83</w:t>
      </w:r>
      <w:r>
        <w:rPr>
          <w:rFonts w:hint="eastAsia" w:asciiTheme="minorEastAsia" w:hAnsiTheme="minorEastAsia" w:eastAsiaTheme="minorEastAsia"/>
          <w:sz w:val="32"/>
          <w:szCs w:val="32"/>
        </w:rPr>
        <w:t>万元，主要用于以下方面：教育（类）支出</w:t>
      </w:r>
      <w:r>
        <w:rPr>
          <w:rFonts w:hint="eastAsia" w:asciiTheme="minorEastAsia" w:hAnsiTheme="minorEastAsia" w:eastAsiaTheme="minorEastAsia"/>
          <w:sz w:val="32"/>
          <w:szCs w:val="32"/>
          <w:lang w:val="en-US" w:eastAsia="zh-CN"/>
        </w:rPr>
        <w:t>1258.83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2021年度财政拨款支出年初预算数为</w:t>
      </w:r>
      <w:r>
        <w:rPr>
          <w:rFonts w:hint="eastAsia" w:asciiTheme="minorEastAsia" w:hAnsiTheme="minorEastAsia" w:eastAsiaTheme="minorEastAsia"/>
          <w:sz w:val="32"/>
          <w:szCs w:val="32"/>
          <w:lang w:val="en-US" w:eastAsia="zh-CN"/>
        </w:rPr>
        <w:t>1465.14</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1258.83</w:t>
      </w:r>
      <w:r>
        <w:rPr>
          <w:rFonts w:hint="eastAsia" w:asciiTheme="minorEastAsia" w:hAnsiTheme="minorEastAsia" w:eastAsiaTheme="minorEastAsia"/>
          <w:sz w:val="32"/>
          <w:szCs w:val="32"/>
        </w:rPr>
        <w:t>万元，完</w:t>
      </w:r>
      <w:r>
        <w:rPr>
          <w:rFonts w:hint="eastAsia" w:asciiTheme="minorEastAsia" w:hAnsiTheme="minorEastAsia" w:eastAsiaTheme="minorEastAsia"/>
          <w:color w:val="auto"/>
          <w:sz w:val="32"/>
          <w:szCs w:val="32"/>
        </w:rPr>
        <w:t>成年初预算的</w:t>
      </w:r>
      <w:r>
        <w:rPr>
          <w:rFonts w:hint="eastAsia" w:asciiTheme="minorEastAsia" w:hAnsiTheme="minorEastAsia" w:eastAsiaTheme="minorEastAsia"/>
          <w:color w:val="auto"/>
          <w:sz w:val="32"/>
          <w:szCs w:val="32"/>
          <w:lang w:val="en-US" w:eastAsia="zh-CN"/>
        </w:rPr>
        <w:t>85.92</w:t>
      </w:r>
      <w:r>
        <w:rPr>
          <w:rFonts w:hint="eastAsia" w:asciiTheme="minorEastAsia" w:hAnsiTheme="minorEastAsia" w:eastAsiaTheme="minorEastAsia"/>
          <w:color w:val="auto"/>
          <w:sz w:val="32"/>
          <w:szCs w:val="32"/>
        </w:rPr>
        <w:t>%</w:t>
      </w:r>
      <w:r>
        <w:rPr>
          <w:rFonts w:hint="eastAsia" w:asciiTheme="minorEastAsia" w:hAnsiTheme="minorEastAsia" w:eastAsiaTheme="minorEastAsia"/>
          <w:sz w:val="32"/>
          <w:szCs w:val="32"/>
        </w:rPr>
        <w:t>，其中：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w:t>
      </w:r>
      <w:r>
        <w:rPr>
          <w:rFonts w:hint="eastAsia" w:asciiTheme="minorEastAsia" w:hAnsiTheme="minorEastAsia" w:eastAsiaTheme="minorEastAsia"/>
          <w:sz w:val="32"/>
          <w:szCs w:val="32"/>
          <w:lang w:val="en-US" w:eastAsia="zh-CN"/>
        </w:rPr>
        <w:t>教育支出（类）普通教育（款）小学教育（项）</w:t>
      </w:r>
      <w:r>
        <w:rPr>
          <w:rFonts w:hint="eastAsia" w:asciiTheme="minorEastAsia" w:hAnsiTheme="minorEastAsia" w:eastAsiaTheme="minorEastAsia"/>
          <w:sz w:val="32"/>
          <w:szCs w:val="32"/>
        </w:rPr>
        <w:t>。</w:t>
      </w:r>
    </w:p>
    <w:p>
      <w:pPr>
        <w:pStyle w:val="10"/>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2021年度财政</w:t>
      </w:r>
      <w:r>
        <w:rPr>
          <w:rFonts w:hint="eastAsia" w:asciiTheme="minorEastAsia" w:hAnsiTheme="minorEastAsia" w:eastAsiaTheme="minorEastAsia"/>
          <w:color w:val="auto"/>
          <w:sz w:val="32"/>
          <w:szCs w:val="32"/>
        </w:rPr>
        <w:t>拨款支出年初预算数为</w:t>
      </w:r>
      <w:r>
        <w:rPr>
          <w:rFonts w:hint="eastAsia" w:asciiTheme="minorEastAsia" w:hAnsiTheme="minorEastAsia" w:eastAsiaTheme="minorEastAsia"/>
          <w:color w:val="auto"/>
          <w:sz w:val="32"/>
          <w:szCs w:val="32"/>
          <w:lang w:val="en-US" w:eastAsia="zh-CN"/>
        </w:rPr>
        <w:t>1465.14</w:t>
      </w:r>
      <w:r>
        <w:rPr>
          <w:rFonts w:hint="eastAsia" w:asciiTheme="minorEastAsia" w:hAnsiTheme="minorEastAsia" w:eastAsiaTheme="minorEastAsia"/>
          <w:color w:val="auto"/>
          <w:sz w:val="32"/>
          <w:szCs w:val="32"/>
        </w:rPr>
        <w:t>万元，支出决算数为</w:t>
      </w:r>
      <w:r>
        <w:rPr>
          <w:rFonts w:hint="eastAsia" w:asciiTheme="minorEastAsia" w:hAnsiTheme="minorEastAsia" w:eastAsiaTheme="minorEastAsia"/>
          <w:color w:val="auto"/>
          <w:sz w:val="32"/>
          <w:szCs w:val="32"/>
          <w:lang w:val="en-US" w:eastAsia="zh-CN"/>
        </w:rPr>
        <w:t>1258.83</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85.92</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val="en-US" w:eastAsia="zh-CN"/>
        </w:rPr>
        <w:t>小</w:t>
      </w:r>
      <w:r>
        <w:rPr>
          <w:rFonts w:hint="eastAsia" w:asciiTheme="minorEastAsia" w:hAnsiTheme="minorEastAsia" w:eastAsiaTheme="minorEastAsia"/>
          <w:color w:val="auto"/>
          <w:sz w:val="32"/>
          <w:szCs w:val="32"/>
        </w:rPr>
        <w:t>于年初预算数的主要原因是</w:t>
      </w:r>
      <w:r>
        <w:rPr>
          <w:rFonts w:hint="eastAsia" w:asciiTheme="minorEastAsia" w:hAnsiTheme="minorEastAsia" w:eastAsiaTheme="minorEastAsia"/>
          <w:color w:val="auto"/>
          <w:sz w:val="32"/>
          <w:szCs w:val="32"/>
          <w:lang w:eastAsia="zh-CN"/>
        </w:rPr>
        <w:t>：</w:t>
      </w:r>
      <w:r>
        <w:rPr>
          <w:rFonts w:hint="eastAsia" w:asciiTheme="minorEastAsia" w:hAnsiTheme="minorEastAsia" w:eastAsiaTheme="minorEastAsia"/>
          <w:color w:val="auto"/>
          <w:sz w:val="32"/>
          <w:szCs w:val="32"/>
          <w:lang w:val="en-US" w:eastAsia="zh-CN"/>
        </w:rPr>
        <w:t>本年度公用经费、项目经费减少。</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Theme="minorEastAsia" w:hAnsiTheme="minorEastAsia" w:eastAsiaTheme="minorEastAsia"/>
          <w:i/>
          <w:color w:val="FF0000"/>
          <w:sz w:val="32"/>
          <w:szCs w:val="32"/>
        </w:rPr>
      </w:pPr>
      <w:r>
        <w:rPr>
          <w:rFonts w:hint="eastAsia" w:asciiTheme="minorEastAsia" w:hAnsiTheme="minorEastAsia" w:eastAsiaTheme="minorEastAsia"/>
          <w:sz w:val="32"/>
          <w:szCs w:val="32"/>
        </w:rPr>
        <w:t>2021年度财政拨款基本支出</w:t>
      </w:r>
      <w:r>
        <w:rPr>
          <w:rFonts w:hint="eastAsia" w:asciiTheme="minorEastAsia" w:hAnsiTheme="minorEastAsia" w:eastAsiaTheme="minorEastAsia"/>
          <w:sz w:val="32"/>
          <w:szCs w:val="32"/>
          <w:lang w:val="en-US" w:eastAsia="zh-CN"/>
        </w:rPr>
        <w:t>1258.83</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1258.83</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%,主要包括基本工资、津贴补贴、奖金、基本工资、伙食补助费</w:t>
      </w:r>
      <w:r>
        <w:rPr>
          <w:rFonts w:hint="eastAsia" w:asciiTheme="minorEastAsia" w:hAnsiTheme="minorEastAsia" w:eastAsiaTheme="minorEastAsia"/>
          <w:sz w:val="32"/>
          <w:szCs w:val="32"/>
          <w:lang w:eastAsia="zh-CN"/>
        </w:rPr>
        <w:t>、绩效工资、机关事业单位基本养老保险缴费、职业年金缴费、职工基本医疗保险缴费、其他社会保障缴费、住房公积金。</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“三公”经费财政拨款支出预算为0万元，支出决算为0万元，完成预算的0%，其中：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因公出国（境）费支出预算为0万元，支出决算为0万元，完成预算的0%。</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公务接待费支出预算为0万元，支出决算为0万元，完成预算的0%</w:t>
      </w:r>
      <w:r>
        <w:rPr>
          <w:rFonts w:hint="eastAsia" w:asciiTheme="minorEastAsia" w:hAnsiTheme="minorEastAsia" w:eastAsiaTheme="minorEastAsia"/>
          <w:sz w:val="32"/>
          <w:szCs w:val="32"/>
          <w:lang w:eastAsia="zh-CN"/>
        </w:rPr>
        <w:t>。</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公务用车购置费及运行维护费支出预算为0万元，支出决算为0万元，完成预算的0%</w:t>
      </w:r>
      <w:r>
        <w:rPr>
          <w:rFonts w:hint="eastAsia" w:asciiTheme="minorEastAsia" w:hAnsiTheme="minorEastAsia" w:eastAsiaTheme="minorEastAsia"/>
          <w:sz w:val="32"/>
          <w:szCs w:val="32"/>
          <w:lang w:eastAsia="zh-CN"/>
        </w:rPr>
        <w:t>。</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2021年度“三公”经费财政拨款支出决算中，公务接待费支出决算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%,因公出国（境）费支出决算0万元，占0%,公务用车购置费及运行维护费支出决算0万元，占0%。其中：</w:t>
      </w:r>
    </w:p>
    <w:p>
      <w:pPr>
        <w:pStyle w:val="10"/>
        <w:ind w:firstLine="640" w:firstLineChars="200"/>
        <w:rPr>
          <w:rFonts w:hint="eastAsia" w:asciiTheme="minorEastAsia" w:hAnsiTheme="minorEastAsia" w:eastAsiaTheme="minorEastAsia"/>
          <w:b/>
          <w:sz w:val="32"/>
          <w:szCs w:val="32"/>
          <w:lang w:eastAsia="zh-CN"/>
        </w:rPr>
      </w:pPr>
      <w:r>
        <w:rPr>
          <w:rFonts w:hint="eastAsia" w:asciiTheme="minorEastAsia" w:hAnsiTheme="minorEastAsia" w:eastAsiaTheme="minorEastAsia"/>
          <w:sz w:val="32"/>
          <w:szCs w:val="32"/>
        </w:rPr>
        <w:t>1、因公出国（境）费支出决算为0万元，全年安排因公出国（境）团组0个，累计0人次</w:t>
      </w:r>
      <w:r>
        <w:rPr>
          <w:rFonts w:hint="eastAsia" w:asciiTheme="minorEastAsia" w:hAnsiTheme="minorEastAsia" w:eastAsiaTheme="minorEastAsia"/>
          <w:sz w:val="32"/>
          <w:szCs w:val="32"/>
          <w:lang w:eastAsia="zh-CN"/>
        </w:rPr>
        <w:t>。</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2、公务接待费支出决算为0万元，全年共接待来访团组0个、来宾0人次</w:t>
      </w:r>
      <w:r>
        <w:rPr>
          <w:rFonts w:hint="eastAsia" w:asciiTheme="minorEastAsia" w:hAnsiTheme="minorEastAsia" w:eastAsiaTheme="minorEastAsia"/>
          <w:sz w:val="32"/>
          <w:szCs w:val="32"/>
          <w:lang w:eastAsia="zh-CN"/>
        </w:rPr>
        <w:t>。</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3、公务用车购置费及运行维护费支出决算为0万元，公务用车运行维护费0万元</w:t>
      </w:r>
      <w:r>
        <w:rPr>
          <w:rFonts w:hint="eastAsia" w:asciiTheme="minorEastAsia" w:hAnsiTheme="minorEastAsia"/>
          <w:sz w:val="32"/>
          <w:szCs w:val="32"/>
          <w:lang w:eastAsia="zh-CN"/>
        </w:rPr>
        <w:t>。</w:t>
      </w:r>
    </w:p>
    <w:p>
      <w:pPr>
        <w:pStyle w:val="10"/>
        <w:rPr>
          <w:rFonts w:hAnsi="黑体"/>
          <w:b/>
          <w:sz w:val="32"/>
          <w:szCs w:val="32"/>
        </w:rPr>
      </w:pPr>
      <w:r>
        <w:rPr>
          <w:rFonts w:hint="eastAsia" w:hAnsi="黑体"/>
          <w:b/>
          <w:sz w:val="32"/>
          <w:szCs w:val="32"/>
        </w:rPr>
        <w:t>八、政府性基金预算收入支出决算情况</w:t>
      </w:r>
    </w:p>
    <w:p>
      <w:pPr>
        <w:pStyle w:val="10"/>
        <w:rPr>
          <w:rFonts w:hint="eastAsia" w:asciiTheme="minorEastAsia" w:hAnsiTheme="minorEastAsia" w:eastAsiaTheme="minorEastAsia"/>
          <w:i/>
          <w:color w:val="FF0000"/>
          <w:sz w:val="32"/>
          <w:szCs w:val="32"/>
          <w:lang w:eastAsia="zh-CN"/>
        </w:rPr>
      </w:pPr>
      <w:r>
        <w:rPr>
          <w:rFonts w:hint="eastAsia" w:asciiTheme="minorEastAsia" w:hAnsiTheme="minorEastAsia" w:eastAsiaTheme="minorEastAsia"/>
          <w:sz w:val="32"/>
          <w:szCs w:val="32"/>
        </w:rPr>
        <w:t xml:space="preserve">     2021</w:t>
      </w:r>
      <w:r>
        <w:rPr>
          <w:rFonts w:hint="eastAsia" w:asciiTheme="minorEastAsia" w:hAnsiTheme="minorEastAsia" w:eastAsiaTheme="minorEastAsia"/>
          <w:sz w:val="32"/>
          <w:szCs w:val="32"/>
          <w:lang w:val="en-US" w:eastAsia="zh-CN"/>
        </w:rPr>
        <w:t>年度本单位无政府性基金收支。</w:t>
      </w:r>
    </w:p>
    <w:p>
      <w:pPr>
        <w:pStyle w:val="10"/>
        <w:rPr>
          <w:rFonts w:hAnsi="黑体"/>
          <w:b/>
          <w:sz w:val="32"/>
          <w:szCs w:val="32"/>
        </w:rPr>
      </w:pPr>
      <w:r>
        <w:rPr>
          <w:rFonts w:hint="eastAsia" w:hAnsi="黑体"/>
          <w:b/>
          <w:sz w:val="32"/>
          <w:szCs w:val="32"/>
        </w:rPr>
        <w:t>九、机关运行经费支出说明</w:t>
      </w:r>
    </w:p>
    <w:p>
      <w:pPr>
        <w:pStyle w:val="10"/>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本部门2021年度机关运行经费支出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p>
    <w:p>
      <w:pPr>
        <w:pStyle w:val="10"/>
        <w:rPr>
          <w:rFonts w:hAnsi="黑体"/>
          <w:b/>
          <w:sz w:val="32"/>
          <w:szCs w:val="32"/>
        </w:rPr>
      </w:pPr>
      <w:r>
        <w:rPr>
          <w:rFonts w:hint="eastAsia" w:hAnsi="黑体"/>
          <w:b/>
          <w:sz w:val="32"/>
          <w:szCs w:val="32"/>
        </w:rPr>
        <w:t>十、一般性支出情况说明</w:t>
      </w:r>
    </w:p>
    <w:p>
      <w:p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2021年本部门开支会议费</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万元，开支培训费</w:t>
      </w:r>
      <w:r>
        <w:rPr>
          <w:rFonts w:hint="eastAsia" w:asciiTheme="minorEastAsia" w:hAnsiTheme="minorEastAsia"/>
          <w:sz w:val="32"/>
          <w:szCs w:val="32"/>
          <w:lang w:val="en-US" w:eastAsia="zh-CN"/>
        </w:rPr>
        <w:t>0.39</w:t>
      </w:r>
      <w:r>
        <w:rPr>
          <w:rFonts w:hint="eastAsia" w:asciiTheme="minorEastAsia" w:hAnsiTheme="minorEastAsia" w:eastAsiaTheme="minorEastAsia"/>
          <w:sz w:val="32"/>
          <w:szCs w:val="32"/>
        </w:rPr>
        <w:t>万元，</w:t>
      </w:r>
      <w:r>
        <w:rPr>
          <w:rFonts w:hint="eastAsia" w:cs="黑体" w:asciiTheme="minorEastAsia" w:hAnsiTheme="minorEastAsia"/>
          <w:color w:val="000000"/>
          <w:kern w:val="0"/>
          <w:sz w:val="32"/>
          <w:szCs w:val="32"/>
        </w:rPr>
        <w:t>用于开展</w:t>
      </w:r>
      <w:r>
        <w:rPr>
          <w:rFonts w:hint="eastAsia" w:cs="黑体" w:asciiTheme="minorEastAsia" w:hAnsiTheme="minorEastAsia"/>
          <w:color w:val="000000"/>
          <w:kern w:val="0"/>
          <w:sz w:val="32"/>
          <w:szCs w:val="32"/>
          <w:lang w:val="en-US" w:eastAsia="zh-CN"/>
        </w:rPr>
        <w:t>教师</w:t>
      </w:r>
      <w:r>
        <w:rPr>
          <w:rFonts w:hint="eastAsia" w:cs="黑体" w:asciiTheme="minorEastAsia" w:hAnsiTheme="minorEastAsia"/>
          <w:color w:val="000000"/>
          <w:kern w:val="0"/>
          <w:sz w:val="32"/>
          <w:szCs w:val="32"/>
        </w:rPr>
        <w:t>教育培训，人数</w:t>
      </w:r>
      <w:r>
        <w:rPr>
          <w:rFonts w:hint="eastAsia" w:cs="黑体" w:asciiTheme="minorEastAsia" w:hAnsiTheme="minorEastAsia"/>
          <w:color w:val="000000"/>
          <w:kern w:val="0"/>
          <w:sz w:val="32"/>
          <w:szCs w:val="32"/>
          <w:lang w:val="en-US" w:eastAsia="zh-CN"/>
        </w:rPr>
        <w:t>10</w:t>
      </w:r>
      <w:r>
        <w:rPr>
          <w:rFonts w:hint="eastAsia" w:cs="黑体" w:asciiTheme="minorEastAsia" w:hAnsiTheme="minorEastAsia"/>
          <w:color w:val="000000"/>
          <w:kern w:val="0"/>
          <w:sz w:val="32"/>
          <w:szCs w:val="32"/>
        </w:rPr>
        <w:t>人，内容为：学科培训，教师提高培训等。</w:t>
      </w:r>
    </w:p>
    <w:p>
      <w:pPr>
        <w:pStyle w:val="10"/>
        <w:rPr>
          <w:rFonts w:hAnsi="黑体"/>
          <w:b/>
          <w:sz w:val="32"/>
          <w:szCs w:val="32"/>
        </w:rPr>
      </w:pPr>
      <w:r>
        <w:rPr>
          <w:rFonts w:hint="eastAsia" w:hAnsi="黑体"/>
          <w:b/>
          <w:sz w:val="32"/>
          <w:szCs w:val="32"/>
        </w:rPr>
        <w:t>十一、政府采购支出说明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本部门2021年度政府采购支出总额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万元，其中：政府采购货物支出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万元、政府采购工程支出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万元、政府采购服务支出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万元。授予中小企业合同金额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%，其中：授予小微企业合同金额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万元，占授予中小企业合同金额的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%；货物采购授予中小企业合同金额占货物支出金额的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%，工程采购授予中小企业合同金额占工程支出金额的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%，服务采购授予中小企业合同金额占服务支出金额的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十二、国有资产占用情况说明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截至2021年12月31日，部门（单位）共有车辆</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辆，其中，主要领导干部用车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辆，机要通信用车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辆、应急保障用车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辆、执法执勤用车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辆、特种专业技术用车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辆、其他用车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pStyle w:val="10"/>
        <w:rPr>
          <w:rFonts w:hAnsi="黑体"/>
          <w:b/>
          <w:sz w:val="32"/>
          <w:szCs w:val="32"/>
        </w:rPr>
      </w:pPr>
      <w:r>
        <w:rPr>
          <w:rFonts w:hint="eastAsia" w:hAnsi="黑体"/>
          <w:b/>
          <w:sz w:val="32"/>
          <w:szCs w:val="32"/>
        </w:rPr>
        <w:t>十三、2021年度预算绩效情况说明</w:t>
      </w:r>
    </w:p>
    <w:p>
      <w:pPr>
        <w:numPr>
          <w:ilvl w:val="0"/>
          <w:numId w:val="1"/>
        </w:numPr>
        <w:autoSpaceDE w:val="0"/>
        <w:autoSpaceDN w:val="0"/>
        <w:adjustRightInd w:val="0"/>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b/>
          <w:color w:val="000000"/>
          <w:kern w:val="0"/>
          <w:sz w:val="32"/>
          <w:szCs w:val="32"/>
        </w:rPr>
        <w:t>绩效管理评价工作开展情况</w:t>
      </w:r>
      <w:r>
        <w:rPr>
          <w:rFonts w:hint="eastAsia" w:cs="黑体" w:asciiTheme="minorEastAsia" w:hAnsiTheme="minorEastAsia"/>
          <w:color w:val="000000"/>
          <w:kern w:val="0"/>
          <w:sz w:val="32"/>
          <w:szCs w:val="32"/>
        </w:rPr>
        <w:t>。</w:t>
      </w:r>
    </w:p>
    <w:p>
      <w:pPr>
        <w:numPr>
          <w:ilvl w:val="0"/>
          <w:numId w:val="0"/>
        </w:numPr>
        <w:autoSpaceDE w:val="0"/>
        <w:autoSpaceDN w:val="0"/>
        <w:adjustRightInd w:val="0"/>
        <w:ind w:firstLine="640" w:firstLineChars="200"/>
        <w:jc w:val="left"/>
        <w:rPr>
          <w:rFonts w:hint="eastAsia" w:cs="黑体" w:asciiTheme="minorEastAsia" w:hAnsiTheme="minorEastAsia"/>
          <w:color w:val="000000"/>
          <w:kern w:val="0"/>
          <w:sz w:val="32"/>
          <w:szCs w:val="32"/>
        </w:rPr>
      </w:pPr>
      <w:r>
        <w:rPr>
          <w:rFonts w:hint="eastAsia" w:asciiTheme="minorEastAsia" w:hAnsiTheme="minorEastAsia" w:eastAsiaTheme="minorEastAsia" w:cstheme="minorEastAsia"/>
          <w:kern w:val="0"/>
          <w:sz w:val="32"/>
          <w:szCs w:val="32"/>
          <w:lang w:eastAsia="zh-CN"/>
        </w:rPr>
        <w:t>本单位为二级预算单位，无项目绩效</w:t>
      </w:r>
      <w:r>
        <w:rPr>
          <w:rFonts w:hint="eastAsia" w:asciiTheme="minorEastAsia" w:hAnsiTheme="minorEastAsia" w:cstheme="minorEastAsia"/>
          <w:kern w:val="0"/>
          <w:sz w:val="32"/>
          <w:szCs w:val="32"/>
          <w:lang w:eastAsia="zh-CN"/>
        </w:rPr>
        <w:t>。</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rPr>
          <w:sz w:val="72"/>
          <w:szCs w:val="72"/>
        </w:rPr>
      </w:pPr>
    </w:p>
    <w:p>
      <w:pPr>
        <w:pStyle w:val="10"/>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widowControl/>
        <w:spacing w:line="600" w:lineRule="exact"/>
        <w:ind w:firstLine="660"/>
        <w:rPr>
          <w:rFonts w:eastAsia="宋体"/>
          <w:sz w:val="32"/>
          <w:szCs w:val="32"/>
        </w:rPr>
      </w:pPr>
      <w:r>
        <w:rPr>
          <w:rFonts w:hint="eastAsia" w:eastAsia="宋体"/>
          <w:sz w:val="32"/>
          <w:szCs w:val="32"/>
        </w:rPr>
        <w:t>一、机关运行经费：为保障行政单位（含参照公务员法管理的的事业单位）运行用于购买货物和服务的各项资金，包括办公费、印刷费、邮电费、差旅费、会议费、福利费、日常维修费、专用材料费、一般设备购置费、水电费、取暖费、公务用车运行维护费以及其他费用。</w:t>
      </w:r>
    </w:p>
    <w:p>
      <w:pPr>
        <w:widowControl/>
        <w:spacing w:line="600" w:lineRule="exact"/>
        <w:ind w:firstLine="660"/>
        <w:rPr>
          <w:sz w:val="72"/>
          <w:szCs w:val="72"/>
        </w:rPr>
      </w:pPr>
      <w:r>
        <w:rPr>
          <w:rFonts w:hint="eastAsia" w:eastAsia="宋体"/>
          <w:sz w:val="32"/>
          <w:szCs w:val="32"/>
        </w:rPr>
        <w:t>二</w:t>
      </w:r>
      <w:r>
        <w:rPr>
          <w:rFonts w:hint="eastAsia" w:ascii="宋体" w:hAnsi="宋体" w:cs="宋体"/>
          <w:sz w:val="32"/>
          <w:szCs w:val="32"/>
        </w:rPr>
        <w:t>、</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经费：纳入省财政预算管理的</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idowControl/>
        <w:jc w:val="left"/>
        <w:rPr>
          <w:rFonts w:eastAsia="黑体" w:cs="黑体" w:asciiTheme="minorEastAsia" w:hAnsiTheme="minorEastAsia"/>
          <w:color w:val="000000"/>
          <w:kern w:val="0"/>
          <w:sz w:val="28"/>
          <w:szCs w:val="32"/>
        </w:rPr>
      </w:pPr>
      <w:r>
        <w:rPr>
          <w:rFonts w:hint="eastAsia" w:asciiTheme="minorEastAsia" w:hAnsiTheme="minorEastAsia"/>
          <w:sz w:val="28"/>
          <w:szCs w:val="32"/>
        </w:rPr>
        <w:t>（名词解释应包含本部门专有名词，如省财政厅应有对“财政事务”科目的解释）</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both"/>
        <w:rPr>
          <w:rFonts w:hint="eastAsia" w:eastAsia="黑体"/>
          <w:sz w:val="72"/>
          <w:szCs w:val="72"/>
          <w:lang w:eastAsia="zh-CN"/>
        </w:rPr>
      </w:pPr>
      <w:bookmarkStart w:id="3" w:name="_GoBack"/>
      <w:bookmarkEnd w:id="3"/>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2021年度部门整体支出绩效评价报告</w:t>
      </w:r>
    </w:p>
    <w:p>
      <w:pPr>
        <w:ind w:firstLine="640" w:firstLineChars="200"/>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t>………</w:t>
      </w: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7A5417D4-8882-4376-9785-C2B8E638F958}"/>
  </w:font>
  <w:font w:name="黑体">
    <w:panose1 w:val="02010609060101010101"/>
    <w:charset w:val="86"/>
    <w:family w:val="auto"/>
    <w:pitch w:val="default"/>
    <w:sig w:usb0="800002BF" w:usb1="38CF7CFA" w:usb2="00000016" w:usb3="00000000" w:csb0="00040001" w:csb1="00000000"/>
    <w:embedRegular r:id="rId2" w:fontKey="{C7EDC3FE-4D28-494D-8137-9F53F8FC526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DC95BDEE-1548-4E69-938B-DFE99DF092BE}"/>
  </w:font>
  <w:font w:name="华文中宋">
    <w:altName w:val="宋体"/>
    <w:panose1 w:val="02010600040101010101"/>
    <w:charset w:val="86"/>
    <w:family w:val="auto"/>
    <w:pitch w:val="default"/>
    <w:sig w:usb0="00000000" w:usb1="00000000" w:usb2="00000000" w:usb3="00000000" w:csb0="0004009F" w:csb1="DFD70000"/>
    <w:embedRegular r:id="rId4" w:fontKey="{05E9E836-EB55-41C1-A7C8-D793FEF19E40}"/>
  </w:font>
  <w:font w:name="方正小标宋_GBK">
    <w:panose1 w:val="02000000000000000000"/>
    <w:charset w:val="86"/>
    <w:family w:val="script"/>
    <w:pitch w:val="default"/>
    <w:sig w:usb0="00000001" w:usb1="080E0000" w:usb2="00000000" w:usb3="00000000" w:csb0="00040000" w:csb1="00000000"/>
    <w:embedRegular r:id="rId5" w:fontKey="{37B77091-CE4C-43E0-94B0-C594BA288FD7}"/>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25268F"/>
    <w:multiLevelType w:val="singleLevel"/>
    <w:tmpl w:val="BB25268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yMjhkNjc2ZDIwYTA3OTQxYWFjMjEwOTM2NjBiNDYifQ=="/>
  </w:docVars>
  <w:rsids>
    <w:rsidRoot w:val="00172A27"/>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24CC664E"/>
    <w:rsid w:val="27450DD0"/>
    <w:rsid w:val="369E07ED"/>
    <w:rsid w:val="40447CA6"/>
    <w:rsid w:val="4787325F"/>
    <w:rsid w:val="48873546"/>
    <w:rsid w:val="51B479D7"/>
    <w:rsid w:val="69BC6CFF"/>
    <w:rsid w:val="6ED5744D"/>
    <w:rsid w:val="7E9671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4803</Words>
  <Characters>5815</Characters>
  <Lines>69</Lines>
  <Paragraphs>19</Paragraphs>
  <TotalTime>15</TotalTime>
  <ScaleCrop>false</ScaleCrop>
  <LinksUpToDate>false</LinksUpToDate>
  <CharactersWithSpaces>6595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栖</cp:lastModifiedBy>
  <cp:lastPrinted>2022-07-27T12:55:00Z</cp:lastPrinted>
  <dcterms:modified xsi:type="dcterms:W3CDTF">2022-10-11T08:16:26Z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D211CFC67BA74D6E873FD544720ABD2E</vt:lpwstr>
  </property>
</Properties>
</file>