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sz w:val="56"/>
          <w:szCs w:val="56"/>
        </w:rPr>
      </w:pPr>
    </w:p>
    <w:p>
      <w:pPr>
        <w:pStyle w:val="12"/>
        <w:jc w:val="center"/>
        <w:rPr>
          <w:sz w:val="56"/>
          <w:szCs w:val="56"/>
        </w:rPr>
      </w:pPr>
    </w:p>
    <w:p>
      <w:pPr>
        <w:pStyle w:val="12"/>
        <w:jc w:val="center"/>
        <w:rPr>
          <w:sz w:val="84"/>
          <w:szCs w:val="84"/>
        </w:rPr>
      </w:pPr>
    </w:p>
    <w:p>
      <w:pPr>
        <w:pStyle w:val="12"/>
        <w:jc w:val="center"/>
        <w:rPr>
          <w:sz w:val="84"/>
          <w:szCs w:val="84"/>
        </w:rPr>
      </w:pPr>
    </w:p>
    <w:p>
      <w:pPr>
        <w:pStyle w:val="12"/>
        <w:jc w:val="center"/>
        <w:rPr>
          <w:sz w:val="84"/>
          <w:szCs w:val="84"/>
        </w:rPr>
      </w:pPr>
      <w:r>
        <w:rPr>
          <w:rFonts w:hint="eastAsia"/>
          <w:sz w:val="84"/>
          <w:szCs w:val="84"/>
        </w:rPr>
        <w:t>2021年度</w:t>
      </w:r>
    </w:p>
    <w:p>
      <w:pPr>
        <w:pStyle w:val="12"/>
        <w:jc w:val="center"/>
        <w:rPr>
          <w:sz w:val="84"/>
          <w:szCs w:val="84"/>
        </w:rPr>
      </w:pPr>
      <w:r>
        <w:rPr>
          <w:rFonts w:hint="eastAsia"/>
          <w:sz w:val="84"/>
          <w:szCs w:val="84"/>
        </w:rPr>
        <w:t>湘乡市教育发展中心</w:t>
      </w:r>
    </w:p>
    <w:p>
      <w:pPr>
        <w:pStyle w:val="12"/>
        <w:jc w:val="center"/>
        <w:rPr>
          <w:sz w:val="84"/>
          <w:szCs w:val="84"/>
        </w:rPr>
      </w:pPr>
      <w:r>
        <w:rPr>
          <w:rFonts w:hint="eastAsia"/>
          <w:sz w:val="84"/>
          <w:szCs w:val="84"/>
        </w:rPr>
        <w:t>部门决算</w:t>
      </w: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32"/>
          <w:szCs w:val="32"/>
        </w:rPr>
      </w:pPr>
    </w:p>
    <w:p>
      <w:pPr>
        <w:pStyle w:val="12"/>
        <w:jc w:val="center"/>
        <w:rPr>
          <w:sz w:val="32"/>
          <w:szCs w:val="32"/>
        </w:rPr>
      </w:pPr>
    </w:p>
    <w:p>
      <w:pPr>
        <w:pStyle w:val="12"/>
        <w:jc w:val="center"/>
        <w:rPr>
          <w:sz w:val="32"/>
          <w:szCs w:val="32"/>
        </w:rPr>
      </w:pPr>
    </w:p>
    <w:p>
      <w:pPr>
        <w:pStyle w:val="12"/>
        <w:spacing w:line="460" w:lineRule="exact"/>
        <w:jc w:val="center"/>
        <w:rPr>
          <w:b/>
          <w:sz w:val="36"/>
          <w:szCs w:val="28"/>
        </w:rPr>
      </w:pPr>
      <w:r>
        <w:rPr>
          <w:rFonts w:hint="eastAsia"/>
          <w:b/>
          <w:sz w:val="36"/>
          <w:szCs w:val="28"/>
        </w:rPr>
        <w:t>目录</w:t>
      </w:r>
    </w:p>
    <w:p>
      <w:pPr>
        <w:pStyle w:val="12"/>
        <w:spacing w:line="460" w:lineRule="exact"/>
        <w:rPr>
          <w:rFonts w:ascii="仿宋_GB2312" w:hAnsi="仿宋_GB2312" w:cs="仿宋_GB2312"/>
          <w:b/>
          <w:sz w:val="28"/>
          <w:szCs w:val="28"/>
        </w:rPr>
      </w:pPr>
      <w:r>
        <w:rPr>
          <w:rFonts w:hint="eastAsia"/>
          <w:b/>
          <w:sz w:val="28"/>
          <w:szCs w:val="28"/>
        </w:rPr>
        <w:t>第一部分湘乡市教育发展中心单位概况</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46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2"/>
        <w:spacing w:line="46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2"/>
        <w:spacing w:line="46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2"/>
        <w:spacing w:line="46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46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46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2"/>
        <w:spacing w:line="46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2"/>
        <w:spacing w:line="46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46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46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2"/>
        <w:jc w:val="center"/>
        <w:rPr>
          <w:sz w:val="84"/>
          <w:szCs w:val="84"/>
        </w:rPr>
      </w:pPr>
      <w:r>
        <w:rPr>
          <w:rFonts w:hint="eastAsia"/>
          <w:sz w:val="84"/>
          <w:szCs w:val="84"/>
        </w:rPr>
        <w:t>第一部分</w:t>
      </w:r>
    </w:p>
    <w:p>
      <w:pPr>
        <w:pStyle w:val="12"/>
        <w:jc w:val="center"/>
        <w:rPr>
          <w:sz w:val="84"/>
          <w:szCs w:val="84"/>
        </w:rPr>
      </w:pPr>
    </w:p>
    <w:p>
      <w:pPr>
        <w:pStyle w:val="12"/>
        <w:jc w:val="center"/>
        <w:rPr>
          <w:sz w:val="84"/>
          <w:szCs w:val="84"/>
        </w:rPr>
      </w:pPr>
      <w:r>
        <w:rPr>
          <w:rFonts w:hint="eastAsia"/>
          <w:sz w:val="84"/>
          <w:szCs w:val="84"/>
        </w:rPr>
        <w:t>湘乡市教育发展中心</w:t>
      </w:r>
    </w:p>
    <w:p>
      <w:pPr>
        <w:pStyle w:val="12"/>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ind w:firstLine="0" w:firstLineChars="0"/>
        <w:jc w:val="left"/>
        <w:rPr>
          <w:rFonts w:ascii="黑体" w:hAnsi="黑体" w:eastAsia="黑体"/>
          <w:sz w:val="32"/>
          <w:szCs w:val="32"/>
        </w:rPr>
      </w:pPr>
    </w:p>
    <w:p>
      <w:pPr>
        <w:pStyle w:val="13"/>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800" w:firstLineChars="250"/>
        <w:jc w:val="left"/>
        <w:rPr>
          <w:rFonts w:ascii="宋体" w:hAnsi="宋体"/>
          <w:bCs/>
          <w:kern w:val="0"/>
          <w:sz w:val="32"/>
          <w:szCs w:val="32"/>
        </w:rPr>
      </w:pPr>
      <w:r>
        <w:rPr>
          <w:rFonts w:hint="eastAsia" w:ascii="宋体" w:hAnsi="宋体"/>
          <w:bCs/>
          <w:kern w:val="0"/>
          <w:sz w:val="32"/>
          <w:szCs w:val="32"/>
        </w:rPr>
        <w:t>拟订全市教师发展规划，研究全市教师专业发展问题，建立与完善教师发展工作的运行机制。关注教师职业发展，指导教师开展职业规划。组织与指导各级各类学校教学和教学质量考核工作。引导教师互助合作，形成学术共同体，创造科研成果。协助开展教师职业道德教育活动，促进良好师德师风的形成。关注教育教学改革前沿，为全市教师提供教学咨询服务。指导各学校教师的业务技能培训和教研活动。为教师运用现代教育技术提供条件与帮助。完成市教育局交办的其他工作。</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（一）内设机构设置。湘乡市教育发展中心内设机构包括：</w:t>
      </w:r>
    </w:p>
    <w:p>
      <w:pPr>
        <w:widowControl/>
        <w:numPr>
          <w:ilvl w:val="0"/>
          <w:numId w:val="2"/>
        </w:numPr>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教研部。负责教育教学管理与评价、教材建设及管理工作；承担全市教育科研工作的指导、管理及成果的鉴定推广；承担全市教育质量的评价监测工作；参与国家课程计划的贯彻落实，全市教师的业务培训；全市教育教学改革的推进工作。</w:t>
      </w:r>
    </w:p>
    <w:p>
      <w:pPr>
        <w:widowControl/>
        <w:numPr>
          <w:ilvl w:val="0"/>
          <w:numId w:val="2"/>
        </w:numPr>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装备部。负责全市音体美卫劳器材和作业本、校服等用品的征订、招标采购和配送工作；全市教学实验仪器设备的建设配备、管理使用和实验工作指导；全市青少年科技教育工作。</w:t>
      </w:r>
    </w:p>
    <w:p>
      <w:pPr>
        <w:widowControl/>
        <w:numPr>
          <w:ilvl w:val="0"/>
          <w:numId w:val="2"/>
        </w:numPr>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考试部（考试院）。负责贯彻落实国家和省市普通高校招生工作的方针、政策，传递招生信息；拟订全市高考、学考组考工作方案并实施；组织全国英语等级考试的报名、组考工作；协助做好成人高等学校招生考试报名工作；承担教育局授权组织的其他考试。</w:t>
      </w:r>
    </w:p>
    <w:p>
      <w:pPr>
        <w:widowControl/>
        <w:numPr>
          <w:ilvl w:val="0"/>
          <w:numId w:val="2"/>
        </w:numPr>
        <w:spacing w:line="600" w:lineRule="exact"/>
        <w:ind w:firstLine="640" w:firstLineChars="200"/>
        <w:rPr>
          <w:rFonts w:asciiTheme="minorEastAsia" w:hAnsiTheme="minorEastAsia"/>
          <w:bCs/>
          <w:kern w:val="0"/>
          <w:sz w:val="32"/>
          <w:szCs w:val="32"/>
        </w:rPr>
      </w:pPr>
      <w:r>
        <w:rPr>
          <w:rFonts w:hint="eastAsia" w:asciiTheme="minorEastAsia" w:hAnsiTheme="minorEastAsia"/>
          <w:bCs/>
          <w:kern w:val="0"/>
          <w:sz w:val="32"/>
          <w:szCs w:val="32"/>
        </w:rPr>
        <w:t>综合部。负责全市学校校方责任险的投保；组织开展勤工俭学的理论研究和实践活动；推动教育局原集体企业等经济实体持续健康发展；管理单位财务、资产、后勤接待、维护保养等工作；安排、调度经费，办理本单位人事关系、劳资关系、老干工作等。</w:t>
      </w:r>
    </w:p>
    <w:p>
      <w:pPr>
        <w:widowControl/>
        <w:spacing w:line="600" w:lineRule="exact"/>
        <w:rPr>
          <w:rFonts w:asciiTheme="minorEastAsia" w:hAnsiTheme="minorEastAsia"/>
          <w:bCs/>
          <w:kern w:val="0"/>
          <w:sz w:val="32"/>
          <w:szCs w:val="32"/>
        </w:rPr>
      </w:pPr>
      <w:r>
        <w:rPr>
          <w:rFonts w:hint="eastAsia" w:asciiTheme="minorEastAsia" w:hAnsiTheme="minorEastAsia"/>
          <w:bCs/>
          <w:kern w:val="0"/>
          <w:sz w:val="32"/>
          <w:szCs w:val="32"/>
        </w:rPr>
        <w:t>（二）决算单位构成。湘乡市教育发展中心</w:t>
      </w:r>
      <w:r>
        <w:rPr>
          <w:rFonts w:asciiTheme="minorEastAsia" w:hAnsiTheme="minorEastAsia"/>
          <w:bCs/>
          <w:kern w:val="0"/>
          <w:sz w:val="32"/>
          <w:szCs w:val="32"/>
        </w:rPr>
        <w:t>20</w:t>
      </w:r>
      <w:r>
        <w:rPr>
          <w:rFonts w:hint="eastAsia" w:asciiTheme="minorEastAsia" w:hAnsiTheme="minorEastAsia"/>
          <w:bCs/>
          <w:kern w:val="0"/>
          <w:sz w:val="32"/>
          <w:szCs w:val="32"/>
        </w:rPr>
        <w:t>21年部门决算汇总公开单位构成包括：湘乡市教育发展中心1个预算单位。</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080" w:bottom="1440" w:left="1080"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部门：湘乡市教育发展中心</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2520.11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146.82</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2666.93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2666.93</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2666.93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2666.93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rPr>
              <w:t>2666.93</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p>
          <w:p>
            <w:pPr>
              <w:widowControl/>
              <w:jc w:val="left"/>
              <w:rPr>
                <w:rFonts w:ascii="宋体" w:hAnsi="宋体" w:eastAsia="宋体" w:cs="宋体"/>
                <w:kern w:val="0"/>
                <w:sz w:val="24"/>
                <w:szCs w:val="24"/>
              </w:rPr>
            </w:pP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428" w:type="dxa"/>
        <w:tblInd w:w="0" w:type="dxa"/>
        <w:tblLayout w:type="autofit"/>
        <w:tblCellMar>
          <w:top w:w="0" w:type="dxa"/>
          <w:left w:w="0" w:type="dxa"/>
          <w:bottom w:w="0" w:type="dxa"/>
          <w:right w:w="0" w:type="dxa"/>
        </w:tblCellMar>
      </w:tblPr>
      <w:tblGrid>
        <w:gridCol w:w="439"/>
        <w:gridCol w:w="301"/>
        <w:gridCol w:w="4511"/>
        <w:gridCol w:w="1774"/>
        <w:gridCol w:w="1774"/>
        <w:gridCol w:w="1008"/>
        <w:gridCol w:w="1525"/>
        <w:gridCol w:w="960"/>
        <w:gridCol w:w="927"/>
        <w:gridCol w:w="2209"/>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5110" w:type="dxa"/>
            <w:gridSpan w:val="3"/>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4"/>
                <w:szCs w:val="24"/>
              </w:rPr>
            </w:pPr>
            <w:r>
              <w:rPr>
                <w:rFonts w:hint="eastAsia"/>
                <w:color w:val="000000"/>
                <w:sz w:val="20"/>
                <w:szCs w:val="20"/>
              </w:rPr>
              <w:t>部门：湘乡市教育发展中心</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62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629"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2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49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13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08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14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213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298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2,666.93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2,520.11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b/>
                <w:bCs/>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widowControl/>
              <w:jc w:val="right"/>
              <w:textAlignment w:val="center"/>
              <w:rPr>
                <w:rFonts w:ascii="宋体" w:hAnsi="宋体" w:eastAsia="宋体" w:cs="宋体"/>
                <w:b/>
                <w:bCs/>
                <w:color w:val="000000"/>
                <w:sz w:val="22"/>
              </w:rPr>
            </w:pPr>
            <w:r>
              <w:rPr>
                <w:rFonts w:hint="eastAsia" w:ascii="宋体" w:hAnsi="宋体" w:eastAsia="宋体" w:cs="宋体"/>
                <w:b/>
                <w:bCs/>
                <w:color w:val="000000"/>
                <w:kern w:val="0"/>
                <w:sz w:val="22"/>
              </w:rPr>
              <w:t>146.82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2,666.93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2,520.11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146.82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教育管理事务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1,784.64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1,637.82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146.82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2050101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 xml:space="preserve">  行政运行</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1,437.82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1,437.82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2050102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 xml:space="preserve">  一般行政管理事务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200.00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200.00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2050199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 xml:space="preserve">  其他教育管理事务支出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146.82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146.82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20509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882.29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882.29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2050901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 xml:space="preserve">  农村中小学校舍建设</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80.00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80.00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22"/>
              </w:rPr>
            </w:pPr>
            <w:r>
              <w:rPr>
                <w:rFonts w:hint="eastAsia" w:cs="Arial"/>
                <w:color w:val="000000"/>
                <w:sz w:val="22"/>
              </w:rPr>
              <w:t>2050999</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ascii="宋体" w:hAnsi="宋体" w:eastAsia="宋体" w:cs="Arial"/>
                <w:color w:val="000000"/>
                <w:sz w:val="18"/>
              </w:rPr>
            </w:pPr>
            <w:r>
              <w:rPr>
                <w:rFonts w:hint="eastAsia" w:cs="Arial"/>
                <w:color w:val="000000"/>
                <w:sz w:val="18"/>
              </w:rPr>
              <w:t xml:space="preserve">  其他教育费附加安排的支出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802.29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r>
              <w:rPr>
                <w:rFonts w:hint="eastAsia" w:cs="Arial"/>
                <w:color w:val="000000"/>
                <w:sz w:val="22"/>
              </w:rPr>
              <w:t>802.29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Arial"/>
                <w:color w:val="000000"/>
                <w:sz w:val="22"/>
              </w:rPr>
            </w:pPr>
          </w:p>
        </w:tc>
      </w:tr>
      <w:tr>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4235" w:type="dxa"/>
        <w:tblInd w:w="93" w:type="dxa"/>
        <w:tblLayout w:type="autofit"/>
        <w:tblCellMar>
          <w:top w:w="0" w:type="dxa"/>
          <w:left w:w="108" w:type="dxa"/>
          <w:bottom w:w="0" w:type="dxa"/>
          <w:right w:w="108" w:type="dxa"/>
        </w:tblCellMar>
      </w:tblPr>
      <w:tblGrid>
        <w:gridCol w:w="1042"/>
        <w:gridCol w:w="107"/>
        <w:gridCol w:w="1167"/>
        <w:gridCol w:w="1385"/>
        <w:gridCol w:w="1510"/>
        <w:gridCol w:w="1679"/>
        <w:gridCol w:w="1679"/>
        <w:gridCol w:w="1679"/>
        <w:gridCol w:w="1679"/>
        <w:gridCol w:w="2308"/>
      </w:tblGrid>
      <w:tr>
        <w:tblPrEx>
          <w:tblCellMar>
            <w:top w:w="0" w:type="dxa"/>
            <w:left w:w="108" w:type="dxa"/>
            <w:bottom w:w="0" w:type="dxa"/>
            <w:right w:w="108" w:type="dxa"/>
          </w:tblCellMar>
        </w:tblPrEx>
        <w:trPr>
          <w:trHeight w:val="435" w:hRule="atLeast"/>
        </w:trPr>
        <w:tc>
          <w:tcPr>
            <w:tcW w:w="14235"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274"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8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3701"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部门：湘乡市教育发展中心</w:t>
            </w:r>
          </w:p>
        </w:tc>
        <w:tc>
          <w:tcPr>
            <w:tcW w:w="15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67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2308"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701"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30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14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552" w:type="dxa"/>
            <w:gridSpan w:val="2"/>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rPr>
          <w:trHeight w:val="450" w:hRule="atLeast"/>
        </w:trPr>
        <w:tc>
          <w:tcPr>
            <w:tcW w:w="114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2"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30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3701"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308"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3701"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2,666.93</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823.88</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1,843.05</w:t>
            </w: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教育支出</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2,666.93</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823.88</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1,843.05</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20501</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教育管理事务</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1,784.64</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823.88</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960.76</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2050101</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 xml:space="preserve">  行政运行</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1,437.82</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823.88</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613.94</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2050102</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 xml:space="preserve">  一般行政管理事务</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200.00</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200.00</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2050199</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 xml:space="preserve">  其他教育管理事务支出</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146.82</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146.82</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20509</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教育费附加安排的支出</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882.29</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882.29</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2050901</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 xml:space="preserve">  农村中小学校舍建设</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80.00</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80.00</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cs="Arial"/>
                <w:color w:val="000000"/>
                <w:sz w:val="22"/>
              </w:rPr>
            </w:pPr>
            <w:r>
              <w:rPr>
                <w:rFonts w:hint="eastAsia" w:cs="Arial"/>
                <w:color w:val="000000"/>
                <w:sz w:val="22"/>
              </w:rPr>
              <w:t>2050999</w:t>
            </w:r>
          </w:p>
        </w:tc>
        <w:tc>
          <w:tcPr>
            <w:tcW w:w="2659" w:type="dxa"/>
            <w:gridSpan w:val="3"/>
            <w:tcBorders>
              <w:top w:val="nil"/>
              <w:left w:val="nil"/>
              <w:bottom w:val="single" w:color="auto" w:sz="4" w:space="0"/>
              <w:right w:val="single" w:color="auto" w:sz="4" w:space="0"/>
            </w:tcBorders>
            <w:shd w:val="clear" w:color="000000" w:fill="FFFFFF"/>
            <w:noWrap/>
            <w:vAlign w:val="center"/>
          </w:tcPr>
          <w:p>
            <w:pPr>
              <w:rPr>
                <w:rFonts w:ascii="宋体" w:hAnsi="宋体" w:eastAsia="宋体" w:cs="Arial"/>
                <w:color w:val="000000"/>
                <w:sz w:val="18"/>
              </w:rPr>
            </w:pPr>
            <w:r>
              <w:rPr>
                <w:rFonts w:hint="eastAsia" w:cs="Arial"/>
                <w:color w:val="000000"/>
                <w:sz w:val="18"/>
              </w:rPr>
              <w:t xml:space="preserve">  其他教育费附加安排的支出</w:t>
            </w:r>
          </w:p>
        </w:tc>
        <w:tc>
          <w:tcPr>
            <w:tcW w:w="151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802.29</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802.29</w:t>
            </w: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1679"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c>
          <w:tcPr>
            <w:tcW w:w="2308"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2659"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5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04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2659"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4"/>
                <w:szCs w:val="24"/>
              </w:rPr>
            </w:pPr>
          </w:p>
        </w:tc>
        <w:tc>
          <w:tcPr>
            <w:tcW w:w="15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167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c>
          <w:tcPr>
            <w:tcW w:w="230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630" w:hRule="atLeast"/>
        </w:trPr>
        <w:tc>
          <w:tcPr>
            <w:tcW w:w="14235"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部门：湘乡市教育发展中心</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2520.11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2520.11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2520.11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2520.11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2520.11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2520.11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2520.11</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kern w:val="0"/>
                <w:sz w:val="22"/>
              </w:rPr>
            </w:pPr>
            <w:r>
              <w:rPr>
                <w:rFonts w:hint="eastAsia" w:ascii="宋体" w:hAnsi="宋体" w:eastAsia="宋体" w:cs="宋体"/>
                <w:kern w:val="0"/>
                <w:sz w:val="22"/>
              </w:rPr>
              <w:t>2520.11</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Lines="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湘乡市教育发展中心</w:t>
      </w:r>
      <w:r>
        <w:rPr>
          <w:rFonts w:ascii="Times New Roman" w:hAnsi="Times New Roman" w:eastAsia="仿宋_GB2312" w:cs="Times New Roman"/>
          <w:color w:val="000000"/>
          <w:kern w:val="0"/>
          <w:szCs w:val="21"/>
        </w:rPr>
        <w:t>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6"/>
        <w:tblW w:w="15614" w:type="dxa"/>
        <w:jc w:val="center"/>
        <w:tblLayout w:type="fixed"/>
        <w:tblCellMar>
          <w:top w:w="0" w:type="dxa"/>
          <w:left w:w="108" w:type="dxa"/>
          <w:bottom w:w="0" w:type="dxa"/>
          <w:right w:w="108" w:type="dxa"/>
        </w:tblCellMar>
      </w:tblPr>
      <w:tblGrid>
        <w:gridCol w:w="1050"/>
        <w:gridCol w:w="140"/>
        <w:gridCol w:w="3085"/>
        <w:gridCol w:w="900"/>
        <w:gridCol w:w="1170"/>
        <w:gridCol w:w="1386"/>
        <w:gridCol w:w="1085"/>
        <w:gridCol w:w="672"/>
        <w:gridCol w:w="1057"/>
        <w:gridCol w:w="4127"/>
        <w:gridCol w:w="942"/>
      </w:tblGrid>
      <w:tr>
        <w:tblPrEx>
          <w:tblCellMar>
            <w:top w:w="0" w:type="dxa"/>
            <w:left w:w="108" w:type="dxa"/>
            <w:bottom w:w="0" w:type="dxa"/>
            <w:right w:w="108" w:type="dxa"/>
          </w:tblCellMar>
        </w:tblPrEx>
        <w:trPr>
          <w:gridAfter w:val="1"/>
          <w:wAfter w:w="942" w:type="dxa"/>
          <w:trHeight w:val="405" w:hRule="atLeast"/>
          <w:jc w:val="center"/>
        </w:trPr>
        <w:tc>
          <w:tcPr>
            <w:tcW w:w="517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9497"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gridAfter w:val="1"/>
          <w:wAfter w:w="942" w:type="dxa"/>
          <w:trHeight w:val="495" w:hRule="atLeast"/>
          <w:jc w:val="center"/>
        </w:trPr>
        <w:tc>
          <w:tcPr>
            <w:tcW w:w="1190" w:type="dxa"/>
            <w:gridSpan w:val="2"/>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985"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556"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814" w:type="dxa"/>
            <w:gridSpan w:val="3"/>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4127"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gridAfter w:val="1"/>
          <w:wAfter w:w="942" w:type="dxa"/>
          <w:trHeight w:val="360" w:hRule="atLeast"/>
          <w:jc w:val="center"/>
        </w:trPr>
        <w:tc>
          <w:tcPr>
            <w:tcW w:w="119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985"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5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814"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127"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985"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556"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2814"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4127"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gridAfter w:val="1"/>
          <w:wAfter w:w="942" w:type="dxa"/>
          <w:trHeight w:val="450" w:hRule="atLeast"/>
          <w:jc w:val="center"/>
        </w:trPr>
        <w:tc>
          <w:tcPr>
            <w:tcW w:w="5175"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556"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814" w:type="dxa"/>
            <w:gridSpan w:val="3"/>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4127"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gridAfter w:val="1"/>
          <w:wAfter w:w="942" w:type="dxa"/>
          <w:trHeight w:val="450" w:hRule="atLeast"/>
          <w:jc w:val="center"/>
        </w:trPr>
        <w:tc>
          <w:tcPr>
            <w:tcW w:w="5175"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2,520.11</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823.88</w:t>
            </w: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1,696.23</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205</w:t>
            </w:r>
          </w:p>
        </w:tc>
        <w:tc>
          <w:tcPr>
            <w:tcW w:w="398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教育支出</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2,520.11</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823.88</w:t>
            </w: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1,696.23</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20501</w:t>
            </w:r>
          </w:p>
        </w:tc>
        <w:tc>
          <w:tcPr>
            <w:tcW w:w="398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教育管理事务</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1,637.82</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823.88</w:t>
            </w: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813.94</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2050101</w:t>
            </w:r>
          </w:p>
        </w:tc>
        <w:tc>
          <w:tcPr>
            <w:tcW w:w="398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 xml:space="preserve">  行政运行</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1,437.82</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823.88</w:t>
            </w: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613.94</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2050102</w:t>
            </w:r>
          </w:p>
        </w:tc>
        <w:tc>
          <w:tcPr>
            <w:tcW w:w="398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 xml:space="preserve">  一般行政管理事务</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200.00</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200.00</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20509</w:t>
            </w:r>
          </w:p>
        </w:tc>
        <w:tc>
          <w:tcPr>
            <w:tcW w:w="398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教育费附加安排的支出</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882.29</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882.29</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2050901</w:t>
            </w:r>
          </w:p>
        </w:tc>
        <w:tc>
          <w:tcPr>
            <w:tcW w:w="398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 xml:space="preserve">  农村中小学校舍建设</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80.00</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80.00</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2050999</w:t>
            </w:r>
          </w:p>
        </w:tc>
        <w:tc>
          <w:tcPr>
            <w:tcW w:w="3985" w:type="dxa"/>
            <w:gridSpan w:val="2"/>
            <w:tcBorders>
              <w:top w:val="nil"/>
              <w:left w:val="nil"/>
              <w:bottom w:val="single" w:color="auto" w:sz="4" w:space="0"/>
              <w:right w:val="single" w:color="auto" w:sz="4" w:space="0"/>
            </w:tcBorders>
            <w:shd w:val="clear" w:color="auto" w:fill="auto"/>
            <w:vAlign w:val="center"/>
          </w:tcPr>
          <w:p>
            <w:pPr>
              <w:rPr>
                <w:rFonts w:ascii="宋体" w:hAnsi="宋体" w:eastAsia="宋体" w:cs="Arial"/>
                <w:color w:val="000000"/>
                <w:sz w:val="22"/>
              </w:rPr>
            </w:pPr>
            <w:r>
              <w:rPr>
                <w:rFonts w:hint="eastAsia" w:cs="Arial"/>
                <w:color w:val="000000"/>
                <w:sz w:val="22"/>
              </w:rPr>
              <w:t xml:space="preserve">  其他教育费附加安排的支出</w:t>
            </w:r>
          </w:p>
        </w:tc>
        <w:tc>
          <w:tcPr>
            <w:tcW w:w="2556" w:type="dxa"/>
            <w:gridSpan w:val="2"/>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802.29</w:t>
            </w:r>
          </w:p>
        </w:tc>
        <w:tc>
          <w:tcPr>
            <w:tcW w:w="2814" w:type="dxa"/>
            <w:gridSpan w:val="3"/>
            <w:tcBorders>
              <w:top w:val="nil"/>
              <w:left w:val="nil"/>
              <w:bottom w:val="single" w:color="auto" w:sz="4" w:space="0"/>
              <w:right w:val="single" w:color="auto" w:sz="4" w:space="0"/>
            </w:tcBorders>
            <w:shd w:val="clear" w:color="auto" w:fill="auto"/>
            <w:vAlign w:val="center"/>
          </w:tcPr>
          <w:p>
            <w:pPr>
              <w:jc w:val="right"/>
              <w:rPr>
                <w:rFonts w:ascii="宋体" w:hAnsi="宋体" w:eastAsia="宋体" w:cs="Arial"/>
                <w:color w:val="000000"/>
                <w:sz w:val="22"/>
              </w:rPr>
            </w:pPr>
          </w:p>
        </w:tc>
        <w:tc>
          <w:tcPr>
            <w:tcW w:w="4127" w:type="dxa"/>
            <w:tcBorders>
              <w:top w:val="nil"/>
              <w:left w:val="nil"/>
              <w:bottom w:val="single" w:color="auto" w:sz="4" w:space="0"/>
              <w:right w:val="single" w:color="auto" w:sz="8" w:space="0"/>
            </w:tcBorders>
            <w:shd w:val="clear" w:color="auto" w:fill="auto"/>
            <w:vAlign w:val="center"/>
          </w:tcPr>
          <w:p>
            <w:pPr>
              <w:jc w:val="right"/>
              <w:rPr>
                <w:rFonts w:ascii="宋体" w:hAnsi="宋体" w:eastAsia="宋体" w:cs="Arial"/>
                <w:color w:val="000000"/>
                <w:sz w:val="22"/>
              </w:rPr>
            </w:pPr>
            <w:r>
              <w:rPr>
                <w:rFonts w:hint="eastAsia" w:cs="Arial"/>
                <w:color w:val="000000"/>
                <w:sz w:val="22"/>
              </w:rPr>
              <w:t>802.29</w:t>
            </w: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985"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2556" w:type="dxa"/>
            <w:gridSpan w:val="2"/>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2814" w:type="dxa"/>
            <w:gridSpan w:val="3"/>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4127" w:type="dxa"/>
            <w:tcBorders>
              <w:top w:val="nil"/>
              <w:left w:val="nil"/>
              <w:bottom w:val="single" w:color="auto" w:sz="4"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gridAfter w:val="1"/>
          <w:wAfter w:w="942" w:type="dxa"/>
          <w:trHeight w:val="450" w:hRule="atLeast"/>
          <w:jc w:val="center"/>
        </w:trPr>
        <w:tc>
          <w:tcPr>
            <w:tcW w:w="119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p>
        </w:tc>
        <w:tc>
          <w:tcPr>
            <w:tcW w:w="3985" w:type="dxa"/>
            <w:gridSpan w:val="2"/>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2556" w:type="dxa"/>
            <w:gridSpan w:val="2"/>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2814" w:type="dxa"/>
            <w:gridSpan w:val="3"/>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4127" w:type="dxa"/>
            <w:tcBorders>
              <w:top w:val="nil"/>
              <w:left w:val="nil"/>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gridAfter w:val="1"/>
          <w:wAfter w:w="942" w:type="dxa"/>
          <w:trHeight w:val="645" w:hRule="atLeast"/>
          <w:jc w:val="center"/>
        </w:trPr>
        <w:tc>
          <w:tcPr>
            <w:tcW w:w="14672" w:type="dxa"/>
            <w:gridSpan w:val="10"/>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p>
            <w:pPr>
              <w:widowControl/>
              <w:jc w:val="left"/>
              <w:rPr>
                <w:rFonts w:ascii="Times New Roman" w:hAnsi="Times New Roman" w:eastAsia="仿宋_GB2312" w:cs="Times New Roman"/>
                <w:kern w:val="0"/>
                <w:szCs w:val="21"/>
              </w:rPr>
            </w:pPr>
          </w:p>
          <w:p>
            <w:pPr>
              <w:widowControl/>
              <w:jc w:val="left"/>
              <w:rPr>
                <w:rFonts w:ascii="Times New Roman" w:hAnsi="Times New Roman" w:eastAsia="仿宋_GB2312" w:cs="Times New Roman"/>
                <w:kern w:val="0"/>
                <w:szCs w:val="21"/>
              </w:rPr>
            </w:pPr>
          </w:p>
          <w:p>
            <w:pPr>
              <w:widowControl/>
              <w:jc w:val="left"/>
              <w:rPr>
                <w:rFonts w:ascii="Times New Roman" w:hAnsi="Times New Roman" w:eastAsia="仿宋_GB2312" w:cs="Times New Roman"/>
                <w:kern w:val="0"/>
                <w:szCs w:val="21"/>
              </w:rPr>
            </w:pPr>
          </w:p>
          <w:p>
            <w:pPr>
              <w:widowControl/>
              <w:jc w:val="left"/>
              <w:rPr>
                <w:rFonts w:ascii="Times New Roman" w:hAnsi="Times New Roman" w:eastAsia="仿宋_GB2312" w:cs="Times New Roman"/>
                <w:kern w:val="0"/>
                <w:szCs w:val="21"/>
              </w:rPr>
            </w:pPr>
          </w:p>
          <w:p>
            <w:pPr>
              <w:widowControl/>
              <w:jc w:val="left"/>
              <w:rPr>
                <w:rFonts w:ascii="Times New Roman" w:hAnsi="Times New Roman" w:eastAsia="仿宋_GB2312" w:cs="Times New Roman"/>
                <w:kern w:val="0"/>
                <w:szCs w:val="21"/>
              </w:rPr>
            </w:pPr>
          </w:p>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113" w:hRule="atLeast"/>
          <w:jc w:val="center"/>
        </w:trPr>
        <w:tc>
          <w:tcPr>
            <w:tcW w:w="15614"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湘乡市教育发展中心公开06表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868" w:hRule="atLeast"/>
          <w:jc w:val="center"/>
        </w:trPr>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22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47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2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4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752.51</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49.67</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4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322.02</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2.35</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4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0.24</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14.42</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4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15.51</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4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5.46</w:t>
            </w: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20.82</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4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130.56</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0.05</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4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r>
              <w:rPr>
                <w:rFonts w:hint="eastAsia" w:cs="Arial"/>
                <w:color w:val="000000"/>
                <w:sz w:val="22"/>
              </w:rPr>
              <w:t>5.46</w:t>
            </w: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75.63</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1.10</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4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2"/>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0.37</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65.10</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8.50</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105.96</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8.15</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16.24</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0.09</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13.41</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2.83</w:t>
            </w: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28.58</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0.12</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0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105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322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c>
          <w:tcPr>
            <w:tcW w:w="117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47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72"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Arial"/>
                <w:color w:val="000000"/>
                <w:sz w:val="20"/>
              </w:rPr>
            </w:pPr>
            <w:r>
              <w:rPr>
                <w:rFonts w:hint="eastAsia" w:cs="Arial"/>
                <w:color w:val="000000"/>
                <w:sz w:val="20"/>
              </w:rPr>
              <w:t>2.59</w:t>
            </w:r>
          </w:p>
        </w:tc>
        <w:tc>
          <w:tcPr>
            <w:tcW w:w="105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412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jc w:val="center"/>
        </w:trPr>
        <w:tc>
          <w:tcPr>
            <w:tcW w:w="4275"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768.74</w:t>
            </w:r>
          </w:p>
        </w:tc>
        <w:tc>
          <w:tcPr>
            <w:tcW w:w="9497" w:type="dxa"/>
            <w:gridSpan w:val="6"/>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4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55.13</w:t>
            </w:r>
          </w:p>
        </w:tc>
      </w:tr>
      <w:tr>
        <w:tblPrEx>
          <w:tblCellMar>
            <w:top w:w="0" w:type="dxa"/>
            <w:left w:w="108" w:type="dxa"/>
            <w:bottom w:w="0" w:type="dxa"/>
            <w:right w:w="108" w:type="dxa"/>
          </w:tblCellMar>
        </w:tblPrEx>
        <w:trPr>
          <w:trHeight w:val="284" w:hRule="exact"/>
          <w:jc w:val="center"/>
        </w:trPr>
        <w:tc>
          <w:tcPr>
            <w:tcW w:w="15614" w:type="dxa"/>
            <w:gridSpan w:val="11"/>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center"/>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w:t>
      </w:r>
      <w:r>
        <w:rPr>
          <w:rFonts w:hint="eastAsia" w:ascii="宋体" w:hAnsi="宋体" w:eastAsia="宋体" w:cs="宋体"/>
          <w:color w:val="000000"/>
          <w:kern w:val="0"/>
          <w:szCs w:val="21"/>
        </w:rPr>
        <w:t>湘乡市教育发展中心</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1.8</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pPr>
              <w:widowControl/>
              <w:jc w:val="left"/>
              <w:rPr>
                <w:rFonts w:ascii="Times New Roman" w:hAnsi="Times New Roman" w:eastAsia="仿宋_GB2312" w:cs="Times New Roman"/>
                <w:kern w:val="0"/>
                <w:szCs w:val="21"/>
              </w:rPr>
            </w:pP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1.74</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color w:val="000000"/>
          <w:kern w:val="0"/>
          <w:szCs w:val="21"/>
        </w:rPr>
        <w:t>湘乡市教育发展中心</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 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rPr>
              <w:t>本表无数据</w:t>
            </w: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c>
          <w:tcPr>
            <w:tcW w:w="2000" w:type="dxa"/>
            <w:shd w:val="clear" w:color="auto" w:fill="auto"/>
            <w:vAlign w:val="center"/>
          </w:tcPr>
          <w:p>
            <w:pPr>
              <w:widowControl/>
              <w:jc w:val="center"/>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p>
        </w:tc>
        <w:tc>
          <w:tcPr>
            <w:tcW w:w="132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c>
          <w:tcPr>
            <w:tcW w:w="2000" w:type="dxa"/>
            <w:shd w:val="clear" w:color="auto" w:fill="auto"/>
            <w:vAlign w:val="center"/>
          </w:tcPr>
          <w:p>
            <w:pPr>
              <w:widowControl/>
              <w:jc w:val="left"/>
              <w:rPr>
                <w:rFonts w:ascii="Times New Roman" w:hAnsi="Times New Roman" w:eastAsia="仿宋_GB2312" w:cs="Times New Roman"/>
                <w:kern w:val="0"/>
                <w:szCs w:val="21"/>
              </w:rPr>
            </w:pP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Cs w:val="21"/>
              </w:rPr>
              <w:t>湘乡市教育发展中心</w:t>
            </w:r>
          </w:p>
          <w:p>
            <w:pPr>
              <w:widowControl/>
              <w:jc w:val="center"/>
              <w:rPr>
                <w:rFonts w:ascii="宋体" w:hAnsi="宋体" w:eastAsia="宋体" w:cs="宋体"/>
                <w:kern w:val="0"/>
                <w:sz w:val="20"/>
                <w:szCs w:val="20"/>
              </w:rPr>
            </w:pPr>
          </w:p>
          <w:p>
            <w:pPr>
              <w:widowControl/>
              <w:jc w:val="center"/>
              <w:rPr>
                <w:rFonts w:ascii="宋体" w:hAnsi="宋体" w:eastAsia="宋体" w:cs="宋体"/>
                <w:kern w:val="0"/>
                <w:sz w:val="20"/>
                <w:szCs w:val="20"/>
              </w:rPr>
            </w:pP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本表无数据</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2"/>
        <w:rPr>
          <w:sz w:val="72"/>
          <w:szCs w:val="72"/>
        </w:rPr>
        <w:sectPr>
          <w:pgSz w:w="16838" w:h="11906" w:orient="landscape"/>
          <w:pgMar w:top="720" w:right="720" w:bottom="720" w:left="720" w:header="851" w:footer="992" w:gutter="0"/>
          <w:cols w:space="425" w:num="1"/>
          <w:docGrid w:type="lines" w:linePitch="312" w:charSpace="0"/>
        </w:sect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第三部分</w:t>
      </w:r>
    </w:p>
    <w:p>
      <w:pPr>
        <w:pStyle w:val="12"/>
        <w:jc w:val="center"/>
        <w:rPr>
          <w:sz w:val="70"/>
          <w:szCs w:val="70"/>
        </w:rPr>
      </w:pPr>
    </w:p>
    <w:p>
      <w:pPr>
        <w:pStyle w:val="12"/>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2"/>
        <w:rPr>
          <w:rFonts w:asciiTheme="minorEastAsia" w:hAnsiTheme="minorEastAsia" w:eastAsiaTheme="minorEastAsia"/>
          <w:sz w:val="32"/>
          <w:szCs w:val="32"/>
        </w:rPr>
      </w:pPr>
    </w:p>
    <w:p>
      <w:pPr>
        <w:pStyle w:val="12"/>
        <w:rPr>
          <w:rFonts w:hAnsi="黑体"/>
          <w:b/>
          <w:color w:val="auto"/>
          <w:sz w:val="32"/>
          <w:szCs w:val="32"/>
        </w:rPr>
      </w:pPr>
      <w:r>
        <w:rPr>
          <w:rFonts w:hint="eastAsia" w:hAnsi="黑体"/>
          <w:b/>
          <w:sz w:val="32"/>
          <w:szCs w:val="32"/>
        </w:rPr>
        <w:t>一</w:t>
      </w:r>
      <w:r>
        <w:rPr>
          <w:rFonts w:hint="eastAsia" w:hAnsi="黑体"/>
          <w:b/>
          <w:color w:val="auto"/>
          <w:sz w:val="32"/>
          <w:szCs w:val="32"/>
        </w:rPr>
        <w:t>、收入支出决算总体情况说明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2021年度收支总计5333.86万元</w:t>
      </w:r>
      <w:r>
        <w:rPr>
          <w:rFonts w:hint="eastAsia" w:asciiTheme="minorEastAsia" w:hAnsiTheme="minorEastAsia" w:eastAsiaTheme="minorEastAsia"/>
          <w:sz w:val="32"/>
          <w:szCs w:val="32"/>
        </w:rPr>
        <w:t>。与上年相比，增加2458.7万元，增长46.09%，主要是因为我市新建学校配置配备投入。</w:t>
      </w:r>
    </w:p>
    <w:p>
      <w:pPr>
        <w:pStyle w:val="12"/>
        <w:rPr>
          <w:rFonts w:hAnsi="黑体"/>
          <w:b/>
          <w:sz w:val="32"/>
          <w:szCs w:val="32"/>
        </w:rPr>
      </w:pPr>
      <w:r>
        <w:rPr>
          <w:rFonts w:hint="eastAsia" w:hAnsi="黑体"/>
          <w:b/>
          <w:sz w:val="32"/>
          <w:szCs w:val="32"/>
        </w:rPr>
        <w:t>二、收入决算情况说明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2021年度收入合计2666.93万元，其中：财政拨款收入2520.11万元，占94.49%；事业收入62.52万元，占5.51%。</w:t>
      </w:r>
    </w:p>
    <w:p>
      <w:pPr>
        <w:pStyle w:val="12"/>
        <w:rPr>
          <w:rFonts w:hAnsi="黑体"/>
          <w:b/>
          <w:sz w:val="32"/>
          <w:szCs w:val="32"/>
        </w:rPr>
      </w:pPr>
      <w:r>
        <w:rPr>
          <w:rFonts w:hint="eastAsia" w:hAnsi="黑体"/>
          <w:b/>
          <w:sz w:val="32"/>
          <w:szCs w:val="32"/>
        </w:rPr>
        <w:t>三、支出决算情况说明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2021年度支出合计2666.93万元，其中：基本支出823.88万元，占30.89%；项目支出1843.05万元，占69.11%。</w:t>
      </w:r>
    </w:p>
    <w:p>
      <w:pPr>
        <w:pStyle w:val="12"/>
        <w:rPr>
          <w:rFonts w:hAnsi="黑体"/>
          <w:b/>
          <w:sz w:val="32"/>
          <w:szCs w:val="32"/>
        </w:rPr>
      </w:pPr>
      <w:r>
        <w:rPr>
          <w:rFonts w:hint="eastAsia" w:hAnsi="黑体"/>
          <w:b/>
          <w:sz w:val="32"/>
          <w:szCs w:val="32"/>
        </w:rPr>
        <w:t>四、财政拨款收入支出决算总体情况说明</w:t>
      </w:r>
    </w:p>
    <w:p>
      <w:pPr>
        <w:pStyle w:val="12"/>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2021年度财政拨款</w:t>
      </w:r>
      <w:r>
        <w:rPr>
          <w:rFonts w:hint="eastAsia" w:asciiTheme="minorEastAsia" w:hAnsiTheme="minorEastAsia" w:eastAsiaTheme="minorEastAsia"/>
          <w:color w:val="auto"/>
          <w:sz w:val="32"/>
          <w:szCs w:val="32"/>
        </w:rPr>
        <w:t>收支总计5040.22万元，与上年</w:t>
      </w:r>
      <w:r>
        <w:rPr>
          <w:rFonts w:hint="eastAsia" w:asciiTheme="minorEastAsia" w:hAnsiTheme="minorEastAsia" w:eastAsiaTheme="minorEastAsia"/>
          <w:sz w:val="32"/>
          <w:szCs w:val="32"/>
        </w:rPr>
        <w:t>相比，增加2365.1万元,增长46.92%，主要是因为我市新建学校配置配备投入。</w:t>
      </w:r>
    </w:p>
    <w:p>
      <w:pPr>
        <w:pStyle w:val="12"/>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2021年度财政拨款支出2520.11万元，占本年支出合计的94.49%，与上年相比，财政拨款支出增加1182.55万元，增长46.92%，主要是因为我市新建学校配置配备投入。</w:t>
      </w:r>
    </w:p>
    <w:p>
      <w:pPr>
        <w:pStyle w:val="12"/>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2021年度财政拨款支出2520.11万元，主要用于以下方面：教育（类）支出2520.11万元，占100%。</w:t>
      </w:r>
    </w:p>
    <w:p>
      <w:pPr>
        <w:pStyle w:val="12"/>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2021年度财政拨款支出年初预算数为3871.97万元，支出决算数为2520.11万元，完成年初预算</w:t>
      </w:r>
      <w:r>
        <w:rPr>
          <w:rFonts w:hint="eastAsia" w:asciiTheme="minorEastAsia" w:hAnsiTheme="minorEastAsia" w:eastAsiaTheme="minorEastAsia"/>
          <w:color w:val="auto"/>
          <w:sz w:val="32"/>
          <w:szCs w:val="32"/>
        </w:rPr>
        <w:t>的65.09%，其中：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1、教育支出—教育管理事务—行政运行（2050101）。</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年初预算为1527.03万元，支出决算为1437.82万元，完成年初预算的94.16%.决算数少于预算数的原因是：财政资金紧张拨款不足</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2、教育支出—教育管理事务—一般行政管理事务（2050102）。</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年初预算为200万元，支出决算为200万元，完成年初预算的100%。</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3、教育支出—普通教育—小学教育（2050202）。</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年初预算为495.96万元，支出决算为0万元，完成年初预算的0%。决算数少于预算数的原因是：财政资金紧张拨款不足</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4、教育支出—普通教育—初中教育（2050203）。</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年初预算为296万元，支出决算为0万元，完成年初预算的0%。决算数少于预算数的原因是：财政资金紧张拨款不足</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5、教育支出—普通教育—其他普通教育支出（2050299）。</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年初预算为49.99万元，支出决算为0万元，完成年初预算的0%。决算数少于预算数的原因是：财政资金紧张拨款不足</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6、教育支出—教育费附加安排的支出—其他教育费附加安排的支出（2050999）。</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年初预算为1423万元，支出决算为802.29万元，完成年初预算的56.38%.决算数少于预算数的原因是：财政资金紧张拨款不足</w:t>
      </w:r>
    </w:p>
    <w:p>
      <w:pPr>
        <w:pStyle w:val="12"/>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sz w:val="32"/>
          <w:szCs w:val="32"/>
        </w:rPr>
        <w:t>2021年度财政拨款基本支出823.87万元，其中：人员经费768.74万元，占基本支出</w:t>
      </w:r>
      <w:r>
        <w:rPr>
          <w:rFonts w:hint="eastAsia" w:asciiTheme="minorEastAsia" w:hAnsiTheme="minorEastAsia" w:eastAsiaTheme="minorEastAsia"/>
          <w:color w:val="auto"/>
          <w:sz w:val="32"/>
          <w:szCs w:val="32"/>
        </w:rPr>
        <w:t>的93.31%,主要包括基本工资、津贴补贴、奖金、伙食补助费、绩效工资、机关事业单位基本养老保险缴费、职工医疗保险缴费、住房公积金等；公用经费55.13万元，占基本支出的6.69%，主要包括</w:t>
      </w:r>
    </w:p>
    <w:p>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30201</w:t>
      </w:r>
      <w:r>
        <w:rPr>
          <w:rFonts w:hint="eastAsia" w:asciiTheme="minorEastAsia" w:hAnsiTheme="minorEastAsia" w:eastAsiaTheme="minorEastAsia"/>
          <w:color w:val="auto"/>
          <w:sz w:val="32"/>
          <w:szCs w:val="32"/>
        </w:rPr>
        <w:tab/>
      </w:r>
      <w:r>
        <w:rPr>
          <w:rFonts w:hint="eastAsia" w:asciiTheme="minorEastAsia" w:hAnsiTheme="minorEastAsia" w:eastAsiaTheme="minorEastAsia"/>
          <w:color w:val="auto"/>
          <w:sz w:val="32"/>
          <w:szCs w:val="32"/>
        </w:rPr>
        <w:t xml:space="preserve">  办公费</w:t>
      </w:r>
      <w:r>
        <w:rPr>
          <w:rFonts w:hint="eastAsia" w:asciiTheme="minorEastAsia" w:hAnsiTheme="minorEastAsia" w:eastAsiaTheme="minorEastAsia"/>
          <w:color w:val="auto"/>
          <w:sz w:val="32"/>
          <w:szCs w:val="32"/>
        </w:rPr>
        <w:tab/>
      </w:r>
      <w:r>
        <w:rPr>
          <w:rFonts w:hint="eastAsia" w:asciiTheme="minorEastAsia" w:hAnsiTheme="minorEastAsia" w:eastAsiaTheme="minorEastAsia"/>
          <w:color w:val="auto"/>
          <w:sz w:val="32"/>
          <w:szCs w:val="32"/>
        </w:rPr>
        <w:t>2.35万元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30202</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印刷费</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14.42万元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30205</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水费</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0.05万元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30206</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电费</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1.10万元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30207</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邮电费</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0.37万元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30216</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培训费</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0.09万元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30228</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工会经费</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28.58万元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30239</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其他交通费用</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0.12万元</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30299</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其他商品和服务支出</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2.59万元</w:t>
      </w:r>
    </w:p>
    <w:p>
      <w:pPr>
        <w:pStyle w:val="12"/>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31002</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 xml:space="preserve">  办公设备购置</w:t>
      </w:r>
      <w:r>
        <w:rPr>
          <w:rFonts w:hint="eastAsia" w:asciiTheme="minorEastAsia" w:hAnsiTheme="minorEastAsia" w:eastAsiaTheme="minorEastAsia"/>
          <w:sz w:val="32"/>
          <w:szCs w:val="32"/>
        </w:rPr>
        <w:tab/>
      </w:r>
      <w:r>
        <w:rPr>
          <w:rFonts w:hint="eastAsia" w:asciiTheme="minorEastAsia" w:hAnsiTheme="minorEastAsia" w:eastAsiaTheme="minorEastAsia"/>
          <w:sz w:val="32"/>
          <w:szCs w:val="32"/>
        </w:rPr>
        <w:t>5.46万元</w:t>
      </w:r>
    </w:p>
    <w:p>
      <w:pPr>
        <w:pStyle w:val="12"/>
        <w:rPr>
          <w:rFonts w:hAnsi="黑体"/>
          <w:b/>
          <w:sz w:val="32"/>
          <w:szCs w:val="32"/>
        </w:rPr>
      </w:pPr>
      <w:r>
        <w:rPr>
          <w:rFonts w:hint="eastAsia" w:hAnsi="黑体"/>
          <w:b/>
          <w:sz w:val="32"/>
          <w:szCs w:val="32"/>
        </w:rPr>
        <w:t>七、一般公共预算财政拨款“三公”经费支出决算情况说明</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2021年度“三公”经费财政拨款支出预算为1万元，支出决算为1.74万元，完成预算的174%，其中：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公务接待费支出预算为1万元，支出决算为1.74万元，完成预算的174%，决算数大于预算数的主要原因是高考学考期间省教育厅巡考级别较高、全程巡考，接待费用增加。</w:t>
      </w:r>
    </w:p>
    <w:p>
      <w:pPr>
        <w:pStyle w:val="12"/>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2021年度“三公”经费财政拨款支出决算中，公务接待费支出决算1.74万元，占100%,其中：</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1、公务接待费支出决算为1.74万元，全年共接待来宾18人次，主要是高考、学考期间上级巡考期间上级巡视发生的接待支出。</w:t>
      </w:r>
    </w:p>
    <w:p>
      <w:pPr>
        <w:pStyle w:val="12"/>
        <w:rPr>
          <w:rFonts w:hAnsi="黑体"/>
          <w:b/>
          <w:sz w:val="32"/>
          <w:szCs w:val="32"/>
        </w:rPr>
      </w:pPr>
      <w:r>
        <w:rPr>
          <w:rFonts w:hint="eastAsia" w:hAnsi="黑体"/>
          <w:b/>
          <w:sz w:val="32"/>
          <w:szCs w:val="32"/>
        </w:rPr>
        <w:t>八、政府性基金预算收入支出决算情况</w:t>
      </w:r>
    </w:p>
    <w:p>
      <w:pPr>
        <w:pStyle w:val="12"/>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2021年度政府性基金预算财政拨款收入0万元；年初结转和结余0万元；支出0万元。</w:t>
      </w:r>
    </w:p>
    <w:p>
      <w:pPr>
        <w:pStyle w:val="12"/>
        <w:rPr>
          <w:rFonts w:hAnsi="黑体"/>
          <w:b/>
          <w:sz w:val="32"/>
          <w:szCs w:val="32"/>
        </w:rPr>
      </w:pPr>
      <w:r>
        <w:rPr>
          <w:rFonts w:hint="eastAsia" w:hAnsi="黑体"/>
          <w:b/>
          <w:sz w:val="32"/>
          <w:szCs w:val="32"/>
        </w:rPr>
        <w:t>九、机关运行经费支出说明</w:t>
      </w:r>
    </w:p>
    <w:p>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本部门2021年度机关运行经费支出55.13万元。与上年决算数52.55万元相比增加2.58万元，增长4.91%，主要原因是办公场所老旧维修改造开支费用。</w:t>
      </w:r>
    </w:p>
    <w:p>
      <w:pPr>
        <w:pStyle w:val="12"/>
        <w:rPr>
          <w:rFonts w:hAnsi="黑体"/>
          <w:b/>
          <w:sz w:val="32"/>
          <w:szCs w:val="32"/>
        </w:rPr>
      </w:pPr>
      <w:r>
        <w:rPr>
          <w:rFonts w:hint="eastAsia" w:hAnsi="黑体"/>
          <w:b/>
          <w:sz w:val="32"/>
          <w:szCs w:val="32"/>
        </w:rPr>
        <w:t>十、一般性支出情况说明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2021年本部门开支会议费0.09万元，用于召开学校食堂专题培训会议，人数100人。</w:t>
      </w:r>
    </w:p>
    <w:p>
      <w:pPr>
        <w:pStyle w:val="12"/>
        <w:rPr>
          <w:rFonts w:hAnsi="黑体"/>
          <w:b/>
          <w:sz w:val="32"/>
          <w:szCs w:val="32"/>
        </w:rPr>
      </w:pPr>
      <w:r>
        <w:rPr>
          <w:rFonts w:hint="eastAsia" w:hAnsi="黑体"/>
          <w:b/>
          <w:sz w:val="32"/>
          <w:szCs w:val="32"/>
        </w:rPr>
        <w:t>十一、政府采购支出说明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政府采购支出总额1498.76万元，其中：政府采购货物支出1498.76万元。授予中小企业合同金额1498.76万元，占政府采购支出总额的100%，其中：授予小微企业合同金额1498.76万元，占授予中小企业合同金额的100%；货物采购授予中小企业合同金额占货物支出金额的100%。</w:t>
      </w:r>
    </w:p>
    <w:p>
      <w:pPr>
        <w:pStyle w:val="12"/>
        <w:rPr>
          <w:rFonts w:hAnsi="黑体"/>
          <w:b/>
          <w:sz w:val="32"/>
          <w:szCs w:val="32"/>
        </w:rPr>
      </w:pPr>
      <w:r>
        <w:rPr>
          <w:rFonts w:hint="eastAsia" w:hAnsi="黑体"/>
          <w:b/>
          <w:sz w:val="32"/>
          <w:szCs w:val="32"/>
        </w:rPr>
        <w:t>十二、国有资产占用情况说明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截至2021年12月31日，部门（单位）共有车辆0辆；单位价值50万元以上通用设备0台（套）；单位价值100万元以上专用设备0台（套）。</w:t>
      </w:r>
    </w:p>
    <w:p>
      <w:pPr>
        <w:pStyle w:val="12"/>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b/>
          <w:color w:val="000000"/>
          <w:kern w:val="0"/>
          <w:sz w:val="32"/>
          <w:szCs w:val="32"/>
        </w:rPr>
        <w:t>（1）绩效管理评价工作开展情况</w:t>
      </w:r>
      <w:r>
        <w:rPr>
          <w:rFonts w:hint="eastAsia" w:cs="黑体" w:asciiTheme="minorEastAsia" w:hAnsiTheme="minorEastAsia"/>
          <w:color w:val="000000"/>
          <w:kern w:val="0"/>
          <w:sz w:val="32"/>
          <w:szCs w:val="32"/>
        </w:rPr>
        <w:t>。</w:t>
      </w:r>
    </w:p>
    <w:p>
      <w:pPr>
        <w:autoSpaceDE w:val="0"/>
        <w:autoSpaceDN w:val="0"/>
        <w:adjustRightInd w:val="0"/>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color w:val="000000"/>
          <w:kern w:val="0"/>
          <w:sz w:val="32"/>
          <w:szCs w:val="32"/>
        </w:rPr>
        <w:t>我单位为教育局二级预算单位，根据预算绩效管理工作办法，由教育局对</w:t>
      </w:r>
      <w:r>
        <w:rPr>
          <w:rFonts w:cs="黑体" w:asciiTheme="minorEastAsia" w:hAnsiTheme="minorEastAsia"/>
          <w:color w:val="000000"/>
          <w:kern w:val="0"/>
          <w:sz w:val="32"/>
          <w:szCs w:val="32"/>
        </w:rPr>
        <w:t xml:space="preserve">2021 </w:t>
      </w:r>
      <w:r>
        <w:rPr>
          <w:rFonts w:hint="eastAsia" w:cs="黑体" w:asciiTheme="minorEastAsia" w:hAnsiTheme="minorEastAsia"/>
          <w:color w:val="000000"/>
          <w:kern w:val="0"/>
          <w:sz w:val="32"/>
          <w:szCs w:val="32"/>
        </w:rPr>
        <w:t>年度一般公共预算项目支出开展绩效自评。</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rPr>
          <w:sz w:val="72"/>
          <w:szCs w:val="72"/>
        </w:rPr>
      </w:pPr>
    </w:p>
    <w:p>
      <w:pPr>
        <w:pStyle w:val="12"/>
        <w:rPr>
          <w:sz w:val="72"/>
          <w:szCs w:val="72"/>
        </w:rPr>
      </w:pPr>
    </w:p>
    <w:p>
      <w:pPr>
        <w:pStyle w:val="12"/>
        <w:jc w:val="both"/>
        <w:rPr>
          <w:sz w:val="72"/>
          <w:szCs w:val="72"/>
        </w:rPr>
      </w:pPr>
    </w:p>
    <w:p>
      <w:pPr>
        <w:pStyle w:val="12"/>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ind w:firstLine="640" w:firstLineChars="200"/>
        <w:jc w:val="left"/>
        <w:rPr>
          <w:rFonts w:cs="黑体" w:asciiTheme="minorEastAsia" w:hAnsiTheme="minorEastAsia"/>
          <w:color w:val="auto"/>
          <w:kern w:val="0"/>
          <w:sz w:val="32"/>
          <w:szCs w:val="32"/>
        </w:rPr>
      </w:pPr>
      <w:bookmarkStart w:id="3" w:name="_GoBack"/>
      <w:r>
        <w:rPr>
          <w:rFonts w:hint="eastAsia" w:cs="黑体" w:asciiTheme="minorEastAsia" w:hAnsiTheme="minorEastAsia"/>
          <w:color w:val="auto"/>
          <w:kern w:val="0"/>
          <w:sz w:val="32"/>
          <w:szCs w:val="32"/>
        </w:rPr>
        <w:t>一、</w:t>
      </w:r>
      <w:r>
        <w:rPr>
          <w:rFonts w:cs="黑体" w:asciiTheme="minorEastAsia" w:hAnsiTheme="minorEastAsia"/>
          <w:iCs/>
          <w:color w:val="auto"/>
          <w:kern w:val="0"/>
          <w:sz w:val="32"/>
          <w:szCs w:val="32"/>
        </w:rPr>
        <w:t>三公经费:指</w:t>
      </w:r>
      <w:r>
        <w:rPr>
          <w:rFonts w:hint="eastAsia" w:cs="黑体" w:asciiTheme="minorEastAsia" w:hAnsiTheme="minorEastAsia"/>
          <w:iCs/>
          <w:color w:val="auto"/>
          <w:kern w:val="0"/>
          <w:sz w:val="32"/>
          <w:szCs w:val="32"/>
        </w:rPr>
        <w:t>财政拨款支出安排的</w:t>
      </w:r>
      <w:r>
        <w:rPr>
          <w:rFonts w:cs="黑体" w:asciiTheme="minorEastAsia" w:hAnsiTheme="minorEastAsia"/>
          <w:iCs/>
          <w:color w:val="auto"/>
          <w:kern w:val="0"/>
          <w:sz w:val="32"/>
          <w:szCs w:val="32"/>
        </w:rPr>
        <w:t>因公出国(境)经费,公务车购置及运行费、公务接待费</w:t>
      </w:r>
      <w:r>
        <w:rPr>
          <w:rFonts w:cs="黑体" w:asciiTheme="minorEastAsia" w:hAnsiTheme="minorEastAsia"/>
          <w:color w:val="auto"/>
          <w:kern w:val="0"/>
          <w:sz w:val="32"/>
          <w:szCs w:val="32"/>
        </w:rPr>
        <w:t>。</w:t>
      </w:r>
    </w:p>
    <w:p>
      <w:pPr>
        <w:ind w:firstLine="640" w:firstLineChars="200"/>
        <w:jc w:val="left"/>
        <w:rPr>
          <w:rFonts w:cs="黑体" w:asciiTheme="minorEastAsia" w:hAnsiTheme="minorEastAsia"/>
          <w:color w:val="auto"/>
          <w:kern w:val="0"/>
          <w:sz w:val="32"/>
          <w:szCs w:val="32"/>
        </w:rPr>
      </w:pPr>
      <w:r>
        <w:rPr>
          <w:rFonts w:hint="eastAsia" w:cs="黑体" w:asciiTheme="minorEastAsia" w:hAnsiTheme="minorEastAsia"/>
          <w:color w:val="auto"/>
          <w:kern w:val="0"/>
          <w:sz w:val="32"/>
          <w:szCs w:val="32"/>
        </w:rPr>
        <w:t>二、</w:t>
      </w:r>
      <w:r>
        <w:rPr>
          <w:rFonts w:cs="黑体" w:asciiTheme="minorEastAsia" w:hAnsiTheme="minorEastAsia"/>
          <w:color w:val="auto"/>
          <w:kern w:val="0"/>
          <w:sz w:val="32"/>
          <w:szCs w:val="32"/>
        </w:rPr>
        <w:t>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hint="eastAsia" w:cs="黑体" w:asciiTheme="minorEastAsia" w:hAnsiTheme="minorEastAsia"/>
          <w:color w:val="auto"/>
          <w:kern w:val="0"/>
          <w:sz w:val="32"/>
          <w:szCs w:val="32"/>
        </w:rPr>
        <w:t>。</w:t>
      </w:r>
    </w:p>
    <w:bookmarkEnd w:id="3"/>
    <w:p>
      <w:pPr>
        <w:widowControl/>
        <w:jc w:val="left"/>
        <w:rPr>
          <w:rFonts w:eastAsia="黑体" w:cs="黑体" w:asciiTheme="minorEastAsia" w:hAnsiTheme="minorEastAsia"/>
          <w:color w:val="000000"/>
          <w:kern w:val="0"/>
          <w:sz w:val="28"/>
          <w:szCs w:val="32"/>
        </w:rPr>
      </w:pPr>
      <w:r>
        <w:rPr>
          <w:rFonts w:hint="eastAsia" w:asciiTheme="minorEastAsia" w:hAnsiTheme="minorEastAsia"/>
          <w:sz w:val="28"/>
          <w:szCs w:val="32"/>
        </w:rPr>
        <w:t>（名词解释应包含本部门专有名词，如省财政厅应有对“财政事务”科目的解释）</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2021年度部门整体支出绩效评价报告</w:t>
      </w:r>
    </w:p>
    <w:p>
      <w:pPr>
        <w:ind w:firstLine="640" w:firstLineChars="200"/>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t>………</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7ACB989-0258-4905-B064-EA81752209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D7EC9ECC-4B9E-429F-83B5-3A57E8C88862}"/>
  </w:font>
  <w:font w:name="华文中宋">
    <w:altName w:val="宋体"/>
    <w:panose1 w:val="02010600040101010101"/>
    <w:charset w:val="86"/>
    <w:family w:val="auto"/>
    <w:pitch w:val="default"/>
    <w:sig w:usb0="00000000" w:usb1="00000000" w:usb2="00000010" w:usb3="00000000" w:csb0="0004009F" w:csb1="00000000"/>
    <w:embedRegular r:id="rId3" w:fontKey="{FC235E0D-C9A2-484F-9CE1-CEB5C5B80265}"/>
  </w:font>
  <w:font w:name="Arial">
    <w:panose1 w:val="020B0604020202020204"/>
    <w:charset w:val="00"/>
    <w:family w:val="swiss"/>
    <w:pitch w:val="default"/>
    <w:sig w:usb0="E0002EFF" w:usb1="C000785B" w:usb2="00000009" w:usb3="00000000" w:csb0="400001FF" w:csb1="FFFF0000"/>
    <w:embedRegular r:id="rId4" w:fontKey="{B8A18870-06D9-417F-863A-663128CE46AC}"/>
  </w:font>
  <w:font w:name="方正小标宋_GBK">
    <w:panose1 w:val="02000000000000000000"/>
    <w:charset w:val="86"/>
    <w:family w:val="script"/>
    <w:pitch w:val="default"/>
    <w:sig w:usb0="00000001" w:usb1="080E0000" w:usb2="00000000" w:usb3="00000000" w:csb0="00040000" w:csb1="00000000"/>
    <w:embedRegular r:id="rId5" w:fontKey="{B3BB97A7-9595-4CBB-B126-50F8BC1796A2}"/>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DA4FD59"/>
    <w:multiLevelType w:val="singleLevel"/>
    <w:tmpl w:val="6DA4FD59"/>
    <w:lvl w:ilvl="0" w:tentative="0">
      <w:start w:val="1"/>
      <w:numFmt w:val="decimal"/>
      <w:suff w:val="nothing"/>
      <w:lvlText w:val="%1．"/>
      <w:lvlJc w:val="left"/>
      <w:pPr>
        <w:ind w:left="0"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kyMjhkNjc2ZDIwYTA3OTQxYWFjMjEwOTM2NjBiNDYifQ=="/>
  </w:docVars>
  <w:rsids>
    <w:rsidRoot w:val="00172A27"/>
    <w:rsid w:val="0002229B"/>
    <w:rsid w:val="000273BD"/>
    <w:rsid w:val="00030700"/>
    <w:rsid w:val="000415B7"/>
    <w:rsid w:val="00041E3F"/>
    <w:rsid w:val="00055DAA"/>
    <w:rsid w:val="00061F7B"/>
    <w:rsid w:val="000658A3"/>
    <w:rsid w:val="00074155"/>
    <w:rsid w:val="000873EF"/>
    <w:rsid w:val="000A3F69"/>
    <w:rsid w:val="000E6224"/>
    <w:rsid w:val="00103957"/>
    <w:rsid w:val="00121210"/>
    <w:rsid w:val="00124A1F"/>
    <w:rsid w:val="00152C6D"/>
    <w:rsid w:val="00162D39"/>
    <w:rsid w:val="001678BD"/>
    <w:rsid w:val="00172A27"/>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2E2A26"/>
    <w:rsid w:val="003130C4"/>
    <w:rsid w:val="00316C4B"/>
    <w:rsid w:val="0032192B"/>
    <w:rsid w:val="003276DD"/>
    <w:rsid w:val="003479BD"/>
    <w:rsid w:val="0037197D"/>
    <w:rsid w:val="003768D5"/>
    <w:rsid w:val="00386D1B"/>
    <w:rsid w:val="003B7081"/>
    <w:rsid w:val="003C4197"/>
    <w:rsid w:val="003C47E6"/>
    <w:rsid w:val="003C4FC2"/>
    <w:rsid w:val="003E2331"/>
    <w:rsid w:val="00416E61"/>
    <w:rsid w:val="0042790C"/>
    <w:rsid w:val="00442336"/>
    <w:rsid w:val="004506F9"/>
    <w:rsid w:val="004665D7"/>
    <w:rsid w:val="004717A2"/>
    <w:rsid w:val="00473DF3"/>
    <w:rsid w:val="00483770"/>
    <w:rsid w:val="00487911"/>
    <w:rsid w:val="00491741"/>
    <w:rsid w:val="004B0CEE"/>
    <w:rsid w:val="004F3137"/>
    <w:rsid w:val="00500E5F"/>
    <w:rsid w:val="005122EF"/>
    <w:rsid w:val="0051441A"/>
    <w:rsid w:val="00517C33"/>
    <w:rsid w:val="00517D5F"/>
    <w:rsid w:val="00521AF2"/>
    <w:rsid w:val="00523644"/>
    <w:rsid w:val="00534EAF"/>
    <w:rsid w:val="0054069E"/>
    <w:rsid w:val="00544866"/>
    <w:rsid w:val="005767CC"/>
    <w:rsid w:val="00590B80"/>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5BB8"/>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5C8C"/>
    <w:rsid w:val="00BD6C3E"/>
    <w:rsid w:val="00BE3674"/>
    <w:rsid w:val="00C10681"/>
    <w:rsid w:val="00C3049A"/>
    <w:rsid w:val="00C31B1E"/>
    <w:rsid w:val="00C77645"/>
    <w:rsid w:val="00CE04C3"/>
    <w:rsid w:val="00CE76A0"/>
    <w:rsid w:val="00D148C6"/>
    <w:rsid w:val="00D17A8A"/>
    <w:rsid w:val="00D415BA"/>
    <w:rsid w:val="00D456C4"/>
    <w:rsid w:val="00D63780"/>
    <w:rsid w:val="00D644EE"/>
    <w:rsid w:val="00D75489"/>
    <w:rsid w:val="00DA3B95"/>
    <w:rsid w:val="00DD06FF"/>
    <w:rsid w:val="00DD5FE9"/>
    <w:rsid w:val="00E00C7A"/>
    <w:rsid w:val="00E209CF"/>
    <w:rsid w:val="00E37D6C"/>
    <w:rsid w:val="00E50EC8"/>
    <w:rsid w:val="00E55B68"/>
    <w:rsid w:val="00E67BE6"/>
    <w:rsid w:val="00E8683C"/>
    <w:rsid w:val="00EA2B72"/>
    <w:rsid w:val="00EE3592"/>
    <w:rsid w:val="00F550B2"/>
    <w:rsid w:val="00F74360"/>
    <w:rsid w:val="00FB462F"/>
    <w:rsid w:val="00FE16FA"/>
    <w:rsid w:val="00FE328A"/>
    <w:rsid w:val="00FE6269"/>
    <w:rsid w:val="00FF5CD6"/>
    <w:rsid w:val="67A85F58"/>
    <w:rsid w:val="6F7572D3"/>
    <w:rsid w:val="73690AD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alloon Text"/>
    <w:basedOn w:val="1"/>
    <w:link w:val="14"/>
    <w:semiHidden/>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Emphasis"/>
    <w:basedOn w:val="7"/>
    <w:qFormat/>
    <w:uiPriority w:val="20"/>
    <w:rPr>
      <w:i/>
      <w:iCs/>
    </w:rPr>
  </w:style>
  <w:style w:type="character" w:styleId="9">
    <w:name w:val="annotation reference"/>
    <w:basedOn w:val="7"/>
    <w:semiHidden/>
    <w:unhideWhenUsed/>
    <w:qFormat/>
    <w:uiPriority w:val="99"/>
    <w:rPr>
      <w:sz w:val="21"/>
      <w:szCs w:val="21"/>
    </w:rPr>
  </w:style>
  <w:style w:type="character" w:customStyle="1" w:styleId="10">
    <w:name w:val="页眉 Char"/>
    <w:basedOn w:val="7"/>
    <w:link w:val="5"/>
    <w:uiPriority w:val="99"/>
    <w:rPr>
      <w:sz w:val="18"/>
      <w:szCs w:val="18"/>
    </w:rPr>
  </w:style>
  <w:style w:type="character" w:customStyle="1" w:styleId="11">
    <w:name w:val="页脚 Char"/>
    <w:basedOn w:val="7"/>
    <w:link w:val="4"/>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7"/>
    <w:link w:val="3"/>
    <w:semiHidden/>
    <w:qFormat/>
    <w:uiPriority w:val="99"/>
    <w:rPr>
      <w:sz w:val="18"/>
      <w:szCs w:val="18"/>
    </w:rPr>
  </w:style>
  <w:style w:type="character" w:customStyle="1" w:styleId="15">
    <w:name w:val="content-right_8zs40"/>
    <w:basedOn w:val="7"/>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5638</Words>
  <Characters>7139</Characters>
  <Lines>65</Lines>
  <Paragraphs>18</Paragraphs>
  <TotalTime>8</TotalTime>
  <ScaleCrop>false</ScaleCrop>
  <LinksUpToDate>false</LinksUpToDate>
  <CharactersWithSpaces>7671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2022-10-11T12:08:00Z</dcterms:created>
  <dc:creator>李航 null</dc:creator>
  <cp:lastModifiedBy>栖</cp:lastModifiedBy>
  <cp:lastPrinted>2022-07-27T12:55:00Z</cp:lastPrinted>
  <dcterms:modified xsi:type="dcterms:W3CDTF">2022-10-12T08:04:29Z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3CCD3735B36F41F584A73724D544ACA5</vt:lpwstr>
  </property>
</Properties>
</file>