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jc w:val="center"/>
        <w:rPr>
          <w:rFonts w:hint="eastAsia"/>
          <w:sz w:val="56"/>
          <w:szCs w:val="56"/>
        </w:rPr>
      </w:pPr>
    </w:p>
    <w:p>
      <w:pPr>
        <w:pStyle w:val="10"/>
        <w:jc w:val="center"/>
        <w:rPr>
          <w:sz w:val="56"/>
          <w:szCs w:val="56"/>
        </w:rPr>
      </w:pPr>
    </w:p>
    <w:p>
      <w:pPr>
        <w:pStyle w:val="10"/>
        <w:jc w:val="center"/>
        <w:rPr>
          <w:sz w:val="84"/>
          <w:szCs w:val="84"/>
        </w:rPr>
      </w:pPr>
    </w:p>
    <w:p>
      <w:pPr>
        <w:pStyle w:val="10"/>
        <w:jc w:val="center"/>
        <w:rPr>
          <w:sz w:val="84"/>
          <w:szCs w:val="84"/>
        </w:rPr>
      </w:pPr>
    </w:p>
    <w:p>
      <w:pPr>
        <w:pStyle w:val="10"/>
        <w:jc w:val="center"/>
        <w:rPr>
          <w:sz w:val="84"/>
          <w:szCs w:val="84"/>
        </w:rPr>
      </w:pPr>
      <w:r>
        <w:rPr>
          <w:rFonts w:hint="eastAsia"/>
          <w:sz w:val="84"/>
          <w:szCs w:val="84"/>
        </w:rPr>
        <w:t>2021年度</w:t>
      </w:r>
    </w:p>
    <w:p>
      <w:pPr>
        <w:pStyle w:val="10"/>
        <w:jc w:val="center"/>
        <w:rPr>
          <w:sz w:val="72"/>
          <w:szCs w:val="72"/>
        </w:rPr>
      </w:pPr>
      <w:r>
        <w:rPr>
          <w:rFonts w:hint="eastAsia"/>
          <w:sz w:val="72"/>
          <w:szCs w:val="72"/>
          <w:lang w:val="en-US" w:eastAsia="zh-CN"/>
        </w:rPr>
        <w:t>湘乡市梅桥中心学校</w:t>
      </w:r>
      <w:r>
        <w:rPr>
          <w:rFonts w:hint="eastAsia"/>
          <w:sz w:val="72"/>
          <w:szCs w:val="72"/>
        </w:rPr>
        <w:t>部门决算</w:t>
      </w: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32"/>
          <w:szCs w:val="32"/>
        </w:rPr>
      </w:pPr>
    </w:p>
    <w:p>
      <w:pPr>
        <w:pStyle w:val="10"/>
        <w:jc w:val="center"/>
        <w:rPr>
          <w:sz w:val="32"/>
          <w:szCs w:val="32"/>
        </w:rPr>
      </w:pPr>
    </w:p>
    <w:p>
      <w:pPr>
        <w:pStyle w:val="10"/>
        <w:jc w:val="center"/>
        <w:rPr>
          <w:sz w:val="32"/>
          <w:szCs w:val="32"/>
        </w:rPr>
      </w:pPr>
    </w:p>
    <w:p>
      <w:pPr>
        <w:pStyle w:val="10"/>
        <w:jc w:val="center"/>
        <w:rPr>
          <w:sz w:val="32"/>
          <w:szCs w:val="32"/>
        </w:rPr>
      </w:pPr>
    </w:p>
    <w:p>
      <w:pPr>
        <w:pStyle w:val="10"/>
        <w:jc w:val="center"/>
        <w:rPr>
          <w:sz w:val="32"/>
          <w:szCs w:val="32"/>
        </w:rPr>
      </w:pPr>
    </w:p>
    <w:p>
      <w:pPr>
        <w:pStyle w:val="10"/>
        <w:spacing w:line="540" w:lineRule="exact"/>
        <w:jc w:val="center"/>
        <w:rPr>
          <w:sz w:val="56"/>
          <w:szCs w:val="56"/>
        </w:rPr>
      </w:pPr>
    </w:p>
    <w:p>
      <w:pPr>
        <w:pStyle w:val="10"/>
        <w:spacing w:line="500" w:lineRule="exact"/>
        <w:jc w:val="center"/>
        <w:rPr>
          <w:b/>
          <w:sz w:val="36"/>
          <w:szCs w:val="28"/>
        </w:rPr>
      </w:pPr>
    </w:p>
    <w:p>
      <w:pPr>
        <w:pStyle w:val="10"/>
        <w:spacing w:line="500" w:lineRule="exact"/>
        <w:jc w:val="center"/>
        <w:rPr>
          <w:b/>
          <w:sz w:val="36"/>
          <w:szCs w:val="28"/>
        </w:rPr>
      </w:pPr>
    </w:p>
    <w:p>
      <w:pPr>
        <w:pStyle w:val="10"/>
        <w:spacing w:line="500" w:lineRule="exact"/>
        <w:jc w:val="center"/>
        <w:rPr>
          <w:b/>
          <w:sz w:val="36"/>
          <w:szCs w:val="28"/>
        </w:rPr>
      </w:pPr>
      <w:r>
        <w:rPr>
          <w:rFonts w:hint="eastAsia"/>
          <w:b/>
          <w:sz w:val="36"/>
          <w:szCs w:val="28"/>
        </w:rPr>
        <w:t>目录</w:t>
      </w:r>
    </w:p>
    <w:p>
      <w:pPr>
        <w:pStyle w:val="10"/>
        <w:spacing w:line="500" w:lineRule="exact"/>
        <w:rPr>
          <w:rFonts w:ascii="仿宋_GB2312" w:hAnsi="仿宋_GB2312" w:cs="仿宋_GB2312"/>
          <w:b/>
          <w:sz w:val="28"/>
          <w:szCs w:val="28"/>
        </w:rPr>
      </w:pPr>
      <w:r>
        <w:rPr>
          <w:rFonts w:hint="eastAsia"/>
          <w:b/>
          <w:sz w:val="28"/>
          <w:szCs w:val="28"/>
        </w:rPr>
        <w:t>第一部分</w:t>
      </w:r>
      <w:r>
        <w:rPr>
          <w:rFonts w:hint="eastAsia"/>
          <w:b/>
          <w:sz w:val="28"/>
          <w:szCs w:val="28"/>
          <w:lang w:val="en-US" w:eastAsia="zh-CN"/>
        </w:rPr>
        <w:t>湘乡市梅桥中心学校</w:t>
      </w:r>
      <w:r>
        <w:rPr>
          <w:rFonts w:hint="eastAsia"/>
          <w:b/>
          <w:sz w:val="28"/>
          <w:szCs w:val="28"/>
        </w:rPr>
        <w:t>概况</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10"/>
        <w:spacing w:line="500" w:lineRule="exact"/>
        <w:rPr>
          <w:rFonts w:ascii="仿宋_GB2312" w:hAnsi="仿宋_GB2312" w:cs="仿宋_GB2312"/>
          <w:b/>
          <w:sz w:val="28"/>
          <w:szCs w:val="28"/>
        </w:rPr>
      </w:pPr>
      <w:r>
        <w:rPr>
          <w:rFonts w:hint="eastAsia" w:hAnsi="仿宋_GB2312"/>
          <w:b/>
          <w:sz w:val="28"/>
          <w:szCs w:val="28"/>
        </w:rPr>
        <w:t>第二部分</w:t>
      </w:r>
      <w:r>
        <w:rPr>
          <w:rFonts w:hAnsi="仿宋_GB2312"/>
          <w:b/>
          <w:sz w:val="28"/>
          <w:szCs w:val="28"/>
        </w:rPr>
        <w:t>20</w:t>
      </w:r>
      <w:r>
        <w:rPr>
          <w:rFonts w:hint="eastAsia" w:hAnsi="仿宋_GB2312"/>
          <w:b/>
          <w:sz w:val="28"/>
          <w:szCs w:val="28"/>
        </w:rPr>
        <w:t>21年度部门决算表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w:t>
      </w:r>
      <w:r>
        <w:rPr>
          <w:rFonts w:hint="eastAsia" w:cs="仿宋_GB2312" w:asciiTheme="minorEastAsia" w:hAnsiTheme="minorEastAsia" w:eastAsiaTheme="minorEastAsia"/>
          <w:sz w:val="28"/>
          <w:szCs w:val="28"/>
        </w:rPr>
        <w:t>明细</w:t>
      </w:r>
      <w:r>
        <w:rPr>
          <w:rFonts w:cs="仿宋_GB2312" w:asciiTheme="minorEastAsia" w:hAnsiTheme="minorEastAsia" w:eastAsiaTheme="minorEastAsia"/>
          <w:sz w:val="28"/>
          <w:szCs w:val="28"/>
        </w:rPr>
        <w:t>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10"/>
        <w:spacing w:line="500" w:lineRule="exact"/>
        <w:ind w:firstLine="700" w:firstLineChars="250"/>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九、国有资本经营预算财政拨款支出决算表</w:t>
      </w:r>
    </w:p>
    <w:p>
      <w:pPr>
        <w:pStyle w:val="10"/>
        <w:spacing w:line="500" w:lineRule="exact"/>
        <w:rPr>
          <w:rFonts w:ascii="仿宋_GB2312" w:hAnsi="仿宋_GB2312" w:cs="仿宋_GB2312"/>
          <w:b/>
          <w:sz w:val="28"/>
          <w:szCs w:val="28"/>
        </w:rPr>
      </w:pPr>
      <w:r>
        <w:rPr>
          <w:rFonts w:hint="eastAsia" w:hAnsi="仿宋_GB2312"/>
          <w:b/>
          <w:sz w:val="28"/>
          <w:szCs w:val="28"/>
        </w:rPr>
        <w:t>第三部分</w:t>
      </w:r>
      <w:r>
        <w:rPr>
          <w:rFonts w:hAnsi="仿宋_GB2312"/>
          <w:b/>
          <w:sz w:val="28"/>
          <w:szCs w:val="28"/>
        </w:rPr>
        <w:t>20</w:t>
      </w:r>
      <w:r>
        <w:rPr>
          <w:rFonts w:hint="eastAsia" w:hAnsi="仿宋_GB2312"/>
          <w:b/>
          <w:sz w:val="28"/>
          <w:szCs w:val="28"/>
        </w:rPr>
        <w:t>21年度部门决算情况说明</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0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w:t>
      </w:r>
      <w:r>
        <w:rPr>
          <w:rFonts w:hint="eastAsia" w:ascii="仿宋_GB2312" w:hAnsi="仿宋_GB2312" w:cs="仿宋_GB2312"/>
          <w:color w:val="000000"/>
          <w:kern w:val="0"/>
          <w:sz w:val="28"/>
          <w:szCs w:val="28"/>
        </w:rPr>
        <w:t>“</w:t>
      </w:r>
      <w:r>
        <w:rPr>
          <w:rFonts w:ascii="仿宋_GB2312" w:hAnsi="仿宋_GB2312" w:cs="仿宋_GB2312"/>
          <w:color w:val="000000"/>
          <w:kern w:val="0"/>
          <w:sz w:val="28"/>
          <w:szCs w:val="28"/>
        </w:rPr>
        <w:t>三公</w:t>
      </w:r>
      <w:r>
        <w:rPr>
          <w:rFonts w:hint="eastAsia" w:ascii="仿宋_GB2312" w:hAnsi="仿宋_GB2312" w:cs="仿宋_GB2312"/>
          <w:color w:val="000000"/>
          <w:kern w:val="0"/>
          <w:sz w:val="28"/>
          <w:szCs w:val="28"/>
        </w:rPr>
        <w:t>”</w:t>
      </w:r>
      <w:r>
        <w:rPr>
          <w:rFonts w:ascii="仿宋_GB2312" w:hAnsi="仿宋_GB2312" w:cs="仿宋_GB2312"/>
          <w:color w:val="000000"/>
          <w:kern w:val="0"/>
          <w:sz w:val="28"/>
          <w:szCs w:val="28"/>
        </w:rPr>
        <w:t>经费支出决算情况说明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机关运行经费支出说明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十、一般性支出情况说明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十一、政府采购支出说明</w:t>
      </w:r>
    </w:p>
    <w:p>
      <w:pPr>
        <w:pStyle w:val="10"/>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十二、国有资产占用情况说明</w:t>
      </w:r>
    </w:p>
    <w:p>
      <w:pPr>
        <w:pStyle w:val="10"/>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十三、</w:t>
      </w:r>
      <w:r>
        <w:rPr>
          <w:rFonts w:hint="eastAsia" w:cs="仿宋_GB2312" w:asciiTheme="minorEastAsia" w:hAnsiTheme="minorEastAsia" w:eastAsiaTheme="minorEastAsia"/>
          <w:sz w:val="28"/>
          <w:szCs w:val="28"/>
        </w:rPr>
        <w:t>2021年</w:t>
      </w:r>
      <w:r>
        <w:rPr>
          <w:rFonts w:hint="eastAsia" w:ascii="仿宋_GB2312" w:hAnsi="仿宋_GB2312" w:cs="仿宋_GB2312" w:eastAsiaTheme="minorEastAsia"/>
          <w:sz w:val="28"/>
          <w:szCs w:val="28"/>
        </w:rPr>
        <w:t>度预算绩效情况说明</w:t>
      </w:r>
    </w:p>
    <w:p>
      <w:pPr>
        <w:autoSpaceDE w:val="0"/>
        <w:autoSpaceDN w:val="0"/>
        <w:adjustRightInd w:val="0"/>
        <w:spacing w:line="500" w:lineRule="exact"/>
        <w:jc w:val="left"/>
        <w:rPr>
          <w:rFonts w:ascii="黑体" w:hAnsi="黑体" w:eastAsia="黑体" w:cs="黑体"/>
          <w:b/>
          <w:color w:val="000000"/>
          <w:kern w:val="0"/>
          <w:sz w:val="28"/>
          <w:szCs w:val="28"/>
        </w:rPr>
      </w:pPr>
      <w:r>
        <w:rPr>
          <w:rFonts w:ascii="黑体" w:hAnsi="黑体" w:eastAsia="黑体" w:cs="黑体"/>
          <w:b/>
          <w:color w:val="000000"/>
          <w:kern w:val="0"/>
          <w:sz w:val="28"/>
          <w:szCs w:val="28"/>
        </w:rPr>
        <w:t>第四部分名词解释</w:t>
      </w:r>
    </w:p>
    <w:p>
      <w:pPr>
        <w:autoSpaceDE w:val="0"/>
        <w:autoSpaceDN w:val="0"/>
        <w:adjustRightInd w:val="0"/>
        <w:spacing w:line="500" w:lineRule="exact"/>
        <w:jc w:val="left"/>
        <w:rPr>
          <w:rFonts w:ascii="黑体" w:hAnsi="黑体" w:eastAsia="黑体" w:cs="仿宋_GB2312"/>
          <w:b/>
          <w:color w:val="000000"/>
          <w:kern w:val="0"/>
          <w:sz w:val="28"/>
          <w:szCs w:val="28"/>
        </w:rPr>
      </w:pPr>
      <w:r>
        <w:rPr>
          <w:rFonts w:hint="eastAsia" w:ascii="黑体" w:hAnsi="黑体" w:eastAsia="黑体" w:cs="黑体"/>
          <w:b/>
          <w:color w:val="000000"/>
          <w:kern w:val="0"/>
          <w:sz w:val="28"/>
          <w:szCs w:val="28"/>
        </w:rPr>
        <w:t>第五部分附件</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sz w:val="72"/>
          <w:szCs w:val="72"/>
        </w:rPr>
      </w:pPr>
    </w:p>
    <w:p>
      <w:pPr>
        <w:pStyle w:val="10"/>
        <w:jc w:val="center"/>
        <w:rPr>
          <w:sz w:val="84"/>
          <w:szCs w:val="84"/>
        </w:rPr>
      </w:pPr>
      <w:r>
        <w:rPr>
          <w:rFonts w:hint="eastAsia"/>
          <w:sz w:val="84"/>
          <w:szCs w:val="84"/>
        </w:rPr>
        <w:t>第一部分</w:t>
      </w:r>
      <w:r>
        <w:rPr>
          <w:sz w:val="84"/>
          <w:szCs w:val="84"/>
        </w:rPr>
        <w:t xml:space="preserve"> </w:t>
      </w:r>
    </w:p>
    <w:p>
      <w:pPr>
        <w:pStyle w:val="10"/>
        <w:jc w:val="center"/>
        <w:rPr>
          <w:sz w:val="84"/>
          <w:szCs w:val="84"/>
        </w:rPr>
      </w:pPr>
    </w:p>
    <w:p>
      <w:pPr>
        <w:pStyle w:val="10"/>
        <w:jc w:val="center"/>
        <w:rPr>
          <w:sz w:val="84"/>
          <w:szCs w:val="84"/>
        </w:rPr>
      </w:pPr>
      <w:r>
        <w:rPr>
          <w:rFonts w:hint="eastAsia"/>
          <w:sz w:val="84"/>
          <w:szCs w:val="84"/>
          <w:lang w:val="en-US" w:eastAsia="zh-CN"/>
        </w:rPr>
        <w:t>湘乡市梅桥中心学校</w:t>
      </w:r>
      <w:r>
        <w:rPr>
          <w:rFonts w:hint="eastAsia"/>
          <w:sz w:val="84"/>
          <w:szCs w:val="84"/>
        </w:rPr>
        <w:t>概况</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11"/>
        <w:ind w:left="720" w:firstLine="0" w:firstLineChars="0"/>
        <w:jc w:val="left"/>
        <w:rPr>
          <w:rFonts w:ascii="黑体" w:hAnsi="黑体" w:eastAsia="黑体"/>
          <w:sz w:val="32"/>
          <w:szCs w:val="32"/>
        </w:rPr>
      </w:pPr>
    </w:p>
    <w:p>
      <w:pPr>
        <w:pStyle w:val="11"/>
        <w:ind w:left="720" w:firstLine="0" w:firstLineChars="0"/>
        <w:jc w:val="left"/>
        <w:rPr>
          <w:rFonts w:ascii="黑体" w:hAnsi="黑体" w:eastAsia="黑体"/>
          <w:sz w:val="32"/>
          <w:szCs w:val="32"/>
        </w:rPr>
      </w:pPr>
    </w:p>
    <w:p>
      <w:pPr>
        <w:pStyle w:val="11"/>
        <w:ind w:left="720" w:firstLine="0" w:firstLineChars="0"/>
        <w:jc w:val="left"/>
        <w:rPr>
          <w:rFonts w:ascii="黑体" w:hAnsi="黑体" w:eastAsia="黑体"/>
          <w:sz w:val="32"/>
          <w:szCs w:val="32"/>
        </w:rPr>
      </w:pPr>
    </w:p>
    <w:p>
      <w:pPr>
        <w:pStyle w:val="11"/>
        <w:numPr>
          <w:ilvl w:val="0"/>
          <w:numId w:val="1"/>
        </w:numPr>
        <w:ind w:firstLineChars="0"/>
        <w:jc w:val="left"/>
        <w:rPr>
          <w:rFonts w:ascii="黑体" w:hAnsi="黑体" w:eastAsia="黑体"/>
          <w:sz w:val="32"/>
          <w:szCs w:val="32"/>
        </w:rPr>
      </w:pPr>
      <w:r>
        <w:rPr>
          <w:rFonts w:ascii="黑体" w:hAnsi="黑体" w:eastAsia="黑体"/>
          <w:sz w:val="32"/>
          <w:szCs w:val="32"/>
        </w:rPr>
        <w:t>部门职责</w:t>
      </w:r>
    </w:p>
    <w:p>
      <w:pPr>
        <w:ind w:firstLine="640" w:firstLineChars="200"/>
        <w:jc w:val="left"/>
        <w:rPr>
          <w:rFonts w:asciiTheme="minorEastAsia" w:hAnsiTheme="minorEastAsia"/>
          <w:sz w:val="32"/>
          <w:szCs w:val="32"/>
        </w:rPr>
      </w:pPr>
      <w:r>
        <w:rPr>
          <w:rFonts w:hint="eastAsia" w:asciiTheme="minorEastAsia" w:hAnsiTheme="minorEastAsia"/>
          <w:sz w:val="32"/>
          <w:szCs w:val="32"/>
        </w:rPr>
        <w:t>实施初中、小学义务教育，促进基础教育发展。主要从事以下活动：1、全面贯彻执行党的路线、方针、政策，依法行政，按教育法律法规办事；2、组织并指导德育工作，全面贯彻落实《教师法》、《未成年人保护法》、《教师道德规范细则》、《中小学教师职业道德规范》、《中小学生守则》，抓好学校校风、教风、学风建设；3、抓好学校教育教学常规管理，加强学校教育科研和教学研究管理，全面推进素质教育，不断提高教育教学质量；4、抓好中小学校体育卫生、美育、健康教育工作和安全稳定工作；5、指导学校加强组织建设、行风建设和勤政廉政建设；6、规范中小学校收费行为，落实义务教育经费保障机制，严格财经制度，严肃财经纪律，增收节支，不断改善办学条件；7、加快教育信息化建设步伐，抓好中小学教师继续教育和有关培训工作，努力建设一支思想好、作风正、业务精的教师队伍；8、切实做好上级各部门布置的各项中心工作。</w:t>
      </w:r>
    </w:p>
    <w:p>
      <w:pPr>
        <w:widowControl/>
        <w:spacing w:line="600" w:lineRule="exact"/>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widowControl/>
        <w:spacing w:line="600" w:lineRule="exact"/>
        <w:ind w:firstLine="640" w:firstLineChars="200"/>
        <w:rPr>
          <w:rFonts w:hint="eastAsia" w:asciiTheme="minorEastAsia" w:hAnsiTheme="minorEastAsia"/>
          <w:bCs/>
          <w:kern w:val="0"/>
          <w:sz w:val="32"/>
          <w:szCs w:val="32"/>
          <w:lang w:val="en-US" w:eastAsia="zh-CN"/>
        </w:rPr>
      </w:pPr>
      <w:r>
        <w:rPr>
          <w:rFonts w:hint="eastAsia" w:asciiTheme="minorEastAsia" w:hAnsiTheme="minorEastAsia"/>
          <w:bCs/>
          <w:kern w:val="0"/>
          <w:sz w:val="32"/>
          <w:szCs w:val="32"/>
        </w:rPr>
        <w:t>（一）内设机构设置。</w:t>
      </w:r>
      <w:r>
        <w:rPr>
          <w:rFonts w:hint="eastAsia" w:asciiTheme="minorEastAsia" w:hAnsiTheme="minorEastAsia"/>
          <w:bCs/>
          <w:kern w:val="0"/>
          <w:sz w:val="32"/>
          <w:szCs w:val="32"/>
          <w:lang w:val="en-US" w:eastAsia="zh-CN"/>
        </w:rPr>
        <w:t>湘乡市梅桥中心学校</w:t>
      </w:r>
      <w:r>
        <w:rPr>
          <w:rFonts w:hint="eastAsia" w:asciiTheme="minorEastAsia" w:hAnsiTheme="minorEastAsia"/>
          <w:bCs/>
          <w:kern w:val="0"/>
          <w:sz w:val="32"/>
          <w:szCs w:val="32"/>
        </w:rPr>
        <w:t>内设机构包括：</w:t>
      </w:r>
      <w:r>
        <w:rPr>
          <w:rFonts w:hint="eastAsia" w:asciiTheme="minorEastAsia" w:hAnsiTheme="minorEastAsia"/>
          <w:bCs/>
          <w:kern w:val="0"/>
          <w:sz w:val="32"/>
          <w:szCs w:val="32"/>
          <w:lang w:val="en-US" w:eastAsia="zh-CN"/>
        </w:rPr>
        <w:t>校长室、教导处、总务室、办公室。</w:t>
      </w:r>
    </w:p>
    <w:p>
      <w:pPr>
        <w:widowControl/>
        <w:spacing w:line="600" w:lineRule="exact"/>
        <w:ind w:firstLine="640" w:firstLineChars="200"/>
        <w:rPr>
          <w:rFonts w:hint="eastAsia" w:asciiTheme="minorEastAsia" w:hAnsiTheme="minorEastAsia" w:eastAsiaTheme="minorEastAsia"/>
          <w:bCs/>
          <w:kern w:val="0"/>
          <w:sz w:val="32"/>
          <w:szCs w:val="32"/>
          <w:lang w:eastAsia="zh-CN"/>
        </w:rPr>
      </w:pPr>
      <w:r>
        <w:rPr>
          <w:rFonts w:hint="eastAsia" w:asciiTheme="minorEastAsia" w:hAnsiTheme="minorEastAsia"/>
          <w:bCs/>
          <w:kern w:val="0"/>
          <w:sz w:val="32"/>
          <w:szCs w:val="32"/>
        </w:rPr>
        <w:t>（二）决算单位构成。</w:t>
      </w:r>
      <w:r>
        <w:rPr>
          <w:rFonts w:hint="eastAsia" w:asciiTheme="minorEastAsia" w:hAnsiTheme="minorEastAsia"/>
          <w:bCs/>
          <w:kern w:val="0"/>
          <w:sz w:val="32"/>
          <w:szCs w:val="32"/>
          <w:lang w:val="en-US" w:eastAsia="zh-CN"/>
        </w:rPr>
        <w:t>湘乡市梅桥中心学校</w:t>
      </w:r>
      <w:r>
        <w:rPr>
          <w:rFonts w:asciiTheme="minorEastAsia" w:hAnsiTheme="minorEastAsia"/>
          <w:bCs/>
          <w:kern w:val="0"/>
          <w:sz w:val="32"/>
          <w:szCs w:val="32"/>
        </w:rPr>
        <w:t>20</w:t>
      </w:r>
      <w:r>
        <w:rPr>
          <w:rFonts w:hint="eastAsia" w:asciiTheme="minorEastAsia" w:hAnsiTheme="minorEastAsia"/>
          <w:bCs/>
          <w:kern w:val="0"/>
          <w:sz w:val="32"/>
          <w:szCs w:val="32"/>
        </w:rPr>
        <w:t>21年部门决算汇总公开单位构成包括：</w:t>
      </w:r>
      <w:r>
        <w:rPr>
          <w:rFonts w:hint="eastAsia" w:asciiTheme="minorEastAsia" w:hAnsiTheme="minorEastAsia"/>
          <w:bCs/>
          <w:kern w:val="0"/>
          <w:sz w:val="32"/>
          <w:szCs w:val="32"/>
          <w:lang w:val="en-US" w:eastAsia="zh-CN"/>
        </w:rPr>
        <w:t>初级中学2个（梅桥中学、横铺中学），小学11个（土桥小学、酒铺小学、先锋小学、回龙小学、梅桥小学、炉盆小学、坳头小学、明德小学、横铺小学、茶佩小学、水潭小学），中心幼儿园1个（梅桥中心幼儿园）。</w:t>
      </w:r>
    </w:p>
    <w:p>
      <w:pPr>
        <w:jc w:val="left"/>
        <w:rPr>
          <w:rFonts w:ascii="仿宋_GB2312" w:eastAsia="仿宋_GB2312" w:hAnsiTheme="minorEastAsia"/>
          <w:sz w:val="28"/>
          <w:szCs w:val="32"/>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both"/>
        <w:rPr>
          <w:sz w:val="72"/>
          <w:szCs w:val="72"/>
        </w:rPr>
      </w:pPr>
    </w:p>
    <w:p>
      <w:pPr>
        <w:jc w:val="center"/>
        <w:rPr>
          <w:sz w:val="72"/>
          <w:szCs w:val="72"/>
        </w:rPr>
      </w:pPr>
    </w:p>
    <w:p>
      <w:pPr>
        <w:jc w:val="center"/>
        <w:rPr>
          <w:sz w:val="72"/>
          <w:szCs w:val="72"/>
        </w:rPr>
      </w:pPr>
      <w:r>
        <w:rPr>
          <w:rFonts w:hint="eastAsia"/>
          <w:sz w:val="72"/>
          <w:szCs w:val="72"/>
        </w:rPr>
        <w:t>第二部分</w:t>
      </w:r>
    </w:p>
    <w:p>
      <w:pPr>
        <w:jc w:val="center"/>
        <w:rPr>
          <w:sz w:val="72"/>
          <w:szCs w:val="72"/>
        </w:rPr>
      </w:pPr>
    </w:p>
    <w:p>
      <w:pPr>
        <w:jc w:val="center"/>
        <w:rPr>
          <w:sz w:val="72"/>
          <w:szCs w:val="72"/>
        </w:rPr>
      </w:pPr>
      <w:r>
        <w:rPr>
          <w:rFonts w:hint="eastAsia"/>
          <w:sz w:val="72"/>
          <w:szCs w:val="72"/>
        </w:rPr>
        <w:t>部门决算表</w:t>
      </w:r>
    </w:p>
    <w:p>
      <w:pPr>
        <w:jc w:val="center"/>
        <w:rPr>
          <w:sz w:val="72"/>
          <w:szCs w:val="72"/>
        </w:rPr>
      </w:pPr>
    </w:p>
    <w:p>
      <w:pPr>
        <w:jc w:val="center"/>
        <w:rPr>
          <w:sz w:val="72"/>
          <w:szCs w:val="72"/>
        </w:rPr>
      </w:pPr>
    </w:p>
    <w:p>
      <w:pPr>
        <w:jc w:val="left"/>
        <w:rPr>
          <w:sz w:val="32"/>
          <w:szCs w:val="32"/>
        </w:rPr>
      </w:pPr>
    </w:p>
    <w:p>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6"/>
        <w:tblW w:w="14081" w:type="dxa"/>
        <w:tblInd w:w="93" w:type="dxa"/>
        <w:tblLayout w:type="autofit"/>
        <w:tblCellMar>
          <w:top w:w="0" w:type="dxa"/>
          <w:left w:w="108" w:type="dxa"/>
          <w:bottom w:w="0" w:type="dxa"/>
          <w:right w:w="108" w:type="dxa"/>
        </w:tblCellMar>
      </w:tblPr>
      <w:tblGrid>
        <w:gridCol w:w="4126"/>
        <w:gridCol w:w="449"/>
        <w:gridCol w:w="631"/>
        <w:gridCol w:w="599"/>
        <w:gridCol w:w="98"/>
        <w:gridCol w:w="232"/>
        <w:gridCol w:w="3468"/>
        <w:gridCol w:w="845"/>
        <w:gridCol w:w="1460"/>
        <w:gridCol w:w="657"/>
        <w:gridCol w:w="1516"/>
      </w:tblGrid>
      <w:tr>
        <w:tblPrEx>
          <w:tblCellMar>
            <w:top w:w="0" w:type="dxa"/>
            <w:left w:w="108" w:type="dxa"/>
            <w:bottom w:w="0" w:type="dxa"/>
            <w:right w:w="108" w:type="dxa"/>
          </w:tblCellMar>
        </w:tblPrEx>
        <w:trPr>
          <w:trHeight w:val="360" w:hRule="atLeast"/>
        </w:trPr>
        <w:tc>
          <w:tcPr>
            <w:tcW w:w="14081" w:type="dxa"/>
            <w:gridSpan w:val="11"/>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收入支出决算总表</w:t>
            </w:r>
          </w:p>
        </w:tc>
      </w:tr>
      <w:tr>
        <w:tblPrEx>
          <w:tblCellMar>
            <w:top w:w="0" w:type="dxa"/>
            <w:left w:w="108" w:type="dxa"/>
            <w:bottom w:w="0" w:type="dxa"/>
            <w:right w:w="108" w:type="dxa"/>
          </w:tblCellMar>
        </w:tblPrEx>
        <w:trPr>
          <w:trHeight w:val="199" w:hRule="atLeast"/>
        </w:trPr>
        <w:tc>
          <w:tcPr>
            <w:tcW w:w="5206" w:type="dxa"/>
            <w:gridSpan w:val="3"/>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697" w:type="dxa"/>
            <w:gridSpan w:val="2"/>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232"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5773" w:type="dxa"/>
            <w:gridSpan w:val="3"/>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657"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516"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公开01表</w:t>
            </w:r>
          </w:p>
        </w:tc>
      </w:tr>
      <w:tr>
        <w:tblPrEx>
          <w:tblCellMar>
            <w:top w:w="0" w:type="dxa"/>
            <w:left w:w="108" w:type="dxa"/>
            <w:bottom w:w="0" w:type="dxa"/>
            <w:right w:w="108" w:type="dxa"/>
          </w:tblCellMar>
        </w:tblPrEx>
        <w:trPr>
          <w:trHeight w:val="300" w:hRule="atLeast"/>
        </w:trPr>
        <w:tc>
          <w:tcPr>
            <w:tcW w:w="5206" w:type="dxa"/>
            <w:gridSpan w:val="3"/>
            <w:tcBorders>
              <w:top w:val="nil"/>
              <w:left w:val="nil"/>
              <w:bottom w:val="nil"/>
              <w:right w:val="nil"/>
            </w:tcBorders>
            <w:shd w:val="clear" w:color="000000" w:fill="FFFFFF"/>
            <w:noWrap/>
            <w:vAlign w:val="center"/>
          </w:tcPr>
          <w:p>
            <w:pPr>
              <w:widowControl/>
              <w:jc w:val="left"/>
              <w:rPr>
                <w:rFonts w:hint="default"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rPr>
              <w:t>部门：</w:t>
            </w: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lang w:val="en-US" w:eastAsia="zh-CN"/>
              </w:rPr>
              <w:t>湘乡市梅桥中心学校</w:t>
            </w:r>
          </w:p>
        </w:tc>
        <w:tc>
          <w:tcPr>
            <w:tcW w:w="697" w:type="dxa"/>
            <w:gridSpan w:val="2"/>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232"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5773" w:type="dxa"/>
            <w:gridSpan w:val="3"/>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657"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516"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340" w:hRule="atLeast"/>
        </w:trPr>
        <w:tc>
          <w:tcPr>
            <w:tcW w:w="5805"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8276" w:type="dxa"/>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szCs w:val="24"/>
                <w:lang w:eastAsia="zh-CN"/>
              </w:rPr>
            </w:pP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szCs w:val="24"/>
                <w:lang w:eastAsia="zh-CN"/>
              </w:rPr>
            </w:pP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r>
              <w:rPr>
                <w:rFonts w:hint="eastAsia" w:ascii="宋体" w:hAnsi="宋体" w:eastAsia="宋体" w:cs="宋体"/>
                <w:kern w:val="0"/>
                <w:sz w:val="22"/>
                <w:lang w:val="en-US" w:eastAsia="zh-CN"/>
              </w:rPr>
              <w:t>2606.42</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31</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lang w:val="en-US" w:eastAsia="zh-CN"/>
              </w:rPr>
              <w:t>32</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lang w:val="en-US" w:eastAsia="zh-CN"/>
              </w:rPr>
              <w:t>33</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四、上级补助收入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r>
              <w:rPr>
                <w:rFonts w:hint="eastAsia" w:ascii="宋体" w:hAnsi="宋体" w:eastAsia="宋体" w:cs="宋体"/>
                <w:kern w:val="0"/>
                <w:sz w:val="22"/>
                <w:lang w:val="en-US" w:eastAsia="zh-CN"/>
              </w:rPr>
              <w:t>705.64</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lang w:val="en-US" w:eastAsia="zh-CN"/>
              </w:rPr>
              <w:t>34</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五、事业收入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lang w:val="en-US" w:eastAsia="zh-CN"/>
              </w:rPr>
              <w:t>35</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r>
              <w:rPr>
                <w:rFonts w:hint="eastAsia" w:ascii="宋体" w:hAnsi="宋体" w:eastAsia="宋体" w:cs="宋体"/>
                <w:kern w:val="0"/>
                <w:sz w:val="22"/>
                <w:lang w:val="en-US" w:eastAsia="zh-CN"/>
              </w:rPr>
              <w:t>3312.06</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六、经营收入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lang w:val="en-US" w:eastAsia="zh-CN"/>
              </w:rPr>
              <w:t>36</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七、附属单位上缴收入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4"/>
                <w:szCs w:val="24"/>
              </w:rPr>
            </w:pPr>
            <w:r>
              <w:rPr>
                <w:rFonts w:hint="eastAsia"/>
              </w:rPr>
              <w:t>七、文化旅游体育与传媒支出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lang w:val="en-US" w:eastAsia="zh-CN"/>
              </w:rPr>
              <w:t>37</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八、其他收入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八、社会保障和就业支出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lang w:val="en-US" w:eastAsia="zh-CN"/>
              </w:rPr>
              <w:t>38</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2"/>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9</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r>
              <w:rPr>
                <w:rFonts w:hint="eastAsia"/>
              </w:rPr>
              <w:t>九、卫生健康支出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lang w:val="en-US" w:eastAsia="zh-CN"/>
              </w:rPr>
              <w:t>39</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2"/>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rPr>
              <w:t>10</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r>
              <w:rPr>
                <w:rFonts w:hint="eastAsia" w:ascii="宋体" w:hAnsi="宋体" w:eastAsia="宋体" w:cs="宋体"/>
                <w:kern w:val="0"/>
                <w:sz w:val="22"/>
              </w:rPr>
              <w:t>十、节能环保支出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lang w:val="en-US" w:eastAsia="zh-CN"/>
              </w:rPr>
              <w:t>40</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2"/>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rPr>
              <w:t>11</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r>
              <w:rPr>
                <w:rFonts w:hint="eastAsia" w:ascii="宋体" w:hAnsi="宋体" w:eastAsia="宋体" w:cs="宋体"/>
                <w:kern w:val="0"/>
                <w:sz w:val="22"/>
              </w:rPr>
              <w:t>十一、城乡社区支出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lang w:val="en-US" w:eastAsia="zh-CN"/>
              </w:rPr>
              <w:t>41</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2"/>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rPr>
              <w:t>12</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r>
              <w:rPr>
                <w:rFonts w:hint="eastAsia" w:ascii="宋体" w:hAnsi="宋体" w:eastAsia="宋体" w:cs="宋体"/>
                <w:kern w:val="0"/>
                <w:sz w:val="22"/>
              </w:rPr>
              <w:t>十二、农林水支出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lang w:val="en-US" w:eastAsia="zh-CN"/>
              </w:rPr>
              <w:t>42</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2"/>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rPr>
              <w:t>13</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r>
              <w:rPr>
                <w:rFonts w:hint="eastAsia" w:ascii="宋体" w:hAnsi="宋体" w:eastAsia="宋体" w:cs="宋体"/>
                <w:kern w:val="0"/>
                <w:sz w:val="22"/>
              </w:rPr>
              <w:t>十三、交通运输支出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lang w:val="en-US" w:eastAsia="zh-CN"/>
              </w:rPr>
              <w:t>43</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2"/>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rPr>
              <w:t>14</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r>
              <w:rPr>
                <w:rFonts w:hint="eastAsia" w:ascii="宋体" w:hAnsi="宋体" w:eastAsia="宋体" w:cs="宋体"/>
                <w:kern w:val="0"/>
                <w:sz w:val="22"/>
              </w:rPr>
              <w:t>十四、资源勘探工业信息等支出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lang w:val="en-US" w:eastAsia="zh-CN"/>
              </w:rPr>
              <w:t>44</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2"/>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rPr>
              <w:t>15</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r>
              <w:rPr>
                <w:rFonts w:hint="eastAsia" w:ascii="宋体" w:hAnsi="宋体" w:eastAsia="宋体" w:cs="宋体"/>
                <w:kern w:val="0"/>
                <w:sz w:val="22"/>
              </w:rPr>
              <w:t>十五、商业服务业等支出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lang w:val="en-US" w:eastAsia="zh-CN"/>
              </w:rPr>
              <w:t>45</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2"/>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rPr>
              <w:t>16</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r>
              <w:rPr>
                <w:rFonts w:hint="eastAsia" w:ascii="宋体" w:hAnsi="宋体" w:eastAsia="宋体" w:cs="宋体"/>
                <w:kern w:val="0"/>
                <w:sz w:val="22"/>
              </w:rPr>
              <w:t>十六、金融支出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lang w:val="en-US" w:eastAsia="zh-CN"/>
              </w:rPr>
              <w:t>46</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2"/>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rPr>
              <w:t>17</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r>
              <w:rPr>
                <w:rFonts w:hint="eastAsia" w:ascii="宋体" w:hAnsi="宋体" w:eastAsia="宋体" w:cs="宋体"/>
                <w:kern w:val="0"/>
                <w:sz w:val="22"/>
              </w:rPr>
              <w:t>十七、援助其他地区支出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lang w:val="en-US" w:eastAsia="zh-CN"/>
              </w:rPr>
              <w:t>47</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2"/>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rPr>
              <w:t>18</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r>
              <w:rPr>
                <w:rFonts w:hint="eastAsia" w:ascii="宋体" w:hAnsi="宋体" w:eastAsia="宋体" w:cs="宋体"/>
                <w:kern w:val="0"/>
                <w:sz w:val="22"/>
              </w:rPr>
              <w:t>十八、自然资源海洋气象等支出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lang w:val="en-US" w:eastAsia="zh-CN"/>
              </w:rPr>
              <w:t>48</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2"/>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rPr>
              <w:t>19</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r>
              <w:rPr>
                <w:rFonts w:hint="eastAsia" w:ascii="宋体" w:hAnsi="宋体" w:eastAsia="宋体" w:cs="宋体"/>
                <w:kern w:val="0"/>
                <w:sz w:val="22"/>
              </w:rPr>
              <w:t>十九、住房保障支出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lang w:val="en-US" w:eastAsia="zh-CN"/>
              </w:rPr>
              <w:t>49</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2"/>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rPr>
              <w:t>20</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r>
              <w:rPr>
                <w:rFonts w:hint="eastAsia" w:ascii="宋体" w:hAnsi="宋体" w:eastAsia="宋体" w:cs="宋体"/>
                <w:kern w:val="0"/>
                <w:sz w:val="22"/>
              </w:rPr>
              <w:t>二十、粮油物资储备支出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lang w:val="en-US" w:eastAsia="zh-CN"/>
              </w:rPr>
              <w:t>50</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2"/>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rPr>
              <w:t>21</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r>
              <w:rPr>
                <w:rFonts w:hint="eastAsia" w:ascii="宋体" w:hAnsi="宋体" w:eastAsia="宋体" w:cs="宋体"/>
                <w:kern w:val="0"/>
                <w:sz w:val="22"/>
              </w:rPr>
              <w:t>二十一、国有资本经营预算支出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lang w:val="en-US" w:eastAsia="zh-CN"/>
              </w:rPr>
              <w:t>51</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2"/>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szCs w:val="22"/>
                <w:lang w:val="en-US" w:eastAsia="zh-CN" w:bidi="ar-SA"/>
              </w:rPr>
              <w:t>22</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r>
              <w:rPr>
                <w:rFonts w:hint="eastAsia" w:ascii="宋体" w:hAnsi="宋体" w:eastAsia="宋体" w:cs="宋体"/>
                <w:kern w:val="0"/>
                <w:sz w:val="22"/>
              </w:rPr>
              <w:t>二十二、灾害防治及应急管理支出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lang w:val="en-US" w:eastAsia="zh-CN"/>
              </w:rPr>
              <w:t>52</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2"/>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rPr>
              <w:t>23</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r>
              <w:rPr>
                <w:rFonts w:hint="eastAsia" w:ascii="宋体" w:hAnsi="宋体" w:eastAsia="宋体" w:cs="宋体"/>
                <w:kern w:val="0"/>
                <w:sz w:val="22"/>
              </w:rPr>
              <w:t>二十三、其他支出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lang w:val="en-US" w:eastAsia="zh-CN"/>
              </w:rPr>
              <w:t>53</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2"/>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rPr>
              <w:t>24</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r>
              <w:rPr>
                <w:rFonts w:hint="eastAsia" w:ascii="宋体" w:hAnsi="宋体" w:eastAsia="宋体" w:cs="宋体"/>
                <w:kern w:val="0"/>
                <w:sz w:val="22"/>
              </w:rPr>
              <w:t>二十四、债务还本支出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lang w:val="en-US" w:eastAsia="zh-CN"/>
              </w:rPr>
              <w:t>54</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2"/>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rPr>
              <w:t>25</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r>
              <w:rPr>
                <w:rFonts w:hint="eastAsia" w:ascii="宋体" w:hAnsi="宋体" w:eastAsia="宋体" w:cs="宋体"/>
                <w:kern w:val="0"/>
                <w:sz w:val="22"/>
              </w:rPr>
              <w:t>二十五、债务付息支出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lang w:val="en-US" w:eastAsia="zh-CN"/>
              </w:rPr>
              <w:t>55</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2"/>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rPr>
              <w:t>26</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r>
              <w:rPr>
                <w:rFonts w:hint="eastAsia" w:ascii="宋体" w:hAnsi="宋体" w:eastAsia="宋体" w:cs="宋体"/>
                <w:kern w:val="0"/>
                <w:sz w:val="22"/>
              </w:rPr>
              <w:t>二十六、抗疫特别国债安排的支出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lang w:val="en-US" w:eastAsia="zh-CN"/>
              </w:rPr>
              <w:t>56</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lang w:val="en-US" w:eastAsia="zh-CN"/>
              </w:rPr>
              <w:t>27</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r>
              <w:rPr>
                <w:rFonts w:hint="eastAsia" w:ascii="宋体" w:hAnsi="宋体" w:eastAsia="宋体" w:cs="宋体"/>
                <w:kern w:val="0"/>
                <w:sz w:val="22"/>
                <w:lang w:val="en-US" w:eastAsia="zh-CN"/>
              </w:rPr>
              <w:t>3312.06</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lang w:val="en-US" w:eastAsia="zh-CN"/>
              </w:rPr>
              <w:t>57</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 xml:space="preserve">                      3312.06</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使用非财政拨款结余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lang w:val="en-US" w:eastAsia="zh-CN"/>
              </w:rPr>
              <w:t>28</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结余分配</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lang w:val="en-US" w:eastAsia="zh-CN"/>
              </w:rPr>
              <w:t>58</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年初结转和结余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lang w:val="en-US" w:eastAsia="zh-CN"/>
              </w:rPr>
              <w:t>29</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年末结转和结余</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lang w:val="en-US" w:eastAsia="zh-CN"/>
              </w:rPr>
              <w:t>59</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lang w:val="en-US" w:eastAsia="zh-CN"/>
              </w:rPr>
              <w:t>30</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r>
              <w:rPr>
                <w:rFonts w:hint="eastAsia" w:ascii="宋体" w:hAnsi="宋体" w:eastAsia="宋体" w:cs="宋体"/>
                <w:kern w:val="0"/>
                <w:sz w:val="22"/>
                <w:lang w:val="en-US" w:eastAsia="zh-CN"/>
              </w:rPr>
              <w:t>3312.06</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lang w:val="en-US" w:eastAsia="zh-CN"/>
              </w:rPr>
              <w:t>60</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b/>
                <w:bCs/>
                <w:kern w:val="0"/>
                <w:sz w:val="22"/>
                <w:lang w:val="en-US" w:eastAsia="zh-CN"/>
              </w:rPr>
            </w:pPr>
            <w:r>
              <w:rPr>
                <w:rFonts w:hint="eastAsia" w:ascii="宋体" w:hAnsi="宋体" w:eastAsia="宋体" w:cs="宋体"/>
                <w:b/>
                <w:bCs/>
                <w:kern w:val="0"/>
                <w:sz w:val="22"/>
                <w:lang w:val="en-US" w:eastAsia="zh-CN"/>
              </w:rPr>
              <w:t xml:space="preserve">                   3312.06</w:t>
            </w:r>
          </w:p>
        </w:tc>
      </w:tr>
      <w:tr>
        <w:tblPrEx>
          <w:tblCellMar>
            <w:top w:w="0" w:type="dxa"/>
            <w:left w:w="108" w:type="dxa"/>
            <w:bottom w:w="0" w:type="dxa"/>
            <w:right w:w="108" w:type="dxa"/>
          </w:tblCellMar>
        </w:tblPrEx>
        <w:trPr>
          <w:trHeight w:val="1020" w:hRule="atLeast"/>
        </w:trPr>
        <w:tc>
          <w:tcPr>
            <w:tcW w:w="14081" w:type="dxa"/>
            <w:gridSpan w:val="11"/>
            <w:tcBorders>
              <w:top w:val="nil"/>
              <w:left w:val="nil"/>
              <w:bottom w:val="nil"/>
              <w:right w:val="nil"/>
            </w:tcBorders>
            <w:shd w:val="clear" w:color="auto" w:fill="auto"/>
            <w:vAlign w:val="center"/>
          </w:tcPr>
          <w:p>
            <w:pPr>
              <w:widowControl/>
              <w:jc w:val="left"/>
              <w:rPr>
                <w:rFonts w:hint="eastAsia" w:ascii="宋体" w:hAnsi="宋体" w:eastAsia="宋体" w:cs="宋体"/>
                <w:kern w:val="0"/>
                <w:sz w:val="24"/>
                <w:szCs w:val="24"/>
                <w:lang w:eastAsia="zh-CN"/>
              </w:rPr>
            </w:pPr>
            <w:r>
              <w:rPr>
                <w:rFonts w:hint="eastAsia" w:ascii="宋体" w:hAnsi="宋体" w:eastAsia="宋体" w:cs="宋体"/>
                <w:kern w:val="0"/>
                <w:sz w:val="24"/>
                <w:szCs w:val="24"/>
              </w:rPr>
              <w:t>注：1.本表反映部门本年度的总收支和年末结转结余情况。</w:t>
            </w:r>
          </w:p>
          <w:p>
            <w:pPr>
              <w:widowControl/>
              <w:jc w:val="left"/>
              <w:rPr>
                <w:rFonts w:ascii="宋体" w:hAnsi="宋体" w:eastAsia="宋体" w:cs="宋体"/>
                <w:kern w:val="0"/>
                <w:sz w:val="24"/>
                <w:szCs w:val="24"/>
              </w:rPr>
            </w:pPr>
            <w:r>
              <w:rPr>
                <w:rFonts w:hint="eastAsia" w:ascii="宋体" w:hAnsi="宋体" w:eastAsia="宋体" w:cs="宋体"/>
                <w:kern w:val="0"/>
                <w:sz w:val="24"/>
                <w:szCs w:val="24"/>
              </w:rPr>
              <w:t xml:space="preserve"> 2.本套报表金额单位转换时可能存在尾数误差。</w:t>
            </w:r>
          </w:p>
        </w:tc>
      </w:tr>
    </w:tbl>
    <w:p>
      <w:pPr>
        <w:jc w:val="center"/>
        <w:rPr>
          <w:rFonts w:ascii="黑体" w:hAnsi="黑体" w:eastAsia="黑体"/>
          <w:sz w:val="28"/>
          <w:szCs w:val="28"/>
        </w:rPr>
        <w:sectPr>
          <w:pgSz w:w="16838" w:h="11906" w:orient="landscape"/>
          <w:pgMar w:top="1797" w:right="1440" w:bottom="1797" w:left="1440" w:header="851" w:footer="992" w:gutter="0"/>
          <w:cols w:space="425" w:num="1"/>
          <w:docGrid w:type="linesAndChars" w:linePitch="312" w:charSpace="0"/>
        </w:sectPr>
      </w:pPr>
    </w:p>
    <w:tbl>
      <w:tblPr>
        <w:tblStyle w:val="6"/>
        <w:tblW w:w="14480" w:type="dxa"/>
        <w:tblInd w:w="0" w:type="dxa"/>
        <w:tblLayout w:type="autofit"/>
        <w:tblCellMar>
          <w:top w:w="0" w:type="dxa"/>
          <w:left w:w="0" w:type="dxa"/>
          <w:bottom w:w="0" w:type="dxa"/>
          <w:right w:w="0" w:type="dxa"/>
        </w:tblCellMar>
      </w:tblPr>
      <w:tblGrid>
        <w:gridCol w:w="47"/>
        <w:gridCol w:w="1543"/>
        <w:gridCol w:w="3646"/>
        <w:gridCol w:w="1302"/>
        <w:gridCol w:w="1302"/>
        <w:gridCol w:w="1233"/>
        <w:gridCol w:w="989"/>
        <w:gridCol w:w="989"/>
        <w:gridCol w:w="989"/>
        <w:gridCol w:w="2440"/>
      </w:tblGrid>
      <w:tr>
        <w:tblPrEx>
          <w:tblCellMar>
            <w:top w:w="0" w:type="dxa"/>
            <w:left w:w="0" w:type="dxa"/>
            <w:bottom w:w="0" w:type="dxa"/>
            <w:right w:w="0" w:type="dxa"/>
          </w:tblCellMar>
        </w:tblPrEx>
        <w:trPr>
          <w:trHeight w:val="435" w:hRule="atLeast"/>
        </w:trPr>
        <w:tc>
          <w:tcPr>
            <w:tcW w:w="14480" w:type="dxa"/>
            <w:gridSpan w:val="10"/>
            <w:tcBorders>
              <w:top w:val="nil"/>
              <w:left w:val="nil"/>
              <w:bottom w:val="nil"/>
              <w:right w:val="nil"/>
            </w:tcBorders>
            <w:shd w:val="clear" w:color="auto" w:fill="auto"/>
            <w:noWrap/>
            <w:tcMar>
              <w:top w:w="15" w:type="dxa"/>
              <w:left w:w="15" w:type="dxa"/>
              <w:bottom w:w="0" w:type="dxa"/>
              <w:right w:w="15" w:type="dxa"/>
            </w:tcMar>
            <w:vAlign w:val="center"/>
          </w:tcPr>
          <w:p>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tblPrEx>
          <w:tblCellMar>
            <w:top w:w="0" w:type="dxa"/>
            <w:left w:w="0" w:type="dxa"/>
            <w:bottom w:w="0" w:type="dxa"/>
            <w:right w:w="0" w:type="dxa"/>
          </w:tblCellMar>
        </w:tblPrEx>
        <w:trPr>
          <w:trHeight w:val="285" w:hRule="atLeast"/>
        </w:trPr>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1189"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2809"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公开02表</w:t>
            </w:r>
          </w:p>
        </w:tc>
      </w:tr>
      <w:tr>
        <w:tblPrEx>
          <w:tblCellMar>
            <w:top w:w="0" w:type="dxa"/>
            <w:left w:w="0" w:type="dxa"/>
            <w:bottom w:w="0" w:type="dxa"/>
            <w:right w:w="0" w:type="dxa"/>
          </w:tblCellMar>
        </w:tblPrEx>
        <w:trPr>
          <w:trHeight w:val="285" w:hRule="atLeast"/>
        </w:trPr>
        <w:tc>
          <w:tcPr>
            <w:tcW w:w="4051" w:type="dxa"/>
            <w:gridSpan w:val="3"/>
            <w:tcBorders>
              <w:top w:val="nil"/>
              <w:left w:val="nil"/>
              <w:bottom w:val="nil"/>
              <w:right w:val="nil"/>
            </w:tcBorders>
            <w:shd w:val="clear" w:color="000000" w:fill="FFFFFF"/>
            <w:noWrap/>
            <w:tcMar>
              <w:top w:w="15" w:type="dxa"/>
              <w:left w:w="15" w:type="dxa"/>
              <w:bottom w:w="0" w:type="dxa"/>
              <w:right w:w="15" w:type="dxa"/>
            </w:tcMar>
            <w:vAlign w:val="center"/>
          </w:tcPr>
          <w:p>
            <w:pPr>
              <w:rPr>
                <w:rFonts w:hint="eastAsia" w:ascii="宋体" w:hAnsi="宋体" w:eastAsia="宋体" w:cs="宋体"/>
                <w:sz w:val="24"/>
                <w:szCs w:val="24"/>
                <w:lang w:eastAsia="zh-CN"/>
              </w:rPr>
            </w:pPr>
            <w:r>
              <w:rPr>
                <w:rFonts w:hint="eastAsia"/>
                <w:color w:val="000000"/>
                <w:sz w:val="20"/>
                <w:szCs w:val="20"/>
              </w:rPr>
              <w:t>部门：</w:t>
            </w:r>
            <w:r>
              <w:rPr>
                <w:rFonts w:hint="eastAsia" w:ascii="宋体" w:hAnsi="宋体" w:eastAsia="宋体" w:cs="宋体"/>
                <w:color w:val="000000"/>
                <w:kern w:val="0"/>
                <w:sz w:val="20"/>
                <w:szCs w:val="20"/>
                <w:lang w:val="en-US" w:eastAsia="zh-CN"/>
              </w:rPr>
              <w:t>湘乡市梅桥中心学校</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hint="eastAsia" w:ascii="宋体" w:hAnsi="宋体" w:eastAsia="宋体" w:cs="宋体"/>
                <w:color w:val="000000"/>
                <w:sz w:val="20"/>
                <w:szCs w:val="20"/>
                <w:lang w:eastAsia="zh-CN"/>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单位：万元</w:t>
            </w:r>
          </w:p>
        </w:tc>
      </w:tr>
      <w:tr>
        <w:tblPrEx>
          <w:tblCellMar>
            <w:top w:w="0" w:type="dxa"/>
            <w:left w:w="0" w:type="dxa"/>
            <w:bottom w:w="0" w:type="dxa"/>
            <w:right w:w="0" w:type="dxa"/>
          </w:tblCellMar>
        </w:tblPrEx>
        <w:trPr>
          <w:trHeight w:val="450" w:hRule="atLeast"/>
        </w:trPr>
        <w:tc>
          <w:tcPr>
            <w:tcW w:w="4051"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项    目</w:t>
            </w:r>
          </w:p>
        </w:tc>
        <w:tc>
          <w:tcPr>
            <w:tcW w:w="1283"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本年收入合计</w:t>
            </w:r>
          </w:p>
        </w:tc>
        <w:tc>
          <w:tcPr>
            <w:tcW w:w="1283"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财政拨款收入</w:t>
            </w:r>
          </w:p>
        </w:tc>
        <w:tc>
          <w:tcPr>
            <w:tcW w:w="1283"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上级补助收入</w:t>
            </w:r>
          </w:p>
        </w:tc>
        <w:tc>
          <w:tcPr>
            <w:tcW w:w="1283"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事业收入</w:t>
            </w:r>
          </w:p>
        </w:tc>
        <w:tc>
          <w:tcPr>
            <w:tcW w:w="1283"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经营收入</w:t>
            </w:r>
          </w:p>
        </w:tc>
        <w:tc>
          <w:tcPr>
            <w:tcW w:w="1283"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附属单位上缴收入</w:t>
            </w:r>
          </w:p>
        </w:tc>
        <w:tc>
          <w:tcPr>
            <w:tcW w:w="2731"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其他收入</w:t>
            </w:r>
          </w:p>
        </w:tc>
      </w:tr>
      <w:tr>
        <w:tblPrEx>
          <w:tblCellMar>
            <w:top w:w="0" w:type="dxa"/>
            <w:left w:w="0" w:type="dxa"/>
            <w:bottom w:w="0" w:type="dxa"/>
            <w:right w:w="0" w:type="dxa"/>
          </w:tblCellMar>
        </w:tblPrEx>
        <w:trPr>
          <w:trHeight w:val="450" w:hRule="atLeast"/>
        </w:trPr>
        <w:tc>
          <w:tcPr>
            <w:tcW w:w="1242"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功能分类科目编码</w:t>
            </w:r>
          </w:p>
        </w:tc>
        <w:tc>
          <w:tcPr>
            <w:tcW w:w="2809"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科目名称</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1242"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2809" w:type="dxa"/>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0" w:type="auto"/>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栏次</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1</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2</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3</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4</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5</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6</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7</w:t>
            </w:r>
          </w:p>
        </w:tc>
      </w:tr>
      <w:tr>
        <w:tblPrEx>
          <w:tblCellMar>
            <w:top w:w="0" w:type="dxa"/>
            <w:left w:w="0" w:type="dxa"/>
            <w:bottom w:w="0" w:type="dxa"/>
            <w:right w:w="0" w:type="dxa"/>
          </w:tblCellMar>
        </w:tblPrEx>
        <w:trPr>
          <w:trHeight w:val="450" w:hRule="atLeast"/>
        </w:trPr>
        <w:tc>
          <w:tcPr>
            <w:tcW w:w="0" w:type="auto"/>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合计</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cs="宋体" w:eastAsiaTheme="minorEastAsia"/>
                <w:sz w:val="24"/>
                <w:szCs w:val="24"/>
                <w:lang w:eastAsia="zh-CN"/>
              </w:rPr>
            </w:pPr>
            <w:r>
              <w:rPr>
                <w:rFonts w:hint="eastAsia"/>
                <w:lang w:val="en-US" w:eastAsia="zh-CN"/>
              </w:rPr>
              <w:t>3312.06</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cs="宋体" w:eastAsiaTheme="minorEastAsia"/>
                <w:sz w:val="24"/>
                <w:szCs w:val="24"/>
                <w:lang w:eastAsia="zh-CN"/>
              </w:rPr>
            </w:pPr>
            <w:r>
              <w:rPr>
                <w:rFonts w:hint="eastAsia"/>
                <w:lang w:val="en-US" w:eastAsia="zh-CN"/>
              </w:rPr>
              <w:t>2606.42</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cs="宋体" w:eastAsiaTheme="minorEastAsia"/>
                <w:sz w:val="24"/>
                <w:szCs w:val="24"/>
                <w:lang w:eastAsia="zh-CN"/>
              </w:rPr>
            </w:pPr>
            <w:r>
              <w:rPr>
                <w:rFonts w:hint="eastAsia"/>
                <w:lang w:val="en-US" w:eastAsia="zh-CN"/>
              </w:rPr>
              <w:t>705.64</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r>
      <w:tr>
        <w:tblPrEx>
          <w:tblCellMar>
            <w:top w:w="0" w:type="dxa"/>
            <w:left w:w="0" w:type="dxa"/>
            <w:bottom w:w="0" w:type="dxa"/>
            <w:right w:w="0" w:type="dxa"/>
          </w:tblCellMar>
        </w:tblPrEx>
        <w:trPr>
          <w:trHeight w:val="450" w:hRule="atLeast"/>
        </w:trPr>
        <w:tc>
          <w:tcPr>
            <w:tcW w:w="124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ascii="宋体" w:hAnsi="宋体" w:cs="宋体" w:eastAsiaTheme="minorEastAsia"/>
                <w:sz w:val="24"/>
                <w:szCs w:val="24"/>
                <w:lang w:val="en-US" w:eastAsia="zh-CN"/>
              </w:rPr>
            </w:pPr>
            <w:r>
              <w:rPr>
                <w:rFonts w:hint="eastAsia"/>
                <w:lang w:val="en-US" w:eastAsia="zh-CN"/>
              </w:rPr>
              <w:t>205</w:t>
            </w:r>
          </w:p>
        </w:tc>
        <w:tc>
          <w:tcPr>
            <w:tcW w:w="280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ascii="宋体" w:hAnsi="宋体" w:cs="宋体" w:eastAsiaTheme="minorEastAsia"/>
                <w:sz w:val="24"/>
                <w:szCs w:val="24"/>
                <w:lang w:val="en-US" w:eastAsia="zh-CN"/>
              </w:rPr>
            </w:pPr>
            <w:r>
              <w:rPr>
                <w:rFonts w:hint="eastAsia"/>
                <w:lang w:val="en-US" w:eastAsia="zh-CN"/>
              </w:rPr>
              <w:t>教育支出</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cs="宋体" w:eastAsiaTheme="minorEastAsia"/>
                <w:sz w:val="24"/>
                <w:szCs w:val="24"/>
                <w:lang w:eastAsia="zh-CN"/>
              </w:rPr>
            </w:pPr>
            <w:r>
              <w:rPr>
                <w:rFonts w:hint="eastAsia"/>
                <w:lang w:val="en-US" w:eastAsia="zh-CN"/>
              </w:rPr>
              <w:t>3312.06</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cs="宋体" w:eastAsiaTheme="minorEastAsia"/>
                <w:sz w:val="24"/>
                <w:szCs w:val="24"/>
                <w:lang w:eastAsia="zh-CN"/>
              </w:rPr>
            </w:pPr>
            <w:r>
              <w:rPr>
                <w:rFonts w:hint="eastAsia"/>
                <w:lang w:val="en-US" w:eastAsia="zh-CN"/>
              </w:rPr>
              <w:t>2606.42</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cs="宋体" w:eastAsiaTheme="minorEastAsia"/>
                <w:sz w:val="24"/>
                <w:szCs w:val="24"/>
                <w:lang w:eastAsia="zh-CN"/>
              </w:rPr>
            </w:pPr>
            <w:r>
              <w:rPr>
                <w:rFonts w:hint="eastAsia"/>
                <w:lang w:val="en-US" w:eastAsia="zh-CN"/>
              </w:rPr>
              <w:t>705.64</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r>
      <w:tr>
        <w:tblPrEx>
          <w:tblCellMar>
            <w:top w:w="0" w:type="dxa"/>
            <w:left w:w="0" w:type="dxa"/>
            <w:bottom w:w="0" w:type="dxa"/>
            <w:right w:w="0" w:type="dxa"/>
          </w:tblCellMar>
        </w:tblPrEx>
        <w:trPr>
          <w:trHeight w:val="450" w:hRule="atLeast"/>
        </w:trPr>
        <w:tc>
          <w:tcPr>
            <w:tcW w:w="124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ascii="宋体" w:hAnsi="宋体" w:cs="宋体" w:eastAsiaTheme="minorEastAsia"/>
                <w:sz w:val="24"/>
                <w:szCs w:val="24"/>
                <w:lang w:val="en-US" w:eastAsia="zh-CN"/>
              </w:rPr>
            </w:pPr>
            <w:r>
              <w:rPr>
                <w:rFonts w:hint="eastAsia"/>
                <w:lang w:val="en-US" w:eastAsia="zh-CN"/>
              </w:rPr>
              <w:t>20502</w:t>
            </w:r>
          </w:p>
        </w:tc>
        <w:tc>
          <w:tcPr>
            <w:tcW w:w="280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ascii="宋体" w:hAnsi="宋体" w:cs="宋体" w:eastAsiaTheme="minorEastAsia"/>
                <w:sz w:val="24"/>
                <w:szCs w:val="24"/>
                <w:lang w:val="en-US" w:eastAsia="zh-CN"/>
              </w:rPr>
            </w:pPr>
            <w:r>
              <w:rPr>
                <w:rFonts w:hint="eastAsia"/>
                <w:lang w:val="en-US" w:eastAsia="zh-CN"/>
              </w:rPr>
              <w:t xml:space="preserve">普通教育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lang w:val="en-US" w:eastAsia="zh-CN"/>
              </w:rPr>
            </w:pPr>
            <w:r>
              <w:rPr>
                <w:rFonts w:hint="eastAsia"/>
                <w:lang w:val="en-US" w:eastAsia="zh-CN"/>
              </w:rPr>
              <w:t>3312.06</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lang w:val="en-US" w:eastAsia="zh-CN"/>
              </w:rPr>
            </w:pPr>
            <w:r>
              <w:rPr>
                <w:rFonts w:hint="eastAsia"/>
                <w:lang w:val="en-US" w:eastAsia="zh-CN"/>
              </w:rPr>
              <w:t>2606.42</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cs="宋体" w:eastAsiaTheme="minorEastAsia"/>
                <w:sz w:val="24"/>
                <w:szCs w:val="24"/>
                <w:lang w:eastAsia="zh-CN"/>
              </w:rPr>
            </w:pPr>
            <w:r>
              <w:rPr>
                <w:rFonts w:hint="eastAsia"/>
                <w:lang w:val="en-US" w:eastAsia="zh-CN"/>
              </w:rPr>
              <w:t>705.64</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r>
      <w:tr>
        <w:tblPrEx>
          <w:tblCellMar>
            <w:top w:w="0" w:type="dxa"/>
            <w:left w:w="0" w:type="dxa"/>
            <w:bottom w:w="0" w:type="dxa"/>
            <w:right w:w="0" w:type="dxa"/>
          </w:tblCellMar>
        </w:tblPrEx>
        <w:trPr>
          <w:trHeight w:val="450" w:hRule="atLeast"/>
        </w:trPr>
        <w:tc>
          <w:tcPr>
            <w:tcW w:w="124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ascii="宋体" w:hAnsi="宋体" w:cs="宋体" w:eastAsiaTheme="minorEastAsia"/>
                <w:sz w:val="24"/>
                <w:szCs w:val="24"/>
                <w:lang w:val="en-US" w:eastAsia="zh-CN"/>
              </w:rPr>
            </w:pPr>
            <w:r>
              <w:rPr>
                <w:rFonts w:hint="eastAsia"/>
                <w:lang w:val="en-US" w:eastAsia="zh-CN"/>
              </w:rPr>
              <w:t>2050201</w:t>
            </w:r>
          </w:p>
        </w:tc>
        <w:tc>
          <w:tcPr>
            <w:tcW w:w="280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ascii="宋体" w:hAnsi="宋体" w:cs="宋体" w:eastAsiaTheme="minorEastAsia"/>
                <w:sz w:val="24"/>
                <w:szCs w:val="24"/>
                <w:lang w:val="en-US" w:eastAsia="zh-CN"/>
              </w:rPr>
            </w:pPr>
            <w:r>
              <w:rPr>
                <w:rFonts w:hint="eastAsia"/>
                <w:lang w:val="en-US" w:eastAsia="zh-CN"/>
              </w:rPr>
              <w:t>学前教育</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cs="宋体" w:eastAsiaTheme="minorEastAsia"/>
                <w:sz w:val="24"/>
                <w:szCs w:val="24"/>
                <w:lang w:eastAsia="zh-CN"/>
              </w:rPr>
            </w:pPr>
            <w:r>
              <w:rPr>
                <w:rFonts w:hint="eastAsia"/>
                <w:lang w:val="en-US" w:eastAsia="zh-CN"/>
              </w:rPr>
              <w:t>180.39</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cs="宋体" w:eastAsiaTheme="minorEastAsia"/>
                <w:sz w:val="24"/>
                <w:szCs w:val="24"/>
                <w:lang w:eastAsia="zh-CN"/>
              </w:rPr>
            </w:pPr>
            <w:r>
              <w:rPr>
                <w:rFonts w:hint="eastAsia"/>
                <w:lang w:val="en-US" w:eastAsia="zh-CN"/>
              </w:rPr>
              <w:t>180.39</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r>
      <w:tr>
        <w:tblPrEx>
          <w:tblCellMar>
            <w:top w:w="0" w:type="dxa"/>
            <w:left w:w="0" w:type="dxa"/>
            <w:bottom w:w="0" w:type="dxa"/>
            <w:right w:w="0" w:type="dxa"/>
          </w:tblCellMar>
        </w:tblPrEx>
        <w:trPr>
          <w:trHeight w:val="450" w:hRule="atLeast"/>
        </w:trPr>
        <w:tc>
          <w:tcPr>
            <w:tcW w:w="124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ascii="宋体" w:hAnsi="宋体" w:cs="宋体" w:eastAsiaTheme="minorEastAsia"/>
                <w:sz w:val="24"/>
                <w:szCs w:val="24"/>
                <w:lang w:val="en-US" w:eastAsia="zh-CN"/>
              </w:rPr>
            </w:pPr>
            <w:r>
              <w:rPr>
                <w:rFonts w:hint="eastAsia"/>
                <w:lang w:val="en-US" w:eastAsia="zh-CN"/>
              </w:rPr>
              <w:t>2050202</w:t>
            </w:r>
          </w:p>
        </w:tc>
        <w:tc>
          <w:tcPr>
            <w:tcW w:w="280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ascii="宋体" w:hAnsi="宋体" w:cs="宋体" w:eastAsiaTheme="minorEastAsia"/>
                <w:sz w:val="24"/>
                <w:szCs w:val="24"/>
                <w:lang w:val="en-US" w:eastAsia="zh-CN"/>
              </w:rPr>
            </w:pPr>
            <w:r>
              <w:rPr>
                <w:rFonts w:hint="eastAsia"/>
                <w:lang w:val="en-US" w:eastAsia="zh-CN"/>
              </w:rPr>
              <w:t>小学教育</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cs="宋体" w:eastAsiaTheme="minorEastAsia"/>
                <w:sz w:val="24"/>
                <w:szCs w:val="24"/>
                <w:lang w:eastAsia="zh-CN"/>
              </w:rPr>
            </w:pPr>
            <w:r>
              <w:rPr>
                <w:rFonts w:hint="eastAsia"/>
                <w:lang w:val="en-US" w:eastAsia="zh-CN"/>
              </w:rPr>
              <w:t>2242.49</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cs="宋体" w:eastAsiaTheme="minorEastAsia"/>
                <w:sz w:val="24"/>
                <w:szCs w:val="24"/>
                <w:lang w:eastAsia="zh-CN"/>
              </w:rPr>
            </w:pPr>
            <w:r>
              <w:rPr>
                <w:rFonts w:hint="eastAsia"/>
                <w:lang w:val="en-US" w:eastAsia="zh-CN"/>
              </w:rPr>
              <w:t>1631.39</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cs="宋体" w:eastAsiaTheme="minorEastAsia"/>
                <w:sz w:val="24"/>
                <w:szCs w:val="24"/>
                <w:lang w:eastAsia="zh-CN"/>
              </w:rPr>
            </w:pPr>
            <w:r>
              <w:rPr>
                <w:rFonts w:hint="eastAsia"/>
                <w:lang w:val="en-US" w:eastAsia="zh-CN"/>
              </w:rPr>
              <w:t>611.10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r>
      <w:tr>
        <w:tblPrEx>
          <w:tblCellMar>
            <w:top w:w="0" w:type="dxa"/>
            <w:left w:w="0" w:type="dxa"/>
            <w:bottom w:w="0" w:type="dxa"/>
            <w:right w:w="0" w:type="dxa"/>
          </w:tblCellMar>
        </w:tblPrEx>
        <w:trPr>
          <w:trHeight w:val="450" w:hRule="atLeast"/>
        </w:trPr>
        <w:tc>
          <w:tcPr>
            <w:tcW w:w="124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ascii="宋体" w:hAnsi="宋体" w:cs="宋体" w:eastAsiaTheme="minorEastAsia"/>
                <w:sz w:val="24"/>
                <w:szCs w:val="24"/>
                <w:lang w:val="en-US" w:eastAsia="zh-CN"/>
              </w:rPr>
            </w:pPr>
            <w:r>
              <w:rPr>
                <w:rFonts w:hint="eastAsia"/>
                <w:lang w:val="en-US" w:eastAsia="zh-CN"/>
              </w:rPr>
              <w:t>2050203</w:t>
            </w:r>
          </w:p>
        </w:tc>
        <w:tc>
          <w:tcPr>
            <w:tcW w:w="280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ascii="宋体" w:hAnsi="宋体" w:cs="宋体" w:eastAsiaTheme="minorEastAsia"/>
                <w:sz w:val="24"/>
                <w:szCs w:val="24"/>
                <w:lang w:val="en-US" w:eastAsia="zh-CN"/>
              </w:rPr>
            </w:pPr>
            <w:r>
              <w:rPr>
                <w:rFonts w:hint="eastAsia"/>
                <w:lang w:val="en-US" w:eastAsia="zh-CN"/>
              </w:rPr>
              <w:t>初中教育</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cs="宋体" w:eastAsiaTheme="minorEastAsia"/>
                <w:sz w:val="24"/>
                <w:szCs w:val="24"/>
                <w:lang w:eastAsia="zh-CN"/>
              </w:rPr>
            </w:pPr>
            <w:r>
              <w:rPr>
                <w:rFonts w:hint="eastAsia"/>
                <w:lang w:val="en-US" w:eastAsia="zh-CN"/>
              </w:rPr>
              <w:t>889.18</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cs="宋体" w:eastAsiaTheme="minorEastAsia"/>
                <w:sz w:val="24"/>
                <w:szCs w:val="24"/>
                <w:lang w:eastAsia="zh-CN"/>
              </w:rPr>
            </w:pPr>
            <w:r>
              <w:rPr>
                <w:rFonts w:hint="eastAsia"/>
                <w:lang w:val="en-US" w:eastAsia="zh-CN"/>
              </w:rPr>
              <w:t>794.64</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cs="宋体" w:eastAsiaTheme="minorEastAsia"/>
                <w:sz w:val="24"/>
                <w:szCs w:val="24"/>
                <w:lang w:eastAsia="zh-CN"/>
              </w:rPr>
            </w:pPr>
            <w:r>
              <w:rPr>
                <w:rFonts w:hint="eastAsia"/>
                <w:lang w:val="en-US" w:eastAsia="zh-CN"/>
              </w:rPr>
              <w:t>94.54</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r>
      <w:tr>
        <w:tblPrEx>
          <w:tblCellMar>
            <w:top w:w="0" w:type="dxa"/>
            <w:left w:w="0" w:type="dxa"/>
            <w:bottom w:w="0" w:type="dxa"/>
            <w:right w:w="0" w:type="dxa"/>
          </w:tblCellMar>
        </w:tblPrEx>
        <w:trPr>
          <w:trHeight w:val="450" w:hRule="atLeast"/>
        </w:trPr>
        <w:tc>
          <w:tcPr>
            <w:tcW w:w="124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宋体" w:hAnsi="宋体" w:eastAsia="宋体" w:cs="宋体"/>
                <w:sz w:val="24"/>
                <w:szCs w:val="24"/>
                <w:lang w:eastAsia="zh-CN"/>
              </w:rPr>
            </w:pPr>
          </w:p>
        </w:tc>
        <w:tc>
          <w:tcPr>
            <w:tcW w:w="280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r>
      <w:tr>
        <w:tblPrEx>
          <w:tblCellMar>
            <w:top w:w="0" w:type="dxa"/>
            <w:left w:w="0" w:type="dxa"/>
            <w:bottom w:w="0" w:type="dxa"/>
            <w:right w:w="0" w:type="dxa"/>
          </w:tblCellMar>
        </w:tblPrEx>
        <w:trPr>
          <w:trHeight w:val="615" w:hRule="atLeast"/>
        </w:trPr>
        <w:tc>
          <w:tcPr>
            <w:tcW w:w="14480" w:type="dxa"/>
            <w:gridSpan w:val="10"/>
            <w:tcBorders>
              <w:top w:val="nil"/>
              <w:left w:val="nil"/>
              <w:bottom w:val="nil"/>
              <w:right w:val="nil"/>
            </w:tcBorders>
            <w:shd w:val="clear" w:color="auto" w:fill="auto"/>
            <w:tcMar>
              <w:top w:w="15" w:type="dxa"/>
              <w:left w:w="15" w:type="dxa"/>
              <w:bottom w:w="0" w:type="dxa"/>
              <w:right w:w="15" w:type="dxa"/>
            </w:tcMar>
            <w:vAlign w:val="center"/>
          </w:tcPr>
          <w:p>
            <w:pPr>
              <w:rPr>
                <w:rFonts w:ascii="宋体" w:hAnsi="宋体" w:eastAsia="宋体" w:cs="宋体"/>
                <w:sz w:val="24"/>
                <w:szCs w:val="24"/>
              </w:rPr>
            </w:pPr>
            <w:r>
              <w:rPr>
                <w:rFonts w:hint="eastAsia"/>
              </w:rPr>
              <w:t>注：本表反映部门本年度取得的各项收入情况。</w:t>
            </w:r>
          </w:p>
        </w:tc>
      </w:tr>
    </w:tbl>
    <w:p>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 xml:space="preserve"> </w:t>
      </w:r>
      <w:r>
        <w:rPr>
          <w:rFonts w:ascii="Times New Roman" w:hAnsi="Times New Roman" w:eastAsia="黑体" w:cs="Times New Roman"/>
          <w:bCs/>
          <w:kern w:val="0"/>
          <w:sz w:val="32"/>
          <w:szCs w:val="32"/>
        </w:rPr>
        <w:br w:type="page"/>
      </w:r>
    </w:p>
    <w:p>
      <w:pPr>
        <w:widowControl/>
        <w:rPr>
          <w:rFonts w:ascii="Times New Roman" w:hAnsi="Times New Roman" w:eastAsia="方正小标宋_GBK" w:cs="Times New Roman"/>
          <w:color w:val="000000"/>
          <w:kern w:val="0"/>
          <w:sz w:val="36"/>
          <w:szCs w:val="36"/>
        </w:rPr>
      </w:pPr>
    </w:p>
    <w:tbl>
      <w:tblPr>
        <w:tblStyle w:val="6"/>
        <w:tblW w:w="13183" w:type="dxa"/>
        <w:tblInd w:w="93" w:type="dxa"/>
        <w:tblLayout w:type="fixed"/>
        <w:tblCellMar>
          <w:top w:w="0" w:type="dxa"/>
          <w:left w:w="108" w:type="dxa"/>
          <w:bottom w:w="0" w:type="dxa"/>
          <w:right w:w="108" w:type="dxa"/>
        </w:tblCellMar>
      </w:tblPr>
      <w:tblGrid>
        <w:gridCol w:w="1042"/>
        <w:gridCol w:w="222"/>
        <w:gridCol w:w="1643"/>
        <w:gridCol w:w="1252"/>
        <w:gridCol w:w="1679"/>
        <w:gridCol w:w="1679"/>
        <w:gridCol w:w="1679"/>
        <w:gridCol w:w="1679"/>
        <w:gridCol w:w="2308"/>
      </w:tblGrid>
      <w:tr>
        <w:tblPrEx>
          <w:tblCellMar>
            <w:top w:w="0" w:type="dxa"/>
            <w:left w:w="108" w:type="dxa"/>
            <w:bottom w:w="0" w:type="dxa"/>
            <w:right w:w="108" w:type="dxa"/>
          </w:tblCellMar>
        </w:tblPrEx>
        <w:trPr>
          <w:trHeight w:val="435" w:hRule="atLeast"/>
        </w:trPr>
        <w:tc>
          <w:tcPr>
            <w:tcW w:w="13183" w:type="dxa"/>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tblPrEx>
          <w:tblCellMar>
            <w:top w:w="0" w:type="dxa"/>
            <w:left w:w="108" w:type="dxa"/>
            <w:bottom w:w="0" w:type="dxa"/>
            <w:right w:w="108" w:type="dxa"/>
          </w:tblCellMar>
        </w:tblPrEx>
        <w:trPr>
          <w:trHeight w:val="285" w:hRule="atLeast"/>
        </w:trPr>
        <w:tc>
          <w:tcPr>
            <w:tcW w:w="1042"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222"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643"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252"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679"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679"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679"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679"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2308"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tblPrEx>
          <w:tblCellMar>
            <w:top w:w="0" w:type="dxa"/>
            <w:left w:w="108" w:type="dxa"/>
            <w:bottom w:w="0" w:type="dxa"/>
            <w:right w:w="108" w:type="dxa"/>
          </w:tblCellMar>
        </w:tblPrEx>
        <w:trPr>
          <w:trHeight w:val="285" w:hRule="atLeast"/>
        </w:trPr>
        <w:tc>
          <w:tcPr>
            <w:tcW w:w="4159" w:type="dxa"/>
            <w:gridSpan w:val="4"/>
            <w:tcBorders>
              <w:top w:val="nil"/>
              <w:left w:val="nil"/>
              <w:bottom w:val="nil"/>
              <w:right w:val="nil"/>
            </w:tcBorders>
            <w:shd w:val="clear" w:color="000000" w:fill="FFFFFF"/>
            <w:noWrap/>
            <w:vAlign w:val="center"/>
          </w:tcPr>
          <w:p>
            <w:pPr>
              <w:widowControl/>
              <w:jc w:val="left"/>
              <w:rPr>
                <w:rFonts w:hint="eastAsia" w:ascii="宋体" w:hAnsi="宋体" w:eastAsia="宋体" w:cs="宋体"/>
                <w:kern w:val="0"/>
                <w:sz w:val="24"/>
                <w:szCs w:val="24"/>
                <w:lang w:eastAsia="zh-CN"/>
              </w:rPr>
            </w:pPr>
            <w:r>
              <w:rPr>
                <w:rFonts w:hint="eastAsia" w:ascii="宋体" w:hAnsi="宋体" w:eastAsia="宋体" w:cs="宋体"/>
                <w:color w:val="000000"/>
                <w:kern w:val="0"/>
                <w:sz w:val="20"/>
                <w:szCs w:val="20"/>
              </w:rPr>
              <w:t>部门：</w:t>
            </w:r>
            <w:r>
              <w:rPr>
                <w:rFonts w:hint="eastAsia" w:ascii="宋体" w:hAnsi="宋体" w:eastAsia="宋体" w:cs="宋体"/>
                <w:color w:val="000000"/>
                <w:kern w:val="0"/>
                <w:sz w:val="20"/>
                <w:szCs w:val="20"/>
                <w:lang w:val="en-US" w:eastAsia="zh-CN"/>
              </w:rPr>
              <w:t>湘乡市梅桥中心学校</w:t>
            </w:r>
          </w:p>
        </w:tc>
        <w:tc>
          <w:tcPr>
            <w:tcW w:w="1679"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679" w:type="dxa"/>
            <w:tcBorders>
              <w:top w:val="nil"/>
              <w:left w:val="nil"/>
              <w:bottom w:val="nil"/>
              <w:right w:val="nil"/>
            </w:tcBorders>
            <w:shd w:val="clear" w:color="000000" w:fill="FFFFFF"/>
            <w:noWrap/>
            <w:vAlign w:val="center"/>
          </w:tcPr>
          <w:p>
            <w:pPr>
              <w:widowControl/>
              <w:jc w:val="center"/>
              <w:rPr>
                <w:rFonts w:hint="eastAsia" w:ascii="宋体" w:hAnsi="宋体" w:eastAsia="宋体" w:cs="宋体"/>
                <w:color w:val="000000"/>
                <w:kern w:val="0"/>
                <w:sz w:val="20"/>
                <w:szCs w:val="20"/>
                <w:lang w:eastAsia="zh-CN"/>
              </w:rPr>
            </w:pPr>
          </w:p>
        </w:tc>
        <w:tc>
          <w:tcPr>
            <w:tcW w:w="1679"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679"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2308"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50" w:hRule="atLeast"/>
        </w:trPr>
        <w:tc>
          <w:tcPr>
            <w:tcW w:w="2907"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252"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2308"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tblPrEx>
          <w:tblCellMar>
            <w:top w:w="0" w:type="dxa"/>
            <w:left w:w="108" w:type="dxa"/>
            <w:bottom w:w="0" w:type="dxa"/>
            <w:right w:w="108" w:type="dxa"/>
          </w:tblCellMar>
        </w:tblPrEx>
        <w:trPr>
          <w:trHeight w:val="450" w:hRule="atLeast"/>
        </w:trPr>
        <w:tc>
          <w:tcPr>
            <w:tcW w:w="1264"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1643"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25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30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43"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25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30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2907"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252"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6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6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6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6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230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tblPrEx>
          <w:tblCellMar>
            <w:top w:w="0" w:type="dxa"/>
            <w:left w:w="108" w:type="dxa"/>
            <w:bottom w:w="0" w:type="dxa"/>
            <w:right w:w="108" w:type="dxa"/>
          </w:tblCellMar>
        </w:tblPrEx>
        <w:trPr>
          <w:trHeight w:val="450" w:hRule="atLeast"/>
        </w:trPr>
        <w:tc>
          <w:tcPr>
            <w:tcW w:w="2907"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252"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cs="宋体" w:eastAsiaTheme="minorEastAsia"/>
                <w:kern w:val="2"/>
                <w:sz w:val="24"/>
                <w:szCs w:val="24"/>
                <w:lang w:val="en-US" w:eastAsia="zh-CN" w:bidi="ar-SA"/>
              </w:rPr>
            </w:pPr>
            <w:r>
              <w:rPr>
                <w:rFonts w:hint="eastAsia"/>
                <w:lang w:val="en-US" w:eastAsia="zh-CN"/>
              </w:rPr>
              <w:t>3312.06</w:t>
            </w:r>
          </w:p>
        </w:tc>
        <w:tc>
          <w:tcPr>
            <w:tcW w:w="1679"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cs="宋体" w:eastAsiaTheme="minorEastAsia"/>
                <w:kern w:val="2"/>
                <w:sz w:val="24"/>
                <w:szCs w:val="24"/>
                <w:lang w:val="en-US" w:eastAsia="zh-CN" w:bidi="ar-SA"/>
              </w:rPr>
            </w:pPr>
            <w:r>
              <w:rPr>
                <w:rFonts w:hint="eastAsia"/>
                <w:lang w:val="en-US" w:eastAsia="zh-CN"/>
              </w:rPr>
              <w:t>3312.06</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default" w:ascii="宋体" w:hAnsi="宋体" w:cs="宋体" w:eastAsiaTheme="minorEastAsia"/>
                <w:kern w:val="2"/>
                <w:sz w:val="24"/>
                <w:szCs w:val="24"/>
                <w:lang w:val="en-US" w:eastAsia="zh-CN" w:bidi="ar-SA"/>
              </w:rPr>
            </w:pPr>
            <w:r>
              <w:rPr>
                <w:rFonts w:hint="eastAsia"/>
                <w:lang w:val="en-US" w:eastAsia="zh-CN"/>
              </w:rPr>
              <w:t>205</w:t>
            </w:r>
          </w:p>
        </w:tc>
        <w:tc>
          <w:tcPr>
            <w:tcW w:w="1643" w:type="dxa"/>
            <w:tcBorders>
              <w:top w:val="nil"/>
              <w:left w:val="nil"/>
              <w:bottom w:val="single" w:color="auto" w:sz="4" w:space="0"/>
              <w:right w:val="single" w:color="auto" w:sz="4" w:space="0"/>
            </w:tcBorders>
            <w:shd w:val="clear" w:color="000000" w:fill="FFFFFF"/>
            <w:noWrap/>
            <w:vAlign w:val="center"/>
          </w:tcPr>
          <w:p>
            <w:pPr>
              <w:rPr>
                <w:rFonts w:hint="default" w:ascii="宋体" w:hAnsi="宋体" w:cs="宋体" w:eastAsiaTheme="minorEastAsia"/>
                <w:kern w:val="2"/>
                <w:sz w:val="24"/>
                <w:szCs w:val="24"/>
                <w:lang w:val="en-US" w:eastAsia="zh-CN" w:bidi="ar-SA"/>
              </w:rPr>
            </w:pPr>
            <w:r>
              <w:rPr>
                <w:rFonts w:hint="eastAsia"/>
                <w:lang w:val="en-US" w:eastAsia="zh-CN"/>
              </w:rPr>
              <w:t>教育支出</w:t>
            </w:r>
          </w:p>
        </w:tc>
        <w:tc>
          <w:tcPr>
            <w:tcW w:w="1252"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cs="宋体" w:eastAsiaTheme="minorEastAsia"/>
                <w:kern w:val="2"/>
                <w:sz w:val="24"/>
                <w:szCs w:val="24"/>
                <w:lang w:val="en-US" w:eastAsia="zh-CN" w:bidi="ar-SA"/>
              </w:rPr>
            </w:pPr>
            <w:r>
              <w:rPr>
                <w:rFonts w:hint="eastAsia"/>
                <w:lang w:val="en-US" w:eastAsia="zh-CN"/>
              </w:rPr>
              <w:t>3312.06</w:t>
            </w:r>
          </w:p>
        </w:tc>
        <w:tc>
          <w:tcPr>
            <w:tcW w:w="1679"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cs="宋体" w:eastAsiaTheme="minorEastAsia"/>
                <w:kern w:val="2"/>
                <w:sz w:val="24"/>
                <w:szCs w:val="24"/>
                <w:lang w:val="en-US" w:eastAsia="zh-CN" w:bidi="ar-SA"/>
              </w:rPr>
            </w:pPr>
            <w:r>
              <w:rPr>
                <w:rFonts w:hint="eastAsia"/>
                <w:lang w:val="en-US" w:eastAsia="zh-CN"/>
              </w:rPr>
              <w:t>3312.06</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default" w:ascii="宋体" w:hAnsi="宋体" w:cs="宋体" w:eastAsiaTheme="minorEastAsia"/>
                <w:kern w:val="2"/>
                <w:sz w:val="24"/>
                <w:szCs w:val="24"/>
                <w:lang w:val="en-US" w:eastAsia="zh-CN" w:bidi="ar-SA"/>
              </w:rPr>
            </w:pPr>
            <w:r>
              <w:rPr>
                <w:rFonts w:hint="eastAsia"/>
                <w:lang w:val="en-US" w:eastAsia="zh-CN"/>
              </w:rPr>
              <w:t>20502</w:t>
            </w:r>
          </w:p>
        </w:tc>
        <w:tc>
          <w:tcPr>
            <w:tcW w:w="1643" w:type="dxa"/>
            <w:tcBorders>
              <w:top w:val="nil"/>
              <w:left w:val="nil"/>
              <w:bottom w:val="single" w:color="auto" w:sz="4" w:space="0"/>
              <w:right w:val="single" w:color="auto" w:sz="4" w:space="0"/>
            </w:tcBorders>
            <w:shd w:val="clear" w:color="000000" w:fill="FFFFFF"/>
            <w:noWrap/>
            <w:vAlign w:val="center"/>
          </w:tcPr>
          <w:p>
            <w:pPr>
              <w:rPr>
                <w:rFonts w:hint="default" w:ascii="宋体" w:hAnsi="宋体" w:cs="宋体" w:eastAsiaTheme="minorEastAsia"/>
                <w:kern w:val="2"/>
                <w:sz w:val="24"/>
                <w:szCs w:val="24"/>
                <w:lang w:val="en-US" w:eastAsia="zh-CN" w:bidi="ar-SA"/>
              </w:rPr>
            </w:pPr>
            <w:r>
              <w:rPr>
                <w:rFonts w:hint="eastAsia"/>
                <w:lang w:val="en-US" w:eastAsia="zh-CN"/>
              </w:rPr>
              <w:t xml:space="preserve">普通教育 </w:t>
            </w:r>
          </w:p>
        </w:tc>
        <w:tc>
          <w:tcPr>
            <w:tcW w:w="1252" w:type="dxa"/>
            <w:tcBorders>
              <w:top w:val="nil"/>
              <w:left w:val="nil"/>
              <w:bottom w:val="single" w:color="auto" w:sz="4" w:space="0"/>
              <w:right w:val="single" w:color="auto" w:sz="4" w:space="0"/>
            </w:tcBorders>
            <w:shd w:val="clear" w:color="auto" w:fill="auto"/>
            <w:noWrap/>
            <w:vAlign w:val="center"/>
          </w:tcPr>
          <w:p>
            <w:pPr>
              <w:jc w:val="right"/>
              <w:rPr>
                <w:rFonts w:hint="eastAsia" w:asciiTheme="minorHAnsi" w:hAnsiTheme="minorHAnsi" w:eastAsiaTheme="minorEastAsia" w:cstheme="minorBidi"/>
                <w:kern w:val="2"/>
                <w:sz w:val="21"/>
                <w:szCs w:val="22"/>
                <w:lang w:val="en-US" w:eastAsia="zh-CN" w:bidi="ar-SA"/>
              </w:rPr>
            </w:pPr>
            <w:r>
              <w:rPr>
                <w:rFonts w:hint="eastAsia"/>
                <w:lang w:val="en-US" w:eastAsia="zh-CN"/>
              </w:rPr>
              <w:t>3312.06</w:t>
            </w:r>
          </w:p>
        </w:tc>
        <w:tc>
          <w:tcPr>
            <w:tcW w:w="1679" w:type="dxa"/>
            <w:tcBorders>
              <w:top w:val="nil"/>
              <w:left w:val="nil"/>
              <w:bottom w:val="single" w:color="auto" w:sz="4" w:space="0"/>
              <w:right w:val="single" w:color="auto" w:sz="4" w:space="0"/>
            </w:tcBorders>
            <w:shd w:val="clear" w:color="auto" w:fill="auto"/>
            <w:noWrap/>
            <w:vAlign w:val="center"/>
          </w:tcPr>
          <w:p>
            <w:pPr>
              <w:jc w:val="right"/>
              <w:rPr>
                <w:rFonts w:hint="eastAsia" w:asciiTheme="minorHAnsi" w:hAnsiTheme="minorHAnsi" w:eastAsiaTheme="minorEastAsia" w:cstheme="minorBidi"/>
                <w:kern w:val="2"/>
                <w:sz w:val="21"/>
                <w:szCs w:val="22"/>
                <w:lang w:val="en-US" w:eastAsia="zh-CN" w:bidi="ar-SA"/>
              </w:rPr>
            </w:pPr>
            <w:r>
              <w:rPr>
                <w:rFonts w:hint="eastAsia"/>
                <w:lang w:val="en-US" w:eastAsia="zh-CN"/>
              </w:rPr>
              <w:t>3312.06</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default" w:ascii="宋体" w:hAnsi="宋体" w:cs="宋体" w:eastAsiaTheme="minorEastAsia"/>
                <w:kern w:val="2"/>
                <w:sz w:val="24"/>
                <w:szCs w:val="24"/>
                <w:lang w:val="en-US" w:eastAsia="zh-CN" w:bidi="ar-SA"/>
              </w:rPr>
            </w:pPr>
            <w:r>
              <w:rPr>
                <w:rFonts w:hint="eastAsia"/>
                <w:lang w:val="en-US" w:eastAsia="zh-CN"/>
              </w:rPr>
              <w:t>2050201</w:t>
            </w:r>
          </w:p>
        </w:tc>
        <w:tc>
          <w:tcPr>
            <w:tcW w:w="1643" w:type="dxa"/>
            <w:tcBorders>
              <w:top w:val="nil"/>
              <w:left w:val="nil"/>
              <w:bottom w:val="single" w:color="auto" w:sz="4" w:space="0"/>
              <w:right w:val="single" w:color="auto" w:sz="4" w:space="0"/>
            </w:tcBorders>
            <w:shd w:val="clear" w:color="000000" w:fill="FFFFFF"/>
            <w:noWrap/>
            <w:vAlign w:val="center"/>
          </w:tcPr>
          <w:p>
            <w:pPr>
              <w:rPr>
                <w:rFonts w:hint="default" w:ascii="宋体" w:hAnsi="宋体" w:cs="宋体" w:eastAsiaTheme="minorEastAsia"/>
                <w:kern w:val="2"/>
                <w:sz w:val="24"/>
                <w:szCs w:val="24"/>
                <w:lang w:val="en-US" w:eastAsia="zh-CN" w:bidi="ar-SA"/>
              </w:rPr>
            </w:pPr>
            <w:r>
              <w:rPr>
                <w:rFonts w:hint="eastAsia"/>
                <w:lang w:val="en-US" w:eastAsia="zh-CN"/>
              </w:rPr>
              <w:t>学前教育</w:t>
            </w:r>
          </w:p>
        </w:tc>
        <w:tc>
          <w:tcPr>
            <w:tcW w:w="1252"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cs="宋体" w:eastAsiaTheme="minorEastAsia"/>
                <w:kern w:val="2"/>
                <w:sz w:val="24"/>
                <w:szCs w:val="24"/>
                <w:lang w:val="en-US" w:eastAsia="zh-CN" w:bidi="ar-SA"/>
              </w:rPr>
            </w:pPr>
            <w:r>
              <w:rPr>
                <w:rFonts w:hint="eastAsia"/>
                <w:lang w:val="en-US" w:eastAsia="zh-CN"/>
              </w:rPr>
              <w:t>180.39</w:t>
            </w:r>
          </w:p>
        </w:tc>
        <w:tc>
          <w:tcPr>
            <w:tcW w:w="1679"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cs="宋体" w:eastAsiaTheme="minorEastAsia"/>
                <w:kern w:val="2"/>
                <w:sz w:val="24"/>
                <w:szCs w:val="24"/>
                <w:lang w:val="en-US" w:eastAsia="zh-CN" w:bidi="ar-SA"/>
              </w:rPr>
            </w:pPr>
            <w:r>
              <w:rPr>
                <w:rFonts w:hint="eastAsia"/>
                <w:lang w:val="en-US" w:eastAsia="zh-CN"/>
              </w:rPr>
              <w:t>180.39</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default" w:ascii="宋体" w:hAnsi="宋体" w:cs="宋体" w:eastAsiaTheme="minorEastAsia"/>
                <w:kern w:val="2"/>
                <w:sz w:val="24"/>
                <w:szCs w:val="24"/>
                <w:lang w:val="en-US" w:eastAsia="zh-CN" w:bidi="ar-SA"/>
              </w:rPr>
            </w:pPr>
            <w:r>
              <w:rPr>
                <w:rFonts w:hint="eastAsia"/>
                <w:lang w:val="en-US" w:eastAsia="zh-CN"/>
              </w:rPr>
              <w:t>2050202</w:t>
            </w:r>
          </w:p>
        </w:tc>
        <w:tc>
          <w:tcPr>
            <w:tcW w:w="1643" w:type="dxa"/>
            <w:tcBorders>
              <w:top w:val="nil"/>
              <w:left w:val="nil"/>
              <w:bottom w:val="single" w:color="auto" w:sz="4" w:space="0"/>
              <w:right w:val="single" w:color="auto" w:sz="4" w:space="0"/>
            </w:tcBorders>
            <w:shd w:val="clear" w:color="000000" w:fill="FFFFFF"/>
            <w:noWrap/>
            <w:vAlign w:val="center"/>
          </w:tcPr>
          <w:p>
            <w:pPr>
              <w:rPr>
                <w:rFonts w:hint="default" w:ascii="宋体" w:hAnsi="宋体" w:cs="宋体" w:eastAsiaTheme="minorEastAsia"/>
                <w:kern w:val="2"/>
                <w:sz w:val="24"/>
                <w:szCs w:val="24"/>
                <w:lang w:val="en-US" w:eastAsia="zh-CN" w:bidi="ar-SA"/>
              </w:rPr>
            </w:pPr>
            <w:r>
              <w:rPr>
                <w:rFonts w:hint="eastAsia"/>
                <w:lang w:val="en-US" w:eastAsia="zh-CN"/>
              </w:rPr>
              <w:t>小学教育</w:t>
            </w:r>
          </w:p>
        </w:tc>
        <w:tc>
          <w:tcPr>
            <w:tcW w:w="1252"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cs="宋体" w:eastAsiaTheme="minorEastAsia"/>
                <w:kern w:val="2"/>
                <w:sz w:val="24"/>
                <w:szCs w:val="24"/>
                <w:lang w:val="en-US" w:eastAsia="zh-CN" w:bidi="ar-SA"/>
              </w:rPr>
            </w:pPr>
            <w:r>
              <w:rPr>
                <w:rFonts w:hint="eastAsia"/>
                <w:lang w:val="en-US" w:eastAsia="zh-CN"/>
              </w:rPr>
              <w:t>2242.49</w:t>
            </w:r>
          </w:p>
        </w:tc>
        <w:tc>
          <w:tcPr>
            <w:tcW w:w="1679"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cs="宋体" w:eastAsiaTheme="minorEastAsia"/>
                <w:kern w:val="2"/>
                <w:sz w:val="24"/>
                <w:szCs w:val="24"/>
                <w:lang w:val="en-US" w:eastAsia="zh-CN" w:bidi="ar-SA"/>
              </w:rPr>
            </w:pPr>
            <w:r>
              <w:rPr>
                <w:rFonts w:hint="eastAsia"/>
                <w:lang w:val="en-US" w:eastAsia="zh-CN"/>
              </w:rPr>
              <w:t>2242.49</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default" w:ascii="宋体" w:hAnsi="宋体" w:cs="宋体" w:eastAsiaTheme="minorEastAsia"/>
                <w:kern w:val="2"/>
                <w:sz w:val="24"/>
                <w:szCs w:val="24"/>
                <w:lang w:val="en-US" w:eastAsia="zh-CN" w:bidi="ar-SA"/>
              </w:rPr>
            </w:pPr>
            <w:r>
              <w:rPr>
                <w:rFonts w:hint="eastAsia"/>
                <w:lang w:val="en-US" w:eastAsia="zh-CN"/>
              </w:rPr>
              <w:t>2050203</w:t>
            </w:r>
          </w:p>
        </w:tc>
        <w:tc>
          <w:tcPr>
            <w:tcW w:w="1643" w:type="dxa"/>
            <w:tcBorders>
              <w:top w:val="nil"/>
              <w:left w:val="nil"/>
              <w:bottom w:val="single" w:color="auto" w:sz="4" w:space="0"/>
              <w:right w:val="single" w:color="auto" w:sz="4" w:space="0"/>
            </w:tcBorders>
            <w:shd w:val="clear" w:color="000000" w:fill="FFFFFF"/>
            <w:noWrap/>
            <w:vAlign w:val="center"/>
          </w:tcPr>
          <w:p>
            <w:pPr>
              <w:rPr>
                <w:rFonts w:hint="default" w:ascii="宋体" w:hAnsi="宋体" w:cs="宋体" w:eastAsiaTheme="minorEastAsia"/>
                <w:kern w:val="2"/>
                <w:sz w:val="24"/>
                <w:szCs w:val="24"/>
                <w:lang w:val="en-US" w:eastAsia="zh-CN" w:bidi="ar-SA"/>
              </w:rPr>
            </w:pPr>
            <w:r>
              <w:rPr>
                <w:rFonts w:hint="eastAsia"/>
                <w:lang w:val="en-US" w:eastAsia="zh-CN"/>
              </w:rPr>
              <w:t>初中教育</w:t>
            </w:r>
          </w:p>
        </w:tc>
        <w:tc>
          <w:tcPr>
            <w:tcW w:w="1252"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cs="宋体" w:eastAsiaTheme="minorEastAsia"/>
                <w:kern w:val="2"/>
                <w:sz w:val="24"/>
                <w:szCs w:val="24"/>
                <w:lang w:val="en-US" w:eastAsia="zh-CN" w:bidi="ar-SA"/>
              </w:rPr>
            </w:pPr>
            <w:r>
              <w:rPr>
                <w:rFonts w:hint="eastAsia"/>
                <w:lang w:val="en-US" w:eastAsia="zh-CN"/>
              </w:rPr>
              <w:t>889.18</w:t>
            </w:r>
          </w:p>
        </w:tc>
        <w:tc>
          <w:tcPr>
            <w:tcW w:w="1679"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cs="宋体" w:eastAsiaTheme="minorEastAsia"/>
                <w:kern w:val="2"/>
                <w:sz w:val="24"/>
                <w:szCs w:val="24"/>
                <w:lang w:val="en-US" w:eastAsia="zh-CN" w:bidi="ar-SA"/>
              </w:rPr>
            </w:pPr>
            <w:r>
              <w:rPr>
                <w:rFonts w:hint="eastAsia"/>
                <w:lang w:val="en-US" w:eastAsia="zh-CN"/>
              </w:rPr>
              <w:t>889.18</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szCs w:val="24"/>
                <w:lang w:eastAsia="zh-CN"/>
              </w:rPr>
            </w:pPr>
          </w:p>
        </w:tc>
        <w:tc>
          <w:tcPr>
            <w:tcW w:w="1643"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szCs w:val="24"/>
                <w:lang w:eastAsia="zh-CN"/>
              </w:rPr>
            </w:pPr>
          </w:p>
        </w:tc>
        <w:tc>
          <w:tcPr>
            <w:tcW w:w="125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630" w:hRule="atLeast"/>
        </w:trPr>
        <w:tc>
          <w:tcPr>
            <w:tcW w:w="13183" w:type="dxa"/>
            <w:gridSpan w:val="9"/>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tbl>
      <w:tblPr>
        <w:tblStyle w:val="6"/>
        <w:tblW w:w="15521" w:type="dxa"/>
        <w:tblInd w:w="93" w:type="dxa"/>
        <w:tblLayout w:type="autofit"/>
        <w:tblCellMar>
          <w:top w:w="0" w:type="dxa"/>
          <w:left w:w="108" w:type="dxa"/>
          <w:bottom w:w="0" w:type="dxa"/>
          <w:right w:w="108" w:type="dxa"/>
        </w:tblCellMar>
      </w:tblPr>
      <w:tblGrid>
        <w:gridCol w:w="3595"/>
        <w:gridCol w:w="436"/>
        <w:gridCol w:w="1078"/>
        <w:gridCol w:w="496"/>
        <w:gridCol w:w="2915"/>
        <w:gridCol w:w="632"/>
        <w:gridCol w:w="435"/>
        <w:gridCol w:w="1573"/>
        <w:gridCol w:w="1394"/>
        <w:gridCol w:w="1394"/>
        <w:gridCol w:w="1573"/>
      </w:tblGrid>
      <w:tr>
        <w:tblPrEx>
          <w:tblCellMar>
            <w:top w:w="0" w:type="dxa"/>
            <w:left w:w="108" w:type="dxa"/>
            <w:bottom w:w="0" w:type="dxa"/>
            <w:right w:w="108" w:type="dxa"/>
          </w:tblCellMar>
        </w:tblPrEx>
        <w:trPr>
          <w:trHeight w:val="285" w:hRule="atLeast"/>
        </w:trPr>
        <w:tc>
          <w:tcPr>
            <w:tcW w:w="3595" w:type="dxa"/>
            <w:tcBorders>
              <w:top w:val="nil"/>
              <w:left w:val="nil"/>
              <w:bottom w:val="nil"/>
              <w:right w:val="nil"/>
            </w:tcBorders>
            <w:shd w:val="clear" w:color="auto" w:fill="auto"/>
            <w:noWrap/>
            <w:vAlign w:val="center"/>
          </w:tcPr>
          <w:p>
            <w:pPr>
              <w:widowControl/>
              <w:jc w:val="left"/>
              <w:rPr>
                <w:rFonts w:ascii="黑体" w:hAnsi="黑体" w:eastAsia="黑体" w:cs="宋体"/>
                <w:kern w:val="0"/>
                <w:sz w:val="24"/>
                <w:szCs w:val="24"/>
              </w:rPr>
            </w:pPr>
            <w:bookmarkStart w:id="0" w:name="RANGE!A1:I22"/>
            <w:bookmarkEnd w:id="0"/>
            <w:bookmarkStart w:id="1" w:name="RANGE!A1:F16"/>
          </w:p>
        </w:tc>
        <w:tc>
          <w:tcPr>
            <w:tcW w:w="436"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4"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3547"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435"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tblPrEx>
          <w:tblCellMar>
            <w:top w:w="0" w:type="dxa"/>
            <w:left w:w="108" w:type="dxa"/>
            <w:bottom w:w="0" w:type="dxa"/>
            <w:right w:w="108" w:type="dxa"/>
          </w:tblCellMar>
        </w:tblPrEx>
        <w:trPr>
          <w:trHeight w:val="199" w:hRule="atLeast"/>
        </w:trPr>
        <w:tc>
          <w:tcPr>
            <w:tcW w:w="3595"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436"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078"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4043" w:type="dxa"/>
            <w:gridSpan w:val="3"/>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435"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573"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394"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394"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tblPrEx>
          <w:tblCellMar>
            <w:top w:w="0" w:type="dxa"/>
            <w:left w:w="108" w:type="dxa"/>
            <w:bottom w:w="0" w:type="dxa"/>
            <w:right w:w="108" w:type="dxa"/>
          </w:tblCellMar>
        </w:tblPrEx>
        <w:trPr>
          <w:trHeight w:val="300" w:hRule="atLeast"/>
        </w:trPr>
        <w:tc>
          <w:tcPr>
            <w:tcW w:w="3595"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r>
              <w:rPr>
                <w:rFonts w:hint="eastAsia" w:ascii="宋体" w:hAnsi="宋体" w:eastAsia="宋体" w:cs="宋体"/>
                <w:color w:val="000000"/>
                <w:kern w:val="0"/>
                <w:sz w:val="20"/>
                <w:szCs w:val="20"/>
                <w:lang w:val="en-US" w:eastAsia="zh-CN"/>
              </w:rPr>
              <w:t>湘乡市梅桥中心学校</w:t>
            </w:r>
          </w:p>
        </w:tc>
        <w:tc>
          <w:tcPr>
            <w:tcW w:w="436"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078"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4043" w:type="dxa"/>
            <w:gridSpan w:val="3"/>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435"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573"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394"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394"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510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412" w:type="dxa"/>
            <w:gridSpan w:val="8"/>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630"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szCs w:val="24"/>
                <w:lang w:eastAsia="zh-CN"/>
              </w:rPr>
            </w:pP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szCs w:val="24"/>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rPr>
              <w:t>1</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r>
              <w:rPr>
                <w:rFonts w:hint="eastAsia" w:ascii="宋体" w:hAnsi="宋体" w:eastAsia="宋体" w:cs="宋体"/>
                <w:kern w:val="0"/>
                <w:sz w:val="22"/>
                <w:lang w:val="en-US" w:eastAsia="zh-CN"/>
              </w:rPr>
              <w:t>2606.42</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lang w:val="en-US" w:eastAsia="zh-CN"/>
              </w:rPr>
              <w:t>33</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rPr>
              <w:t>2</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lang w:val="en-US" w:eastAsia="zh-CN"/>
              </w:rPr>
              <w:t>34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rPr>
              <w:t>3</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lang w:val="en-US" w:eastAsia="zh-CN"/>
              </w:rPr>
              <w:t>35</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rPr>
              <w:t>4</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lang w:val="en-US" w:eastAsia="zh-CN"/>
              </w:rPr>
              <w:t>36</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rPr>
              <w:t>5</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lang w:val="en-US" w:eastAsia="zh-CN"/>
              </w:rPr>
              <w:t>37</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2606.42</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r>
              <w:rPr>
                <w:rFonts w:hint="eastAsia" w:ascii="宋体" w:hAnsi="宋体" w:eastAsia="宋体" w:cs="宋体"/>
                <w:kern w:val="0"/>
                <w:sz w:val="22"/>
                <w:lang w:val="en-US" w:eastAsia="zh-CN"/>
              </w:rPr>
              <w:t>2606.42</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rPr>
              <w:t>6</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lang w:val="en-US" w:eastAsia="zh-CN"/>
              </w:rPr>
              <w:t>38</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rPr>
              <w:t>7</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4"/>
                <w:szCs w:val="24"/>
                <w:lang w:val="en-US" w:eastAsia="zh-CN" w:bidi="ar-SA"/>
              </w:rPr>
            </w:pPr>
            <w:r>
              <w:rPr>
                <w:rFonts w:hint="eastAsia"/>
              </w:rPr>
              <w:t>七、文化旅游体育与传媒支出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lang w:val="en-US" w:eastAsia="zh-CN"/>
              </w:rPr>
              <w:t>39</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rPr>
              <w:t>8</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rPr>
              <w:t>八、社会保障和就业支出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lang w:val="en-US" w:eastAsia="zh-CN"/>
              </w:rPr>
              <w:t>40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lang w:val="en-US" w:eastAsia="zh-CN"/>
              </w:rPr>
              <w:t>9</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szCs w:val="22"/>
                <w:lang w:val="en-US" w:eastAsia="zh-CN" w:bidi="ar-SA"/>
              </w:rPr>
            </w:pPr>
            <w:r>
              <w:rPr>
                <w:rFonts w:hint="eastAsia"/>
              </w:rPr>
              <w:t>九、卫生健康支出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lang w:val="en-US" w:eastAsia="zh-CN"/>
              </w:rPr>
              <w:t>41</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rPr>
              <w:t>10</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rPr>
              <w:t>十、节能环保支出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lang w:val="en-US" w:eastAsia="zh-CN"/>
              </w:rPr>
              <w:t>42</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rPr>
              <w:t>11</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rPr>
              <w:t>十一、城乡社区支出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lang w:val="en-US" w:eastAsia="zh-CN"/>
              </w:rPr>
              <w:t>43</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rPr>
              <w:t>12</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rPr>
              <w:t>十二、农林水支出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lang w:val="en-US" w:eastAsia="zh-CN"/>
              </w:rPr>
              <w:t>44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rPr>
              <w:t>13</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rPr>
              <w:t>十三、交通运输支出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lang w:val="en-US" w:eastAsia="zh-CN"/>
              </w:rPr>
              <w:t>45</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rPr>
              <w:t>14</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rPr>
              <w:t>十四、资源勘探工业信息等支出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lang w:val="en-US" w:eastAsia="zh-CN"/>
              </w:rPr>
              <w:t>46</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rPr>
              <w:t>15</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rPr>
              <w:t>十五、商业服务业等支出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lang w:val="en-US" w:eastAsia="zh-CN"/>
              </w:rPr>
              <w:t>47</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rPr>
              <w:t>16</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rPr>
              <w:t>十六、金融支出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lang w:val="en-US" w:eastAsia="zh-CN"/>
              </w:rPr>
              <w:t>48</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rPr>
              <w:t>17</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rPr>
              <w:t>十七、援助其他地区支出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lang w:val="en-US" w:eastAsia="zh-CN"/>
              </w:rPr>
              <w:t>49</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rPr>
              <w:t>18</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rPr>
              <w:t>十八、自然资源海洋气象等支出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lang w:val="en-US" w:eastAsia="zh-CN"/>
              </w:rPr>
              <w:t>50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rPr>
              <w:t>19</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rPr>
              <w:t>十九、住房保障支出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lang w:val="en-US" w:eastAsia="zh-CN"/>
              </w:rPr>
              <w:t>51</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rPr>
              <w:t>20</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rPr>
              <w:t>二十、粮油物资储备支出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lang w:val="en-US" w:eastAsia="zh-CN"/>
              </w:rPr>
              <w:t>52</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rPr>
              <w:t>21</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rPr>
              <w:t>二十一、国有资本经营预算支出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lang w:val="en-US" w:eastAsia="zh-CN"/>
              </w:rPr>
              <w:t>53</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szCs w:val="22"/>
                <w:lang w:val="en-US" w:eastAsia="zh-CN" w:bidi="ar-SA"/>
              </w:rPr>
              <w:t>22</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rPr>
              <w:t>二十二、灾害防治及应急管理支出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lang w:val="en-US" w:eastAsia="zh-CN"/>
              </w:rPr>
              <w:t>54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rPr>
              <w:t>23</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rPr>
              <w:t>二十三、其他支出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lang w:val="en-US" w:eastAsia="zh-CN"/>
              </w:rPr>
              <w:t>55</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rPr>
              <w:t>24</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rPr>
              <w:t>二十四、债务还本支出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lang w:val="en-US" w:eastAsia="zh-CN"/>
              </w:rPr>
              <w:t>56</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rPr>
              <w:t>25</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rPr>
              <w:t>二十五、债务付息支出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lang w:val="en-US" w:eastAsia="zh-CN"/>
              </w:rPr>
              <w:t>57</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rPr>
              <w:t>26</w:t>
            </w:r>
          </w:p>
        </w:tc>
        <w:tc>
          <w:tcPr>
            <w:tcW w:w="107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rPr>
              <w:t>二十六、抗疫特别国债安排的支出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lang w:val="en-US" w:eastAsia="zh-CN"/>
              </w:rPr>
              <w:t>58</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lang w:val="en-US" w:eastAsia="zh-CN"/>
              </w:rPr>
              <w:t>27</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r>
              <w:rPr>
                <w:rFonts w:hint="eastAsia" w:ascii="宋体" w:hAnsi="宋体" w:eastAsia="宋体" w:cs="宋体"/>
                <w:kern w:val="0"/>
                <w:sz w:val="22"/>
                <w:lang w:val="en-US" w:eastAsia="zh-CN"/>
              </w:rPr>
              <w:t>2606.42</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lang w:val="en-US" w:eastAsia="zh-CN"/>
              </w:rPr>
              <w:t>59</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r>
              <w:rPr>
                <w:rFonts w:hint="eastAsia" w:ascii="宋体" w:hAnsi="宋体" w:eastAsia="宋体" w:cs="宋体"/>
                <w:kern w:val="0"/>
                <w:sz w:val="22"/>
                <w:lang w:val="en-US" w:eastAsia="zh-CN"/>
              </w:rPr>
              <w:t>2606.42</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r>
              <w:rPr>
                <w:rFonts w:hint="eastAsia" w:ascii="宋体" w:hAnsi="宋体" w:eastAsia="宋体" w:cs="宋体"/>
                <w:kern w:val="0"/>
                <w:sz w:val="22"/>
                <w:lang w:val="en-US" w:eastAsia="zh-CN"/>
              </w:rPr>
              <w:t>2606.42</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bCs/>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lang w:val="en-US" w:eastAsia="zh-CN"/>
              </w:rPr>
              <w:t>28</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lang w:val="en-US" w:eastAsia="zh-CN"/>
              </w:rPr>
              <w:t>60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lang w:val="en-US" w:eastAsia="zh-CN"/>
              </w:rPr>
              <w:t>29</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61</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lang w:val="en-US" w:eastAsia="zh-CN"/>
              </w:rPr>
              <w:t>30</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62</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31</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63</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36"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32</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r>
              <w:rPr>
                <w:rFonts w:hint="eastAsia" w:ascii="宋体" w:hAnsi="宋体" w:eastAsia="宋体" w:cs="宋体"/>
                <w:kern w:val="0"/>
                <w:sz w:val="22"/>
                <w:lang w:val="en-US" w:eastAsia="zh-CN"/>
              </w:rPr>
              <w:t>2606.42</w:t>
            </w:r>
          </w:p>
        </w:tc>
        <w:tc>
          <w:tcPr>
            <w:tcW w:w="3411"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64</w:t>
            </w:r>
          </w:p>
        </w:tc>
        <w:tc>
          <w:tcPr>
            <w:tcW w:w="157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2606.42</w:t>
            </w:r>
          </w:p>
        </w:tc>
        <w:tc>
          <w:tcPr>
            <w:tcW w:w="1394"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2"/>
                <w:lang w:eastAsia="zh-CN"/>
              </w:rPr>
            </w:pPr>
            <w:r>
              <w:rPr>
                <w:rFonts w:hint="eastAsia" w:ascii="宋体" w:hAnsi="宋体" w:eastAsia="宋体" w:cs="宋体"/>
                <w:kern w:val="0"/>
                <w:sz w:val="22"/>
                <w:lang w:val="en-US" w:eastAsia="zh-CN"/>
              </w:rPr>
              <w:t>2606.42</w:t>
            </w:r>
          </w:p>
        </w:tc>
        <w:tc>
          <w:tcPr>
            <w:tcW w:w="1394"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bCs/>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bCs/>
                <w:kern w:val="0"/>
                <w:sz w:val="22"/>
                <w:lang w:eastAsia="zh-CN"/>
              </w:rPr>
            </w:pPr>
          </w:p>
        </w:tc>
      </w:tr>
      <w:tr>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部门：</w:t>
      </w:r>
      <w:r>
        <w:rPr>
          <w:rFonts w:hint="eastAsia" w:ascii="宋体" w:hAnsi="宋体" w:eastAsia="宋体" w:cs="宋体"/>
          <w:color w:val="000000"/>
          <w:kern w:val="0"/>
          <w:sz w:val="20"/>
          <w:szCs w:val="20"/>
          <w:lang w:val="en-US" w:eastAsia="zh-CN"/>
        </w:rPr>
        <w:t>湘乡市梅桥中心学校</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公开05表</w:t>
      </w:r>
    </w:p>
    <w:p>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6"/>
        <w:tblW w:w="14219" w:type="dxa"/>
        <w:jc w:val="center"/>
        <w:tblLayout w:type="autofit"/>
        <w:tblCellMar>
          <w:top w:w="0" w:type="dxa"/>
          <w:left w:w="108" w:type="dxa"/>
          <w:bottom w:w="0" w:type="dxa"/>
          <w:right w:w="108" w:type="dxa"/>
        </w:tblCellMar>
      </w:tblPr>
      <w:tblGrid>
        <w:gridCol w:w="1200"/>
        <w:gridCol w:w="3527"/>
        <w:gridCol w:w="3000"/>
        <w:gridCol w:w="3492"/>
        <w:gridCol w:w="3000"/>
      </w:tblGrid>
      <w:tr>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9492" w:type="dxa"/>
            <w:gridSpan w:val="3"/>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527"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300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3000"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lang w:val="en-US" w:eastAsia="zh-CN"/>
              </w:rPr>
              <w:t>2606.42</w:t>
            </w:r>
          </w:p>
        </w:tc>
        <w:tc>
          <w:tcPr>
            <w:tcW w:w="3492"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lang w:val="en-US" w:eastAsia="zh-CN"/>
              </w:rPr>
              <w:t>2606.42</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hint="default" w:ascii="宋体" w:hAnsi="宋体" w:cs="宋体" w:eastAsiaTheme="minorEastAsia"/>
                <w:kern w:val="2"/>
                <w:sz w:val="24"/>
                <w:szCs w:val="24"/>
                <w:lang w:val="en-US" w:eastAsia="zh-CN" w:bidi="ar-SA"/>
              </w:rPr>
            </w:pPr>
            <w:r>
              <w:rPr>
                <w:rFonts w:hint="eastAsia"/>
                <w:lang w:val="en-US" w:eastAsia="zh-CN"/>
              </w:rPr>
              <w:t>205</w:t>
            </w:r>
          </w:p>
        </w:tc>
        <w:tc>
          <w:tcPr>
            <w:tcW w:w="3527" w:type="dxa"/>
            <w:tcBorders>
              <w:top w:val="nil"/>
              <w:left w:val="nil"/>
              <w:bottom w:val="single" w:color="auto" w:sz="4" w:space="0"/>
              <w:right w:val="single" w:color="auto" w:sz="4" w:space="0"/>
            </w:tcBorders>
            <w:shd w:val="clear" w:color="auto" w:fill="auto"/>
            <w:vAlign w:val="center"/>
          </w:tcPr>
          <w:p>
            <w:pPr>
              <w:rPr>
                <w:rFonts w:hint="default" w:ascii="宋体" w:hAnsi="宋体" w:cs="宋体" w:eastAsiaTheme="minorEastAsia"/>
                <w:kern w:val="2"/>
                <w:sz w:val="24"/>
                <w:szCs w:val="24"/>
                <w:lang w:val="en-US" w:eastAsia="zh-CN" w:bidi="ar-SA"/>
              </w:rPr>
            </w:pPr>
            <w:r>
              <w:rPr>
                <w:rFonts w:hint="eastAsia"/>
                <w:lang w:val="en-US" w:eastAsia="zh-CN"/>
              </w:rPr>
              <w:t>教育支出</w:t>
            </w:r>
          </w:p>
        </w:tc>
        <w:tc>
          <w:tcPr>
            <w:tcW w:w="3000" w:type="dxa"/>
            <w:tcBorders>
              <w:top w:val="nil"/>
              <w:left w:val="nil"/>
              <w:bottom w:val="single" w:color="auto" w:sz="4" w:space="0"/>
              <w:right w:val="single" w:color="auto" w:sz="4" w:space="0"/>
            </w:tcBorders>
            <w:shd w:val="clear" w:color="auto" w:fill="auto"/>
            <w:vAlign w:val="center"/>
          </w:tcPr>
          <w:p>
            <w:pPr>
              <w:jc w:val="right"/>
              <w:rPr>
                <w:rFonts w:hint="eastAsia" w:ascii="宋体" w:hAnsi="宋体" w:cs="宋体" w:eastAsiaTheme="minorEastAsia"/>
                <w:kern w:val="2"/>
                <w:sz w:val="24"/>
                <w:szCs w:val="24"/>
                <w:lang w:val="en-US" w:eastAsia="zh-CN" w:bidi="ar-SA"/>
              </w:rPr>
            </w:pPr>
            <w:r>
              <w:rPr>
                <w:rFonts w:hint="eastAsia"/>
                <w:lang w:val="en-US" w:eastAsia="zh-CN"/>
              </w:rPr>
              <w:t>2606.42</w:t>
            </w:r>
          </w:p>
        </w:tc>
        <w:tc>
          <w:tcPr>
            <w:tcW w:w="3492" w:type="dxa"/>
            <w:tcBorders>
              <w:top w:val="nil"/>
              <w:left w:val="nil"/>
              <w:bottom w:val="single" w:color="auto" w:sz="4" w:space="0"/>
              <w:right w:val="single" w:color="auto" w:sz="4" w:space="0"/>
            </w:tcBorders>
            <w:shd w:val="clear" w:color="auto" w:fill="auto"/>
            <w:vAlign w:val="center"/>
          </w:tcPr>
          <w:p>
            <w:pPr>
              <w:jc w:val="right"/>
              <w:rPr>
                <w:rFonts w:hint="eastAsia" w:ascii="宋体" w:hAnsi="宋体" w:cs="宋体" w:eastAsiaTheme="minorEastAsia"/>
                <w:kern w:val="2"/>
                <w:sz w:val="24"/>
                <w:szCs w:val="24"/>
                <w:lang w:val="en-US" w:eastAsia="zh-CN" w:bidi="ar-SA"/>
              </w:rPr>
            </w:pPr>
            <w:r>
              <w:rPr>
                <w:rFonts w:hint="eastAsia"/>
                <w:lang w:val="en-US" w:eastAsia="zh-CN"/>
              </w:rPr>
              <w:t>2606.42</w:t>
            </w:r>
          </w:p>
        </w:tc>
        <w:tc>
          <w:tcPr>
            <w:tcW w:w="3000" w:type="dxa"/>
            <w:tcBorders>
              <w:top w:val="nil"/>
              <w:left w:val="nil"/>
              <w:bottom w:val="single" w:color="auto" w:sz="4" w:space="0"/>
              <w:right w:val="single" w:color="auto" w:sz="8"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hint="default" w:ascii="宋体" w:hAnsi="宋体" w:cs="宋体" w:eastAsiaTheme="minorEastAsia"/>
                <w:kern w:val="2"/>
                <w:sz w:val="24"/>
                <w:szCs w:val="24"/>
                <w:lang w:val="en-US" w:eastAsia="zh-CN" w:bidi="ar-SA"/>
              </w:rPr>
            </w:pPr>
            <w:r>
              <w:rPr>
                <w:rFonts w:hint="eastAsia"/>
                <w:lang w:val="en-US" w:eastAsia="zh-CN"/>
              </w:rPr>
              <w:t>20502</w:t>
            </w:r>
          </w:p>
        </w:tc>
        <w:tc>
          <w:tcPr>
            <w:tcW w:w="3527" w:type="dxa"/>
            <w:tcBorders>
              <w:top w:val="nil"/>
              <w:left w:val="nil"/>
              <w:bottom w:val="single" w:color="auto" w:sz="4" w:space="0"/>
              <w:right w:val="single" w:color="auto" w:sz="4" w:space="0"/>
            </w:tcBorders>
            <w:shd w:val="clear" w:color="auto" w:fill="auto"/>
            <w:vAlign w:val="center"/>
          </w:tcPr>
          <w:p>
            <w:pPr>
              <w:rPr>
                <w:rFonts w:hint="default" w:ascii="宋体" w:hAnsi="宋体" w:cs="宋体" w:eastAsiaTheme="minorEastAsia"/>
                <w:kern w:val="2"/>
                <w:sz w:val="24"/>
                <w:szCs w:val="24"/>
                <w:lang w:val="en-US" w:eastAsia="zh-CN" w:bidi="ar-SA"/>
              </w:rPr>
            </w:pPr>
            <w:r>
              <w:rPr>
                <w:rFonts w:hint="eastAsia"/>
                <w:lang w:val="en-US" w:eastAsia="zh-CN"/>
              </w:rPr>
              <w:t xml:space="preserve">普通教育 </w:t>
            </w:r>
          </w:p>
        </w:tc>
        <w:tc>
          <w:tcPr>
            <w:tcW w:w="3000" w:type="dxa"/>
            <w:tcBorders>
              <w:top w:val="nil"/>
              <w:left w:val="nil"/>
              <w:bottom w:val="single" w:color="auto" w:sz="4" w:space="0"/>
              <w:right w:val="single" w:color="auto" w:sz="4" w:space="0"/>
            </w:tcBorders>
            <w:shd w:val="clear" w:color="auto" w:fill="auto"/>
            <w:vAlign w:val="center"/>
          </w:tcPr>
          <w:p>
            <w:pPr>
              <w:jc w:val="right"/>
              <w:rPr>
                <w:rFonts w:hint="eastAsia" w:asciiTheme="minorHAnsi" w:hAnsiTheme="minorHAnsi" w:eastAsiaTheme="minorEastAsia" w:cstheme="minorBidi"/>
                <w:kern w:val="2"/>
                <w:sz w:val="21"/>
                <w:szCs w:val="22"/>
                <w:lang w:val="en-US" w:eastAsia="zh-CN" w:bidi="ar-SA"/>
              </w:rPr>
            </w:pPr>
            <w:r>
              <w:rPr>
                <w:rFonts w:hint="eastAsia"/>
                <w:lang w:val="en-US" w:eastAsia="zh-CN"/>
              </w:rPr>
              <w:t>2606.42</w:t>
            </w:r>
          </w:p>
        </w:tc>
        <w:tc>
          <w:tcPr>
            <w:tcW w:w="3492" w:type="dxa"/>
            <w:tcBorders>
              <w:top w:val="nil"/>
              <w:left w:val="nil"/>
              <w:bottom w:val="single" w:color="auto" w:sz="4" w:space="0"/>
              <w:right w:val="single" w:color="auto" w:sz="4" w:space="0"/>
            </w:tcBorders>
            <w:shd w:val="clear" w:color="auto" w:fill="auto"/>
            <w:vAlign w:val="center"/>
          </w:tcPr>
          <w:p>
            <w:pPr>
              <w:jc w:val="right"/>
              <w:rPr>
                <w:rFonts w:hint="eastAsia" w:asciiTheme="minorHAnsi" w:hAnsiTheme="minorHAnsi" w:eastAsiaTheme="minorEastAsia" w:cstheme="minorBidi"/>
                <w:kern w:val="2"/>
                <w:sz w:val="21"/>
                <w:szCs w:val="22"/>
                <w:lang w:val="en-US" w:eastAsia="zh-CN" w:bidi="ar-SA"/>
              </w:rPr>
            </w:pPr>
            <w:r>
              <w:rPr>
                <w:rFonts w:hint="eastAsia"/>
                <w:lang w:val="en-US" w:eastAsia="zh-CN"/>
              </w:rPr>
              <w:t>2606.42</w:t>
            </w:r>
          </w:p>
        </w:tc>
        <w:tc>
          <w:tcPr>
            <w:tcW w:w="3000" w:type="dxa"/>
            <w:tcBorders>
              <w:top w:val="nil"/>
              <w:left w:val="nil"/>
              <w:bottom w:val="single" w:color="auto" w:sz="4" w:space="0"/>
              <w:right w:val="single" w:color="auto" w:sz="8"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hint="default" w:ascii="宋体" w:hAnsi="宋体" w:cs="宋体" w:eastAsiaTheme="minorEastAsia"/>
                <w:kern w:val="2"/>
                <w:sz w:val="24"/>
                <w:szCs w:val="24"/>
                <w:lang w:val="en-US" w:eastAsia="zh-CN" w:bidi="ar-SA"/>
              </w:rPr>
            </w:pPr>
            <w:r>
              <w:rPr>
                <w:rFonts w:hint="eastAsia"/>
                <w:lang w:val="en-US" w:eastAsia="zh-CN"/>
              </w:rPr>
              <w:t>2050201</w:t>
            </w:r>
          </w:p>
        </w:tc>
        <w:tc>
          <w:tcPr>
            <w:tcW w:w="3527" w:type="dxa"/>
            <w:tcBorders>
              <w:top w:val="nil"/>
              <w:left w:val="nil"/>
              <w:bottom w:val="single" w:color="auto" w:sz="4" w:space="0"/>
              <w:right w:val="single" w:color="auto" w:sz="4" w:space="0"/>
            </w:tcBorders>
            <w:shd w:val="clear" w:color="auto" w:fill="auto"/>
            <w:vAlign w:val="center"/>
          </w:tcPr>
          <w:p>
            <w:pPr>
              <w:rPr>
                <w:rFonts w:hint="default" w:ascii="宋体" w:hAnsi="宋体" w:cs="宋体" w:eastAsiaTheme="minorEastAsia"/>
                <w:kern w:val="2"/>
                <w:sz w:val="24"/>
                <w:szCs w:val="24"/>
                <w:lang w:val="en-US" w:eastAsia="zh-CN" w:bidi="ar-SA"/>
              </w:rPr>
            </w:pPr>
            <w:r>
              <w:rPr>
                <w:rFonts w:hint="eastAsia"/>
                <w:lang w:val="en-US" w:eastAsia="zh-CN"/>
              </w:rPr>
              <w:t>学前教育</w:t>
            </w:r>
          </w:p>
        </w:tc>
        <w:tc>
          <w:tcPr>
            <w:tcW w:w="3000" w:type="dxa"/>
            <w:tcBorders>
              <w:top w:val="nil"/>
              <w:left w:val="nil"/>
              <w:bottom w:val="single" w:color="auto" w:sz="4" w:space="0"/>
              <w:right w:val="single" w:color="auto" w:sz="4" w:space="0"/>
            </w:tcBorders>
            <w:shd w:val="clear" w:color="auto" w:fill="auto"/>
            <w:vAlign w:val="center"/>
          </w:tcPr>
          <w:p>
            <w:pPr>
              <w:jc w:val="right"/>
              <w:rPr>
                <w:rFonts w:hint="eastAsia" w:ascii="宋体" w:hAnsi="宋体" w:cs="宋体" w:eastAsiaTheme="minorEastAsia"/>
                <w:kern w:val="2"/>
                <w:sz w:val="24"/>
                <w:szCs w:val="24"/>
                <w:lang w:val="en-US" w:eastAsia="zh-CN" w:bidi="ar-SA"/>
              </w:rPr>
            </w:pPr>
            <w:r>
              <w:rPr>
                <w:rFonts w:hint="eastAsia"/>
                <w:lang w:val="en-US" w:eastAsia="zh-CN"/>
              </w:rPr>
              <w:t>180.39</w:t>
            </w:r>
          </w:p>
        </w:tc>
        <w:tc>
          <w:tcPr>
            <w:tcW w:w="3492" w:type="dxa"/>
            <w:tcBorders>
              <w:top w:val="nil"/>
              <w:left w:val="nil"/>
              <w:bottom w:val="single" w:color="auto" w:sz="4" w:space="0"/>
              <w:right w:val="single" w:color="auto" w:sz="4" w:space="0"/>
            </w:tcBorders>
            <w:shd w:val="clear" w:color="auto" w:fill="auto"/>
            <w:vAlign w:val="center"/>
          </w:tcPr>
          <w:p>
            <w:pPr>
              <w:jc w:val="right"/>
              <w:rPr>
                <w:rFonts w:hint="eastAsia" w:ascii="宋体" w:hAnsi="宋体" w:cs="宋体" w:eastAsiaTheme="minorEastAsia"/>
                <w:kern w:val="2"/>
                <w:sz w:val="24"/>
                <w:szCs w:val="24"/>
                <w:lang w:val="en-US" w:eastAsia="zh-CN" w:bidi="ar-SA"/>
              </w:rPr>
            </w:pPr>
            <w:r>
              <w:rPr>
                <w:rFonts w:hint="eastAsia"/>
                <w:lang w:val="en-US" w:eastAsia="zh-CN"/>
              </w:rPr>
              <w:t>180.39</w:t>
            </w:r>
          </w:p>
        </w:tc>
        <w:tc>
          <w:tcPr>
            <w:tcW w:w="3000" w:type="dxa"/>
            <w:tcBorders>
              <w:top w:val="nil"/>
              <w:left w:val="nil"/>
              <w:bottom w:val="single" w:color="auto" w:sz="4" w:space="0"/>
              <w:right w:val="single" w:color="auto" w:sz="8"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hint="default" w:ascii="宋体" w:hAnsi="宋体" w:cs="宋体" w:eastAsiaTheme="minorEastAsia"/>
                <w:kern w:val="2"/>
                <w:sz w:val="24"/>
                <w:szCs w:val="24"/>
                <w:lang w:val="en-US" w:eastAsia="zh-CN" w:bidi="ar-SA"/>
              </w:rPr>
            </w:pPr>
            <w:r>
              <w:rPr>
                <w:rFonts w:hint="eastAsia"/>
                <w:lang w:val="en-US" w:eastAsia="zh-CN"/>
              </w:rPr>
              <w:t>2050202</w:t>
            </w:r>
          </w:p>
        </w:tc>
        <w:tc>
          <w:tcPr>
            <w:tcW w:w="3527" w:type="dxa"/>
            <w:tcBorders>
              <w:top w:val="nil"/>
              <w:left w:val="nil"/>
              <w:bottom w:val="single" w:color="auto" w:sz="4" w:space="0"/>
              <w:right w:val="single" w:color="auto" w:sz="4" w:space="0"/>
            </w:tcBorders>
            <w:shd w:val="clear" w:color="auto" w:fill="auto"/>
            <w:vAlign w:val="center"/>
          </w:tcPr>
          <w:p>
            <w:pPr>
              <w:rPr>
                <w:rFonts w:hint="default" w:ascii="宋体" w:hAnsi="宋体" w:cs="宋体" w:eastAsiaTheme="minorEastAsia"/>
                <w:kern w:val="2"/>
                <w:sz w:val="24"/>
                <w:szCs w:val="24"/>
                <w:lang w:val="en-US" w:eastAsia="zh-CN" w:bidi="ar-SA"/>
              </w:rPr>
            </w:pPr>
            <w:r>
              <w:rPr>
                <w:rFonts w:hint="eastAsia"/>
                <w:lang w:val="en-US" w:eastAsia="zh-CN"/>
              </w:rPr>
              <w:t>小学教育</w:t>
            </w:r>
          </w:p>
        </w:tc>
        <w:tc>
          <w:tcPr>
            <w:tcW w:w="3000" w:type="dxa"/>
            <w:tcBorders>
              <w:top w:val="nil"/>
              <w:left w:val="nil"/>
              <w:bottom w:val="single" w:color="auto" w:sz="4" w:space="0"/>
              <w:right w:val="single" w:color="auto" w:sz="4" w:space="0"/>
            </w:tcBorders>
            <w:shd w:val="clear" w:color="auto" w:fill="auto"/>
            <w:vAlign w:val="center"/>
          </w:tcPr>
          <w:p>
            <w:pPr>
              <w:jc w:val="right"/>
              <w:rPr>
                <w:rFonts w:hint="eastAsia" w:ascii="宋体" w:hAnsi="宋体" w:cs="宋体" w:eastAsiaTheme="minorEastAsia"/>
                <w:kern w:val="2"/>
                <w:sz w:val="24"/>
                <w:szCs w:val="24"/>
                <w:lang w:val="en-US" w:eastAsia="zh-CN" w:bidi="ar-SA"/>
              </w:rPr>
            </w:pPr>
            <w:r>
              <w:rPr>
                <w:rFonts w:hint="eastAsia"/>
                <w:lang w:val="en-US" w:eastAsia="zh-CN"/>
              </w:rPr>
              <w:t>1631.39</w:t>
            </w:r>
          </w:p>
        </w:tc>
        <w:tc>
          <w:tcPr>
            <w:tcW w:w="3492" w:type="dxa"/>
            <w:tcBorders>
              <w:top w:val="nil"/>
              <w:left w:val="nil"/>
              <w:bottom w:val="single" w:color="auto" w:sz="4" w:space="0"/>
              <w:right w:val="single" w:color="auto" w:sz="4" w:space="0"/>
            </w:tcBorders>
            <w:shd w:val="clear" w:color="auto" w:fill="auto"/>
            <w:vAlign w:val="center"/>
          </w:tcPr>
          <w:p>
            <w:pPr>
              <w:jc w:val="right"/>
              <w:rPr>
                <w:rFonts w:hint="eastAsia" w:ascii="宋体" w:hAnsi="宋体" w:cs="宋体" w:eastAsiaTheme="minorEastAsia"/>
                <w:kern w:val="2"/>
                <w:sz w:val="24"/>
                <w:szCs w:val="24"/>
                <w:lang w:val="en-US" w:eastAsia="zh-CN" w:bidi="ar-SA"/>
              </w:rPr>
            </w:pPr>
            <w:r>
              <w:rPr>
                <w:rFonts w:hint="eastAsia"/>
                <w:lang w:val="en-US" w:eastAsia="zh-CN"/>
              </w:rPr>
              <w:t>1631.39</w:t>
            </w:r>
          </w:p>
        </w:tc>
        <w:tc>
          <w:tcPr>
            <w:tcW w:w="3000" w:type="dxa"/>
            <w:tcBorders>
              <w:top w:val="nil"/>
              <w:left w:val="nil"/>
              <w:bottom w:val="single" w:color="auto" w:sz="4" w:space="0"/>
              <w:right w:val="single" w:color="auto" w:sz="8"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hint="default" w:ascii="宋体" w:hAnsi="宋体" w:cs="宋体" w:eastAsiaTheme="minorEastAsia"/>
                <w:kern w:val="2"/>
                <w:sz w:val="24"/>
                <w:szCs w:val="24"/>
                <w:lang w:val="en-US" w:eastAsia="zh-CN" w:bidi="ar-SA"/>
              </w:rPr>
            </w:pPr>
            <w:r>
              <w:rPr>
                <w:rFonts w:hint="eastAsia"/>
                <w:lang w:val="en-US" w:eastAsia="zh-CN"/>
              </w:rPr>
              <w:t>2050203</w:t>
            </w:r>
          </w:p>
        </w:tc>
        <w:tc>
          <w:tcPr>
            <w:tcW w:w="3527" w:type="dxa"/>
            <w:tcBorders>
              <w:top w:val="nil"/>
              <w:left w:val="nil"/>
              <w:bottom w:val="single" w:color="auto" w:sz="4" w:space="0"/>
              <w:right w:val="single" w:color="auto" w:sz="4" w:space="0"/>
            </w:tcBorders>
            <w:shd w:val="clear" w:color="auto" w:fill="auto"/>
            <w:vAlign w:val="center"/>
          </w:tcPr>
          <w:p>
            <w:pPr>
              <w:rPr>
                <w:rFonts w:hint="default" w:ascii="宋体" w:hAnsi="宋体" w:cs="宋体" w:eastAsiaTheme="minorEastAsia"/>
                <w:kern w:val="2"/>
                <w:sz w:val="24"/>
                <w:szCs w:val="24"/>
                <w:lang w:val="en-US" w:eastAsia="zh-CN" w:bidi="ar-SA"/>
              </w:rPr>
            </w:pPr>
            <w:r>
              <w:rPr>
                <w:rFonts w:hint="eastAsia"/>
                <w:lang w:val="en-US" w:eastAsia="zh-CN"/>
              </w:rPr>
              <w:t>初中教育</w:t>
            </w:r>
          </w:p>
        </w:tc>
        <w:tc>
          <w:tcPr>
            <w:tcW w:w="3000" w:type="dxa"/>
            <w:tcBorders>
              <w:top w:val="nil"/>
              <w:left w:val="nil"/>
              <w:bottom w:val="single" w:color="auto" w:sz="4" w:space="0"/>
              <w:right w:val="single" w:color="auto" w:sz="4" w:space="0"/>
            </w:tcBorders>
            <w:shd w:val="clear" w:color="auto" w:fill="auto"/>
            <w:vAlign w:val="center"/>
          </w:tcPr>
          <w:p>
            <w:pPr>
              <w:jc w:val="right"/>
              <w:rPr>
                <w:rFonts w:hint="eastAsia" w:ascii="宋体" w:hAnsi="宋体" w:cs="宋体" w:eastAsiaTheme="minorEastAsia"/>
                <w:kern w:val="2"/>
                <w:sz w:val="24"/>
                <w:szCs w:val="24"/>
                <w:lang w:val="en-US" w:eastAsia="zh-CN" w:bidi="ar-SA"/>
              </w:rPr>
            </w:pPr>
            <w:r>
              <w:rPr>
                <w:rFonts w:hint="eastAsia"/>
                <w:lang w:val="en-US" w:eastAsia="zh-CN"/>
              </w:rPr>
              <w:t>794.64</w:t>
            </w:r>
          </w:p>
        </w:tc>
        <w:tc>
          <w:tcPr>
            <w:tcW w:w="3492" w:type="dxa"/>
            <w:tcBorders>
              <w:top w:val="nil"/>
              <w:left w:val="nil"/>
              <w:bottom w:val="single" w:color="auto" w:sz="4" w:space="0"/>
              <w:right w:val="single" w:color="auto" w:sz="4" w:space="0"/>
            </w:tcBorders>
            <w:shd w:val="clear" w:color="auto" w:fill="auto"/>
            <w:vAlign w:val="center"/>
          </w:tcPr>
          <w:p>
            <w:pPr>
              <w:jc w:val="right"/>
              <w:rPr>
                <w:rFonts w:hint="eastAsia" w:ascii="宋体" w:hAnsi="宋体" w:cs="宋体" w:eastAsiaTheme="minorEastAsia"/>
                <w:kern w:val="2"/>
                <w:sz w:val="24"/>
                <w:szCs w:val="24"/>
                <w:lang w:val="en-US" w:eastAsia="zh-CN" w:bidi="ar-SA"/>
              </w:rPr>
            </w:pPr>
            <w:r>
              <w:rPr>
                <w:rFonts w:hint="eastAsia"/>
                <w:lang w:val="en-US" w:eastAsia="zh-CN"/>
              </w:rPr>
              <w:t>794.64</w:t>
            </w:r>
          </w:p>
        </w:tc>
        <w:tc>
          <w:tcPr>
            <w:tcW w:w="3000" w:type="dxa"/>
            <w:tcBorders>
              <w:top w:val="nil"/>
              <w:left w:val="nil"/>
              <w:bottom w:val="single" w:color="auto" w:sz="4" w:space="0"/>
              <w:right w:val="single" w:color="auto" w:sz="8"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3527"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r>
      <w:tr>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pPr>
        <w:widowControl/>
        <w:jc w:val="left"/>
        <w:rPr>
          <w:rFonts w:ascii="Times New Roman" w:hAnsi="Times New Roman" w:eastAsia="仿宋_GB2312" w:cs="Times New Roman"/>
          <w:bCs/>
          <w:kern w:val="0"/>
          <w:szCs w:val="21"/>
        </w:rPr>
      </w:pPr>
    </w:p>
    <w:p>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6"/>
        <w:tblW w:w="15648" w:type="dxa"/>
        <w:tblInd w:w="0" w:type="dxa"/>
        <w:tblLayout w:type="fixed"/>
        <w:tblCellMar>
          <w:top w:w="0" w:type="dxa"/>
          <w:left w:w="108" w:type="dxa"/>
          <w:bottom w:w="0" w:type="dxa"/>
          <w:right w:w="108" w:type="dxa"/>
        </w:tblCellMar>
      </w:tblPr>
      <w:tblGrid>
        <w:gridCol w:w="825"/>
        <w:gridCol w:w="3405"/>
        <w:gridCol w:w="1140"/>
        <w:gridCol w:w="780"/>
        <w:gridCol w:w="2265"/>
        <w:gridCol w:w="930"/>
        <w:gridCol w:w="780"/>
        <w:gridCol w:w="4095"/>
        <w:gridCol w:w="1428"/>
      </w:tblGrid>
      <w:tr>
        <w:tblPrEx>
          <w:tblCellMar>
            <w:top w:w="0" w:type="dxa"/>
            <w:left w:w="108" w:type="dxa"/>
            <w:bottom w:w="0" w:type="dxa"/>
            <w:right w:w="108" w:type="dxa"/>
          </w:tblCellMar>
        </w:tblPrEx>
        <w:trPr>
          <w:trHeight w:val="113" w:hRule="atLeast"/>
        </w:trPr>
        <w:tc>
          <w:tcPr>
            <w:tcW w:w="15648" w:type="dxa"/>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一般公共预算财政拨款基本支出决算明细表</w:t>
            </w:r>
            <w:bookmarkEnd w:id="2"/>
          </w:p>
          <w:p>
            <w:pPr>
              <w:widowControl/>
              <w:wordWrap w:val="0"/>
              <w:jc w:val="right"/>
              <w:rPr>
                <w:rFonts w:ascii="华文中宋" w:hAnsi="华文中宋" w:eastAsia="华文中宋" w:cs="宋体"/>
                <w:color w:val="000000"/>
                <w:kern w:val="0"/>
                <w:szCs w:val="32"/>
              </w:rPr>
            </w:pPr>
            <w:r>
              <w:rPr>
                <w:rFonts w:ascii="Times New Roman" w:hAnsi="Times New Roman" w:eastAsia="仿宋_GB2312" w:cs="Times New Roman"/>
                <w:color w:val="000000"/>
                <w:kern w:val="0"/>
                <w:szCs w:val="21"/>
              </w:rPr>
              <w:t>部门：</w:t>
            </w:r>
            <w:r>
              <w:rPr>
                <w:rFonts w:hint="eastAsia" w:ascii="宋体" w:hAnsi="宋体" w:eastAsia="宋体" w:cs="宋体"/>
                <w:color w:val="000000"/>
                <w:kern w:val="0"/>
                <w:sz w:val="20"/>
                <w:szCs w:val="20"/>
                <w:lang w:val="en-US" w:eastAsia="zh-CN"/>
              </w:rPr>
              <w:t>湘乡市梅桥中心学校</w:t>
            </w:r>
            <w:r>
              <w:rPr>
                <w:rFonts w:hint="eastAsia"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公开06表</w:t>
            </w:r>
            <w:r>
              <w:rPr>
                <w:rFonts w:hint="eastAsia" w:ascii="Times New Roman" w:hAnsi="Times New Roman" w:eastAsia="仿宋_GB2312" w:cs="Times New Roman"/>
                <w:color w:val="000000"/>
                <w:kern w:val="0"/>
                <w:szCs w:val="21"/>
                <w:lang w:val="en-US" w:eastAsia="zh-CN"/>
              </w:rPr>
              <w:t xml:space="preserve">            </w:t>
            </w:r>
            <w:r>
              <w:rPr>
                <w:rFonts w:hint="eastAsia" w:ascii="Times New Roman" w:hAnsi="Times New Roman" w:eastAsia="仿宋_GB2312" w:cs="Times New Roman"/>
                <w:color w:val="000000"/>
                <w:kern w:val="0"/>
                <w:szCs w:val="21"/>
              </w:rPr>
              <w:t>单位：万元</w:t>
            </w:r>
          </w:p>
        </w:tc>
      </w:tr>
      <w:tr>
        <w:tblPrEx>
          <w:tblCellMar>
            <w:top w:w="0" w:type="dxa"/>
            <w:left w:w="108" w:type="dxa"/>
            <w:bottom w:w="0" w:type="dxa"/>
            <w:right w:w="108" w:type="dxa"/>
          </w:tblCellMar>
        </w:tblPrEx>
        <w:trPr>
          <w:trHeight w:val="113" w:hRule="atLeast"/>
        </w:trPr>
        <w:tc>
          <w:tcPr>
            <w:tcW w:w="8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340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14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7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26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9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7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409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42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tblPrEx>
          <w:tblCellMar>
            <w:top w:w="0" w:type="dxa"/>
            <w:left w:w="108" w:type="dxa"/>
            <w:bottom w:w="0" w:type="dxa"/>
            <w:right w:w="108" w:type="dxa"/>
          </w:tblCellMar>
        </w:tblPrEx>
        <w:trPr>
          <w:trHeight w:val="284" w:hRule="exact"/>
        </w:trPr>
        <w:tc>
          <w:tcPr>
            <w:tcW w:w="82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2516.27</w:t>
            </w: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22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93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r>
              <w:rPr>
                <w:rFonts w:hint="eastAsia" w:ascii="宋体" w:hAnsi="宋体" w:eastAsia="宋体" w:cs="宋体"/>
                <w:color w:val="000000"/>
                <w:kern w:val="0"/>
                <w:szCs w:val="20"/>
                <w:lang w:val="en-US" w:eastAsia="zh-CN"/>
              </w:rPr>
              <w:t>54.71</w:t>
            </w: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4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142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82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1366.93</w:t>
            </w: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22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930"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19.95</w:t>
            </w: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4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142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82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142.37</w:t>
            </w: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22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930"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10.11</w:t>
            </w: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4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142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82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60.25</w:t>
            </w: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22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93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4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142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82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22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93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4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142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82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346.05</w:t>
            </w: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30205</w:t>
            </w:r>
          </w:p>
        </w:tc>
        <w:tc>
          <w:tcPr>
            <w:tcW w:w="22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930"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0.24</w:t>
            </w: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4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142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82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280.96</w:t>
            </w: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30206</w:t>
            </w:r>
          </w:p>
        </w:tc>
        <w:tc>
          <w:tcPr>
            <w:tcW w:w="22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930"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1.8</w:t>
            </w: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4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142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82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30207</w:t>
            </w:r>
          </w:p>
        </w:tc>
        <w:tc>
          <w:tcPr>
            <w:tcW w:w="22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93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4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142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82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127.08</w:t>
            </w: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22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93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4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142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82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22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93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4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142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82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27.55</w:t>
            </w: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22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93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4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142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82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165.07</w:t>
            </w: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22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93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4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142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82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22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93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4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142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82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22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93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4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142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82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35.44</w:t>
            </w: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22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93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4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142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82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5.85</w:t>
            </w: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22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930"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0.62</w:t>
            </w: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4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142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82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22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93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4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142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82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22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93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4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142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82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22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93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4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142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82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29.59</w:t>
            </w: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22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93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4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142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82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22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93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4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142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82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22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93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39906</w:t>
            </w:r>
          </w:p>
        </w:tc>
        <w:tc>
          <w:tcPr>
            <w:tcW w:w="4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赠与</w:t>
            </w:r>
          </w:p>
        </w:tc>
        <w:tc>
          <w:tcPr>
            <w:tcW w:w="142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82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22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930"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21.99</w:t>
            </w: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39907</w:t>
            </w:r>
          </w:p>
        </w:tc>
        <w:tc>
          <w:tcPr>
            <w:tcW w:w="4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国家赔偿费用支出</w:t>
            </w:r>
          </w:p>
        </w:tc>
        <w:tc>
          <w:tcPr>
            <w:tcW w:w="142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82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22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93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39908</w:t>
            </w:r>
          </w:p>
        </w:tc>
        <w:tc>
          <w:tcPr>
            <w:tcW w:w="4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对民间非营利组织和群众性自治组织补贴</w:t>
            </w:r>
          </w:p>
        </w:tc>
        <w:tc>
          <w:tcPr>
            <w:tcW w:w="142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82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22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93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39999</w:t>
            </w:r>
          </w:p>
        </w:tc>
        <w:tc>
          <w:tcPr>
            <w:tcW w:w="4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其他支出</w:t>
            </w:r>
          </w:p>
        </w:tc>
        <w:tc>
          <w:tcPr>
            <w:tcW w:w="142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82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22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93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18"/>
                <w:lang w:eastAsia="zh-CN"/>
              </w:rPr>
            </w:pPr>
          </w:p>
        </w:tc>
        <w:tc>
          <w:tcPr>
            <w:tcW w:w="409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18"/>
                <w:lang w:eastAsia="zh-CN"/>
              </w:rPr>
            </w:pPr>
          </w:p>
        </w:tc>
        <w:tc>
          <w:tcPr>
            <w:tcW w:w="142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82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22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93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18"/>
                <w:lang w:eastAsia="zh-CN"/>
              </w:rPr>
            </w:pPr>
          </w:p>
        </w:tc>
        <w:tc>
          <w:tcPr>
            <w:tcW w:w="409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18"/>
                <w:lang w:eastAsia="zh-CN"/>
              </w:rPr>
            </w:pPr>
          </w:p>
        </w:tc>
        <w:tc>
          <w:tcPr>
            <w:tcW w:w="142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82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22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93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78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18"/>
                <w:lang w:eastAsia="zh-CN"/>
              </w:rPr>
            </w:pPr>
          </w:p>
        </w:tc>
        <w:tc>
          <w:tcPr>
            <w:tcW w:w="409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18"/>
                <w:lang w:eastAsia="zh-CN"/>
              </w:rPr>
            </w:pPr>
          </w:p>
        </w:tc>
        <w:tc>
          <w:tcPr>
            <w:tcW w:w="142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423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2551.71</w:t>
            </w:r>
          </w:p>
        </w:tc>
        <w:tc>
          <w:tcPr>
            <w:tcW w:w="8850" w:type="dxa"/>
            <w:gridSpan w:val="5"/>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1428"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18"/>
                <w:lang w:val="en-US" w:eastAsia="zh-CN"/>
              </w:rPr>
            </w:pPr>
            <w:r>
              <w:rPr>
                <w:rFonts w:hint="eastAsia" w:ascii="宋体" w:hAnsi="宋体" w:eastAsia="宋体" w:cs="宋体"/>
                <w:color w:val="000000"/>
                <w:kern w:val="0"/>
                <w:szCs w:val="18"/>
                <w:lang w:val="en-US" w:eastAsia="zh-CN"/>
              </w:rPr>
              <w:t>54.71</w:t>
            </w:r>
          </w:p>
        </w:tc>
      </w:tr>
      <w:tr>
        <w:tblPrEx>
          <w:tblCellMar>
            <w:top w:w="0" w:type="dxa"/>
            <w:left w:w="108" w:type="dxa"/>
            <w:bottom w:w="0" w:type="dxa"/>
            <w:right w:w="108" w:type="dxa"/>
          </w:tblCellMar>
        </w:tblPrEx>
        <w:trPr>
          <w:trHeight w:val="284" w:hRule="exact"/>
        </w:trPr>
        <w:tc>
          <w:tcPr>
            <w:tcW w:w="15648" w:type="dxa"/>
            <w:gridSpan w:val="9"/>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bl>
    <w:p>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Times New Roman"/>
          <w:color w:val="000000"/>
          <w:kern w:val="0"/>
          <w:sz w:val="36"/>
          <w:szCs w:val="36"/>
        </w:rPr>
        <w:t>一般公共预算财政拨款“三公”经费支出决算表</w:t>
      </w:r>
    </w:p>
    <w:p>
      <w:pPr>
        <w:widowControl/>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宋体" w:hAnsi="宋体" w:eastAsia="宋体" w:cs="宋体"/>
          <w:color w:val="000000"/>
          <w:kern w:val="0"/>
          <w:sz w:val="20"/>
          <w:szCs w:val="20"/>
          <w:lang w:val="en-US" w:eastAsia="zh-CN"/>
        </w:rPr>
        <w:t>湘乡市梅桥中心学校</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w:t>
      </w:r>
      <w:r>
        <w:rPr>
          <w:rFonts w:hint="eastAsia" w:ascii="Times New Roman" w:hAnsi="Times New Roman" w:eastAsia="仿宋_GB2312" w:cs="Times New Roman"/>
          <w:color w:val="000000"/>
          <w:kern w:val="0"/>
          <w:szCs w:val="21"/>
        </w:rPr>
        <w:t>7</w:t>
      </w:r>
      <w:r>
        <w:rPr>
          <w:rFonts w:ascii="Times New Roman" w:hAnsi="Times New Roman" w:eastAsia="仿宋_GB2312" w:cs="Times New Roman"/>
          <w:color w:val="000000"/>
          <w:kern w:val="0"/>
          <w:szCs w:val="21"/>
        </w:rPr>
        <w:t>表</w:t>
      </w:r>
    </w:p>
    <w:p>
      <w:pPr>
        <w:widowControl/>
        <w:ind w:right="42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6"/>
        <w:tblW w:w="14640" w:type="dxa"/>
        <w:jc w:val="center"/>
        <w:tblLayout w:type="autofit"/>
        <w:tblCellMar>
          <w:top w:w="0" w:type="dxa"/>
          <w:left w:w="108" w:type="dxa"/>
          <w:bottom w:w="0" w:type="dxa"/>
          <w:right w:w="108" w:type="dxa"/>
        </w:tblCellMar>
      </w:tblPr>
      <w:tblGrid>
        <w:gridCol w:w="1303"/>
        <w:gridCol w:w="1137"/>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预算数</w:t>
            </w:r>
          </w:p>
        </w:tc>
        <w:tc>
          <w:tcPr>
            <w:tcW w:w="7320" w:type="dxa"/>
            <w:gridSpan w:val="6"/>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决算数</w:t>
            </w:r>
          </w:p>
        </w:tc>
      </w:tr>
      <w:tr>
        <w:tblPrEx>
          <w:tblCellMar>
            <w:top w:w="0" w:type="dxa"/>
            <w:left w:w="108" w:type="dxa"/>
            <w:bottom w:w="0" w:type="dxa"/>
            <w:right w:w="108" w:type="dxa"/>
          </w:tblCellMar>
        </w:tblPrEx>
        <w:trPr>
          <w:trHeight w:val="397" w:hRule="atLeast"/>
          <w:jc w:val="center"/>
        </w:trPr>
        <w:tc>
          <w:tcPr>
            <w:tcW w:w="1303"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137"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c>
          <w:tcPr>
            <w:tcW w:w="1220" w:type="dxa"/>
            <w:vMerge w:val="restart"/>
            <w:tcBorders>
              <w:top w:val="nil"/>
              <w:left w:val="nil"/>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r>
      <w:tr>
        <w:tblPrEx>
          <w:tblCellMar>
            <w:top w:w="0" w:type="dxa"/>
            <w:left w:w="108" w:type="dxa"/>
            <w:bottom w:w="0" w:type="dxa"/>
            <w:right w:w="108" w:type="dxa"/>
          </w:tblCellMar>
        </w:tblPrEx>
        <w:trPr>
          <w:trHeight w:val="397" w:hRule="atLeast"/>
          <w:jc w:val="center"/>
        </w:trPr>
        <w:tc>
          <w:tcPr>
            <w:tcW w:w="1303" w:type="dxa"/>
            <w:vMerge w:val="continue"/>
            <w:tcBorders>
              <w:top w:val="nil"/>
              <w:left w:val="single" w:color="auto" w:sz="8"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137"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97" w:hRule="atLeast"/>
          <w:jc w:val="center"/>
        </w:trPr>
        <w:tc>
          <w:tcPr>
            <w:tcW w:w="1303"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13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7</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8</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9</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10</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11</w:t>
            </w:r>
          </w:p>
        </w:tc>
        <w:tc>
          <w:tcPr>
            <w:tcW w:w="122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12</w:t>
            </w:r>
          </w:p>
        </w:tc>
      </w:tr>
      <w:tr>
        <w:trPr>
          <w:trHeight w:val="397" w:hRule="atLeast"/>
          <w:jc w:val="center"/>
        </w:trPr>
        <w:tc>
          <w:tcPr>
            <w:tcW w:w="1303" w:type="dxa"/>
            <w:tcBorders>
              <w:top w:val="nil"/>
              <w:left w:val="single" w:color="auto" w:sz="8" w:space="0"/>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本表无数据</w:t>
            </w:r>
          </w:p>
        </w:tc>
        <w:tc>
          <w:tcPr>
            <w:tcW w:w="1137"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nil"/>
              <w:bottom w:val="single" w:color="auto" w:sz="8" w:space="0"/>
              <w:right w:val="nil"/>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single" w:color="auto" w:sz="4" w:space="0"/>
              <w:bottom w:val="single" w:color="auto" w:sz="8" w:space="0"/>
              <w:right w:val="single" w:color="auto" w:sz="8"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r>
    </w:tbl>
    <w:p>
      <w:pPr>
        <w:widowControl/>
        <w:jc w:val="left"/>
        <w:rPr>
          <w:rFonts w:ascii="宋体" w:eastAsia="宋体" w:cs="宋体"/>
          <w:kern w:val="0"/>
          <w:sz w:val="24"/>
          <w:szCs w:val="24"/>
        </w:rPr>
      </w:pPr>
      <w:r>
        <w:rPr>
          <w:rFonts w:hint="eastAsia" w:ascii="宋体" w:eastAsia="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eastAsia="宋体" w:cs="宋体"/>
          <w:kern w:val="0"/>
          <w:sz w:val="24"/>
          <w:szCs w:val="24"/>
        </w:rPr>
        <w:br w:type="page"/>
      </w:r>
    </w:p>
    <w:p>
      <w:pPr>
        <w:autoSpaceDE w:val="0"/>
        <w:autoSpaceDN w:val="0"/>
        <w:adjustRightInd w:val="0"/>
        <w:ind w:left="315" w:leftChars="150"/>
        <w:jc w:val="left"/>
        <w:rPr>
          <w:rFonts w:ascii="宋体" w:eastAsia="宋体" w:cs="宋体"/>
          <w:kern w:val="0"/>
          <w:sz w:val="24"/>
          <w:szCs w:val="24"/>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政府性基金预算财政拨款收入支出决算表</w:t>
      </w:r>
    </w:p>
    <w:p>
      <w:pPr>
        <w:widowControl/>
        <w:wordWrap w:val="0"/>
        <w:jc w:val="center"/>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宋体" w:hAnsi="宋体" w:eastAsia="宋体" w:cs="宋体"/>
          <w:color w:val="000000"/>
          <w:kern w:val="0"/>
          <w:sz w:val="20"/>
          <w:szCs w:val="20"/>
          <w:lang w:val="en-US" w:eastAsia="zh-CN"/>
        </w:rPr>
        <w:t>湘乡市梅桥中心学校</w:t>
      </w:r>
      <w:r>
        <w:rPr>
          <w:rFonts w:ascii="Times New Roman" w:hAnsi="Times New Roman" w:eastAsia="仿宋_GB2312" w:cs="Times New Roman"/>
          <w:color w:val="000000"/>
          <w:kern w:val="0"/>
          <w:szCs w:val="21"/>
        </w:rPr>
        <w:t xml:space="preserve">                                                                                            公开08表</w:t>
      </w:r>
    </w:p>
    <w:p>
      <w:pPr>
        <w:widowControl/>
        <w:jc w:val="center"/>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单位：万元</w:t>
      </w:r>
    </w:p>
    <w:tbl>
      <w:tblPr>
        <w:tblStyle w:val="6"/>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年初结转和结余</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本年收入</w:t>
            </w:r>
          </w:p>
        </w:tc>
        <w:tc>
          <w:tcPr>
            <w:tcW w:w="6000" w:type="dxa"/>
            <w:gridSpan w:val="3"/>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13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基本支出  </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c>
          <w:tcPr>
            <w:tcW w:w="2000" w:type="dxa"/>
            <w:vMerge w:val="continue"/>
            <w:vAlign w:val="center"/>
          </w:tcPr>
          <w:p>
            <w:pPr>
              <w:widowControl/>
              <w:jc w:val="left"/>
              <w:rPr>
                <w:rFonts w:ascii="Times New Roman" w:hAnsi="Times New Roman" w:eastAsia="仿宋_GB2312" w:cs="Times New Roman"/>
                <w:b/>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000" w:type="dxa"/>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hint="eastAsia" w:ascii="Times New Roman" w:hAnsi="Times New Roman" w:eastAsia="仿宋_GB2312" w:cs="Times New Roman"/>
                <w:kern w:val="0"/>
                <w:szCs w:val="21"/>
                <w:lang w:eastAsia="zh-CN"/>
              </w:rPr>
              <w:t>本表无数据</w:t>
            </w:r>
          </w:p>
        </w:tc>
        <w:tc>
          <w:tcPr>
            <w:tcW w:w="200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hint="eastAsia" w:ascii="Times New Roman" w:hAnsi="Times New Roman" w:eastAsia="仿宋_GB2312" w:cs="Times New Roman"/>
                <w:kern w:val="0"/>
                <w:szCs w:val="21"/>
                <w:lang w:val="en-US" w:eastAsia="zh-CN"/>
              </w:rPr>
            </w:pPr>
          </w:p>
        </w:tc>
        <w:tc>
          <w:tcPr>
            <w:tcW w:w="132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132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132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132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132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132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r>
    </w:tbl>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注：本表反映部门本年度政府性基金预算财政拨款收入、支出及结转和结余情况</w:t>
      </w:r>
    </w:p>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(若本单位无政府性基金收支</w:t>
      </w:r>
      <w:r>
        <w:rPr>
          <w:rFonts w:hint="eastAsia" w:ascii="Times New Roman" w:hAnsi="Times New Roman" w:eastAsia="仿宋_GB2312" w:cs="Times New Roman"/>
          <w:kern w:val="0"/>
          <w:szCs w:val="21"/>
        </w:rPr>
        <w:t>,请说明：XX单位没有政府性基金收入，也没有使用政府性基金安排的支出，故本表无数据</w:t>
      </w:r>
      <w:r>
        <w:rPr>
          <w:rFonts w:ascii="Times New Roman" w:hAnsi="Times New Roman" w:eastAsia="仿宋_GB2312" w:cs="Times New Roman"/>
          <w:kern w:val="0"/>
          <w:szCs w:val="21"/>
        </w:rPr>
        <w:t>)。</w:t>
      </w:r>
    </w:p>
    <w:p>
      <w:pPr>
        <w:widowControl/>
        <w:jc w:val="left"/>
        <w:rPr>
          <w:rFonts w:ascii="黑体" w:hAnsi="黑体" w:eastAsia="黑体"/>
          <w:szCs w:val="21"/>
        </w:rPr>
      </w:pPr>
      <w:r>
        <w:rPr>
          <w:rFonts w:ascii="黑体" w:hAnsi="黑体" w:eastAsia="黑体"/>
          <w:szCs w:val="21"/>
        </w:rPr>
        <w:br w:type="page"/>
      </w:r>
    </w:p>
    <w:tbl>
      <w:tblPr>
        <w:tblStyle w:val="6"/>
        <w:tblW w:w="14190" w:type="dxa"/>
        <w:tblInd w:w="93"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pPr>
              <w:widowControl/>
              <w:jc w:val="center"/>
              <w:rPr>
                <w:rFonts w:ascii="华文中宋" w:hAnsi="华文中宋" w:eastAsia="华文中宋" w:cs="宋体"/>
                <w:kern w:val="0"/>
                <w:sz w:val="32"/>
                <w:szCs w:val="32"/>
              </w:rPr>
            </w:pPr>
            <w:r>
              <w:rPr>
                <w:rFonts w:hint="eastAsia" w:ascii="华文中宋" w:hAnsi="华文中宋" w:eastAsia="华文中宋" w:cs="宋体"/>
                <w:kern w:val="0"/>
                <w:sz w:val="32"/>
                <w:szCs w:val="32"/>
              </w:rPr>
              <w:t>国有资本经营预算财政拨款支出决算表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pPr>
              <w:widowControl/>
              <w:jc w:val="center"/>
              <w:rPr>
                <w:rFonts w:hint="eastAsia" w:ascii="宋体" w:hAnsi="宋体" w:eastAsia="宋体" w:cs="宋体"/>
                <w:kern w:val="0"/>
                <w:sz w:val="20"/>
                <w:szCs w:val="20"/>
                <w:lang w:eastAsia="zh-CN"/>
              </w:rPr>
            </w:pPr>
          </w:p>
        </w:tc>
        <w:tc>
          <w:tcPr>
            <w:tcW w:w="560" w:type="dxa"/>
            <w:tcBorders>
              <w:top w:val="nil"/>
              <w:left w:val="nil"/>
              <w:bottom w:val="nil"/>
              <w:right w:val="nil"/>
            </w:tcBorders>
            <w:shd w:val="clear" w:color="000000" w:fill="FFFFFF"/>
            <w:vAlign w:val="center"/>
          </w:tcPr>
          <w:p>
            <w:pPr>
              <w:widowControl/>
              <w:jc w:val="center"/>
              <w:rPr>
                <w:rFonts w:hint="eastAsia" w:ascii="宋体" w:hAnsi="宋体" w:eastAsia="宋体" w:cs="宋体"/>
                <w:kern w:val="0"/>
                <w:sz w:val="20"/>
                <w:szCs w:val="20"/>
                <w:lang w:eastAsia="zh-CN"/>
              </w:rPr>
            </w:pPr>
          </w:p>
        </w:tc>
        <w:tc>
          <w:tcPr>
            <w:tcW w:w="3215" w:type="dxa"/>
            <w:gridSpan w:val="2"/>
            <w:tcBorders>
              <w:top w:val="nil"/>
              <w:left w:val="nil"/>
              <w:bottom w:val="nil"/>
              <w:right w:val="nil"/>
            </w:tcBorders>
            <w:shd w:val="clear" w:color="000000" w:fill="FFFFFF"/>
            <w:vAlign w:val="center"/>
          </w:tcPr>
          <w:p>
            <w:pPr>
              <w:widowControl/>
              <w:jc w:val="center"/>
              <w:rPr>
                <w:rFonts w:hint="eastAsia" w:ascii="宋体" w:hAnsi="宋体" w:eastAsia="宋体" w:cs="宋体"/>
                <w:kern w:val="0"/>
                <w:sz w:val="20"/>
                <w:szCs w:val="20"/>
                <w:lang w:eastAsia="zh-CN"/>
              </w:rPr>
            </w:pPr>
          </w:p>
        </w:tc>
        <w:tc>
          <w:tcPr>
            <w:tcW w:w="1225" w:type="dxa"/>
            <w:tcBorders>
              <w:top w:val="nil"/>
              <w:left w:val="nil"/>
              <w:bottom w:val="nil"/>
              <w:right w:val="nil"/>
            </w:tcBorders>
            <w:shd w:val="clear" w:color="000000" w:fill="FFFFFF"/>
            <w:vAlign w:val="center"/>
          </w:tcPr>
          <w:p>
            <w:pPr>
              <w:widowControl/>
              <w:jc w:val="left"/>
              <w:rPr>
                <w:rFonts w:hint="eastAsia" w:ascii="宋体" w:hAnsi="宋体" w:eastAsia="宋体" w:cs="宋体"/>
                <w:kern w:val="0"/>
                <w:sz w:val="20"/>
                <w:szCs w:val="20"/>
                <w:lang w:eastAsia="zh-CN"/>
              </w:rPr>
            </w:pPr>
          </w:p>
        </w:tc>
        <w:tc>
          <w:tcPr>
            <w:tcW w:w="2620" w:type="dxa"/>
            <w:gridSpan w:val="2"/>
            <w:tcBorders>
              <w:top w:val="nil"/>
              <w:left w:val="nil"/>
              <w:bottom w:val="nil"/>
              <w:right w:val="nil"/>
            </w:tcBorders>
            <w:shd w:val="clear" w:color="000000" w:fill="FFFFFF"/>
            <w:vAlign w:val="center"/>
          </w:tcPr>
          <w:p>
            <w:pPr>
              <w:widowControl/>
              <w:jc w:val="left"/>
              <w:rPr>
                <w:rFonts w:hint="eastAsia" w:ascii="宋体" w:hAnsi="宋体" w:eastAsia="宋体" w:cs="宋体"/>
                <w:kern w:val="0"/>
                <w:sz w:val="20"/>
                <w:szCs w:val="20"/>
                <w:lang w:eastAsia="zh-CN"/>
              </w:rPr>
            </w:pP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公开09表</w:t>
            </w:r>
          </w:p>
        </w:tc>
      </w:tr>
      <w:tr>
        <w:tblPrEx>
          <w:tblCellMar>
            <w:top w:w="0" w:type="dxa"/>
            <w:left w:w="108" w:type="dxa"/>
            <w:bottom w:w="0" w:type="dxa"/>
            <w:right w:w="108" w:type="dxa"/>
          </w:tblCellMar>
        </w:tblPrEx>
        <w:trPr>
          <w:trHeight w:val="285" w:hRule="atLeast"/>
        </w:trPr>
        <w:tc>
          <w:tcPr>
            <w:tcW w:w="4835" w:type="dxa"/>
            <w:gridSpan w:val="4"/>
            <w:tcBorders>
              <w:top w:val="nil"/>
              <w:left w:val="nil"/>
              <w:bottom w:val="nil"/>
              <w:right w:val="nil"/>
            </w:tcBorders>
            <w:shd w:val="clear" w:color="000000" w:fill="FFFFFF"/>
            <w:noWrap/>
            <w:vAlign w:val="center"/>
          </w:tcPr>
          <w:p>
            <w:pPr>
              <w:widowControl/>
              <w:jc w:val="left"/>
              <w:rPr>
                <w:rFonts w:hint="eastAsia" w:ascii="宋体" w:hAnsi="宋体" w:eastAsia="宋体" w:cs="宋体"/>
                <w:kern w:val="0"/>
                <w:sz w:val="20"/>
                <w:szCs w:val="20"/>
                <w:lang w:eastAsia="zh-CN"/>
              </w:rPr>
            </w:pPr>
            <w:r>
              <w:rPr>
                <w:rFonts w:hint="eastAsia" w:ascii="宋体" w:hAnsi="宋体" w:eastAsia="宋体" w:cs="宋体"/>
                <w:color w:val="000000"/>
                <w:kern w:val="0"/>
                <w:sz w:val="20"/>
                <w:szCs w:val="20"/>
              </w:rPr>
              <w:t>部门：</w:t>
            </w:r>
            <w:r>
              <w:rPr>
                <w:rFonts w:hint="eastAsia" w:ascii="宋体" w:hAnsi="宋体" w:eastAsia="宋体" w:cs="宋体"/>
                <w:color w:val="000000"/>
                <w:kern w:val="0"/>
                <w:sz w:val="20"/>
                <w:szCs w:val="20"/>
                <w:lang w:val="en-US" w:eastAsia="zh-CN"/>
              </w:rPr>
              <w:t>湘乡市梅桥中心学校</w:t>
            </w:r>
          </w:p>
        </w:tc>
        <w:tc>
          <w:tcPr>
            <w:tcW w:w="1225" w:type="dxa"/>
            <w:tcBorders>
              <w:top w:val="nil"/>
              <w:left w:val="nil"/>
              <w:bottom w:val="single" w:color="auto" w:sz="8" w:space="0"/>
              <w:right w:val="nil"/>
            </w:tcBorders>
            <w:shd w:val="clear" w:color="000000" w:fill="FFFFFF"/>
            <w:vAlign w:val="center"/>
          </w:tcPr>
          <w:p>
            <w:pPr>
              <w:widowControl/>
              <w:jc w:val="left"/>
              <w:rPr>
                <w:rFonts w:hint="eastAsia" w:ascii="宋体" w:hAnsi="宋体" w:eastAsia="宋体" w:cs="宋体"/>
                <w:kern w:val="0"/>
                <w:sz w:val="20"/>
                <w:szCs w:val="20"/>
                <w:lang w:eastAsia="zh-CN"/>
              </w:rPr>
            </w:pPr>
          </w:p>
        </w:tc>
        <w:tc>
          <w:tcPr>
            <w:tcW w:w="2620" w:type="dxa"/>
            <w:gridSpan w:val="2"/>
            <w:tcBorders>
              <w:top w:val="nil"/>
              <w:left w:val="nil"/>
              <w:bottom w:val="single" w:color="auto" w:sz="8" w:space="0"/>
              <w:right w:val="nil"/>
            </w:tcBorders>
            <w:shd w:val="clear" w:color="000000" w:fill="FFFFFF"/>
            <w:vAlign w:val="center"/>
          </w:tcPr>
          <w:p>
            <w:pPr>
              <w:widowControl/>
              <w:jc w:val="left"/>
              <w:rPr>
                <w:rFonts w:hint="eastAsia" w:ascii="宋体" w:hAnsi="宋体" w:eastAsia="宋体" w:cs="宋体"/>
                <w:kern w:val="0"/>
                <w:sz w:val="20"/>
                <w:szCs w:val="20"/>
                <w:lang w:eastAsia="zh-CN"/>
              </w:rPr>
            </w:pP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项 </w:t>
            </w:r>
            <w:r>
              <w:rPr>
                <w:rFonts w:hint="eastAsia" w:ascii="宋体" w:hAnsi="宋体" w:eastAsia="宋体" w:cs="宋体"/>
                <w:color w:val="000000"/>
                <w:kern w:val="0"/>
                <w:sz w:val="22"/>
              </w:rPr>
              <w:t xml:space="preserve">   </w:t>
            </w:r>
            <w:r>
              <w:rPr>
                <w:rFonts w:hint="eastAsia" w:ascii="宋体" w:hAnsi="宋体" w:eastAsia="宋体" w:cs="宋体"/>
                <w:kern w:val="0"/>
                <w:sz w:val="24"/>
                <w:szCs w:val="24"/>
              </w:rPr>
              <w:t>目</w:t>
            </w:r>
          </w:p>
        </w:tc>
        <w:tc>
          <w:tcPr>
            <w:tcW w:w="9355" w:type="dxa"/>
            <w:gridSpan w:val="5"/>
            <w:tcBorders>
              <w:top w:val="single" w:color="auto" w:sz="8"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w:t>
            </w:r>
          </w:p>
        </w:tc>
      </w:tr>
      <w:tr>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基本支出  </w:t>
            </w:r>
          </w:p>
        </w:tc>
        <w:tc>
          <w:tcPr>
            <w:tcW w:w="3827"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r>
      <w:tr>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本表无数据</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0"/>
                <w:szCs w:val="20"/>
                <w:lang w:eastAsia="zh-CN"/>
              </w:rPr>
            </w:pP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0"/>
                <w:szCs w:val="20"/>
                <w:lang w:eastAsia="zh-CN"/>
              </w:rPr>
            </w:pP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3215" w:type="dxa"/>
            <w:gridSpan w:val="2"/>
            <w:tcBorders>
              <w:top w:val="nil"/>
              <w:left w:val="nil"/>
              <w:bottom w:val="single" w:color="auto" w:sz="8"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551" w:type="dxa"/>
            <w:gridSpan w:val="2"/>
            <w:tcBorders>
              <w:top w:val="nil"/>
              <w:left w:val="nil"/>
              <w:bottom w:val="single" w:color="auto" w:sz="8"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977" w:type="dxa"/>
            <w:gridSpan w:val="2"/>
            <w:tcBorders>
              <w:top w:val="nil"/>
              <w:left w:val="nil"/>
              <w:bottom w:val="single" w:color="auto" w:sz="8"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3827" w:type="dxa"/>
            <w:tcBorders>
              <w:top w:val="nil"/>
              <w:left w:val="nil"/>
              <w:bottom w:val="single" w:color="auto" w:sz="8"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注：本表反映部门本年度国有资本经营预算财政拨款支出情况。</w:t>
            </w:r>
          </w:p>
        </w:tc>
      </w:tr>
    </w:tbl>
    <w:p>
      <w:pPr>
        <w:pStyle w:val="10"/>
        <w:rPr>
          <w:sz w:val="72"/>
          <w:szCs w:val="72"/>
        </w:rPr>
        <w:sectPr>
          <w:pgSz w:w="16838" w:h="11906" w:orient="landscape"/>
          <w:pgMar w:top="720" w:right="720" w:bottom="720" w:left="720" w:header="851" w:footer="992" w:gutter="0"/>
          <w:cols w:space="425" w:num="1"/>
          <w:docGrid w:type="lines" w:linePitch="312" w:charSpace="0"/>
        </w:sectPr>
      </w:pPr>
    </w:p>
    <w:p>
      <w:pPr>
        <w:pStyle w:val="10"/>
        <w:rPr>
          <w:sz w:val="72"/>
          <w:szCs w:val="72"/>
        </w:rPr>
      </w:pPr>
    </w:p>
    <w:p>
      <w:pPr>
        <w:pStyle w:val="10"/>
        <w:rPr>
          <w:sz w:val="72"/>
          <w:szCs w:val="72"/>
        </w:rPr>
      </w:pPr>
    </w:p>
    <w:p>
      <w:pPr>
        <w:pStyle w:val="10"/>
        <w:rPr>
          <w:sz w:val="72"/>
          <w:szCs w:val="72"/>
        </w:rPr>
      </w:pPr>
    </w:p>
    <w:p>
      <w:pPr>
        <w:pStyle w:val="10"/>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第三部分</w:t>
      </w:r>
    </w:p>
    <w:p>
      <w:pPr>
        <w:pStyle w:val="10"/>
        <w:jc w:val="center"/>
        <w:rPr>
          <w:sz w:val="70"/>
          <w:szCs w:val="70"/>
        </w:rPr>
      </w:pPr>
    </w:p>
    <w:p>
      <w:pPr>
        <w:pStyle w:val="10"/>
        <w:jc w:val="center"/>
        <w:rPr>
          <w:sz w:val="70"/>
          <w:szCs w:val="70"/>
        </w:rPr>
      </w:pPr>
      <w:r>
        <w:rPr>
          <w:sz w:val="70"/>
          <w:szCs w:val="70"/>
        </w:rPr>
        <w:t>20</w:t>
      </w:r>
      <w:r>
        <w:rPr>
          <w:rFonts w:hint="eastAsia"/>
          <w:sz w:val="70"/>
          <w:szCs w:val="70"/>
        </w:rPr>
        <w:t>21年度部门决算情况说明</w:t>
      </w:r>
    </w:p>
    <w:p>
      <w:pPr>
        <w:widowControl/>
        <w:jc w:val="left"/>
        <w:rPr>
          <w:rFonts w:ascii="黑体" w:eastAsia="黑体" w:cs="黑体"/>
          <w:color w:val="000000"/>
          <w:kern w:val="0"/>
          <w:sz w:val="70"/>
          <w:szCs w:val="70"/>
        </w:rPr>
      </w:pPr>
      <w:r>
        <w:rPr>
          <w:sz w:val="70"/>
          <w:szCs w:val="70"/>
        </w:rPr>
        <w:br w:type="page"/>
      </w:r>
    </w:p>
    <w:p>
      <w:pPr>
        <w:pStyle w:val="10"/>
        <w:rPr>
          <w:rFonts w:asciiTheme="minorEastAsia" w:hAnsiTheme="minorEastAsia" w:eastAsiaTheme="minorEastAsia"/>
          <w:sz w:val="32"/>
          <w:szCs w:val="32"/>
        </w:rPr>
      </w:pPr>
    </w:p>
    <w:p>
      <w:pPr>
        <w:pStyle w:val="10"/>
        <w:rPr>
          <w:rFonts w:hAnsi="黑体"/>
          <w:b/>
          <w:sz w:val="32"/>
          <w:szCs w:val="32"/>
        </w:rPr>
      </w:pPr>
      <w:r>
        <w:rPr>
          <w:rFonts w:hint="eastAsia" w:hAnsi="黑体"/>
          <w:b/>
          <w:sz w:val="32"/>
          <w:szCs w:val="32"/>
        </w:rPr>
        <w:t>一、收入支出决算总体情况说明</w:t>
      </w:r>
    </w:p>
    <w:p>
      <w:pPr>
        <w:pStyle w:val="10"/>
        <w:ind w:firstLine="640" w:firstLineChars="20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2021年度收、支总计</w:t>
      </w:r>
      <w:r>
        <w:rPr>
          <w:rFonts w:hint="eastAsia" w:asciiTheme="minorEastAsia" w:hAnsiTheme="minorEastAsia" w:eastAsiaTheme="minorEastAsia"/>
          <w:color w:val="auto"/>
          <w:sz w:val="32"/>
          <w:szCs w:val="32"/>
          <w:lang w:val="en-US" w:eastAsia="zh-CN"/>
        </w:rPr>
        <w:t>6624.12</w:t>
      </w:r>
      <w:r>
        <w:rPr>
          <w:rFonts w:hint="eastAsia" w:asciiTheme="minorEastAsia" w:hAnsiTheme="minorEastAsia" w:eastAsiaTheme="minorEastAsia"/>
          <w:sz w:val="32"/>
          <w:szCs w:val="32"/>
        </w:rPr>
        <w:t>万元。与上年相比，减少</w:t>
      </w:r>
      <w:r>
        <w:rPr>
          <w:rFonts w:hint="eastAsia" w:asciiTheme="minorEastAsia" w:hAnsiTheme="minorEastAsia" w:eastAsiaTheme="minorEastAsia"/>
          <w:color w:val="auto"/>
          <w:sz w:val="32"/>
          <w:szCs w:val="32"/>
          <w:lang w:val="en-US" w:eastAsia="zh-CN"/>
        </w:rPr>
        <w:t>609.46</w:t>
      </w:r>
      <w:r>
        <w:rPr>
          <w:rFonts w:hint="eastAsia" w:asciiTheme="minorEastAsia" w:hAnsiTheme="minorEastAsia" w:eastAsiaTheme="minorEastAsia"/>
          <w:sz w:val="32"/>
          <w:szCs w:val="32"/>
        </w:rPr>
        <w:t>万元，减少</w:t>
      </w:r>
      <w:r>
        <w:rPr>
          <w:rFonts w:hint="eastAsia" w:asciiTheme="minorEastAsia" w:hAnsiTheme="minorEastAsia" w:eastAsiaTheme="minorEastAsia"/>
          <w:color w:val="auto"/>
          <w:sz w:val="32"/>
          <w:szCs w:val="32"/>
          <w:lang w:val="en-US" w:eastAsia="zh-CN"/>
        </w:rPr>
        <w:t>9.20</w:t>
      </w:r>
      <w:r>
        <w:rPr>
          <w:rFonts w:hint="eastAsia" w:asciiTheme="minorEastAsia" w:hAnsiTheme="minorEastAsia" w:eastAsiaTheme="minorEastAsia"/>
          <w:color w:val="auto"/>
          <w:sz w:val="32"/>
          <w:szCs w:val="32"/>
        </w:rPr>
        <w:t>%</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val="en-US" w:eastAsia="zh-CN"/>
        </w:rPr>
        <w:t>人员减少，公用经费减少。</w:t>
      </w:r>
    </w:p>
    <w:p>
      <w:pPr>
        <w:pStyle w:val="10"/>
        <w:rPr>
          <w:rFonts w:hAnsi="黑体"/>
          <w:b/>
          <w:sz w:val="32"/>
          <w:szCs w:val="32"/>
        </w:rPr>
      </w:pPr>
      <w:r>
        <w:rPr>
          <w:rFonts w:hint="eastAsia" w:hAnsi="黑体"/>
          <w:b/>
          <w:sz w:val="32"/>
          <w:szCs w:val="32"/>
        </w:rPr>
        <w:t>二、收入决算情况说明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2021年度收入合计</w:t>
      </w:r>
      <w:r>
        <w:rPr>
          <w:rFonts w:hint="eastAsia" w:asciiTheme="minorEastAsia" w:hAnsiTheme="minorEastAsia" w:eastAsiaTheme="minorEastAsia"/>
          <w:sz w:val="32"/>
          <w:szCs w:val="32"/>
          <w:lang w:val="en-US" w:eastAsia="zh-CN"/>
        </w:rPr>
        <w:t>3312.06</w:t>
      </w:r>
      <w:r>
        <w:rPr>
          <w:rFonts w:hint="eastAsia" w:asciiTheme="minorEastAsia" w:hAnsiTheme="minorEastAsia" w:eastAsiaTheme="minorEastAsia"/>
          <w:sz w:val="32"/>
          <w:szCs w:val="32"/>
        </w:rPr>
        <w:t>万元，其中：财政拨款收入</w:t>
      </w:r>
      <w:r>
        <w:rPr>
          <w:rFonts w:hint="eastAsia" w:asciiTheme="minorEastAsia" w:hAnsiTheme="minorEastAsia" w:eastAsiaTheme="minorEastAsia"/>
          <w:sz w:val="32"/>
          <w:szCs w:val="32"/>
          <w:lang w:val="en-US" w:eastAsia="zh-CN"/>
        </w:rPr>
        <w:t>2606.42</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78.69</w:t>
      </w:r>
      <w:r>
        <w:rPr>
          <w:rFonts w:hint="eastAsia" w:asciiTheme="minorEastAsia" w:hAnsiTheme="minorEastAsia" w:eastAsiaTheme="minorEastAsia"/>
          <w:sz w:val="32"/>
          <w:szCs w:val="32"/>
        </w:rPr>
        <w:t>%；上级补助收入</w:t>
      </w:r>
      <w:r>
        <w:rPr>
          <w:rFonts w:hint="eastAsia" w:asciiTheme="minorEastAsia" w:hAnsiTheme="minorEastAsia" w:eastAsiaTheme="minorEastAsia"/>
          <w:sz w:val="32"/>
          <w:szCs w:val="32"/>
          <w:lang w:val="en-US" w:eastAsia="zh-CN"/>
        </w:rPr>
        <w:t>705.64</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21.31</w:t>
      </w:r>
      <w:r>
        <w:rPr>
          <w:rFonts w:hint="eastAsia" w:asciiTheme="minorEastAsia" w:hAnsiTheme="minorEastAsia" w:eastAsiaTheme="minorEastAsia"/>
          <w:sz w:val="32"/>
          <w:szCs w:val="32"/>
        </w:rPr>
        <w:t>%；事业收入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%；经营收入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%；附属单位上缴收入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%；其他收入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w:t>
      </w:r>
    </w:p>
    <w:p>
      <w:pPr>
        <w:pStyle w:val="10"/>
        <w:rPr>
          <w:rFonts w:hAnsi="黑体"/>
          <w:b/>
          <w:sz w:val="32"/>
          <w:szCs w:val="32"/>
        </w:rPr>
      </w:pPr>
      <w:r>
        <w:rPr>
          <w:rFonts w:hint="eastAsia" w:hAnsi="黑体"/>
          <w:b/>
          <w:sz w:val="32"/>
          <w:szCs w:val="32"/>
        </w:rPr>
        <w:t>三、支出决算情况说明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2021年度支出合计</w:t>
      </w:r>
      <w:r>
        <w:rPr>
          <w:rFonts w:hint="eastAsia" w:asciiTheme="minorEastAsia" w:hAnsiTheme="minorEastAsia" w:eastAsiaTheme="minorEastAsia"/>
          <w:sz w:val="32"/>
          <w:szCs w:val="32"/>
          <w:lang w:val="en-US" w:eastAsia="zh-CN"/>
        </w:rPr>
        <w:t>3312.06</w:t>
      </w:r>
      <w:r>
        <w:rPr>
          <w:rFonts w:hint="eastAsia" w:asciiTheme="minorEastAsia" w:hAnsiTheme="minorEastAsia" w:eastAsiaTheme="minorEastAsia"/>
          <w:sz w:val="32"/>
          <w:szCs w:val="32"/>
        </w:rPr>
        <w:t>万元，其中：基本支出</w:t>
      </w:r>
      <w:r>
        <w:rPr>
          <w:rFonts w:hint="eastAsia" w:asciiTheme="minorEastAsia" w:hAnsiTheme="minorEastAsia" w:eastAsiaTheme="minorEastAsia"/>
          <w:sz w:val="32"/>
          <w:szCs w:val="32"/>
          <w:lang w:val="en-US" w:eastAsia="zh-CN"/>
        </w:rPr>
        <w:t>3312.06</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%；项目支出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%；上缴上级支出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%；经营支出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%；对附属单位补助支出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w:t>
      </w:r>
    </w:p>
    <w:p>
      <w:pPr>
        <w:pStyle w:val="10"/>
        <w:rPr>
          <w:rFonts w:hAnsi="黑体"/>
          <w:b/>
          <w:sz w:val="32"/>
          <w:szCs w:val="32"/>
        </w:rPr>
      </w:pPr>
      <w:r>
        <w:rPr>
          <w:rFonts w:hint="eastAsia" w:hAnsi="黑体"/>
          <w:b/>
          <w:sz w:val="32"/>
          <w:szCs w:val="32"/>
        </w:rPr>
        <w:t>四、财政拨款收入支出决算总体情况说明</w:t>
      </w:r>
    </w:p>
    <w:p>
      <w:pPr>
        <w:pStyle w:val="1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 xml:space="preserve">    2021年度财政拨款收、支总计</w:t>
      </w:r>
      <w:r>
        <w:rPr>
          <w:rFonts w:hint="eastAsia" w:asciiTheme="minorEastAsia" w:hAnsiTheme="minorEastAsia" w:eastAsiaTheme="minorEastAsia"/>
          <w:color w:val="auto"/>
          <w:sz w:val="32"/>
          <w:szCs w:val="32"/>
          <w:lang w:val="en-US" w:eastAsia="zh-CN"/>
        </w:rPr>
        <w:t>5212.84</w:t>
      </w:r>
      <w:r>
        <w:rPr>
          <w:rFonts w:hint="eastAsia" w:asciiTheme="minorEastAsia" w:hAnsiTheme="minorEastAsia" w:eastAsiaTheme="minorEastAsia"/>
          <w:color w:val="auto"/>
          <w:sz w:val="32"/>
          <w:szCs w:val="32"/>
        </w:rPr>
        <w:t>万元，与上年相比，</w:t>
      </w:r>
      <w:r>
        <w:rPr>
          <w:rFonts w:hint="eastAsia" w:asciiTheme="minorEastAsia" w:hAnsiTheme="minorEastAsia" w:eastAsiaTheme="minorEastAsia"/>
          <w:color w:val="auto"/>
          <w:sz w:val="32"/>
          <w:szCs w:val="32"/>
          <w:lang w:val="en-US" w:eastAsia="zh-CN"/>
        </w:rPr>
        <w:t>减少1295.90</w:t>
      </w:r>
      <w:r>
        <w:rPr>
          <w:rFonts w:hint="eastAsia" w:asciiTheme="minorEastAsia" w:hAnsiTheme="minorEastAsia" w:eastAsiaTheme="minorEastAsia"/>
          <w:color w:val="auto"/>
          <w:sz w:val="32"/>
          <w:szCs w:val="32"/>
        </w:rPr>
        <w:t>万元,减少</w:t>
      </w:r>
      <w:r>
        <w:rPr>
          <w:rFonts w:hint="eastAsia" w:asciiTheme="minorEastAsia" w:hAnsiTheme="minorEastAsia" w:eastAsiaTheme="minorEastAsia"/>
          <w:color w:val="auto"/>
          <w:sz w:val="32"/>
          <w:szCs w:val="32"/>
          <w:lang w:val="en-US" w:eastAsia="zh-CN"/>
        </w:rPr>
        <w:t>24.85</w:t>
      </w:r>
      <w:r>
        <w:rPr>
          <w:rFonts w:hint="eastAsia" w:asciiTheme="minorEastAsia" w:hAnsiTheme="minorEastAsia" w:eastAsiaTheme="minorEastAsia"/>
          <w:color w:val="auto"/>
          <w:sz w:val="32"/>
          <w:szCs w:val="32"/>
        </w:rPr>
        <w:t>%，主要是因为</w:t>
      </w:r>
      <w:r>
        <w:rPr>
          <w:rFonts w:hint="eastAsia" w:asciiTheme="minorEastAsia" w:hAnsiTheme="minorEastAsia" w:eastAsiaTheme="minorEastAsia"/>
          <w:color w:val="auto"/>
          <w:sz w:val="32"/>
          <w:szCs w:val="32"/>
          <w:lang w:val="en-US" w:eastAsia="zh-CN"/>
        </w:rPr>
        <w:t>人员</w:t>
      </w:r>
      <w:r>
        <w:rPr>
          <w:rFonts w:hint="eastAsia" w:asciiTheme="minorEastAsia" w:hAnsiTheme="minorEastAsia" w:eastAsiaTheme="minorEastAsia"/>
          <w:sz w:val="32"/>
          <w:szCs w:val="32"/>
          <w:lang w:val="en-US" w:eastAsia="zh-CN"/>
        </w:rPr>
        <w:t>减少，公用经费减少。</w:t>
      </w:r>
    </w:p>
    <w:p>
      <w:pPr>
        <w:pStyle w:val="10"/>
        <w:rPr>
          <w:rFonts w:hAnsi="黑体"/>
          <w:b/>
          <w:sz w:val="32"/>
          <w:szCs w:val="32"/>
        </w:rPr>
      </w:pPr>
      <w:r>
        <w:rPr>
          <w:rFonts w:hint="eastAsia" w:hAnsi="黑体"/>
          <w:b/>
          <w:sz w:val="32"/>
          <w:szCs w:val="32"/>
        </w:rPr>
        <w:t>五、一般公共预算财政拨款支出决算情况说明</w:t>
      </w:r>
    </w:p>
    <w:p>
      <w:pPr>
        <w:pStyle w:val="10"/>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2021年度财政拨款支出</w:t>
      </w:r>
      <w:r>
        <w:rPr>
          <w:rFonts w:hint="eastAsia" w:asciiTheme="minorEastAsia" w:hAnsiTheme="minorEastAsia" w:eastAsiaTheme="minorEastAsia"/>
          <w:sz w:val="32"/>
          <w:szCs w:val="32"/>
          <w:lang w:val="en-US" w:eastAsia="zh-CN"/>
        </w:rPr>
        <w:t>2606.42</w:t>
      </w:r>
      <w:r>
        <w:rPr>
          <w:rFonts w:hint="eastAsia" w:asciiTheme="minorEastAsia" w:hAnsiTheme="minorEastAsia" w:eastAsiaTheme="minorEastAsia"/>
          <w:sz w:val="32"/>
          <w:szCs w:val="32"/>
        </w:rPr>
        <w:t>万元，占本年支出合</w:t>
      </w:r>
      <w:r>
        <w:rPr>
          <w:rFonts w:hint="eastAsia" w:asciiTheme="minorEastAsia" w:hAnsiTheme="minorEastAsia" w:eastAsiaTheme="minorEastAsia"/>
          <w:color w:val="auto"/>
          <w:sz w:val="32"/>
          <w:szCs w:val="32"/>
        </w:rPr>
        <w:t>计的</w:t>
      </w:r>
      <w:r>
        <w:rPr>
          <w:rFonts w:hint="eastAsia" w:asciiTheme="minorEastAsia" w:hAnsiTheme="minorEastAsia" w:eastAsiaTheme="minorEastAsia"/>
          <w:color w:val="auto"/>
          <w:sz w:val="32"/>
          <w:szCs w:val="32"/>
          <w:lang w:val="en-US" w:eastAsia="zh-CN"/>
        </w:rPr>
        <w:t>78.69%，</w:t>
      </w:r>
      <w:r>
        <w:rPr>
          <w:rFonts w:hint="eastAsia" w:asciiTheme="minorEastAsia" w:hAnsiTheme="minorEastAsia" w:eastAsiaTheme="minorEastAsia"/>
          <w:color w:val="auto"/>
          <w:sz w:val="32"/>
          <w:szCs w:val="32"/>
        </w:rPr>
        <w:t>与</w:t>
      </w:r>
      <w:r>
        <w:rPr>
          <w:rFonts w:hint="eastAsia" w:asciiTheme="minorEastAsia" w:hAnsiTheme="minorEastAsia" w:eastAsiaTheme="minorEastAsia"/>
          <w:sz w:val="32"/>
          <w:szCs w:val="32"/>
        </w:rPr>
        <w:t>上年相比，财政拨款支出</w:t>
      </w:r>
      <w:r>
        <w:rPr>
          <w:rFonts w:hint="eastAsia" w:asciiTheme="minorEastAsia" w:hAnsiTheme="minorEastAsia" w:eastAsiaTheme="minorEastAsia"/>
          <w:sz w:val="32"/>
          <w:szCs w:val="32"/>
          <w:lang w:val="en-US" w:eastAsia="zh-CN"/>
        </w:rPr>
        <w:t>减少561.6</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val="en-US" w:eastAsia="zh-CN"/>
        </w:rPr>
        <w:t>减少17.73</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val="en-US" w:eastAsia="zh-CN"/>
        </w:rPr>
        <w:t>人员减少，公用经费减少。</w:t>
      </w:r>
    </w:p>
    <w:p>
      <w:pPr>
        <w:pStyle w:val="10"/>
        <w:ind w:firstLine="480" w:firstLineChars="150"/>
        <w:rPr>
          <w:rFonts w:asciiTheme="minorEastAsia" w:hAnsiTheme="minorEastAsia" w:eastAsiaTheme="minorEastAsia"/>
          <w:b/>
          <w:sz w:val="32"/>
          <w:szCs w:val="32"/>
        </w:rPr>
      </w:pPr>
      <w:r>
        <w:rPr>
          <w:rFonts w:hint="eastAsia" w:asciiTheme="minorEastAsia" w:hAnsiTheme="minorEastAsia" w:eastAsiaTheme="minorEastAsia"/>
          <w:b/>
          <w:sz w:val="32"/>
          <w:szCs w:val="32"/>
        </w:rPr>
        <w:t>（二）财政拨款支出决算结构情况</w:t>
      </w:r>
    </w:p>
    <w:p>
      <w:pPr>
        <w:pStyle w:val="10"/>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2021年度财政拨款支出</w:t>
      </w:r>
      <w:r>
        <w:rPr>
          <w:rFonts w:hint="eastAsia" w:asciiTheme="minorEastAsia" w:hAnsiTheme="minorEastAsia" w:eastAsiaTheme="minorEastAsia"/>
          <w:sz w:val="32"/>
          <w:szCs w:val="32"/>
          <w:lang w:val="en-US" w:eastAsia="zh-CN"/>
        </w:rPr>
        <w:t>2606.42</w:t>
      </w:r>
      <w:r>
        <w:rPr>
          <w:rFonts w:hint="eastAsia" w:asciiTheme="minorEastAsia" w:hAnsiTheme="minorEastAsia" w:eastAsiaTheme="minorEastAsia"/>
          <w:sz w:val="32"/>
          <w:szCs w:val="32"/>
        </w:rPr>
        <w:t>万元，主要用于以下方面：教育（类）支出</w:t>
      </w:r>
      <w:r>
        <w:rPr>
          <w:rFonts w:hint="eastAsia" w:asciiTheme="minorEastAsia" w:hAnsiTheme="minorEastAsia" w:eastAsiaTheme="minorEastAsia"/>
          <w:sz w:val="32"/>
          <w:szCs w:val="32"/>
          <w:lang w:val="en-US" w:eastAsia="zh-CN"/>
        </w:rPr>
        <w:t>2606.42</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10"/>
        <w:ind w:firstLine="800" w:firstLineChars="250"/>
        <w:rPr>
          <w:rFonts w:asciiTheme="minorEastAsia" w:hAnsiTheme="minorEastAsia" w:eastAsiaTheme="minorEastAsia"/>
          <w:b/>
          <w:sz w:val="32"/>
          <w:szCs w:val="32"/>
        </w:rPr>
      </w:pPr>
      <w:r>
        <w:rPr>
          <w:rFonts w:hint="eastAsia" w:asciiTheme="minorEastAsia" w:hAnsiTheme="minorEastAsia" w:eastAsiaTheme="minorEastAsia"/>
          <w:b/>
          <w:sz w:val="32"/>
          <w:szCs w:val="32"/>
        </w:rPr>
        <w:t>（三）财政拨款支出决算具体情况</w:t>
      </w:r>
    </w:p>
    <w:p>
      <w:pPr>
        <w:pStyle w:val="10"/>
        <w:ind w:firstLine="800" w:firstLineChars="25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2021年度财政拨款支出年初预算数为</w:t>
      </w:r>
      <w:r>
        <w:rPr>
          <w:rFonts w:hint="eastAsia" w:asciiTheme="minorEastAsia" w:hAnsiTheme="minorEastAsia" w:eastAsiaTheme="minorEastAsia"/>
          <w:color w:val="auto"/>
          <w:sz w:val="32"/>
          <w:szCs w:val="32"/>
          <w:lang w:val="en-US" w:eastAsia="zh-CN"/>
        </w:rPr>
        <w:t>2708.34万元</w:t>
      </w:r>
      <w:r>
        <w:rPr>
          <w:rFonts w:hint="eastAsia" w:asciiTheme="minorEastAsia" w:hAnsiTheme="minorEastAsia" w:eastAsiaTheme="minorEastAsia"/>
          <w:sz w:val="32"/>
          <w:szCs w:val="32"/>
        </w:rPr>
        <w:t>，支出决算数为</w:t>
      </w:r>
      <w:r>
        <w:rPr>
          <w:rFonts w:hint="eastAsia" w:asciiTheme="minorEastAsia" w:hAnsiTheme="minorEastAsia" w:eastAsiaTheme="minorEastAsia"/>
          <w:color w:val="auto"/>
          <w:sz w:val="32"/>
          <w:szCs w:val="32"/>
          <w:lang w:val="en-US" w:eastAsia="zh-CN"/>
        </w:rPr>
        <w:t>2606.42</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96.23</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lang w:val="en-US" w:eastAsia="zh-CN"/>
        </w:rPr>
        <w:t>其中：</w:t>
      </w:r>
    </w:p>
    <w:p>
      <w:pPr>
        <w:pStyle w:val="10"/>
        <w:numPr>
          <w:ilvl w:val="0"/>
          <w:numId w:val="0"/>
        </w:numPr>
        <w:ind w:firstLine="960" w:firstLineChars="300"/>
        <w:rPr>
          <w:rFonts w:hint="default" w:asciiTheme="minorEastAsia" w:hAnsiTheme="minorEastAsia" w:eastAsiaTheme="minorEastAsia"/>
          <w:color w:val="auto"/>
          <w:sz w:val="32"/>
          <w:szCs w:val="32"/>
          <w:lang w:val="en-US" w:eastAsia="zh-CN"/>
        </w:rPr>
      </w:pPr>
      <w:bookmarkStart w:id="3" w:name="_GoBack"/>
      <w:r>
        <w:rPr>
          <w:rFonts w:hint="default" w:asciiTheme="minorEastAsia" w:hAnsiTheme="minorEastAsia" w:eastAsiaTheme="minorEastAsia"/>
          <w:color w:val="auto"/>
          <w:sz w:val="32"/>
          <w:szCs w:val="32"/>
          <w:lang w:val="en-US" w:eastAsia="zh-CN"/>
        </w:rPr>
        <w:t>1、教育支出，普通教育支出，学前教育支出</w:t>
      </w:r>
    </w:p>
    <w:p>
      <w:pPr>
        <w:pStyle w:val="10"/>
        <w:numPr>
          <w:ilvl w:val="0"/>
          <w:numId w:val="0"/>
        </w:numPr>
        <w:ind w:firstLine="960" w:firstLineChars="300"/>
        <w:rPr>
          <w:rFonts w:hint="default" w:asciiTheme="minorEastAsia" w:hAnsiTheme="minorEastAsia" w:eastAsiaTheme="minorEastAsia"/>
          <w:color w:val="auto"/>
          <w:sz w:val="32"/>
          <w:szCs w:val="32"/>
          <w:lang w:val="en-US" w:eastAsia="zh-CN"/>
        </w:rPr>
      </w:pPr>
      <w:r>
        <w:rPr>
          <w:rFonts w:hint="default" w:asciiTheme="minorEastAsia" w:hAnsiTheme="minorEastAsia" w:eastAsiaTheme="minorEastAsia"/>
          <w:color w:val="auto"/>
          <w:sz w:val="32"/>
          <w:szCs w:val="32"/>
          <w:lang w:val="en-US" w:eastAsia="zh-CN"/>
        </w:rPr>
        <w:t>学前教育支出年初预算为</w:t>
      </w:r>
      <w:r>
        <w:rPr>
          <w:rFonts w:hint="eastAsia" w:asciiTheme="minorEastAsia" w:hAnsiTheme="minorEastAsia" w:eastAsiaTheme="minorEastAsia"/>
          <w:color w:val="auto"/>
          <w:sz w:val="32"/>
          <w:szCs w:val="32"/>
          <w:lang w:val="en-US" w:eastAsia="zh-CN"/>
        </w:rPr>
        <w:t>180.39</w:t>
      </w:r>
      <w:r>
        <w:rPr>
          <w:rFonts w:hint="default" w:asciiTheme="minorEastAsia" w:hAnsiTheme="minorEastAsia" w:eastAsiaTheme="minorEastAsia"/>
          <w:color w:val="auto"/>
          <w:sz w:val="32"/>
          <w:szCs w:val="32"/>
          <w:lang w:val="en-US" w:eastAsia="zh-CN"/>
        </w:rPr>
        <w:t>万元，支出决算为</w:t>
      </w:r>
      <w:r>
        <w:rPr>
          <w:rFonts w:hint="eastAsia" w:asciiTheme="minorEastAsia" w:hAnsiTheme="minorEastAsia" w:eastAsiaTheme="minorEastAsia"/>
          <w:color w:val="auto"/>
          <w:sz w:val="32"/>
          <w:szCs w:val="32"/>
          <w:lang w:val="en-US" w:eastAsia="zh-CN"/>
        </w:rPr>
        <w:t>180.39</w:t>
      </w:r>
      <w:r>
        <w:rPr>
          <w:rFonts w:hint="default" w:asciiTheme="minorEastAsia" w:hAnsiTheme="minorEastAsia" w:eastAsiaTheme="minorEastAsia"/>
          <w:color w:val="auto"/>
          <w:sz w:val="32"/>
          <w:szCs w:val="32"/>
          <w:lang w:val="en-US" w:eastAsia="zh-CN"/>
        </w:rPr>
        <w:t>万元，完成年初预算的100%。</w:t>
      </w:r>
    </w:p>
    <w:p>
      <w:pPr>
        <w:pStyle w:val="10"/>
        <w:numPr>
          <w:ilvl w:val="0"/>
          <w:numId w:val="0"/>
        </w:numPr>
        <w:ind w:firstLine="960" w:firstLineChars="300"/>
        <w:rPr>
          <w:rFonts w:hint="default" w:asciiTheme="minorEastAsia" w:hAnsiTheme="minorEastAsia" w:eastAsiaTheme="minorEastAsia"/>
          <w:color w:val="auto"/>
          <w:sz w:val="32"/>
          <w:szCs w:val="32"/>
          <w:lang w:val="en-US" w:eastAsia="zh-CN"/>
        </w:rPr>
      </w:pPr>
      <w:r>
        <w:rPr>
          <w:rFonts w:hint="default" w:asciiTheme="minorEastAsia" w:hAnsiTheme="minorEastAsia" w:eastAsiaTheme="minorEastAsia"/>
          <w:color w:val="auto"/>
          <w:sz w:val="32"/>
          <w:szCs w:val="32"/>
          <w:lang w:val="en-US" w:eastAsia="zh-CN"/>
        </w:rPr>
        <w:t>2、教育支出，普通教育支出，小学教育支出</w:t>
      </w:r>
    </w:p>
    <w:p>
      <w:pPr>
        <w:pStyle w:val="10"/>
        <w:numPr>
          <w:ilvl w:val="0"/>
          <w:numId w:val="0"/>
        </w:numPr>
        <w:ind w:firstLine="960" w:firstLineChars="300"/>
        <w:rPr>
          <w:rFonts w:hint="default" w:asciiTheme="minorEastAsia" w:hAnsiTheme="minorEastAsia" w:eastAsiaTheme="minorEastAsia"/>
          <w:color w:val="auto"/>
          <w:sz w:val="32"/>
          <w:szCs w:val="32"/>
          <w:lang w:val="en-US" w:eastAsia="zh-CN"/>
        </w:rPr>
      </w:pPr>
      <w:r>
        <w:rPr>
          <w:rFonts w:hint="default" w:asciiTheme="minorEastAsia" w:hAnsiTheme="minorEastAsia" w:eastAsiaTheme="minorEastAsia"/>
          <w:color w:val="auto"/>
          <w:sz w:val="32"/>
          <w:szCs w:val="32"/>
          <w:lang w:val="en-US" w:eastAsia="zh-CN"/>
        </w:rPr>
        <w:t>小学教育支出年初预算为</w:t>
      </w:r>
      <w:r>
        <w:rPr>
          <w:rFonts w:hint="eastAsia" w:asciiTheme="minorEastAsia" w:hAnsiTheme="minorEastAsia" w:eastAsiaTheme="minorEastAsia"/>
          <w:color w:val="auto"/>
          <w:sz w:val="32"/>
          <w:szCs w:val="32"/>
          <w:lang w:val="en-US" w:eastAsia="zh-CN"/>
        </w:rPr>
        <w:t>1733.31</w:t>
      </w:r>
      <w:r>
        <w:rPr>
          <w:rFonts w:hint="default" w:asciiTheme="minorEastAsia" w:hAnsiTheme="minorEastAsia" w:eastAsiaTheme="minorEastAsia"/>
          <w:color w:val="auto"/>
          <w:sz w:val="32"/>
          <w:szCs w:val="32"/>
          <w:lang w:val="en-US" w:eastAsia="zh-CN"/>
        </w:rPr>
        <w:t>万元，支出决算为</w:t>
      </w:r>
      <w:r>
        <w:rPr>
          <w:rFonts w:hint="eastAsia" w:asciiTheme="minorEastAsia" w:hAnsiTheme="minorEastAsia" w:eastAsiaTheme="minorEastAsia"/>
          <w:color w:val="auto"/>
          <w:sz w:val="32"/>
          <w:szCs w:val="32"/>
          <w:lang w:val="en-US" w:eastAsia="zh-CN"/>
        </w:rPr>
        <w:t>1631.39</w:t>
      </w:r>
      <w:r>
        <w:rPr>
          <w:rFonts w:hint="default" w:asciiTheme="minorEastAsia" w:hAnsiTheme="minorEastAsia" w:eastAsiaTheme="minorEastAsia"/>
          <w:color w:val="auto"/>
          <w:sz w:val="32"/>
          <w:szCs w:val="32"/>
          <w:lang w:val="en-US" w:eastAsia="zh-CN"/>
        </w:rPr>
        <w:t>万元，完成年初预算的</w:t>
      </w:r>
      <w:r>
        <w:rPr>
          <w:rFonts w:hint="eastAsia" w:asciiTheme="minorEastAsia" w:hAnsiTheme="minorEastAsia" w:eastAsiaTheme="minorEastAsia"/>
          <w:color w:val="auto"/>
          <w:sz w:val="32"/>
          <w:szCs w:val="32"/>
          <w:lang w:val="en-US" w:eastAsia="zh-CN"/>
        </w:rPr>
        <w:t>94.12</w:t>
      </w:r>
      <w:r>
        <w:rPr>
          <w:rFonts w:hint="default" w:asciiTheme="minorEastAsia" w:hAnsiTheme="minorEastAsia" w:eastAsiaTheme="minorEastAsia"/>
          <w:color w:val="auto"/>
          <w:sz w:val="32"/>
          <w:szCs w:val="32"/>
          <w:lang w:val="en-US" w:eastAsia="zh-CN"/>
        </w:rPr>
        <w:t>%.决算数小于年初预算数的主要原因是：人员异动减少。</w:t>
      </w:r>
    </w:p>
    <w:p>
      <w:pPr>
        <w:pStyle w:val="10"/>
        <w:numPr>
          <w:ilvl w:val="0"/>
          <w:numId w:val="0"/>
        </w:numPr>
        <w:ind w:firstLine="960" w:firstLineChars="300"/>
        <w:rPr>
          <w:rFonts w:hint="default" w:asciiTheme="minorEastAsia" w:hAnsiTheme="minorEastAsia" w:eastAsiaTheme="minorEastAsia"/>
          <w:color w:val="auto"/>
          <w:sz w:val="32"/>
          <w:szCs w:val="32"/>
          <w:lang w:val="en-US" w:eastAsia="zh-CN"/>
        </w:rPr>
      </w:pPr>
      <w:r>
        <w:rPr>
          <w:rFonts w:hint="default" w:asciiTheme="minorEastAsia" w:hAnsiTheme="minorEastAsia" w:eastAsiaTheme="minorEastAsia"/>
          <w:color w:val="auto"/>
          <w:sz w:val="32"/>
          <w:szCs w:val="32"/>
          <w:lang w:val="en-US" w:eastAsia="zh-CN"/>
        </w:rPr>
        <w:t>3、教育支出，普通教育支出，初中教育支出</w:t>
      </w:r>
    </w:p>
    <w:p>
      <w:pPr>
        <w:pStyle w:val="10"/>
        <w:numPr>
          <w:ilvl w:val="0"/>
          <w:numId w:val="0"/>
        </w:numPr>
        <w:ind w:firstLine="960" w:firstLineChars="300"/>
        <w:rPr>
          <w:rFonts w:hint="eastAsia" w:asciiTheme="minorEastAsia" w:hAnsiTheme="minorEastAsia" w:eastAsiaTheme="minorEastAsia"/>
          <w:color w:val="auto"/>
          <w:sz w:val="32"/>
          <w:szCs w:val="32"/>
          <w:lang w:val="en-US" w:eastAsia="zh-CN"/>
        </w:rPr>
      </w:pPr>
      <w:r>
        <w:rPr>
          <w:rFonts w:hint="default" w:asciiTheme="minorEastAsia" w:hAnsiTheme="minorEastAsia" w:eastAsiaTheme="minorEastAsia"/>
          <w:color w:val="auto"/>
          <w:sz w:val="32"/>
          <w:szCs w:val="32"/>
          <w:lang w:val="en-US" w:eastAsia="zh-CN"/>
        </w:rPr>
        <w:t>初中教育支出年初预算为</w:t>
      </w:r>
      <w:r>
        <w:rPr>
          <w:rFonts w:hint="eastAsia" w:asciiTheme="minorEastAsia" w:hAnsiTheme="minorEastAsia" w:eastAsiaTheme="minorEastAsia"/>
          <w:color w:val="auto"/>
          <w:sz w:val="32"/>
          <w:szCs w:val="32"/>
          <w:lang w:val="en-US" w:eastAsia="zh-CN"/>
        </w:rPr>
        <w:t>794.64</w:t>
      </w:r>
      <w:r>
        <w:rPr>
          <w:rFonts w:hint="default" w:asciiTheme="minorEastAsia" w:hAnsiTheme="minorEastAsia" w:eastAsiaTheme="minorEastAsia"/>
          <w:color w:val="auto"/>
          <w:sz w:val="32"/>
          <w:szCs w:val="32"/>
          <w:lang w:val="en-US" w:eastAsia="zh-CN"/>
        </w:rPr>
        <w:t>万元，支出决算为</w:t>
      </w:r>
      <w:r>
        <w:rPr>
          <w:rFonts w:hint="eastAsia" w:asciiTheme="minorEastAsia" w:hAnsiTheme="minorEastAsia" w:eastAsiaTheme="minorEastAsia"/>
          <w:color w:val="auto"/>
          <w:sz w:val="32"/>
          <w:szCs w:val="32"/>
          <w:lang w:val="en-US" w:eastAsia="zh-CN"/>
        </w:rPr>
        <w:t>794.64</w:t>
      </w:r>
      <w:r>
        <w:rPr>
          <w:rFonts w:hint="default" w:asciiTheme="minorEastAsia" w:hAnsiTheme="minorEastAsia" w:eastAsiaTheme="minorEastAsia"/>
          <w:color w:val="auto"/>
          <w:sz w:val="32"/>
          <w:szCs w:val="32"/>
          <w:lang w:val="en-US" w:eastAsia="zh-CN"/>
        </w:rPr>
        <w:t>万元，完成年初预算的100%。</w:t>
      </w:r>
    </w:p>
    <w:bookmarkEnd w:id="3"/>
    <w:p>
      <w:pPr>
        <w:pStyle w:val="10"/>
        <w:rPr>
          <w:rFonts w:hAnsi="黑体"/>
          <w:b/>
          <w:sz w:val="32"/>
          <w:szCs w:val="32"/>
        </w:rPr>
      </w:pPr>
      <w:r>
        <w:rPr>
          <w:rFonts w:hint="eastAsia" w:hAnsi="黑体"/>
          <w:b/>
          <w:sz w:val="32"/>
          <w:szCs w:val="32"/>
        </w:rPr>
        <w:t>六、一般公共预算财政拨款基本支出决算情况说明</w:t>
      </w:r>
    </w:p>
    <w:p>
      <w:pPr>
        <w:pStyle w:val="10"/>
        <w:ind w:firstLine="640" w:firstLineChars="200"/>
        <w:rPr>
          <w:rFonts w:asciiTheme="minorEastAsia" w:hAnsiTheme="minorEastAsia" w:eastAsiaTheme="minorEastAsia"/>
          <w:i/>
          <w:color w:val="FF0000"/>
          <w:sz w:val="32"/>
          <w:szCs w:val="32"/>
        </w:rPr>
      </w:pPr>
      <w:r>
        <w:rPr>
          <w:rFonts w:hint="eastAsia" w:asciiTheme="minorEastAsia" w:hAnsiTheme="minorEastAsia" w:eastAsiaTheme="minorEastAsia"/>
          <w:sz w:val="32"/>
          <w:szCs w:val="32"/>
        </w:rPr>
        <w:t>2021年度财政拨款基本支出</w:t>
      </w:r>
      <w:r>
        <w:rPr>
          <w:rFonts w:hint="eastAsia" w:asciiTheme="minorEastAsia" w:hAnsiTheme="minorEastAsia" w:eastAsiaTheme="minorEastAsia"/>
          <w:sz w:val="32"/>
          <w:szCs w:val="32"/>
          <w:lang w:val="en-US" w:eastAsia="zh-CN"/>
        </w:rPr>
        <w:t>2606.42</w:t>
      </w:r>
      <w:r>
        <w:rPr>
          <w:rFonts w:hint="eastAsia" w:asciiTheme="minorEastAsia" w:hAnsiTheme="minorEastAsia" w:eastAsiaTheme="minorEastAsia"/>
          <w:sz w:val="32"/>
          <w:szCs w:val="32"/>
        </w:rPr>
        <w:t>万元，其中：人员经费</w:t>
      </w:r>
      <w:r>
        <w:rPr>
          <w:rFonts w:hint="eastAsia" w:asciiTheme="minorEastAsia" w:hAnsiTheme="minorEastAsia" w:eastAsiaTheme="minorEastAsia"/>
          <w:sz w:val="32"/>
          <w:szCs w:val="32"/>
          <w:lang w:val="en-US" w:eastAsia="zh-CN"/>
        </w:rPr>
        <w:t>2551.71</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97.9</w:t>
      </w:r>
      <w:r>
        <w:rPr>
          <w:rFonts w:hint="eastAsia" w:asciiTheme="minorEastAsia" w:hAnsiTheme="minorEastAsia" w:eastAsiaTheme="minorEastAsia"/>
          <w:sz w:val="32"/>
          <w:szCs w:val="32"/>
        </w:rPr>
        <w:t>%,主要包括</w:t>
      </w:r>
      <w:r>
        <w:rPr>
          <w:rFonts w:hint="eastAsia" w:asciiTheme="minorEastAsia" w:hAnsiTheme="minorEastAsia" w:eastAsiaTheme="minorEastAsia"/>
          <w:color w:val="auto"/>
          <w:sz w:val="32"/>
          <w:szCs w:val="32"/>
        </w:rPr>
        <w:t>基本工资、津贴补贴、奖金、伙食补助费</w:t>
      </w:r>
      <w:r>
        <w:rPr>
          <w:rFonts w:hint="eastAsia" w:asciiTheme="minorEastAsia" w:hAnsiTheme="minorEastAsia" w:eastAsiaTheme="minorEastAsia"/>
          <w:color w:val="auto"/>
          <w:sz w:val="32"/>
          <w:szCs w:val="32"/>
          <w:lang w:eastAsia="zh-CN"/>
        </w:rPr>
        <w:t>、</w:t>
      </w:r>
      <w:r>
        <w:rPr>
          <w:rFonts w:hint="eastAsia" w:asciiTheme="minorEastAsia" w:hAnsiTheme="minorEastAsia" w:eastAsiaTheme="minorEastAsia"/>
          <w:color w:val="auto"/>
          <w:sz w:val="32"/>
          <w:szCs w:val="32"/>
          <w:lang w:val="en-US" w:eastAsia="zh-CN"/>
        </w:rPr>
        <w:t>绩效工资、机关事业单位基本养老保险缴费、职工基本医疗保险缴费、其他社会保障缴费、住房公积金、离休费、生活补助</w:t>
      </w:r>
      <w:r>
        <w:rPr>
          <w:rFonts w:hint="eastAsia" w:asciiTheme="minorEastAsia" w:hAnsiTheme="minorEastAsia" w:eastAsiaTheme="minorEastAsia"/>
          <w:sz w:val="32"/>
          <w:szCs w:val="32"/>
        </w:rPr>
        <w:t>；公用经费</w:t>
      </w:r>
      <w:r>
        <w:rPr>
          <w:rFonts w:hint="eastAsia" w:asciiTheme="minorEastAsia" w:hAnsiTheme="minorEastAsia" w:eastAsiaTheme="minorEastAsia"/>
          <w:sz w:val="32"/>
          <w:szCs w:val="32"/>
          <w:lang w:val="en-US" w:eastAsia="zh-CN"/>
        </w:rPr>
        <w:t>54.71</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2.1</w:t>
      </w:r>
      <w:r>
        <w:rPr>
          <w:rFonts w:hint="eastAsia" w:asciiTheme="minorEastAsia" w:hAnsiTheme="minorEastAsia" w:eastAsiaTheme="minorEastAsia"/>
          <w:sz w:val="32"/>
          <w:szCs w:val="32"/>
        </w:rPr>
        <w:t>%，主要包括办公费、印刷费、</w:t>
      </w:r>
      <w:r>
        <w:rPr>
          <w:rFonts w:hint="eastAsia" w:asciiTheme="minorEastAsia" w:hAnsiTheme="minorEastAsia" w:eastAsiaTheme="minorEastAsia"/>
          <w:sz w:val="32"/>
          <w:szCs w:val="32"/>
          <w:lang w:val="en-US" w:eastAsia="zh-CN"/>
        </w:rPr>
        <w:t>水电费、培训费、工会费</w:t>
      </w:r>
      <w:r>
        <w:rPr>
          <w:rFonts w:hint="eastAsia" w:asciiTheme="minorEastAsia" w:hAnsiTheme="minorEastAsia" w:eastAsiaTheme="minorEastAsia"/>
          <w:sz w:val="32"/>
          <w:szCs w:val="32"/>
        </w:rPr>
        <w:t>。</w:t>
      </w:r>
    </w:p>
    <w:p>
      <w:pPr>
        <w:pStyle w:val="10"/>
        <w:rPr>
          <w:rFonts w:hAnsi="黑体"/>
          <w:b/>
          <w:sz w:val="32"/>
          <w:szCs w:val="32"/>
        </w:rPr>
      </w:pPr>
      <w:r>
        <w:rPr>
          <w:rFonts w:hint="eastAsia" w:hAnsi="黑体"/>
          <w:b/>
          <w:sz w:val="32"/>
          <w:szCs w:val="32"/>
        </w:rPr>
        <w:t>七、一般公共预算财政拨款“三公”经费支出决算情况说明</w:t>
      </w:r>
    </w:p>
    <w:p>
      <w:pPr>
        <w:pStyle w:val="10"/>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pPr>
        <w:pStyle w:val="10"/>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2021年度“三公”经费财政拨款支出预算为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因公出国（境）费支出预算为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%，与上年相比减少（增加）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万元，减少（增长）</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公务接待费支出预算为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与上年相比减少（增加）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万元，减少（增长）</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公务用车购置费支出预算为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%，与上年相比减少（增加）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万元，减少（增长）</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公务用车运行维护费支出预算为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%，与上年相比减少（增加）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w:t>
      </w:r>
    </w:p>
    <w:p>
      <w:pPr>
        <w:pStyle w:val="10"/>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2021年度“三公”经费财政拨款支出决算中，公务接待费支出决算</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%,因公出国（境）费支出决算</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%,公务用车购置费及运行维护费支出决算</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w:t>
      </w:r>
    </w:p>
    <w:p>
      <w:pPr>
        <w:pStyle w:val="10"/>
        <w:ind w:firstLine="640" w:firstLineChars="200"/>
        <w:rPr>
          <w:rFonts w:hint="eastAsia" w:asciiTheme="minorEastAsia" w:hAnsiTheme="minorEastAsia" w:eastAsiaTheme="minorEastAsia"/>
          <w:b/>
          <w:sz w:val="32"/>
          <w:szCs w:val="32"/>
          <w:lang w:eastAsia="zh-CN"/>
        </w:rPr>
      </w:pPr>
      <w:r>
        <w:rPr>
          <w:rFonts w:hint="eastAsia" w:asciiTheme="minorEastAsia" w:hAnsiTheme="minorEastAsia" w:eastAsiaTheme="minorEastAsia"/>
          <w:sz w:val="32"/>
          <w:szCs w:val="32"/>
        </w:rPr>
        <w:t>1、因公出国（境）费支出决算为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万元，全年安排因公出国（境）团组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个，累计</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人次</w:t>
      </w:r>
      <w:r>
        <w:rPr>
          <w:rFonts w:hint="eastAsia" w:asciiTheme="minorEastAsia" w:hAnsiTheme="minorEastAsia" w:eastAsiaTheme="minorEastAsia"/>
          <w:sz w:val="32"/>
          <w:szCs w:val="32"/>
          <w:lang w:eastAsia="zh-CN"/>
        </w:rPr>
        <w:t>。</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2、公务接待费支出决算为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万元，全年共接待来访团组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个、来宾</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人次。</w:t>
      </w:r>
    </w:p>
    <w:p>
      <w:pPr>
        <w:ind w:firstLine="800" w:firstLineChars="250"/>
        <w:rPr>
          <w:rFonts w:hint="eastAsia" w:cs="黑体" w:asciiTheme="minorEastAsia" w:hAnsiTheme="minorEastAsia" w:eastAsiaTheme="minorEastAsia"/>
          <w:color w:val="000000"/>
          <w:kern w:val="0"/>
          <w:sz w:val="32"/>
          <w:szCs w:val="32"/>
          <w:lang w:val="en-US" w:eastAsia="zh-CN"/>
        </w:rPr>
      </w:pPr>
      <w:r>
        <w:rPr>
          <w:rFonts w:hint="eastAsia" w:asciiTheme="minorEastAsia" w:hAnsiTheme="minorEastAsia"/>
          <w:sz w:val="32"/>
          <w:szCs w:val="32"/>
        </w:rPr>
        <w:t>3、公务用车购置费及运行维护费支出决算为</w:t>
      </w:r>
      <w:r>
        <w:rPr>
          <w:rFonts w:hint="eastAsia" w:asciiTheme="minorEastAsia" w:hAnsiTheme="minorEastAsia"/>
          <w:sz w:val="32"/>
          <w:szCs w:val="32"/>
          <w:lang w:val="en-US" w:eastAsia="zh-CN"/>
        </w:rPr>
        <w:t>0</w:t>
      </w:r>
      <w:r>
        <w:rPr>
          <w:rFonts w:hint="eastAsia" w:asciiTheme="minorEastAsia" w:hAnsiTheme="minorEastAsia"/>
          <w:sz w:val="32"/>
          <w:szCs w:val="32"/>
        </w:rPr>
        <w:t>万元，其中：公务用车购置费</w:t>
      </w:r>
      <w:r>
        <w:rPr>
          <w:rFonts w:hint="eastAsia" w:asciiTheme="minorEastAsia" w:hAnsiTheme="minorEastAsia"/>
          <w:sz w:val="32"/>
          <w:szCs w:val="32"/>
          <w:lang w:val="en-US" w:eastAsia="zh-CN"/>
        </w:rPr>
        <w:t>0</w:t>
      </w:r>
      <w:r>
        <w:rPr>
          <w:rFonts w:hint="eastAsia" w:asciiTheme="minorEastAsia" w:hAnsiTheme="minorEastAsia"/>
          <w:sz w:val="32"/>
          <w:szCs w:val="32"/>
        </w:rPr>
        <w:t>万元，截止2021年12月31日，我单位开支财政拨款的公务用车保有量为</w:t>
      </w:r>
      <w:r>
        <w:rPr>
          <w:rFonts w:hint="eastAsia" w:asciiTheme="minorEastAsia" w:hAnsiTheme="minorEastAsia"/>
          <w:sz w:val="32"/>
          <w:szCs w:val="32"/>
          <w:lang w:val="en-US" w:eastAsia="zh-CN"/>
        </w:rPr>
        <w:t>0</w:t>
      </w:r>
      <w:r>
        <w:rPr>
          <w:rFonts w:hint="eastAsia" w:asciiTheme="minorEastAsia" w:hAnsiTheme="minorEastAsia"/>
          <w:sz w:val="32"/>
          <w:szCs w:val="32"/>
        </w:rPr>
        <w:t>辆。</w:t>
      </w:r>
    </w:p>
    <w:p>
      <w:pPr>
        <w:pStyle w:val="10"/>
        <w:rPr>
          <w:rFonts w:hAnsi="黑体"/>
          <w:b/>
          <w:sz w:val="32"/>
          <w:szCs w:val="32"/>
        </w:rPr>
      </w:pPr>
      <w:r>
        <w:rPr>
          <w:rFonts w:hint="eastAsia" w:hAnsi="黑体"/>
          <w:b/>
          <w:sz w:val="32"/>
          <w:szCs w:val="32"/>
        </w:rPr>
        <w:t>八、政府性基金预算收入支出决算情况</w:t>
      </w:r>
    </w:p>
    <w:p>
      <w:pPr>
        <w:pStyle w:val="10"/>
        <w:rPr>
          <w:rFonts w:hint="eastAsia" w:asciiTheme="minorEastAsia" w:hAnsiTheme="minorEastAsia" w:eastAsiaTheme="minorEastAsia"/>
          <w:i/>
          <w:color w:val="FF0000"/>
          <w:sz w:val="32"/>
          <w:szCs w:val="32"/>
          <w:lang w:eastAsia="zh-CN"/>
        </w:rPr>
      </w:pPr>
      <w:r>
        <w:rPr>
          <w:rFonts w:hint="eastAsia" w:asciiTheme="minorEastAsia" w:hAnsiTheme="minorEastAsia" w:eastAsiaTheme="minorEastAsia"/>
          <w:sz w:val="32"/>
          <w:szCs w:val="32"/>
        </w:rPr>
        <w:t xml:space="preserve">     2021年度政府性基金预算财政拨款收入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万元；年初结转和结余</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万元，其中基本支出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万元，项目支出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万元；年末结转和结余</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万元。具体情况如下：本单位无政府性基金收支</w:t>
      </w:r>
      <w:r>
        <w:rPr>
          <w:rFonts w:hint="eastAsia" w:asciiTheme="minorEastAsia" w:hAnsiTheme="minorEastAsia" w:eastAsiaTheme="minorEastAsia"/>
          <w:sz w:val="32"/>
          <w:szCs w:val="32"/>
          <w:lang w:eastAsia="zh-CN"/>
        </w:rPr>
        <w:t>。</w:t>
      </w:r>
    </w:p>
    <w:p>
      <w:pPr>
        <w:pStyle w:val="10"/>
        <w:rPr>
          <w:rFonts w:hAnsi="黑体"/>
          <w:b/>
          <w:sz w:val="32"/>
          <w:szCs w:val="32"/>
        </w:rPr>
      </w:pPr>
      <w:r>
        <w:rPr>
          <w:rFonts w:hint="eastAsia" w:hAnsi="黑体"/>
          <w:b/>
          <w:sz w:val="32"/>
          <w:szCs w:val="32"/>
        </w:rPr>
        <w:t>九、机关运行经费支出说明</w:t>
      </w:r>
    </w:p>
    <w:p>
      <w:pPr>
        <w:pStyle w:val="10"/>
        <w:ind w:firstLine="640" w:firstLineChars="200"/>
        <w:rPr>
          <w:rFonts w:hint="default" w:asciiTheme="minorEastAsia" w:hAnsiTheme="minorEastAsia" w:eastAsiaTheme="minorEastAsia"/>
          <w:color w:val="auto"/>
          <w:sz w:val="32"/>
          <w:szCs w:val="32"/>
          <w:lang w:val="en-US" w:eastAsia="zh-CN"/>
        </w:rPr>
      </w:pPr>
      <w:r>
        <w:rPr>
          <w:rFonts w:hint="eastAsia" w:asciiTheme="minorEastAsia" w:hAnsiTheme="minorEastAsia" w:eastAsiaTheme="minorEastAsia"/>
          <w:color w:val="auto"/>
          <w:sz w:val="32"/>
          <w:szCs w:val="32"/>
        </w:rPr>
        <w:t>本部门2021年度机关运行经费支出</w:t>
      </w:r>
      <w:r>
        <w:rPr>
          <w:rFonts w:hint="eastAsia" w:asciiTheme="minorEastAsia" w:hAnsiTheme="minorEastAsia" w:eastAsiaTheme="minorEastAsia"/>
          <w:color w:val="auto"/>
          <w:sz w:val="32"/>
          <w:szCs w:val="32"/>
          <w:lang w:val="en-US" w:eastAsia="zh-CN"/>
        </w:rPr>
        <w:t>54.71</w:t>
      </w:r>
      <w:r>
        <w:rPr>
          <w:rFonts w:hint="eastAsia" w:asciiTheme="minorEastAsia" w:hAnsiTheme="minorEastAsia" w:eastAsiaTheme="minorEastAsia"/>
          <w:color w:val="auto"/>
          <w:sz w:val="32"/>
          <w:szCs w:val="32"/>
        </w:rPr>
        <w:t>万元，比上年决算数减少</w:t>
      </w:r>
      <w:r>
        <w:rPr>
          <w:rFonts w:hint="eastAsia" w:asciiTheme="minorEastAsia" w:hAnsiTheme="minorEastAsia" w:eastAsiaTheme="minorEastAsia"/>
          <w:color w:val="auto"/>
          <w:sz w:val="32"/>
          <w:szCs w:val="32"/>
          <w:lang w:val="en-US" w:eastAsia="zh-CN"/>
        </w:rPr>
        <w:t>20.79</w:t>
      </w:r>
      <w:r>
        <w:rPr>
          <w:rFonts w:hint="eastAsia" w:asciiTheme="minorEastAsia" w:hAnsiTheme="minorEastAsia" w:eastAsiaTheme="minorEastAsia"/>
          <w:color w:val="auto"/>
          <w:sz w:val="32"/>
          <w:szCs w:val="32"/>
        </w:rPr>
        <w:t>万元，降低</w:t>
      </w:r>
      <w:r>
        <w:rPr>
          <w:rFonts w:hint="eastAsia" w:asciiTheme="minorEastAsia" w:hAnsiTheme="minorEastAsia" w:eastAsiaTheme="minorEastAsia"/>
          <w:color w:val="auto"/>
          <w:sz w:val="32"/>
          <w:szCs w:val="32"/>
          <w:lang w:val="en-US" w:eastAsia="zh-CN"/>
        </w:rPr>
        <w:t>27.53</w:t>
      </w:r>
      <w:r>
        <w:rPr>
          <w:rFonts w:hint="eastAsia" w:asciiTheme="minorEastAsia" w:hAnsiTheme="minorEastAsia" w:eastAsiaTheme="minorEastAsia"/>
          <w:color w:val="auto"/>
          <w:sz w:val="32"/>
          <w:szCs w:val="32"/>
        </w:rPr>
        <w:t>%。主要原因是：</w:t>
      </w:r>
      <w:r>
        <w:rPr>
          <w:rFonts w:hint="eastAsia" w:asciiTheme="minorEastAsia" w:hAnsiTheme="minorEastAsia" w:eastAsiaTheme="minorEastAsia"/>
          <w:color w:val="auto"/>
          <w:sz w:val="32"/>
          <w:szCs w:val="32"/>
          <w:lang w:val="en-US" w:eastAsia="zh-CN"/>
        </w:rPr>
        <w:t>办公费支出减少。</w:t>
      </w:r>
    </w:p>
    <w:p>
      <w:pPr>
        <w:pStyle w:val="10"/>
        <w:rPr>
          <w:rFonts w:hAnsi="黑体"/>
          <w:b/>
          <w:sz w:val="32"/>
          <w:szCs w:val="32"/>
        </w:rPr>
      </w:pPr>
      <w:r>
        <w:rPr>
          <w:rFonts w:hint="eastAsia" w:hAnsi="黑体"/>
          <w:b/>
          <w:sz w:val="32"/>
          <w:szCs w:val="32"/>
        </w:rPr>
        <w:t>十、一般性支出情况说明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2021年本部门开支会议费</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万元；开支培训费</w:t>
      </w:r>
      <w:r>
        <w:rPr>
          <w:rFonts w:hint="eastAsia" w:asciiTheme="minorEastAsia" w:hAnsiTheme="minorEastAsia" w:eastAsiaTheme="minorEastAsia"/>
          <w:sz w:val="32"/>
          <w:szCs w:val="32"/>
          <w:lang w:val="en-US" w:eastAsia="zh-CN"/>
        </w:rPr>
        <w:t>0.62</w:t>
      </w:r>
      <w:r>
        <w:rPr>
          <w:rFonts w:hint="eastAsia" w:asciiTheme="minorEastAsia" w:hAnsiTheme="minorEastAsia" w:eastAsiaTheme="minorEastAsia"/>
          <w:sz w:val="32"/>
          <w:szCs w:val="32"/>
        </w:rPr>
        <w:t>万元，用于开展</w:t>
      </w:r>
      <w:r>
        <w:rPr>
          <w:rFonts w:hint="eastAsia" w:asciiTheme="minorEastAsia" w:hAnsiTheme="minorEastAsia" w:eastAsiaTheme="minorEastAsia"/>
          <w:sz w:val="32"/>
          <w:szCs w:val="32"/>
          <w:lang w:val="en-US" w:eastAsia="zh-CN"/>
        </w:rPr>
        <w:t>教师</w:t>
      </w:r>
      <w:r>
        <w:rPr>
          <w:rFonts w:hint="eastAsia" w:asciiTheme="minorEastAsia" w:hAnsiTheme="minorEastAsia" w:eastAsiaTheme="minorEastAsia"/>
          <w:sz w:val="32"/>
          <w:szCs w:val="32"/>
        </w:rPr>
        <w:t>培训，人数</w:t>
      </w:r>
      <w:r>
        <w:rPr>
          <w:rFonts w:hint="eastAsia" w:asciiTheme="minorEastAsia" w:hAnsiTheme="minorEastAsia" w:eastAsiaTheme="minorEastAsia"/>
          <w:sz w:val="32"/>
          <w:szCs w:val="32"/>
          <w:lang w:val="en-US" w:eastAsia="zh-CN"/>
        </w:rPr>
        <w:t>65</w:t>
      </w:r>
      <w:r>
        <w:rPr>
          <w:rFonts w:hint="eastAsia" w:asciiTheme="minorEastAsia" w:hAnsiTheme="minorEastAsia" w:eastAsiaTheme="minorEastAsia"/>
          <w:sz w:val="32"/>
          <w:szCs w:val="32"/>
        </w:rPr>
        <w:t>人，内容为</w:t>
      </w:r>
      <w:r>
        <w:rPr>
          <w:rFonts w:hint="eastAsia" w:asciiTheme="minorEastAsia" w:hAnsiTheme="minorEastAsia" w:eastAsiaTheme="minorEastAsia"/>
          <w:sz w:val="32"/>
          <w:szCs w:val="32"/>
          <w:lang w:val="en-US" w:eastAsia="zh-CN"/>
        </w:rPr>
        <w:t>继续教育网络培训</w:t>
      </w:r>
      <w:r>
        <w:rPr>
          <w:rFonts w:hint="eastAsia" w:asciiTheme="minorEastAsia" w:hAnsiTheme="minorEastAsia" w:eastAsiaTheme="minorEastAsia"/>
          <w:sz w:val="32"/>
          <w:szCs w:val="32"/>
        </w:rPr>
        <w:t>。</w:t>
      </w:r>
    </w:p>
    <w:p>
      <w:pPr>
        <w:pStyle w:val="10"/>
        <w:rPr>
          <w:rFonts w:hAnsi="黑体"/>
          <w:b/>
          <w:sz w:val="32"/>
          <w:szCs w:val="32"/>
        </w:rPr>
      </w:pPr>
      <w:r>
        <w:rPr>
          <w:rFonts w:hint="eastAsia" w:hAnsi="黑体"/>
          <w:b/>
          <w:sz w:val="32"/>
          <w:szCs w:val="32"/>
        </w:rPr>
        <w:t>十一、政府采购支出说明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本部门2021年度政府采购支出总额</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w:t>
      </w:r>
    </w:p>
    <w:p>
      <w:pPr>
        <w:pStyle w:val="10"/>
        <w:rPr>
          <w:rFonts w:hAnsi="黑体"/>
          <w:b/>
          <w:sz w:val="32"/>
          <w:szCs w:val="32"/>
        </w:rPr>
      </w:pPr>
      <w:r>
        <w:rPr>
          <w:rFonts w:hint="eastAsia" w:hAnsi="黑体"/>
          <w:b/>
          <w:sz w:val="32"/>
          <w:szCs w:val="32"/>
        </w:rPr>
        <w:t>十二、国有资产占用情况说明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截至2021年12月31日，部门（单位）共有车辆</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辆；单位价值50万元以上通用设备</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台（套）；单位价值100万元以上专用设备</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台（套）。</w:t>
      </w:r>
    </w:p>
    <w:p>
      <w:pPr>
        <w:pStyle w:val="10"/>
        <w:rPr>
          <w:rFonts w:hAnsi="黑体"/>
          <w:b/>
          <w:sz w:val="32"/>
          <w:szCs w:val="32"/>
        </w:rPr>
      </w:pPr>
      <w:r>
        <w:rPr>
          <w:rFonts w:hint="eastAsia" w:hAnsi="黑体"/>
          <w:b/>
          <w:sz w:val="32"/>
          <w:szCs w:val="32"/>
        </w:rPr>
        <w:t>十三、2021年度预算绩效情况说明</w:t>
      </w:r>
    </w:p>
    <w:p>
      <w:pPr>
        <w:autoSpaceDE w:val="0"/>
        <w:autoSpaceDN w:val="0"/>
        <w:adjustRightInd w:val="0"/>
        <w:ind w:firstLine="640" w:firstLineChars="200"/>
        <w:jc w:val="left"/>
        <w:rPr>
          <w:rFonts w:cs="黑体" w:asciiTheme="minorEastAsia" w:hAnsiTheme="minorEastAsia"/>
          <w:color w:val="000000"/>
          <w:kern w:val="0"/>
          <w:sz w:val="32"/>
          <w:szCs w:val="32"/>
        </w:rPr>
      </w:pPr>
      <w:r>
        <w:rPr>
          <w:rFonts w:hint="eastAsia" w:cs="黑体" w:asciiTheme="minorEastAsia" w:hAnsiTheme="minorEastAsia"/>
          <w:b/>
          <w:color w:val="000000"/>
          <w:kern w:val="0"/>
          <w:sz w:val="32"/>
          <w:szCs w:val="32"/>
        </w:rPr>
        <w:t>（1）绩效管理评价工作开展情况</w:t>
      </w:r>
      <w:r>
        <w:rPr>
          <w:rFonts w:hint="eastAsia" w:cs="黑体" w:asciiTheme="minorEastAsia" w:hAnsiTheme="minorEastAsia"/>
          <w:color w:val="000000"/>
          <w:kern w:val="0"/>
          <w:sz w:val="32"/>
          <w:szCs w:val="32"/>
        </w:rPr>
        <w:t>。</w:t>
      </w:r>
    </w:p>
    <w:p>
      <w:pPr>
        <w:pStyle w:val="10"/>
        <w:ind w:firstLine="640" w:firstLineChars="20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本单位为二级预算单位，无项目绩效。</w:t>
      </w:r>
    </w:p>
    <w:p>
      <w:pPr>
        <w:pStyle w:val="10"/>
        <w:jc w:val="both"/>
        <w:rPr>
          <w:sz w:val="72"/>
          <w:szCs w:val="72"/>
        </w:rPr>
      </w:pPr>
    </w:p>
    <w:p>
      <w:pPr>
        <w:pStyle w:val="10"/>
        <w:jc w:val="both"/>
        <w:rPr>
          <w:sz w:val="72"/>
          <w:szCs w:val="72"/>
        </w:rPr>
      </w:pPr>
    </w:p>
    <w:p>
      <w:pPr>
        <w:pStyle w:val="10"/>
        <w:jc w:val="both"/>
        <w:rPr>
          <w:sz w:val="72"/>
          <w:szCs w:val="72"/>
        </w:rPr>
      </w:pPr>
    </w:p>
    <w:p>
      <w:pPr>
        <w:pStyle w:val="10"/>
        <w:jc w:val="both"/>
        <w:rPr>
          <w:sz w:val="72"/>
          <w:szCs w:val="72"/>
        </w:rPr>
      </w:pPr>
    </w:p>
    <w:p>
      <w:pPr>
        <w:pStyle w:val="10"/>
        <w:jc w:val="both"/>
        <w:rPr>
          <w:sz w:val="72"/>
          <w:szCs w:val="72"/>
        </w:rPr>
      </w:pPr>
    </w:p>
    <w:p>
      <w:pPr>
        <w:pStyle w:val="10"/>
        <w:jc w:val="both"/>
        <w:rPr>
          <w:sz w:val="72"/>
          <w:szCs w:val="72"/>
        </w:rPr>
      </w:pPr>
    </w:p>
    <w:p>
      <w:pPr>
        <w:pStyle w:val="10"/>
        <w:jc w:val="both"/>
        <w:rPr>
          <w:sz w:val="72"/>
          <w:szCs w:val="72"/>
        </w:rPr>
      </w:pPr>
    </w:p>
    <w:p>
      <w:pPr>
        <w:pStyle w:val="10"/>
        <w:jc w:val="both"/>
        <w:rPr>
          <w:sz w:val="72"/>
          <w:szCs w:val="72"/>
        </w:rPr>
      </w:pPr>
    </w:p>
    <w:p>
      <w:pPr>
        <w:pStyle w:val="10"/>
        <w:jc w:val="both"/>
        <w:rPr>
          <w:sz w:val="72"/>
          <w:szCs w:val="72"/>
        </w:rPr>
      </w:pPr>
    </w:p>
    <w:p>
      <w:pPr>
        <w:pStyle w:val="10"/>
        <w:jc w:val="both"/>
        <w:rPr>
          <w:sz w:val="72"/>
          <w:szCs w:val="72"/>
        </w:rPr>
      </w:pPr>
    </w:p>
    <w:p>
      <w:pPr>
        <w:pStyle w:val="10"/>
        <w:jc w:val="both"/>
        <w:rPr>
          <w:sz w:val="72"/>
          <w:szCs w:val="72"/>
        </w:rPr>
      </w:pPr>
    </w:p>
    <w:p>
      <w:pPr>
        <w:pStyle w:val="10"/>
        <w:jc w:val="both"/>
        <w:rPr>
          <w:sz w:val="72"/>
          <w:szCs w:val="72"/>
        </w:rPr>
      </w:pPr>
    </w:p>
    <w:p>
      <w:pPr>
        <w:pStyle w:val="10"/>
        <w:jc w:val="both"/>
        <w:rPr>
          <w:sz w:val="72"/>
          <w:szCs w:val="72"/>
        </w:rPr>
      </w:pPr>
    </w:p>
    <w:p>
      <w:pPr>
        <w:pStyle w:val="10"/>
        <w:jc w:val="both"/>
        <w:rPr>
          <w:sz w:val="72"/>
          <w:szCs w:val="72"/>
        </w:rPr>
      </w:pPr>
    </w:p>
    <w:p>
      <w:pPr>
        <w:pStyle w:val="10"/>
        <w:jc w:val="both"/>
        <w:rPr>
          <w:sz w:val="72"/>
          <w:szCs w:val="72"/>
        </w:rPr>
      </w:pPr>
    </w:p>
    <w:p>
      <w:pPr>
        <w:pStyle w:val="10"/>
        <w:jc w:val="both"/>
        <w:rPr>
          <w:sz w:val="72"/>
          <w:szCs w:val="72"/>
        </w:rPr>
      </w:pPr>
    </w:p>
    <w:p>
      <w:pPr>
        <w:pStyle w:val="10"/>
        <w:jc w:val="both"/>
        <w:rPr>
          <w:sz w:val="72"/>
          <w:szCs w:val="72"/>
        </w:rPr>
      </w:pPr>
    </w:p>
    <w:p>
      <w:pPr>
        <w:pStyle w:val="10"/>
        <w:jc w:val="both"/>
        <w:rPr>
          <w:sz w:val="72"/>
          <w:szCs w:val="72"/>
        </w:rPr>
      </w:pPr>
    </w:p>
    <w:p>
      <w:pPr>
        <w:pStyle w:val="10"/>
        <w:jc w:val="center"/>
        <w:rPr>
          <w:sz w:val="72"/>
          <w:szCs w:val="72"/>
        </w:rPr>
      </w:pPr>
      <w:r>
        <w:rPr>
          <w:rFonts w:hint="eastAsia"/>
          <w:sz w:val="72"/>
          <w:szCs w:val="72"/>
        </w:rPr>
        <w:t>第四部分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pPr>
        <w:pStyle w:val="10"/>
        <w:ind w:firstLine="640" w:firstLineChars="200"/>
        <w:rPr>
          <w:rFonts w:hint="eastAsia" w:asciiTheme="minorEastAsia" w:hAnsiTheme="minorEastAsia" w:eastAsiaTheme="minorEastAsia"/>
          <w:sz w:val="32"/>
          <w:szCs w:val="32"/>
        </w:rPr>
      </w:pPr>
    </w:p>
    <w:p>
      <w:pPr>
        <w:pStyle w:val="10"/>
        <w:ind w:firstLine="640" w:firstLineChars="200"/>
        <w:rPr>
          <w:rFonts w:hint="eastAsia" w:asciiTheme="minorEastAsia" w:hAnsiTheme="minorEastAsia" w:eastAsiaTheme="minorEastAsia"/>
          <w:sz w:val="32"/>
          <w:szCs w:val="32"/>
        </w:rPr>
      </w:pPr>
    </w:p>
    <w:p>
      <w:pPr>
        <w:pStyle w:val="10"/>
        <w:ind w:firstLine="640" w:firstLineChars="200"/>
        <w:rPr>
          <w:rFonts w:hint="eastAsia" w:asciiTheme="minorEastAsia" w:hAnsiTheme="minorEastAsia" w:eastAsiaTheme="minorEastAsia"/>
          <w:sz w:val="32"/>
          <w:szCs w:val="32"/>
        </w:rPr>
      </w:pPr>
    </w:p>
    <w:p>
      <w:pPr>
        <w:pStyle w:val="10"/>
        <w:ind w:firstLine="640" w:firstLineChars="200"/>
        <w:rPr>
          <w:rFonts w:hint="eastAsia" w:asciiTheme="minorEastAsia" w:hAnsiTheme="minorEastAsia" w:eastAsiaTheme="minorEastAsia"/>
          <w:sz w:val="32"/>
          <w:szCs w:val="32"/>
        </w:rPr>
      </w:pPr>
    </w:p>
    <w:p>
      <w:pPr>
        <w:pStyle w:val="10"/>
        <w:ind w:firstLine="640" w:firstLineChars="200"/>
        <w:rPr>
          <w:rFonts w:hint="eastAsia" w:asciiTheme="minorEastAsia" w:hAnsiTheme="minorEastAsia" w:eastAsiaTheme="minorEastAsia"/>
          <w:sz w:val="32"/>
          <w:szCs w:val="32"/>
        </w:rPr>
      </w:pPr>
    </w:p>
    <w:p>
      <w:pPr>
        <w:pStyle w:val="10"/>
        <w:ind w:firstLine="640" w:firstLineChars="200"/>
        <w:rPr>
          <w:rFonts w:hint="eastAsia" w:asciiTheme="minorEastAsia" w:hAnsiTheme="minorEastAsia" w:eastAsiaTheme="minorEastAsia"/>
          <w:sz w:val="32"/>
          <w:szCs w:val="32"/>
        </w:rPr>
      </w:pPr>
    </w:p>
    <w:p>
      <w:pPr>
        <w:pStyle w:val="10"/>
        <w:ind w:firstLine="640" w:firstLineChars="200"/>
        <w:rPr>
          <w:rFonts w:hint="eastAsia" w:asciiTheme="minorEastAsia" w:hAnsiTheme="minorEastAsia" w:eastAsiaTheme="minorEastAsia"/>
          <w:sz w:val="32"/>
          <w:szCs w:val="32"/>
        </w:rPr>
      </w:pPr>
    </w:p>
    <w:p>
      <w:pPr>
        <w:pStyle w:val="10"/>
        <w:ind w:firstLine="640" w:firstLineChars="200"/>
        <w:rPr>
          <w:rFonts w:hint="eastAsia" w:asciiTheme="minorEastAsia" w:hAnsiTheme="minorEastAsia" w:eastAsiaTheme="minorEastAsia"/>
          <w:sz w:val="32"/>
          <w:szCs w:val="32"/>
        </w:rPr>
      </w:pPr>
    </w:p>
    <w:p>
      <w:pPr>
        <w:pStyle w:val="10"/>
        <w:ind w:firstLine="640" w:firstLineChars="200"/>
        <w:rPr>
          <w:rFonts w:hint="eastAsia" w:asciiTheme="minorEastAsia" w:hAnsiTheme="minorEastAsia" w:eastAsiaTheme="minorEastAsia"/>
          <w:sz w:val="32"/>
          <w:szCs w:val="32"/>
        </w:rPr>
      </w:pPr>
    </w:p>
    <w:p>
      <w:pPr>
        <w:pStyle w:val="10"/>
        <w:ind w:firstLine="640" w:firstLineChars="200"/>
        <w:rPr>
          <w:rFonts w:hint="eastAsia" w:asciiTheme="minorEastAsia" w:hAnsiTheme="minorEastAsia" w:eastAsiaTheme="minorEastAsia"/>
          <w:sz w:val="32"/>
          <w:szCs w:val="32"/>
        </w:rPr>
      </w:pPr>
    </w:p>
    <w:p>
      <w:pPr>
        <w:pStyle w:val="10"/>
        <w:ind w:firstLine="640" w:firstLineChars="200"/>
        <w:rPr>
          <w:rFonts w:hint="eastAsia" w:asciiTheme="minorEastAsia" w:hAnsiTheme="minorEastAsia" w:eastAsiaTheme="minorEastAsia"/>
          <w:sz w:val="32"/>
          <w:szCs w:val="32"/>
        </w:rPr>
      </w:pPr>
    </w:p>
    <w:p>
      <w:pPr>
        <w:pStyle w:val="10"/>
        <w:ind w:firstLine="640" w:firstLineChars="200"/>
        <w:rPr>
          <w:rFonts w:hint="eastAsia" w:asciiTheme="minorEastAsia" w:hAnsiTheme="minorEastAsia" w:eastAsiaTheme="minorEastAsia"/>
          <w:sz w:val="32"/>
          <w:szCs w:val="32"/>
        </w:rPr>
      </w:pPr>
    </w:p>
    <w:p>
      <w:pPr>
        <w:pStyle w:val="1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一、财政拨款收入：指中央财政当年拨付的资金。</w:t>
      </w:r>
    </w:p>
    <w:p>
      <w:pPr>
        <w:pStyle w:val="10"/>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二、其他收入：指除“财政拨款收入”、“事业收入”、“经营收入”等以外的收入。主要是按规定动用的售房收入、存款利息收入等。</w:t>
      </w:r>
    </w:p>
    <w:p>
      <w:pPr>
        <w:pStyle w:val="10"/>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三、基本支出：指为保障机构正常运转、完成日常工作任务而发生的人员支出和公用支出。</w:t>
      </w:r>
    </w:p>
    <w:p>
      <w:pPr>
        <w:pStyle w:val="10"/>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四、项目支出：指在基本支出之外为完成特定行政任务和事业发展目标所发生的支出。</w:t>
      </w:r>
    </w:p>
    <w:p>
      <w:pPr>
        <w:pStyle w:val="10"/>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五、“三公”经费：纳入中央财政预决算管理的“三公”经费，是指中央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桥过路费、保险费、安全奖励费用等支出；公务接待费反映单位按规定开支的各类公务接待（含外宾接待）支出。</w:t>
      </w:r>
    </w:p>
    <w:p>
      <w:pPr>
        <w:pStyle w:val="10"/>
        <w:ind w:firstLine="640" w:firstLineChars="200"/>
        <w:jc w:val="left"/>
        <w:rPr>
          <w:rFonts w:hint="eastAsia" w:eastAsiaTheme="minorEastAsia"/>
          <w:sz w:val="72"/>
          <w:szCs w:val="72"/>
          <w:lang w:eastAsia="zh-CN"/>
        </w:rPr>
      </w:pPr>
      <w:r>
        <w:rPr>
          <w:rFonts w:hint="eastAsia" w:asciiTheme="minorEastAsia" w:hAnsiTheme="minorEastAsia" w:eastAsiaTheme="minorEastAsia"/>
          <w:sz w:val="32"/>
          <w:szCs w:val="32"/>
        </w:rPr>
        <w:t>六、机关运行经费：为保障行政单位（含参照公务员法管理的的事业单位）运行用于购买货物和服务的各项资金，包括办公费、印刷费、邮电费、差旅费、会议费、福利费、日常维修费、专用材料费、一般设备购置费、水电费、取暖费、公务用车运行维护费以及其他费用</w:t>
      </w:r>
      <w:r>
        <w:rPr>
          <w:rFonts w:hint="eastAsia" w:asciiTheme="minorEastAsia" w:hAnsiTheme="minorEastAsia" w:eastAsiaTheme="minorEastAsia"/>
          <w:sz w:val="32"/>
          <w:szCs w:val="32"/>
          <w:lang w:eastAsia="zh-CN"/>
        </w:rPr>
        <w:t>。</w:t>
      </w: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both"/>
        <w:rPr>
          <w:sz w:val="72"/>
          <w:szCs w:val="72"/>
        </w:rPr>
      </w:pPr>
    </w:p>
    <w:p>
      <w:pPr>
        <w:pStyle w:val="10"/>
        <w:jc w:val="both"/>
        <w:rPr>
          <w:sz w:val="72"/>
          <w:szCs w:val="72"/>
        </w:rPr>
      </w:pPr>
    </w:p>
    <w:p>
      <w:pPr>
        <w:pStyle w:val="10"/>
        <w:jc w:val="center"/>
        <w:rPr>
          <w:sz w:val="72"/>
          <w:szCs w:val="72"/>
        </w:rPr>
      </w:pPr>
      <w:r>
        <w:rPr>
          <w:rFonts w:hint="eastAsia"/>
          <w:sz w:val="72"/>
          <w:szCs w:val="72"/>
        </w:rPr>
        <w:t>第五部分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附件</w:t>
      </w:r>
    </w:p>
    <w:p>
      <w:pPr>
        <w:widowControl/>
        <w:jc w:val="left"/>
        <w:rPr>
          <w:rFonts w:hint="eastAsia" w:cs="黑体" w:asciiTheme="minorEastAsia" w:hAnsiTheme="minorEastAsia" w:eastAsiaTheme="minorEastAsia"/>
          <w:color w:val="000000"/>
          <w:kern w:val="0"/>
          <w:sz w:val="32"/>
          <w:szCs w:val="32"/>
          <w:lang w:eastAsia="zh-CN"/>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7A293CD-CE30-4D22-B73F-AC24C9B25AB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07562DCB-FD87-4046-9FF2-F2BAB6EA007A}"/>
  </w:font>
  <w:font w:name="方正黑体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3" w:fontKey="{97A00CEC-5CDF-451C-BF0E-EDFFA589E1E3}"/>
  </w:font>
  <w:font w:name="华文中宋">
    <w:altName w:val="宋体"/>
    <w:panose1 w:val="02010600040101010101"/>
    <w:charset w:val="86"/>
    <w:family w:val="auto"/>
    <w:pitch w:val="default"/>
    <w:sig w:usb0="00000000" w:usb1="00000000" w:usb2="00000000" w:usb3="00000000" w:csb0="0004009F" w:csb1="DFD70000"/>
    <w:embedRegular r:id="rId4" w:fontKey="{F04E142F-25A5-4851-9545-5E1D0E3746B7}"/>
  </w:font>
  <w:font w:name="方正小标宋_GBK">
    <w:panose1 w:val="02000000000000000000"/>
    <w:charset w:val="86"/>
    <w:family w:val="script"/>
    <w:pitch w:val="default"/>
    <w:sig w:usb0="00000001" w:usb1="080E0000" w:usb2="00000000" w:usb3="00000000" w:csb0="00040000" w:csb1="00000000"/>
    <w:embedRegular r:id="rId5" w:fontKey="{18C46456-26BB-4BB3-BEEF-56B6184C63EE}"/>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kyMjhkNjc2ZDIwYTA3OTQxYWFjMjEwOTM2NjBiNDYifQ=="/>
  </w:docVars>
  <w:rsids>
    <w:rsidRoot w:val="004506F9"/>
    <w:rsid w:val="0002229B"/>
    <w:rsid w:val="000273BD"/>
    <w:rsid w:val="000415B7"/>
    <w:rsid w:val="00041E3F"/>
    <w:rsid w:val="00055DAA"/>
    <w:rsid w:val="00061F7B"/>
    <w:rsid w:val="000658A3"/>
    <w:rsid w:val="00074155"/>
    <w:rsid w:val="000873EF"/>
    <w:rsid w:val="000A3F69"/>
    <w:rsid w:val="00103957"/>
    <w:rsid w:val="00124A1F"/>
    <w:rsid w:val="00152C6D"/>
    <w:rsid w:val="00162D39"/>
    <w:rsid w:val="001678BD"/>
    <w:rsid w:val="00182373"/>
    <w:rsid w:val="001A67DB"/>
    <w:rsid w:val="001C3C29"/>
    <w:rsid w:val="001D51E5"/>
    <w:rsid w:val="001E080D"/>
    <w:rsid w:val="001E53D0"/>
    <w:rsid w:val="001F0C3B"/>
    <w:rsid w:val="00202C14"/>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C4197"/>
    <w:rsid w:val="003C47E6"/>
    <w:rsid w:val="003C4FC2"/>
    <w:rsid w:val="003E2331"/>
    <w:rsid w:val="00416E61"/>
    <w:rsid w:val="0042790C"/>
    <w:rsid w:val="004506F9"/>
    <w:rsid w:val="004717A2"/>
    <w:rsid w:val="00473DF3"/>
    <w:rsid w:val="00487911"/>
    <w:rsid w:val="00491741"/>
    <w:rsid w:val="004B0CEE"/>
    <w:rsid w:val="00500E5F"/>
    <w:rsid w:val="005122EF"/>
    <w:rsid w:val="0051441A"/>
    <w:rsid w:val="00517C33"/>
    <w:rsid w:val="00517D5F"/>
    <w:rsid w:val="00521AF2"/>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48B"/>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75489"/>
    <w:rsid w:val="00DD06FF"/>
    <w:rsid w:val="00DD5FE9"/>
    <w:rsid w:val="00E00C7A"/>
    <w:rsid w:val="00E209CF"/>
    <w:rsid w:val="00E37D6C"/>
    <w:rsid w:val="00E55B68"/>
    <w:rsid w:val="00E67BE6"/>
    <w:rsid w:val="00E8683C"/>
    <w:rsid w:val="00EA2B72"/>
    <w:rsid w:val="00F74360"/>
    <w:rsid w:val="00FB462F"/>
    <w:rsid w:val="00FE16FA"/>
    <w:rsid w:val="00FE328A"/>
    <w:rsid w:val="00FE6269"/>
    <w:rsid w:val="00FF5CD6"/>
    <w:rsid w:val="02B20A25"/>
    <w:rsid w:val="02D84A47"/>
    <w:rsid w:val="03681C3C"/>
    <w:rsid w:val="04BD7D66"/>
    <w:rsid w:val="06CC6BF8"/>
    <w:rsid w:val="0A4D6393"/>
    <w:rsid w:val="0BEC5B10"/>
    <w:rsid w:val="0FCE3023"/>
    <w:rsid w:val="11540A32"/>
    <w:rsid w:val="12771ED5"/>
    <w:rsid w:val="169C594C"/>
    <w:rsid w:val="171066C1"/>
    <w:rsid w:val="18F338FE"/>
    <w:rsid w:val="19197809"/>
    <w:rsid w:val="1C473F2F"/>
    <w:rsid w:val="1CFD77F7"/>
    <w:rsid w:val="1DF86906"/>
    <w:rsid w:val="1EA23DFC"/>
    <w:rsid w:val="22DF432A"/>
    <w:rsid w:val="236773C3"/>
    <w:rsid w:val="23A83C63"/>
    <w:rsid w:val="23AB5501"/>
    <w:rsid w:val="24AA7521"/>
    <w:rsid w:val="25CC6FE6"/>
    <w:rsid w:val="288E0241"/>
    <w:rsid w:val="28C055AB"/>
    <w:rsid w:val="2D4349FC"/>
    <w:rsid w:val="2E9A2318"/>
    <w:rsid w:val="32142910"/>
    <w:rsid w:val="33F00D0E"/>
    <w:rsid w:val="391F734F"/>
    <w:rsid w:val="3B675F88"/>
    <w:rsid w:val="3BB41682"/>
    <w:rsid w:val="3CAF5C0A"/>
    <w:rsid w:val="3E5F1298"/>
    <w:rsid w:val="3E717642"/>
    <w:rsid w:val="3F5E402B"/>
    <w:rsid w:val="3FB379B2"/>
    <w:rsid w:val="3FEF15FE"/>
    <w:rsid w:val="421B164C"/>
    <w:rsid w:val="42B45D29"/>
    <w:rsid w:val="444320B3"/>
    <w:rsid w:val="473318E6"/>
    <w:rsid w:val="47546117"/>
    <w:rsid w:val="47640361"/>
    <w:rsid w:val="48163E8C"/>
    <w:rsid w:val="4B5050B2"/>
    <w:rsid w:val="4B792FE4"/>
    <w:rsid w:val="4C043151"/>
    <w:rsid w:val="4D227D33"/>
    <w:rsid w:val="4ECF7A46"/>
    <w:rsid w:val="4FBC2A9D"/>
    <w:rsid w:val="4FC420B1"/>
    <w:rsid w:val="4FFF6109"/>
    <w:rsid w:val="5099151F"/>
    <w:rsid w:val="537806AC"/>
    <w:rsid w:val="56E86309"/>
    <w:rsid w:val="56F12C81"/>
    <w:rsid w:val="5B5F5518"/>
    <w:rsid w:val="5DD2537E"/>
    <w:rsid w:val="5DDD4941"/>
    <w:rsid w:val="622050AB"/>
    <w:rsid w:val="64AF5EF8"/>
    <w:rsid w:val="66454EF9"/>
    <w:rsid w:val="689B132B"/>
    <w:rsid w:val="6C3C4515"/>
    <w:rsid w:val="6E773EE0"/>
    <w:rsid w:val="6E9F5288"/>
    <w:rsid w:val="6FD76303"/>
    <w:rsid w:val="71A66C07"/>
    <w:rsid w:val="72227D09"/>
    <w:rsid w:val="722C7C86"/>
    <w:rsid w:val="72703156"/>
    <w:rsid w:val="733E7297"/>
    <w:rsid w:val="735071F1"/>
    <w:rsid w:val="73A81299"/>
    <w:rsid w:val="74665017"/>
    <w:rsid w:val="78D858D6"/>
    <w:rsid w:val="7AE94ED0"/>
    <w:rsid w:val="7EC76071"/>
    <w:rsid w:val="7F9055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Balloon Text"/>
    <w:basedOn w:val="1"/>
    <w:link w:val="12"/>
    <w:semiHidden/>
    <w:unhideWhenUsed/>
    <w:qFormat/>
    <w:uiPriority w:val="99"/>
    <w:rPr>
      <w:sz w:val="18"/>
      <w:szCs w:val="18"/>
    </w:r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qFormat/>
    <w:uiPriority w:val="99"/>
    <w:rPr>
      <w:sz w:val="18"/>
      <w:szCs w:val="18"/>
    </w:rPr>
  </w:style>
  <w:style w:type="character" w:customStyle="1" w:styleId="9">
    <w:name w:val="页脚 Char"/>
    <w:basedOn w:val="7"/>
    <w:link w:val="4"/>
    <w:qFormat/>
    <w:uiPriority w:val="99"/>
    <w:rPr>
      <w:sz w:val="18"/>
      <w:szCs w:val="18"/>
    </w:rPr>
  </w:style>
  <w:style w:type="paragraph" w:customStyle="1" w:styleId="10">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1">
    <w:name w:val="List Paragraph"/>
    <w:basedOn w:val="1"/>
    <w:qFormat/>
    <w:uiPriority w:val="34"/>
    <w:pPr>
      <w:ind w:firstLine="420" w:firstLineChars="200"/>
    </w:pPr>
  </w:style>
  <w:style w:type="character" w:customStyle="1" w:styleId="12">
    <w:name w:val="批注框文本 Char"/>
    <w:basedOn w:val="7"/>
    <w:link w:val="3"/>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480904-B2FB-4FE3-894F-42F14B17BC59}">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24</Pages>
  <Words>6109</Words>
  <Characters>7332</Characters>
  <Lines>69</Lines>
  <Paragraphs>19</Paragraphs>
  <TotalTime>2</TotalTime>
  <ScaleCrop>false</ScaleCrop>
  <LinksUpToDate>false</LinksUpToDate>
  <CharactersWithSpaces>8324</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栖</cp:lastModifiedBy>
  <cp:lastPrinted>2022-07-27T12:55:00Z</cp:lastPrinted>
  <dcterms:modified xsi:type="dcterms:W3CDTF">2022-10-12T07:42:19Z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04D9719424474D7398A1D21945B5D49F</vt:lpwstr>
  </property>
</Properties>
</file>