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rFonts w:hint="eastAsia"/>
          <w:sz w:val="84"/>
          <w:szCs w:val="84"/>
        </w:rPr>
      </w:pPr>
      <w:r>
        <w:rPr>
          <w:rFonts w:hint="eastAsia"/>
          <w:sz w:val="84"/>
          <w:szCs w:val="84"/>
        </w:rPr>
        <w:t>湘乡市</w:t>
      </w:r>
      <w:r>
        <w:rPr>
          <w:rFonts w:hint="eastAsia"/>
          <w:sz w:val="84"/>
          <w:szCs w:val="84"/>
          <w:lang w:val="en-US" w:eastAsia="zh-CN"/>
        </w:rPr>
        <w:t>起凤</w:t>
      </w:r>
      <w:r>
        <w:rPr>
          <w:rFonts w:hint="eastAsia"/>
          <w:sz w:val="84"/>
          <w:szCs w:val="84"/>
        </w:rPr>
        <w:t>学校</w:t>
      </w:r>
    </w:p>
    <w:p>
      <w:pPr>
        <w:pStyle w:val="10"/>
        <w:jc w:val="center"/>
        <w:rPr>
          <w:sz w:val="84"/>
          <w:szCs w:val="84"/>
        </w:rPr>
      </w:pP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spacing w:line="540" w:lineRule="exact"/>
        <w:jc w:val="both"/>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rFonts w:hint="eastAsia"/>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湘乡市起凤学校</w:t>
      </w:r>
      <w:r>
        <w:rPr>
          <w:rFonts w:hint="eastAsia"/>
          <w:b/>
          <w:sz w:val="28"/>
          <w:szCs w:val="28"/>
        </w:rPr>
        <w:t>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rFonts w:hint="eastAsia"/>
          <w:sz w:val="84"/>
          <w:szCs w:val="84"/>
        </w:rPr>
      </w:pPr>
      <w:r>
        <w:rPr>
          <w:rFonts w:hint="eastAsia"/>
          <w:sz w:val="84"/>
          <w:szCs w:val="84"/>
        </w:rPr>
        <w:t>湘乡市</w:t>
      </w:r>
      <w:r>
        <w:rPr>
          <w:rFonts w:hint="eastAsia"/>
          <w:sz w:val="84"/>
          <w:szCs w:val="84"/>
          <w:lang w:val="en-US" w:eastAsia="zh-CN"/>
        </w:rPr>
        <w:t>起凤</w:t>
      </w:r>
      <w:r>
        <w:rPr>
          <w:rFonts w:hint="eastAsia"/>
          <w:sz w:val="84"/>
          <w:szCs w:val="84"/>
        </w:rPr>
        <w:t>学校</w:t>
      </w:r>
    </w:p>
    <w:p>
      <w:pPr>
        <w:pStyle w:val="10"/>
        <w:jc w:val="center"/>
        <w:rPr>
          <w:sz w:val="84"/>
          <w:szCs w:val="84"/>
        </w:rPr>
      </w:pP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0"/>
        </w:numPr>
        <w:ind w:leftChars="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snapToGrid w:val="0"/>
        <w:spacing w:line="360" w:lineRule="auto"/>
        <w:ind w:firstLine="640" w:firstLineChars="200"/>
        <w:rPr>
          <w:rFonts w:ascii="仿宋_GB2312" w:eastAsia="仿宋_GB2312" w:hAnsiTheme="minorEastAsia"/>
          <w:sz w:val="28"/>
          <w:szCs w:val="32"/>
        </w:rPr>
      </w:pPr>
      <w:r>
        <w:rPr>
          <w:rFonts w:hint="eastAsia" w:asciiTheme="minorEastAsia" w:hAnsiTheme="minorEastAsia"/>
          <w:sz w:val="32"/>
          <w:szCs w:val="32"/>
        </w:rPr>
        <w:t>（一）</w:t>
      </w:r>
      <w:r>
        <w:rPr>
          <w:rFonts w:hint="eastAsia" w:asciiTheme="minorEastAsia" w:hAnsiTheme="minorEastAsia"/>
          <w:bCs/>
          <w:kern w:val="0"/>
          <w:sz w:val="32"/>
          <w:szCs w:val="32"/>
        </w:rPr>
        <w:t>实施</w:t>
      </w:r>
      <w:r>
        <w:rPr>
          <w:rFonts w:hint="eastAsia" w:asciiTheme="minorEastAsia" w:hAnsiTheme="minorEastAsia"/>
          <w:bCs/>
          <w:kern w:val="0"/>
          <w:sz w:val="32"/>
          <w:szCs w:val="32"/>
          <w:lang w:val="en-US" w:eastAsia="zh-CN"/>
        </w:rPr>
        <w:t>小学义务教育，</w:t>
      </w:r>
      <w:r>
        <w:rPr>
          <w:rFonts w:hint="eastAsia" w:asciiTheme="minorEastAsia" w:hAnsiTheme="minorEastAsia"/>
          <w:bCs/>
          <w:kern w:val="0"/>
          <w:sz w:val="32"/>
          <w:szCs w:val="32"/>
        </w:rPr>
        <w:t>促进基础教育发展，</w:t>
      </w:r>
      <w:r>
        <w:rPr>
          <w:rFonts w:hint="eastAsia" w:asciiTheme="minorEastAsia" w:hAnsiTheme="minorEastAsia"/>
          <w:bCs/>
          <w:kern w:val="0"/>
          <w:sz w:val="32"/>
          <w:szCs w:val="32"/>
          <w:lang w:val="en-US" w:eastAsia="zh-CN"/>
        </w:rPr>
        <w:t>小学</w:t>
      </w:r>
      <w:r>
        <w:rPr>
          <w:rFonts w:hint="eastAsia" w:asciiTheme="minorEastAsia" w:hAnsiTheme="minorEastAsia"/>
          <w:bCs/>
          <w:kern w:val="0"/>
          <w:sz w:val="32"/>
          <w:szCs w:val="32"/>
        </w:rPr>
        <w:t>教育及相关社会服务。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湘乡市起凤学校</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eastAsia="zh-CN"/>
        </w:rPr>
        <w:t>总务室、教务处、办公室、工会室等</w:t>
      </w:r>
    </w:p>
    <w:p>
      <w:pPr>
        <w:widowControl/>
        <w:spacing w:line="600" w:lineRule="exact"/>
        <w:ind w:left="1280" w:hanging="1280" w:hangingChars="400"/>
        <w:rPr>
          <w:rFonts w:asciiTheme="minorEastAsia" w:hAnsiTheme="minorEastAsia"/>
          <w:bCs/>
          <w:kern w:val="0"/>
          <w:sz w:val="32"/>
          <w:szCs w:val="32"/>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湘乡市起凤学校</w:t>
      </w:r>
      <w:r>
        <w:rPr>
          <w:rFonts w:asciiTheme="minorEastAsia" w:hAnsiTheme="minorEastAsia"/>
          <w:bCs/>
          <w:kern w:val="0"/>
          <w:sz w:val="32"/>
          <w:szCs w:val="32"/>
        </w:rPr>
        <w:t>20</w:t>
      </w:r>
      <w:r>
        <w:rPr>
          <w:rFonts w:hint="eastAsia" w:asciiTheme="minorEastAsia" w:hAnsiTheme="minorEastAsia"/>
          <w:bCs/>
          <w:kern w:val="0"/>
          <w:sz w:val="32"/>
          <w:szCs w:val="32"/>
          <w:lang w:val="en-US" w:eastAsia="zh-CN"/>
        </w:rPr>
        <w:t>21</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湘乡市起凤学校</w:t>
      </w:r>
    </w:p>
    <w:p>
      <w:pPr>
        <w:jc w:val="left"/>
        <w:rPr>
          <w:rFonts w:ascii="仿宋_GB2312" w:eastAsia="仿宋_GB2312" w:hAnsiTheme="minorEastAsia"/>
          <w:sz w:val="28"/>
          <w:szCs w:val="32"/>
        </w:rPr>
      </w:pPr>
    </w:p>
    <w:p>
      <w:pPr>
        <w:widowControl/>
        <w:spacing w:line="600" w:lineRule="exact"/>
        <w:ind w:left="1280" w:hanging="1280" w:hangingChars="400"/>
        <w:rPr>
          <w:rFonts w:asciiTheme="minorEastAsia" w:hAnsiTheme="minorEastAsia"/>
          <w:bCs/>
          <w:kern w:val="0"/>
          <w:sz w:val="32"/>
          <w:szCs w:val="32"/>
          <w:highlight w:val="yellow"/>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fixed"/>
        <w:tblCellMar>
          <w:top w:w="0" w:type="dxa"/>
          <w:left w:w="108" w:type="dxa"/>
          <w:bottom w:w="0" w:type="dxa"/>
          <w:right w:w="108" w:type="dxa"/>
        </w:tblCellMar>
      </w:tblPr>
      <w:tblGrid>
        <w:gridCol w:w="4126"/>
        <w:gridCol w:w="449"/>
        <w:gridCol w:w="631"/>
        <w:gridCol w:w="599"/>
        <w:gridCol w:w="98"/>
        <w:gridCol w:w="240"/>
        <w:gridCol w:w="3460"/>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湘乡市</w:t>
            </w:r>
            <w:r>
              <w:rPr>
                <w:rFonts w:hint="eastAsia" w:ascii="宋体" w:hAnsi="宋体" w:eastAsia="宋体" w:cs="宋体"/>
                <w:color w:val="000000"/>
                <w:kern w:val="0"/>
                <w:sz w:val="20"/>
                <w:szCs w:val="20"/>
                <w:lang w:val="en-US" w:eastAsia="zh-CN"/>
              </w:rPr>
              <w:t>起凤</w:t>
            </w:r>
            <w:r>
              <w:rPr>
                <w:rFonts w:hint="eastAsia" w:ascii="宋体" w:hAnsi="宋体" w:eastAsia="宋体" w:cs="宋体"/>
                <w:color w:val="000000"/>
                <w:kern w:val="0"/>
                <w:sz w:val="20"/>
                <w:szCs w:val="20"/>
              </w:rPr>
              <w:t>学</w:t>
            </w:r>
            <w:r>
              <w:rPr>
                <w:rFonts w:hint="eastAsia" w:ascii="宋体" w:hAnsi="宋体" w:eastAsia="宋体" w:cs="宋体"/>
                <w:color w:val="000000"/>
                <w:kern w:val="0"/>
                <w:sz w:val="20"/>
                <w:szCs w:val="20"/>
                <w:lang w:val="en-US" w:eastAsia="zh-CN"/>
              </w:rPr>
              <w:t>校</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40"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65"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1,712.29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421.33</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1,713.61</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1,712.29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141.53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140.20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1,853.81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1,853.81</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0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21"/>
        <w:gridCol w:w="273"/>
        <w:gridCol w:w="273"/>
        <w:gridCol w:w="1616"/>
        <w:gridCol w:w="1900"/>
        <w:gridCol w:w="1900"/>
        <w:gridCol w:w="950"/>
        <w:gridCol w:w="950"/>
        <w:gridCol w:w="950"/>
        <w:gridCol w:w="950"/>
        <w:gridCol w:w="22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1" w:hRule="atLeast"/>
        </w:trPr>
        <w:tc>
          <w:tcPr>
            <w:tcW w:w="14700" w:type="dxa"/>
            <w:gridSpan w:val="11"/>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部门：湘乡市起凤学校</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99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99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11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11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11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11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99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285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99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9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9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285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99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9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9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285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99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9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9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99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99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99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1,713.61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421.33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1,713.61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1,713.61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1,151.56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421.33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322.32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0" w:type="auto"/>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tbl>
      <w:tblPr>
        <w:tblStyle w:val="6"/>
        <w:tblW w:w="144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57"/>
        <w:gridCol w:w="276"/>
        <w:gridCol w:w="276"/>
        <w:gridCol w:w="1637"/>
        <w:gridCol w:w="1935"/>
        <w:gridCol w:w="1935"/>
        <w:gridCol w:w="1175"/>
        <w:gridCol w:w="1175"/>
        <w:gridCol w:w="1175"/>
        <w:gridCol w:w="20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4" w:hRule="atLeast"/>
        </w:trPr>
        <w:tc>
          <w:tcPr>
            <w:tcW w:w="14440"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2"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部门：湘乡市起凤学校</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007"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2007"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45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45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45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76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2883"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0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0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6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288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00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0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6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288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00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0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6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0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0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5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5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6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1,712.29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1,712.29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1,712.29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1,712.29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1,712.29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1,712.29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1,150.23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322.32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pPr w:leftFromText="180" w:rightFromText="180" w:vertAnchor="text" w:horzAnchor="page" w:tblpX="806" w:tblpY="204"/>
        <w:tblOverlap w:val="never"/>
        <w:tblW w:w="15521" w:type="dxa"/>
        <w:tblInd w:w="0" w:type="dxa"/>
        <w:tblLayout w:type="autofit"/>
        <w:tblCellMar>
          <w:top w:w="0" w:type="dxa"/>
          <w:left w:w="108" w:type="dxa"/>
          <w:bottom w:w="0" w:type="dxa"/>
          <w:right w:w="108" w:type="dxa"/>
        </w:tblCellMar>
      </w:tblPr>
      <w:tblGrid>
        <w:gridCol w:w="3595"/>
        <w:gridCol w:w="436"/>
        <w:gridCol w:w="1096"/>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rPr>
              <w:t>部门：</w:t>
            </w:r>
            <w:r>
              <w:rPr>
                <w:rFonts w:hint="eastAsia" w:ascii="宋体" w:hAnsi="宋体" w:eastAsia="宋体" w:cs="宋体"/>
                <w:i w:val="0"/>
                <w:iCs w:val="0"/>
                <w:color w:val="000000"/>
                <w:kern w:val="0"/>
                <w:sz w:val="20"/>
                <w:szCs w:val="20"/>
                <w:u w:val="none"/>
                <w:lang w:val="en-US" w:eastAsia="zh-CN" w:bidi="ar"/>
              </w:rPr>
              <w:t>湘乡市起凤学校</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1,292.28</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1,292.28</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1,292.28</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1,292.28</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tbl>
      <w:tblPr>
        <w:tblStyle w:val="6"/>
        <w:tblW w:w="1418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52"/>
        <w:gridCol w:w="316"/>
        <w:gridCol w:w="316"/>
        <w:gridCol w:w="1872"/>
        <w:gridCol w:w="2454"/>
        <w:gridCol w:w="2501"/>
        <w:gridCol w:w="35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14180"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bookmarkStart w:id="0" w:name="RANGE!A1:I22"/>
            <w:bookmarkEnd w:id="0"/>
            <w:bookmarkStart w:id="1" w:name="RANGE!A1:F16"/>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6"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部门：湘乡市起凤学校</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162"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402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34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41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40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402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34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413"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403"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4026"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34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413"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403"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1,292.28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学前教育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239.74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小学教育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730.23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730.23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初中教育</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322.32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widowControl/>
        <w:jc w:val="both"/>
        <w:rPr>
          <w:rFonts w:ascii="Times New Roman" w:hAnsi="Times New Roman" w:eastAsia="方正小标宋_GBK" w:cs="Times New Roman"/>
          <w:kern w:val="0"/>
          <w:sz w:val="36"/>
          <w:szCs w:val="36"/>
        </w:rPr>
      </w:pPr>
    </w:p>
    <w:bookmarkEnd w:id="1"/>
    <w:p>
      <w:pPr>
        <w:widowControl/>
        <w:jc w:val="left"/>
        <w:rPr>
          <w:rFonts w:ascii="Times New Roman" w:hAnsi="Times New Roman" w:eastAsia="仿宋_GB2312" w:cs="Times New Roman"/>
          <w:bCs/>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ascii="Times New Roman" w:hAnsi="Times New Roman" w:eastAsia="仿宋_GB2312" w:cs="Times New Roman"/>
          <w:bCs/>
          <w:kern w:val="0"/>
          <w:szCs w:val="21"/>
        </w:rPr>
        <w:br w:type="page"/>
      </w:r>
    </w:p>
    <w:tbl>
      <w:tblPr>
        <w:tblStyle w:val="6"/>
        <w:tblW w:w="15984" w:type="dxa"/>
        <w:tblInd w:w="0" w:type="dxa"/>
        <w:tblLayout w:type="fixed"/>
        <w:tblCellMar>
          <w:top w:w="0" w:type="dxa"/>
          <w:left w:w="108" w:type="dxa"/>
          <w:bottom w:w="0" w:type="dxa"/>
          <w:right w:w="108" w:type="dxa"/>
        </w:tblCellMar>
      </w:tblPr>
      <w:tblGrid>
        <w:gridCol w:w="1140"/>
        <w:gridCol w:w="2955"/>
        <w:gridCol w:w="1575"/>
        <w:gridCol w:w="1080"/>
        <w:gridCol w:w="2235"/>
        <w:gridCol w:w="975"/>
        <w:gridCol w:w="1200"/>
        <w:gridCol w:w="3405"/>
        <w:gridCol w:w="1419"/>
      </w:tblGrid>
      <w:tr>
        <w:tblPrEx>
          <w:tblCellMar>
            <w:top w:w="0" w:type="dxa"/>
            <w:left w:w="108" w:type="dxa"/>
            <w:bottom w:w="0" w:type="dxa"/>
            <w:right w:w="108" w:type="dxa"/>
          </w:tblCellMar>
        </w:tblPrEx>
        <w:trPr>
          <w:trHeight w:val="113" w:hRule="atLeast"/>
        </w:trPr>
        <w:tc>
          <w:tcPr>
            <w:tcW w:w="15984"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湘乡市起凤学校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1,248.66</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43.62</w:t>
            </w:r>
          </w:p>
          <w:tbl>
            <w:tblPr>
              <w:tblStyle w:val="6"/>
              <w:tblW w:w="1848" w:type="dxa"/>
              <w:tblInd w:w="-1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5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43.11</w:t>
                  </w:r>
                </w:p>
              </w:tc>
            </w:tr>
          </w:tbl>
          <w:p>
            <w:pPr>
              <w:widowControl/>
              <w:jc w:val="left"/>
              <w:rPr>
                <w:rFonts w:ascii="宋体" w:hAnsi="宋体" w:eastAsia="宋体" w:cs="宋体"/>
                <w:color w:val="000000"/>
                <w:kern w:val="0"/>
                <w:szCs w:val="20"/>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306.72</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43.11</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4.53</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98.97</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318.49</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31.94</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85.76</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4.61</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201.01</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575"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196.63</w:t>
            </w: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0.24</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59" w:hRule="exact"/>
        </w:trPr>
        <w:tc>
          <w:tcPr>
            <w:tcW w:w="114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295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5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7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r>
              <w:rPr>
                <w:rFonts w:hint="eastAsia" w:ascii="宋体" w:hAnsi="宋体" w:eastAsia="宋体" w:cs="宋体"/>
                <w:color w:val="000000"/>
                <w:kern w:val="0"/>
                <w:szCs w:val="20"/>
                <w:lang w:val="en-US" w:eastAsia="zh-CN"/>
              </w:rPr>
              <w:t>0.27</w:t>
            </w:r>
          </w:p>
        </w:tc>
        <w:tc>
          <w:tcPr>
            <w:tcW w:w="12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40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09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5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1,248.66</w:t>
            </w:r>
          </w:p>
        </w:tc>
        <w:tc>
          <w:tcPr>
            <w:tcW w:w="889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1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43.62</w:t>
            </w:r>
          </w:p>
        </w:tc>
      </w:tr>
      <w:tr>
        <w:tblPrEx>
          <w:tblCellMar>
            <w:top w:w="0" w:type="dxa"/>
            <w:left w:w="108" w:type="dxa"/>
            <w:bottom w:w="0" w:type="dxa"/>
            <w:right w:w="108" w:type="dxa"/>
          </w:tblCellMar>
        </w:tblPrEx>
        <w:trPr>
          <w:trHeight w:val="284" w:hRule="exact"/>
        </w:trPr>
        <w:tc>
          <w:tcPr>
            <w:tcW w:w="15984"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i w:val="0"/>
          <w:iCs w:val="0"/>
          <w:color w:val="000000"/>
          <w:kern w:val="0"/>
          <w:sz w:val="20"/>
          <w:szCs w:val="20"/>
          <w:u w:val="none"/>
          <w:lang w:val="en-US" w:eastAsia="zh-CN" w:bidi="ar"/>
        </w:rPr>
        <w:t>湘乡市起凤学校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534"/>
        <w:gridCol w:w="906"/>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53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346"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53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3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53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906"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宋体" w:hAnsi="宋体" w:eastAsia="宋体" w:cs="宋体"/>
          <w:i w:val="0"/>
          <w:iCs w:val="0"/>
          <w:color w:val="000000"/>
          <w:kern w:val="0"/>
          <w:sz w:val="20"/>
          <w:szCs w:val="20"/>
          <w:u w:val="none"/>
          <w:lang w:val="en-US" w:eastAsia="zh-CN" w:bidi="ar"/>
        </w:rPr>
        <w:t>湘乡市起凤学校</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本表为空白表</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i w:val="0"/>
                <w:iCs w:val="0"/>
                <w:color w:val="000000"/>
                <w:kern w:val="0"/>
                <w:sz w:val="20"/>
                <w:szCs w:val="20"/>
                <w:u w:val="none"/>
                <w:lang w:val="en-US" w:eastAsia="zh-CN" w:bidi="ar"/>
              </w:rPr>
              <w:t>湘乡市起凤学校</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tabs>
                <w:tab w:val="center" w:pos="1499"/>
              </w:tabs>
              <w:jc w:val="left"/>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ab/>
            </w:r>
            <w:r>
              <w:rPr>
                <w:rFonts w:hint="eastAsia" w:ascii="Times New Roman" w:hAnsi="Times New Roman" w:eastAsia="仿宋_GB2312" w:cs="Times New Roman"/>
                <w:kern w:val="0"/>
                <w:szCs w:val="21"/>
              </w:rPr>
              <w:t>本表为空白表</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bookmarkStart w:id="3" w:name="_GoBack"/>
      <w:bookmarkEnd w:id="3"/>
    </w:p>
    <w:p>
      <w:pPr>
        <w:pStyle w:val="10"/>
        <w:rPr>
          <w:rFonts w:asciiTheme="minorEastAsia" w:hAnsiTheme="minorEastAsia" w:eastAsiaTheme="minorEastAsia"/>
          <w:sz w:val="32"/>
          <w:szCs w:val="32"/>
        </w:rPr>
      </w:pPr>
    </w:p>
    <w:p>
      <w:pPr>
        <w:pStyle w:val="10"/>
        <w:rPr>
          <w:rFonts w:hAnsi="黑体"/>
          <w:b/>
          <w:color w:val="auto"/>
          <w:sz w:val="32"/>
          <w:szCs w:val="32"/>
        </w:rPr>
      </w:pPr>
      <w:r>
        <w:rPr>
          <w:rFonts w:hint="eastAsia" w:hAnsi="黑体"/>
          <w:b/>
          <w:sz w:val="32"/>
          <w:szCs w:val="32"/>
        </w:rPr>
        <w:t>一、收入支出决</w:t>
      </w:r>
      <w:r>
        <w:rPr>
          <w:rFonts w:hint="eastAsia" w:hAnsi="黑体"/>
          <w:b/>
          <w:color w:val="auto"/>
          <w:sz w:val="32"/>
          <w:szCs w:val="32"/>
        </w:rPr>
        <w:t>算总体情况说明</w:t>
      </w:r>
    </w:p>
    <w:p>
      <w:pPr>
        <w:pStyle w:val="10"/>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2021年度收、支总计</w:t>
      </w:r>
      <w:r>
        <w:rPr>
          <w:rFonts w:hint="eastAsia" w:asciiTheme="minorEastAsia" w:hAnsiTheme="minorEastAsia" w:eastAsiaTheme="minorEastAsia"/>
          <w:color w:val="auto"/>
          <w:sz w:val="32"/>
          <w:szCs w:val="32"/>
          <w:lang w:val="en-US" w:eastAsia="zh-CN"/>
        </w:rPr>
        <w:t>3425.9</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增加221.35</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增加6.46</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人员增加，人员经费增加。</w:t>
      </w:r>
    </w:p>
    <w:p>
      <w:pPr>
        <w:pStyle w:val="10"/>
        <w:rPr>
          <w:rFonts w:hAnsi="黑体"/>
          <w:b/>
          <w:sz w:val="32"/>
          <w:szCs w:val="32"/>
        </w:rPr>
      </w:pPr>
      <w:r>
        <w:rPr>
          <w:rFonts w:hint="eastAsia" w:hAnsi="黑体"/>
          <w:b/>
          <w:sz w:val="32"/>
          <w:szCs w:val="32"/>
        </w:rPr>
        <w:t>二、收入决算情况说明</w:t>
      </w:r>
    </w:p>
    <w:p>
      <w:pPr>
        <w:snapToGrid w:val="0"/>
        <w:spacing w:line="52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2021年度本年收入</w:t>
      </w:r>
      <w:r>
        <w:rPr>
          <w:rFonts w:hint="eastAsia" w:asciiTheme="minorEastAsia" w:hAnsiTheme="minorEastAsia"/>
          <w:sz w:val="32"/>
          <w:szCs w:val="32"/>
          <w:lang w:val="en-US" w:eastAsia="zh-CN"/>
        </w:rPr>
        <w:t>1713.61</w:t>
      </w:r>
      <w:r>
        <w:rPr>
          <w:rFonts w:hint="eastAsia" w:asciiTheme="minorEastAsia" w:hAnsiTheme="minorEastAsia" w:eastAsiaTheme="minorEastAsia"/>
          <w:sz w:val="32"/>
          <w:szCs w:val="32"/>
          <w:lang w:val="en-US" w:eastAsia="zh-CN"/>
        </w:rPr>
        <w:t>万</w:t>
      </w:r>
      <w:r>
        <w:rPr>
          <w:rFonts w:hint="eastAsia" w:asciiTheme="minorEastAsia" w:hAnsiTheme="minorEastAsia" w:eastAsiaTheme="minorEastAsia"/>
          <w:sz w:val="32"/>
          <w:szCs w:val="32"/>
        </w:rPr>
        <w:t>元，财政拨款收入</w:t>
      </w:r>
      <w:r>
        <w:rPr>
          <w:rFonts w:hint="eastAsia" w:asciiTheme="minorEastAsia" w:hAnsiTheme="minorEastAsia"/>
          <w:sz w:val="32"/>
          <w:szCs w:val="32"/>
          <w:lang w:val="en-US" w:eastAsia="zh-CN"/>
        </w:rPr>
        <w:t>1292.28</w:t>
      </w:r>
      <w:r>
        <w:rPr>
          <w:rFonts w:hint="eastAsia" w:asciiTheme="minorEastAsia" w:hAnsiTheme="minorEastAsia" w:eastAsiaTheme="minorEastAsia"/>
          <w:sz w:val="32"/>
          <w:szCs w:val="32"/>
          <w:lang w:val="en-US" w:eastAsia="zh-CN"/>
        </w:rPr>
        <w:t>万元，占本来收入的</w:t>
      </w:r>
      <w:r>
        <w:rPr>
          <w:rFonts w:hint="eastAsia" w:asciiTheme="minorEastAsia" w:hAnsiTheme="minorEastAsia"/>
          <w:sz w:val="32"/>
          <w:szCs w:val="32"/>
          <w:lang w:val="en-US" w:eastAsia="zh-CN"/>
        </w:rPr>
        <w:t>75.41</w:t>
      </w:r>
      <w:r>
        <w:rPr>
          <w:rFonts w:hint="eastAsia" w:asciiTheme="minorEastAsia" w:hAnsiTheme="minorEastAsia" w:eastAsiaTheme="minorEastAsia"/>
          <w:sz w:val="32"/>
          <w:szCs w:val="32"/>
          <w:lang w:val="en-US" w:eastAsia="zh-CN"/>
        </w:rPr>
        <w:t>%，其他收入</w:t>
      </w:r>
      <w:r>
        <w:rPr>
          <w:rFonts w:hint="eastAsia" w:asciiTheme="minorEastAsia" w:hAnsiTheme="minorEastAsia"/>
          <w:sz w:val="32"/>
          <w:szCs w:val="32"/>
          <w:lang w:val="en-US" w:eastAsia="zh-CN"/>
        </w:rPr>
        <w:t>421.33</w:t>
      </w:r>
      <w:r>
        <w:rPr>
          <w:rFonts w:hint="eastAsia" w:asciiTheme="minorEastAsia" w:hAnsiTheme="minorEastAsia" w:eastAsiaTheme="minorEastAsia"/>
          <w:sz w:val="32"/>
          <w:szCs w:val="32"/>
          <w:lang w:val="en-US" w:eastAsia="zh-CN"/>
        </w:rPr>
        <w:t>万元，占总收入的</w:t>
      </w:r>
      <w:r>
        <w:rPr>
          <w:rFonts w:hint="eastAsia" w:asciiTheme="minorEastAsia" w:hAnsiTheme="minorEastAsia"/>
          <w:sz w:val="32"/>
          <w:szCs w:val="32"/>
          <w:lang w:val="en-US" w:eastAsia="zh-CN"/>
        </w:rPr>
        <w:t>24.59</w:t>
      </w:r>
      <w:r>
        <w:rPr>
          <w:rFonts w:hint="eastAsia" w:asciiTheme="minorEastAsia" w:hAnsiTheme="minorEastAsia" w:eastAsiaTheme="minorEastAsia"/>
          <w:sz w:val="32"/>
          <w:szCs w:val="32"/>
          <w:lang w:val="en-US" w:eastAsia="zh-CN"/>
        </w:rPr>
        <w:t>%。</w:t>
      </w:r>
    </w:p>
    <w:p>
      <w:pPr>
        <w:pStyle w:val="10"/>
        <w:rPr>
          <w:rFonts w:hAnsi="黑体"/>
          <w:b/>
          <w:sz w:val="32"/>
          <w:szCs w:val="32"/>
        </w:rPr>
      </w:pPr>
      <w:r>
        <w:rPr>
          <w:rFonts w:hint="eastAsia" w:hAnsi="黑体"/>
          <w:b/>
          <w:sz w:val="32"/>
          <w:szCs w:val="32"/>
        </w:rPr>
        <w:t>三、支出决算情况说明</w:t>
      </w:r>
    </w:p>
    <w:p>
      <w:pPr>
        <w:snapToGrid w:val="0"/>
        <w:spacing w:line="520" w:lineRule="exact"/>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2021年度本年支出</w:t>
      </w:r>
      <w:r>
        <w:rPr>
          <w:rFonts w:hint="eastAsia" w:asciiTheme="minorEastAsia" w:hAnsiTheme="minorEastAsia" w:eastAsiaTheme="minorEastAsia"/>
          <w:sz w:val="32"/>
          <w:szCs w:val="32"/>
          <w:lang w:val="en-US" w:eastAsia="zh-CN"/>
        </w:rPr>
        <w:t>1712.29万</w:t>
      </w:r>
      <w:r>
        <w:rPr>
          <w:rFonts w:hint="eastAsia" w:asciiTheme="minorEastAsia" w:hAnsiTheme="minorEastAsia" w:eastAsiaTheme="minorEastAsia"/>
          <w:sz w:val="32"/>
          <w:szCs w:val="32"/>
        </w:rPr>
        <w:t>元，</w:t>
      </w:r>
      <w:r>
        <w:rPr>
          <w:rFonts w:hint="eastAsia" w:asciiTheme="minorEastAsia" w:hAnsiTheme="minorEastAsia" w:eastAsiaTheme="minorEastAsia"/>
          <w:color w:val="auto"/>
          <w:sz w:val="32"/>
          <w:szCs w:val="32"/>
          <w:lang w:val="en-US" w:eastAsia="zh-CN"/>
        </w:rPr>
        <w:t>其中:</w:t>
      </w:r>
      <w:r>
        <w:rPr>
          <w:rFonts w:hint="eastAsia" w:asciiTheme="minorEastAsia" w:hAnsiTheme="minorEastAsia"/>
          <w:color w:val="auto"/>
          <w:sz w:val="32"/>
          <w:szCs w:val="32"/>
          <w:lang w:val="en-US" w:eastAsia="zh-CN"/>
        </w:rPr>
        <w:t>基本</w:t>
      </w:r>
      <w:r>
        <w:rPr>
          <w:rFonts w:hint="eastAsia" w:asciiTheme="minorEastAsia" w:hAnsiTheme="minorEastAsia" w:eastAsiaTheme="minorEastAsia"/>
          <w:color w:val="auto"/>
          <w:sz w:val="32"/>
          <w:szCs w:val="32"/>
        </w:rPr>
        <w:t>支出</w:t>
      </w:r>
      <w:r>
        <w:rPr>
          <w:rFonts w:hint="eastAsia" w:asciiTheme="minorEastAsia" w:hAnsiTheme="minorEastAsia"/>
          <w:color w:val="auto"/>
          <w:sz w:val="32"/>
          <w:szCs w:val="32"/>
          <w:lang w:val="en-US" w:eastAsia="zh-CN"/>
        </w:rPr>
        <w:t>1712.29</w:t>
      </w:r>
      <w:r>
        <w:rPr>
          <w:rFonts w:hint="eastAsia" w:asciiTheme="minorEastAsia" w:hAnsiTheme="minorEastAsia" w:eastAsiaTheme="minorEastAsia"/>
          <w:color w:val="auto"/>
          <w:sz w:val="32"/>
          <w:szCs w:val="32"/>
          <w:lang w:val="en-US" w:eastAsia="zh-CN"/>
        </w:rPr>
        <w:t>万</w:t>
      </w:r>
      <w:r>
        <w:rPr>
          <w:rFonts w:hint="eastAsia" w:asciiTheme="minorEastAsia" w:hAnsiTheme="minorEastAsia" w:eastAsiaTheme="minorEastAsia"/>
          <w:color w:val="auto"/>
          <w:sz w:val="32"/>
          <w:szCs w:val="32"/>
        </w:rPr>
        <w:t>元，占本年支出</w:t>
      </w:r>
      <w:r>
        <w:rPr>
          <w:rFonts w:hint="eastAsia" w:asciiTheme="minorEastAsia" w:hAnsi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color w:val="auto"/>
          <w:sz w:val="32"/>
          <w:szCs w:val="32"/>
          <w:lang w:eastAsia="zh-CN"/>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color w:val="auto"/>
          <w:sz w:val="32"/>
          <w:szCs w:val="32"/>
          <w:lang w:val="en-US" w:eastAsia="zh-CN"/>
        </w:rPr>
        <w:t>2584.56</w:t>
      </w:r>
      <w:r>
        <w:rPr>
          <w:rFonts w:hint="eastAsia" w:asciiTheme="minorEastAsia" w:hAnsiTheme="minorEastAsia" w:eastAsiaTheme="minorEastAsia"/>
          <w:color w:val="auto"/>
          <w:sz w:val="32"/>
          <w:szCs w:val="32"/>
        </w:rPr>
        <w:t>万元，与上年相比，</w:t>
      </w:r>
      <w:r>
        <w:rPr>
          <w:rFonts w:hint="eastAsia" w:asciiTheme="minorEastAsia" w:hAnsiTheme="minorEastAsia" w:eastAsiaTheme="minorEastAsia"/>
          <w:color w:val="auto"/>
          <w:sz w:val="32"/>
          <w:szCs w:val="32"/>
          <w:lang w:val="en-US" w:eastAsia="zh-CN"/>
        </w:rPr>
        <w:t>减少766.5</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val="en-US" w:eastAsia="zh-CN"/>
        </w:rPr>
        <w:t>减少29.66</w:t>
      </w:r>
      <w:r>
        <w:rPr>
          <w:rFonts w:hint="eastAsia" w:asciiTheme="minorEastAsia" w:hAnsiTheme="minorEastAsia" w:eastAsiaTheme="minorEastAsia"/>
          <w:color w:val="auto"/>
          <w:sz w:val="32"/>
          <w:szCs w:val="32"/>
        </w:rPr>
        <w:t>%，主要是因为</w:t>
      </w:r>
      <w:r>
        <w:rPr>
          <w:rFonts w:hint="eastAsia" w:asciiTheme="minorEastAsia" w:hAnsiTheme="minorEastAsia" w:eastAsiaTheme="minorEastAsia"/>
          <w:color w:val="auto"/>
          <w:sz w:val="32"/>
          <w:szCs w:val="32"/>
          <w:lang w:val="en-US" w:eastAsia="zh-CN"/>
        </w:rPr>
        <w:t>本年度公用经费等费用减少。</w:t>
      </w:r>
    </w:p>
    <w:p>
      <w:pPr>
        <w:pStyle w:val="10"/>
        <w:ind w:firstLine="64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1292.28</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color w:val="auto"/>
          <w:sz w:val="32"/>
          <w:szCs w:val="32"/>
          <w:lang w:val="en-US" w:eastAsia="zh-CN"/>
        </w:rPr>
        <w:t>75.47</w:t>
      </w:r>
      <w:r>
        <w:rPr>
          <w:rFonts w:hint="eastAsia" w:asciiTheme="minorEastAsia" w:hAnsiTheme="minorEastAsia" w:eastAsiaTheme="minorEastAsia"/>
          <w:color w:val="auto"/>
          <w:sz w:val="32"/>
          <w:szCs w:val="32"/>
        </w:rPr>
        <w:t>%</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300.62</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23.26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本年度公用经费减少，年度费用支出暂未支付。</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1292.28</w:t>
      </w:r>
      <w:r>
        <w:rPr>
          <w:rFonts w:hint="eastAsia" w:asciiTheme="minorEastAsia" w:hAnsiTheme="minorEastAsia" w:eastAsiaTheme="minorEastAsia"/>
          <w:sz w:val="32"/>
          <w:szCs w:val="32"/>
        </w:rPr>
        <w:t>万元，主要用于以下方面：教育（类）支出</w:t>
      </w:r>
      <w:r>
        <w:rPr>
          <w:rFonts w:hint="eastAsia" w:asciiTheme="minorEastAsia" w:hAnsiTheme="minorEastAsia" w:eastAsiaTheme="minorEastAsia"/>
          <w:sz w:val="32"/>
          <w:szCs w:val="32"/>
          <w:lang w:val="en-US" w:eastAsia="zh-CN"/>
        </w:rPr>
        <w:t>1292.28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color w:val="auto"/>
          <w:sz w:val="32"/>
          <w:szCs w:val="32"/>
          <w:lang w:val="en-US" w:eastAsia="zh-CN"/>
        </w:rPr>
        <w:t>1305.02</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1292.28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color w:val="auto"/>
          <w:sz w:val="32"/>
          <w:szCs w:val="32"/>
          <w:lang w:val="en-US" w:eastAsia="zh-CN"/>
        </w:rPr>
        <w:t>99.02</w:t>
      </w:r>
      <w:r>
        <w:rPr>
          <w:rFonts w:hint="eastAsia" w:asciiTheme="minorEastAsia" w:hAnsiTheme="minorEastAsia" w:eastAsiaTheme="minorEastAsia"/>
          <w:color w:val="auto"/>
          <w:sz w:val="32"/>
          <w:szCs w:val="32"/>
        </w:rPr>
        <w:t>%，其中</w:t>
      </w:r>
      <w:r>
        <w:rPr>
          <w:rFonts w:hint="eastAsia" w:asciiTheme="minorEastAsia" w:hAnsiTheme="minorEastAsia" w:eastAsiaTheme="minorEastAsia"/>
          <w:sz w:val="32"/>
          <w:szCs w:val="32"/>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1、</w:t>
      </w:r>
      <w:r>
        <w:rPr>
          <w:rFonts w:hint="eastAsia" w:asciiTheme="minorEastAsia" w:hAnsiTheme="minorEastAsia" w:eastAsiaTheme="minorEastAsia"/>
          <w:color w:val="auto"/>
          <w:sz w:val="32"/>
          <w:szCs w:val="32"/>
          <w:lang w:val="en-US" w:eastAsia="zh-CN"/>
        </w:rPr>
        <w:t>教育支出（类）普通教育（款）小学教育（项）</w:t>
      </w:r>
      <w:r>
        <w:rPr>
          <w:rFonts w:hint="eastAsia" w:asciiTheme="minorEastAsia" w:hAnsiTheme="minorEastAsia" w:eastAsiaTheme="minorEastAsia"/>
          <w:color w:val="auto"/>
          <w:sz w:val="32"/>
          <w:szCs w:val="32"/>
        </w:rPr>
        <w:t>。</w:t>
      </w:r>
    </w:p>
    <w:p>
      <w:pPr>
        <w:pStyle w:val="10"/>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1305.02</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730.23</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55.96</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本年度年底公用经费等费用暂未支付。</w:t>
      </w:r>
    </w:p>
    <w:p>
      <w:pPr>
        <w:pStyle w:val="10"/>
        <w:numPr>
          <w:ilvl w:val="0"/>
          <w:numId w:val="1"/>
        </w:numPr>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教育支出（类）普通教育（款）初中教育（项）</w:t>
      </w:r>
      <w:r>
        <w:rPr>
          <w:rFonts w:hint="eastAsia" w:asciiTheme="minorEastAsia" w:hAnsiTheme="minorEastAsia" w:eastAsiaTheme="minorEastAsia"/>
          <w:color w:val="auto"/>
          <w:sz w:val="32"/>
          <w:szCs w:val="32"/>
        </w:rPr>
        <w:t>。</w:t>
      </w:r>
    </w:p>
    <w:p>
      <w:pPr>
        <w:pStyle w:val="10"/>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322.32</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大</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本年度公用经费增加。</w:t>
      </w:r>
    </w:p>
    <w:p>
      <w:pPr>
        <w:pStyle w:val="10"/>
        <w:numPr>
          <w:ilvl w:val="0"/>
          <w:numId w:val="1"/>
        </w:numPr>
        <w:ind w:firstLine="800" w:firstLineChars="250"/>
        <w:rPr>
          <w:rFonts w:hint="eastAsia"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教育支出（类）普通教育（款）学前教育（项）</w:t>
      </w:r>
      <w:r>
        <w:rPr>
          <w:rFonts w:hint="eastAsia" w:asciiTheme="minorEastAsia" w:hAnsiTheme="minorEastAsia" w:eastAsiaTheme="minorEastAsia"/>
          <w:color w:val="auto"/>
          <w:sz w:val="32"/>
          <w:szCs w:val="32"/>
        </w:rPr>
        <w:t>。</w:t>
      </w:r>
    </w:p>
    <w:p>
      <w:pPr>
        <w:pStyle w:val="10"/>
        <w:ind w:firstLine="800"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239.74</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val="en-US" w:eastAsia="zh-CN"/>
        </w:rPr>
        <w:t>大</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lang w:val="en-US" w:eastAsia="zh-CN"/>
        </w:rPr>
        <w:t>本年度幼儿园公用经费增加。</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i/>
          <w:color w:val="auto"/>
          <w:sz w:val="32"/>
          <w:szCs w:val="32"/>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1292.28</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1248.66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96.62</w:t>
      </w:r>
      <w:r>
        <w:rPr>
          <w:rFonts w:hint="eastAsia" w:asciiTheme="minorEastAsia" w:hAnsiTheme="minorEastAsia" w:eastAsiaTheme="minorEastAsia"/>
          <w:sz w:val="32"/>
          <w:szCs w:val="32"/>
        </w:rPr>
        <w:t>%,主要包括</w:t>
      </w:r>
      <w:r>
        <w:rPr>
          <w:rFonts w:hint="eastAsia" w:asciiTheme="minorEastAsia" w:hAnsiTheme="minorEastAsia" w:eastAsiaTheme="minorEastAsia"/>
          <w:color w:val="auto"/>
          <w:sz w:val="32"/>
          <w:szCs w:val="32"/>
          <w:lang w:eastAsia="zh-CN"/>
        </w:rPr>
        <w:t>基本工资、津贴补贴、奖金、伙食补助费、绩效工资、机关事业单位基本养老保险缴费、职业年金缴费、职工基本医疗保险缴费、他社会保障缴费、住房公积金、其他工资福利支出</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43.62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3.387</w:t>
      </w:r>
      <w:r>
        <w:rPr>
          <w:rFonts w:hint="eastAsia" w:asciiTheme="minorEastAsia" w:hAnsiTheme="minorEastAsia" w:eastAsiaTheme="minorEastAsia"/>
          <w:sz w:val="32"/>
          <w:szCs w:val="32"/>
        </w:rPr>
        <w:t>%，主要包括</w:t>
      </w:r>
      <w:r>
        <w:rPr>
          <w:rFonts w:hint="eastAsia" w:asciiTheme="minorEastAsia" w:hAnsiTheme="minorEastAsia" w:eastAsiaTheme="minorEastAsia"/>
          <w:color w:val="auto"/>
          <w:sz w:val="32"/>
          <w:szCs w:val="32"/>
        </w:rPr>
        <w:t>办公费</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其他交通费用</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其他商品和服务支出</w:t>
      </w:r>
      <w:r>
        <w:rPr>
          <w:rFonts w:hint="eastAsia" w:asciiTheme="minorEastAsia" w:hAnsiTheme="minorEastAsia" w:eastAsiaTheme="minorEastAsia"/>
          <w:color w:val="auto"/>
          <w:sz w:val="32"/>
          <w:szCs w:val="32"/>
          <w:lang w:val="en-US" w:eastAsia="zh-CN"/>
        </w:rPr>
        <w:t>等</w:t>
      </w:r>
      <w:r>
        <w:rPr>
          <w:rFonts w:hint="eastAsia" w:asciiTheme="minorEastAsia" w:hAnsiTheme="minorEastAsia" w:eastAsiaTheme="minorEastAsia"/>
          <w:color w:val="auto"/>
          <w:sz w:val="32"/>
          <w:szCs w:val="32"/>
        </w:rPr>
        <w:t>。</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“三公”经费财政拨款支出预算为0万元，支出决算为0万元，完成预算的0%，其中：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公务接待费支出预算为0万元，支出决算为0万元，完成预算的0%</w:t>
      </w:r>
      <w:r>
        <w:rPr>
          <w:rFonts w:hint="eastAsia" w:asciiTheme="minorEastAsia" w:hAnsiTheme="minorEastAsia" w:eastAsiaTheme="minorEastAsia"/>
          <w:sz w:val="32"/>
          <w:szCs w:val="32"/>
          <w:lang w:eastAsia="zh-CN"/>
        </w:rPr>
        <w:t>。</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公务用车购置费及运行维护费支出预算为0万元，支出决算为0万元，完成预算的0%</w:t>
      </w:r>
      <w:r>
        <w:rPr>
          <w:rFonts w:hint="eastAsia" w:asciiTheme="minorEastAsia" w:hAnsiTheme="minorEastAsia" w:eastAsiaTheme="minorEastAsia"/>
          <w:sz w:val="32"/>
          <w:szCs w:val="32"/>
          <w:lang w:eastAsia="zh-CN"/>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%,因公出国（境）费支出决算0万元，占0%,公务用车购置费及运行维护费支出决算0万元，占0%。其中：</w:t>
      </w:r>
    </w:p>
    <w:p>
      <w:pPr>
        <w:pStyle w:val="10"/>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1、因公出国（境）费支出决算为0万元，全年安排因公出国（境）团组0个，累计0人次</w:t>
      </w:r>
      <w:r>
        <w:rPr>
          <w:rFonts w:hint="eastAsia" w:asciiTheme="minorEastAsia" w:hAnsiTheme="minorEastAsia" w:eastAsiaTheme="minorEastAsia"/>
          <w:sz w:val="32"/>
          <w:szCs w:val="32"/>
          <w:lang w:eastAsia="zh-CN"/>
        </w:rPr>
        <w:t>。</w:t>
      </w:r>
    </w:p>
    <w:p>
      <w:pPr>
        <w:pStyle w:val="10"/>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2、公务接待费支出决算为0万元，全年共接待来访团组0个、来宾0人次</w:t>
      </w:r>
      <w:r>
        <w:rPr>
          <w:rFonts w:hint="eastAsia" w:asciiTheme="minorEastAsia" w:hAnsiTheme="minorEastAsia" w:eastAsiaTheme="minorEastAsia"/>
          <w:sz w:val="32"/>
          <w:szCs w:val="32"/>
          <w:lang w:eastAsia="zh-CN"/>
        </w:rPr>
        <w:t>。</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3、公务用车购置费及运行维护费支出决算为0万元，公务用车运行维护费0万元</w:t>
      </w:r>
      <w:r>
        <w:rPr>
          <w:rFonts w:hint="eastAsia" w:asciiTheme="minorEastAsia" w:hAnsiTheme="minorEastAsia"/>
          <w:sz w:val="32"/>
          <w:szCs w:val="32"/>
          <w:lang w:eastAsia="zh-CN"/>
        </w:rPr>
        <w:t>。</w:t>
      </w:r>
    </w:p>
    <w:p>
      <w:pPr>
        <w:pStyle w:val="10"/>
        <w:rPr>
          <w:rFonts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i/>
          <w:color w:val="FF0000"/>
          <w:sz w:val="32"/>
          <w:szCs w:val="32"/>
          <w:lang w:eastAsia="zh-CN"/>
        </w:rPr>
      </w:pPr>
      <w:r>
        <w:rPr>
          <w:rFonts w:hint="eastAsia" w:asciiTheme="minorEastAsia" w:hAnsiTheme="minorEastAsia" w:eastAsiaTheme="minorEastAsia"/>
          <w:sz w:val="32"/>
          <w:szCs w:val="32"/>
        </w:rPr>
        <w:t xml:space="preserve">     2021</w:t>
      </w:r>
      <w:r>
        <w:rPr>
          <w:rFonts w:hint="eastAsia" w:asciiTheme="minorEastAsia" w:hAnsiTheme="minorEastAsia" w:eastAsiaTheme="minorEastAsia"/>
          <w:sz w:val="32"/>
          <w:szCs w:val="32"/>
          <w:lang w:val="en-US" w:eastAsia="zh-CN"/>
        </w:rPr>
        <w:t>年度本单位无政府性基金收支。</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43.62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比上年决算数减少</w:t>
      </w:r>
      <w:r>
        <w:rPr>
          <w:rFonts w:hint="eastAsia" w:asciiTheme="minorEastAsia" w:hAnsiTheme="minorEastAsia" w:eastAsiaTheme="minorEastAsia"/>
          <w:sz w:val="32"/>
          <w:szCs w:val="32"/>
          <w:lang w:val="en-US" w:eastAsia="zh-CN"/>
        </w:rPr>
        <w:t>268.61</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615.79</w:t>
      </w:r>
      <w:r>
        <w:rPr>
          <w:rFonts w:hint="eastAsia" w:asciiTheme="minorEastAsia" w:hAnsiTheme="minorEastAsia" w:eastAsiaTheme="minorEastAsia"/>
          <w:sz w:val="32"/>
          <w:szCs w:val="32"/>
        </w:rPr>
        <w:t>%。主要原因是：</w:t>
      </w:r>
      <w:r>
        <w:rPr>
          <w:rFonts w:hint="eastAsia" w:asciiTheme="minorEastAsia" w:hAnsiTheme="minorEastAsia" w:eastAsiaTheme="minorEastAsia"/>
          <w:color w:val="auto"/>
          <w:sz w:val="32"/>
          <w:szCs w:val="32"/>
          <w:lang w:val="en-US" w:eastAsia="zh-CN"/>
        </w:rPr>
        <w:t>本年度机关运行经费减少，年底公用经费暂未支付。</w:t>
      </w:r>
    </w:p>
    <w:p>
      <w:pPr>
        <w:pStyle w:val="10"/>
        <w:rPr>
          <w:rFonts w:hAnsi="黑体"/>
          <w:b/>
          <w:sz w:val="32"/>
          <w:szCs w:val="32"/>
        </w:rPr>
      </w:pPr>
      <w:r>
        <w:rPr>
          <w:rFonts w:hint="eastAsia" w:hAnsi="黑体"/>
          <w:b/>
          <w:sz w:val="32"/>
          <w:szCs w:val="32"/>
        </w:rPr>
        <w:t>十、一般性支出情况说明</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1.63</w:t>
      </w:r>
      <w:r>
        <w:rPr>
          <w:rFonts w:hint="eastAsia" w:asciiTheme="minorEastAsia" w:hAnsiTheme="minorEastAsia" w:eastAsiaTheme="minorEastAsia"/>
          <w:sz w:val="32"/>
          <w:szCs w:val="32"/>
        </w:rPr>
        <w:t>万元，</w:t>
      </w:r>
      <w:r>
        <w:rPr>
          <w:rFonts w:hint="eastAsia" w:cs="黑体" w:asciiTheme="minorEastAsia" w:hAnsiTheme="minorEastAsia"/>
          <w:color w:val="000000"/>
          <w:kern w:val="0"/>
          <w:sz w:val="32"/>
          <w:szCs w:val="32"/>
        </w:rPr>
        <w:t>用于开展教职工继续教育培训，人数</w:t>
      </w:r>
      <w:r>
        <w:rPr>
          <w:rFonts w:hint="eastAsia" w:cs="黑体" w:asciiTheme="minorEastAsia" w:hAnsiTheme="minorEastAsia"/>
          <w:color w:val="000000"/>
          <w:kern w:val="0"/>
          <w:sz w:val="32"/>
          <w:szCs w:val="32"/>
          <w:lang w:val="en-US" w:eastAsia="zh-CN"/>
        </w:rPr>
        <w:t>10</w:t>
      </w:r>
      <w:r>
        <w:rPr>
          <w:rFonts w:hint="eastAsia" w:cs="黑体" w:asciiTheme="minorEastAsia" w:hAnsiTheme="minorEastAsia"/>
          <w:color w:val="000000"/>
          <w:kern w:val="0"/>
          <w:sz w:val="32"/>
          <w:szCs w:val="32"/>
        </w:rPr>
        <w:t>人，内容为：学校校本培训，学科培训，教师提高培训等。</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万元，占授予中小企业合同金额的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%；货物采购授予中小企业合同金额占货物支出金额的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%，工程采购授予中小企业合同金额占工程支出金额的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%，服务采购授予中小企业合同金额占服务支出金额的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0"/>
        <w:rPr>
          <w:rFonts w:hAnsi="黑体"/>
          <w:b/>
          <w:sz w:val="32"/>
          <w:szCs w:val="32"/>
        </w:rPr>
      </w:pPr>
      <w:r>
        <w:rPr>
          <w:rFonts w:hint="eastAsia" w:hAnsi="黑体"/>
          <w:b/>
          <w:sz w:val="32"/>
          <w:szCs w:val="32"/>
        </w:rPr>
        <w:t>十三、2021年度预算绩效情况说明</w:t>
      </w:r>
    </w:p>
    <w:p>
      <w:pPr>
        <w:numPr>
          <w:ilvl w:val="0"/>
          <w:numId w:val="2"/>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b/>
          <w:color w:val="000000"/>
          <w:kern w:val="0"/>
          <w:sz w:val="32"/>
          <w:szCs w:val="32"/>
        </w:rPr>
        <w:t>绩效管理评价工作开展情况</w:t>
      </w:r>
      <w:r>
        <w:rPr>
          <w:rFonts w:hint="eastAsia" w:cs="黑体" w:asciiTheme="minorEastAsia" w:hAnsiTheme="minorEastAsia"/>
          <w:color w:val="000000"/>
          <w:kern w:val="0"/>
          <w:sz w:val="32"/>
          <w:szCs w:val="32"/>
        </w:rPr>
        <w:t>。</w:t>
      </w:r>
    </w:p>
    <w:p>
      <w:pPr>
        <w:numPr>
          <w:ilvl w:val="0"/>
          <w:numId w:val="0"/>
        </w:numPr>
        <w:autoSpaceDE w:val="0"/>
        <w:autoSpaceDN w:val="0"/>
        <w:adjustRightInd w:val="0"/>
        <w:ind w:firstLine="640" w:firstLineChars="200"/>
        <w:jc w:val="left"/>
        <w:rPr>
          <w:rFonts w:hint="eastAsia" w:cs="黑体" w:asciiTheme="minorEastAsia" w:hAnsiTheme="minorEastAsia"/>
          <w:color w:val="000000"/>
          <w:kern w:val="0"/>
          <w:sz w:val="32"/>
          <w:szCs w:val="32"/>
        </w:rPr>
      </w:pPr>
      <w:r>
        <w:rPr>
          <w:rFonts w:hint="eastAsia" w:asciiTheme="minorEastAsia" w:hAnsiTheme="minorEastAsia" w:eastAsiaTheme="minorEastAsia" w:cstheme="minorEastAsia"/>
          <w:kern w:val="0"/>
          <w:sz w:val="32"/>
          <w:szCs w:val="32"/>
          <w:lang w:eastAsia="zh-CN"/>
        </w:rPr>
        <w:t>本单位为二级预算单位，无项目绩效</w:t>
      </w:r>
      <w:r>
        <w:rPr>
          <w:rFonts w:hint="eastAsia" w:asciiTheme="minorEastAsia" w:hAnsiTheme="minorEastAsia" w:cstheme="minorEastAsia"/>
          <w:kern w:val="0"/>
          <w:sz w:val="32"/>
          <w:szCs w:val="32"/>
          <w:lang w:eastAsia="zh-CN"/>
        </w:rPr>
        <w:t>。</w:t>
      </w: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center"/>
        <w:rPr>
          <w:rFonts w:hint="eastAsia"/>
          <w:sz w:val="72"/>
          <w:szCs w:val="72"/>
        </w:rPr>
      </w:pPr>
    </w:p>
    <w:p>
      <w:pPr>
        <w:pStyle w:val="10"/>
        <w:jc w:val="both"/>
        <w:rPr>
          <w:rFonts w:hint="eastAsia"/>
          <w:sz w:val="72"/>
          <w:szCs w:val="72"/>
        </w:rPr>
      </w:pPr>
    </w:p>
    <w:p>
      <w:pPr>
        <w:pStyle w:val="10"/>
        <w:jc w:val="center"/>
        <w:rPr>
          <w:rFonts w:hint="eastAsia"/>
          <w:sz w:val="72"/>
          <w:szCs w:val="72"/>
        </w:rPr>
      </w:pPr>
    </w:p>
    <w:p>
      <w:pPr>
        <w:pStyle w:val="10"/>
        <w:jc w:val="both"/>
        <w:rPr>
          <w:rFonts w:hint="eastAsia"/>
          <w:sz w:val="72"/>
          <w:szCs w:val="72"/>
        </w:rPr>
      </w:pPr>
    </w:p>
    <w:p>
      <w:pPr>
        <w:pStyle w:val="10"/>
        <w:jc w:val="center"/>
        <w:rPr>
          <w:rFonts w:hint="eastAsia"/>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60"/>
        <w:rPr>
          <w:rFonts w:eastAsia="宋体"/>
          <w:sz w:val="32"/>
          <w:szCs w:val="32"/>
        </w:rPr>
      </w:pPr>
      <w:r>
        <w:rPr>
          <w:rFonts w:hint="eastAsia" w:eastAsia="宋体"/>
          <w:sz w:val="32"/>
          <w:szCs w:val="32"/>
        </w:rPr>
        <w:t>一、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widowControl/>
        <w:spacing w:line="600" w:lineRule="exact"/>
        <w:ind w:firstLine="660"/>
        <w:rPr>
          <w:sz w:val="72"/>
          <w:szCs w:val="72"/>
        </w:rPr>
      </w:pPr>
      <w:r>
        <w:rPr>
          <w:rFonts w:hint="eastAsia" w:eastAsia="宋体"/>
          <w:sz w:val="32"/>
          <w:szCs w:val="32"/>
        </w:rPr>
        <w:t>二</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jc w:val="left"/>
        <w:rPr>
          <w:rFonts w:eastAsia="黑体" w:cs="黑体" w:asciiTheme="minorEastAsia" w:hAnsiTheme="minorEastAsia"/>
          <w:color w:val="000000"/>
          <w:kern w:val="0"/>
          <w:sz w:val="28"/>
          <w:szCs w:val="32"/>
        </w:rPr>
      </w:pPr>
      <w:r>
        <w:rPr>
          <w:rFonts w:hint="eastAsia" w:asciiTheme="minorEastAsia" w:hAnsiTheme="minorEastAsia"/>
          <w:sz w:val="28"/>
          <w:szCs w:val="32"/>
        </w:rPr>
        <w:t>（名词解释应包含本部门专有名词，如省财政厅应有对“财政事务”科目的解释）</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2863885-FB68-4039-9BA5-0071B89B751D}"/>
  </w:font>
  <w:font w:name="黑体">
    <w:panose1 w:val="02010609060101010101"/>
    <w:charset w:val="86"/>
    <w:family w:val="auto"/>
    <w:pitch w:val="default"/>
    <w:sig w:usb0="800002BF" w:usb1="38CF7CFA" w:usb2="00000016" w:usb3="00000000" w:csb0="00040001" w:csb1="00000000"/>
    <w:embedRegular r:id="rId2" w:fontKey="{7EE1C683-02FC-4EC0-B18C-30EFBE16097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4D26ABC0-E027-4786-B06F-5EE5965475CF}"/>
  </w:font>
  <w:font w:name="华文中宋">
    <w:altName w:val="宋体"/>
    <w:panose1 w:val="02010600040101010101"/>
    <w:charset w:val="86"/>
    <w:family w:val="auto"/>
    <w:pitch w:val="default"/>
    <w:sig w:usb0="00000000" w:usb1="00000000" w:usb2="00000000" w:usb3="00000000" w:csb0="0004009F" w:csb1="DFD70000"/>
    <w:embedRegular r:id="rId4" w:fontKey="{449FD29F-9828-48BE-9E27-5033A039738B}"/>
  </w:font>
  <w:font w:name="方正小标宋_GBK">
    <w:panose1 w:val="02000000000000000000"/>
    <w:charset w:val="86"/>
    <w:family w:val="script"/>
    <w:pitch w:val="default"/>
    <w:sig w:usb0="00000001" w:usb1="080E0000" w:usb2="00000000" w:usb3="00000000" w:csb0="00040000" w:csb1="00000000"/>
    <w:embedRegular r:id="rId5" w:fontKey="{33F2205D-2F08-488C-BD79-ACA0DDDFDBB8}"/>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25268F"/>
    <w:multiLevelType w:val="singleLevel"/>
    <w:tmpl w:val="BB25268F"/>
    <w:lvl w:ilvl="0" w:tentative="0">
      <w:start w:val="1"/>
      <w:numFmt w:val="decimal"/>
      <w:suff w:val="nothing"/>
      <w:lvlText w:val="（%1）"/>
      <w:lvlJc w:val="left"/>
    </w:lvl>
  </w:abstractNum>
  <w:abstractNum w:abstractNumId="1">
    <w:nsid w:val="CC1BC73C"/>
    <w:multiLevelType w:val="singleLevel"/>
    <w:tmpl w:val="CC1BC73C"/>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3360E6A"/>
    <w:rsid w:val="25AC0843"/>
    <w:rsid w:val="40447CA6"/>
    <w:rsid w:val="4787325F"/>
    <w:rsid w:val="52125EBD"/>
    <w:rsid w:val="65C41EF3"/>
    <w:rsid w:val="678D39F5"/>
    <w:rsid w:val="69BC6CFF"/>
    <w:rsid w:val="6ED5744D"/>
    <w:rsid w:val="773E30F1"/>
    <w:rsid w:val="7FDD3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5047</Words>
  <Characters>6205</Characters>
  <Lines>69</Lines>
  <Paragraphs>19</Paragraphs>
  <TotalTime>11</TotalTime>
  <ScaleCrop>false</ScaleCrop>
  <LinksUpToDate>false</LinksUpToDate>
  <CharactersWithSpaces>6999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2022-10-12T08:23:49Z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D211CFC67BA74D6E873FD544720ABD2E</vt:lpwstr>
  </property>
</Properties>
</file>