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hint="eastAsia"/>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2021年度</w:t>
      </w:r>
    </w:p>
    <w:p>
      <w:pPr>
        <w:pStyle w:val="10"/>
        <w:jc w:val="center"/>
        <w:rPr>
          <w:rFonts w:hint="eastAsia"/>
          <w:sz w:val="84"/>
          <w:szCs w:val="84"/>
          <w:lang w:val="en-US" w:eastAsia="zh-CN"/>
        </w:rPr>
      </w:pPr>
      <w:r>
        <w:rPr>
          <w:rFonts w:hint="eastAsia"/>
          <w:sz w:val="84"/>
          <w:szCs w:val="84"/>
          <w:lang w:val="en-US" w:eastAsia="zh-CN"/>
        </w:rPr>
        <w:t>湘乡市泉塘中心学校</w:t>
      </w:r>
    </w:p>
    <w:p>
      <w:pPr>
        <w:pStyle w:val="10"/>
        <w:jc w:val="center"/>
        <w:rPr>
          <w:sz w:val="84"/>
          <w:szCs w:val="84"/>
        </w:rPr>
      </w:pPr>
      <w:r>
        <w:rPr>
          <w:rFonts w:hint="eastAsia"/>
          <w:sz w:val="84"/>
          <w:szCs w:val="84"/>
        </w:rPr>
        <w:t>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32"/>
          <w:szCs w:val="32"/>
        </w:rPr>
      </w:pPr>
    </w:p>
    <w:p>
      <w:pPr>
        <w:pStyle w:val="10"/>
        <w:jc w:val="center"/>
        <w:rPr>
          <w:sz w:val="32"/>
          <w:szCs w:val="32"/>
        </w:rPr>
      </w:pPr>
    </w:p>
    <w:p>
      <w:pPr>
        <w:pStyle w:val="10"/>
        <w:spacing w:line="500" w:lineRule="exact"/>
        <w:jc w:val="both"/>
        <w:rPr>
          <w:b/>
          <w:sz w:val="36"/>
          <w:szCs w:val="28"/>
        </w:rPr>
      </w:pPr>
    </w:p>
    <w:p>
      <w:pPr>
        <w:pStyle w:val="10"/>
        <w:spacing w:line="500" w:lineRule="exact"/>
        <w:jc w:val="both"/>
        <w:rPr>
          <w:b/>
          <w:sz w:val="36"/>
          <w:szCs w:val="28"/>
        </w:rPr>
      </w:pPr>
    </w:p>
    <w:p>
      <w:pPr>
        <w:pStyle w:val="10"/>
        <w:spacing w:line="500" w:lineRule="exact"/>
        <w:jc w:val="both"/>
        <w:rPr>
          <w:b/>
          <w:sz w:val="36"/>
          <w:szCs w:val="28"/>
        </w:rPr>
      </w:pPr>
    </w:p>
    <w:p>
      <w:pPr>
        <w:pStyle w:val="10"/>
        <w:spacing w:line="500" w:lineRule="exact"/>
        <w:jc w:val="both"/>
        <w:rPr>
          <w:b/>
          <w:sz w:val="36"/>
          <w:szCs w:val="28"/>
        </w:rPr>
      </w:pPr>
    </w:p>
    <w:p>
      <w:pPr>
        <w:pStyle w:val="10"/>
        <w:spacing w:line="500" w:lineRule="exact"/>
        <w:jc w:val="center"/>
        <w:rPr>
          <w:b/>
          <w:sz w:val="36"/>
          <w:szCs w:val="28"/>
        </w:rPr>
      </w:pPr>
      <w:r>
        <w:rPr>
          <w:rFonts w:hint="eastAsia"/>
          <w:b/>
          <w:sz w:val="36"/>
          <w:szCs w:val="28"/>
        </w:rPr>
        <w:t>目录</w:t>
      </w:r>
    </w:p>
    <w:p>
      <w:pPr>
        <w:pStyle w:val="10"/>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val="en-US" w:eastAsia="zh-CN"/>
        </w:rPr>
        <w:t xml:space="preserve"> </w:t>
      </w:r>
      <w:r>
        <w:rPr>
          <w:rFonts w:hint="eastAsia"/>
          <w:b/>
          <w:sz w:val="28"/>
          <w:szCs w:val="28"/>
          <w:lang w:eastAsia="zh-CN"/>
        </w:rPr>
        <w:t>湘乡市泉塘中心学校</w:t>
      </w:r>
      <w:r>
        <w:rPr>
          <w:rFonts w:hint="eastAsia"/>
          <w:b/>
          <w:sz w:val="28"/>
          <w:szCs w:val="28"/>
        </w:rPr>
        <w:t>单位概况</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00" w:lineRule="exact"/>
        <w:rPr>
          <w:rFonts w:ascii="仿宋_GB2312" w:hAnsi="仿宋_GB2312" w:cs="仿宋_GB2312"/>
          <w:b/>
          <w:sz w:val="28"/>
          <w:szCs w:val="28"/>
        </w:rPr>
      </w:pPr>
      <w:r>
        <w:rPr>
          <w:rFonts w:hint="eastAsia" w:hAnsi="仿宋_GB2312"/>
          <w:b/>
          <w:sz w:val="28"/>
          <w:szCs w:val="28"/>
        </w:rPr>
        <w:t>第二部分</w:t>
      </w:r>
      <w:r>
        <w:rPr>
          <w:rFonts w:hint="eastAsia" w:hAnsi="仿宋_GB2312"/>
          <w:b/>
          <w:sz w:val="28"/>
          <w:szCs w:val="28"/>
          <w:lang w:val="en-US" w:eastAsia="zh-CN"/>
        </w:rPr>
        <w:t xml:space="preserve"> </w:t>
      </w:r>
      <w:r>
        <w:rPr>
          <w:rFonts w:hAnsi="仿宋_GB2312"/>
          <w:b/>
          <w:sz w:val="28"/>
          <w:szCs w:val="28"/>
        </w:rPr>
        <w:t>20</w:t>
      </w:r>
      <w:r>
        <w:rPr>
          <w:rFonts w:hint="eastAsia" w:hAnsi="仿宋_GB2312"/>
          <w:b/>
          <w:sz w:val="28"/>
          <w:szCs w:val="28"/>
        </w:rPr>
        <w:t>21年度部门决算表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0"/>
        <w:spacing w:line="500" w:lineRule="exact"/>
        <w:rPr>
          <w:rFonts w:ascii="仿宋_GB2312" w:hAnsi="仿宋_GB2312" w:cs="仿宋_GB2312"/>
          <w:b/>
          <w:sz w:val="28"/>
          <w:szCs w:val="28"/>
        </w:rPr>
      </w:pPr>
      <w:r>
        <w:rPr>
          <w:rFonts w:hint="eastAsia" w:hAnsi="仿宋_GB2312"/>
          <w:b/>
          <w:sz w:val="28"/>
          <w:szCs w:val="28"/>
        </w:rPr>
        <w:t>第三部分</w:t>
      </w:r>
      <w:r>
        <w:rPr>
          <w:rFonts w:hint="eastAsia" w:hAnsi="仿宋_GB2312"/>
          <w:b/>
          <w:sz w:val="28"/>
          <w:szCs w:val="28"/>
          <w:lang w:val="en-US" w:eastAsia="zh-CN"/>
        </w:rPr>
        <w:t xml:space="preserve"> </w:t>
      </w:r>
      <w:r>
        <w:rPr>
          <w:rFonts w:hAnsi="仿宋_GB2312"/>
          <w:b/>
          <w:sz w:val="28"/>
          <w:szCs w:val="28"/>
        </w:rPr>
        <w:t>20</w:t>
      </w:r>
      <w:r>
        <w:rPr>
          <w:rFonts w:hint="eastAsia" w:hAnsi="仿宋_GB2312"/>
          <w:b/>
          <w:sz w:val="28"/>
          <w:szCs w:val="28"/>
        </w:rPr>
        <w:t>21年度部门决算情况说明</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w:t>
      </w:r>
      <w:r>
        <w:rPr>
          <w:rFonts w:hint="eastAsia" w:ascii="黑体" w:hAnsi="黑体" w:eastAsia="黑体" w:cs="黑体"/>
          <w:b/>
          <w:color w:val="000000"/>
          <w:kern w:val="0"/>
          <w:sz w:val="28"/>
          <w:szCs w:val="28"/>
          <w:lang w:val="en-US" w:eastAsia="zh-CN"/>
        </w:rPr>
        <w:t xml:space="preserve"> </w:t>
      </w:r>
      <w:r>
        <w:rPr>
          <w:rFonts w:ascii="黑体" w:hAnsi="黑体" w:eastAsia="黑体" w:cs="黑体"/>
          <w:b/>
          <w:color w:val="000000"/>
          <w:kern w:val="0"/>
          <w:sz w:val="28"/>
          <w:szCs w:val="28"/>
        </w:rPr>
        <w:t>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w:t>
      </w:r>
      <w:r>
        <w:rPr>
          <w:rFonts w:hint="eastAsia" w:ascii="黑体" w:hAnsi="黑体" w:eastAsia="黑体" w:cs="黑体"/>
          <w:b/>
          <w:color w:val="000000"/>
          <w:kern w:val="0"/>
          <w:sz w:val="28"/>
          <w:szCs w:val="28"/>
          <w:lang w:val="en-US" w:eastAsia="zh-CN"/>
        </w:rPr>
        <w:t xml:space="preserve"> </w:t>
      </w:r>
      <w:r>
        <w:rPr>
          <w:rFonts w:hint="eastAsia" w:ascii="黑体" w:hAnsi="黑体" w:eastAsia="黑体" w:cs="黑体"/>
          <w:b/>
          <w:color w:val="000000"/>
          <w:kern w:val="0"/>
          <w:sz w:val="28"/>
          <w:szCs w:val="28"/>
        </w:rPr>
        <w:t>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r>
        <w:rPr>
          <w:sz w:val="84"/>
          <w:szCs w:val="84"/>
        </w:rPr>
        <w:t xml:space="preserve"> </w:t>
      </w:r>
    </w:p>
    <w:p>
      <w:pPr>
        <w:pStyle w:val="10"/>
        <w:jc w:val="center"/>
        <w:rPr>
          <w:sz w:val="84"/>
          <w:szCs w:val="84"/>
        </w:rPr>
      </w:pPr>
    </w:p>
    <w:p>
      <w:pPr>
        <w:pStyle w:val="10"/>
        <w:jc w:val="center"/>
        <w:rPr>
          <w:rFonts w:hint="eastAsia" w:eastAsia="黑体"/>
          <w:sz w:val="84"/>
          <w:szCs w:val="84"/>
          <w:lang w:eastAsia="zh-CN"/>
        </w:rPr>
      </w:pPr>
      <w:r>
        <w:rPr>
          <w:rFonts w:hint="eastAsia"/>
          <w:sz w:val="84"/>
          <w:szCs w:val="84"/>
          <w:lang w:eastAsia="zh-CN"/>
        </w:rPr>
        <w:t>湘乡市泉塘中心学校</w:t>
      </w:r>
    </w:p>
    <w:p>
      <w:pPr>
        <w:pStyle w:val="10"/>
        <w:jc w:val="center"/>
        <w:rPr>
          <w:sz w:val="84"/>
          <w:szCs w:val="84"/>
        </w:rPr>
      </w:pP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0" w:leftChars="0" w:firstLine="0" w:firstLineChars="0"/>
        <w:jc w:val="left"/>
        <w:rPr>
          <w:rFonts w:ascii="黑体" w:hAnsi="黑体" w:eastAsia="黑体"/>
          <w:sz w:val="32"/>
          <w:szCs w:val="32"/>
        </w:rPr>
      </w:pPr>
    </w:p>
    <w:p>
      <w:pPr>
        <w:pStyle w:val="11"/>
        <w:numPr>
          <w:ilvl w:val="0"/>
          <w:numId w:val="0"/>
        </w:numPr>
        <w:ind w:leftChars="0"/>
        <w:jc w:val="left"/>
        <w:rPr>
          <w:rFonts w:ascii="黑体" w:hAnsi="黑体" w:eastAsia="黑体"/>
          <w:sz w:val="32"/>
          <w:szCs w:val="32"/>
        </w:rPr>
      </w:pPr>
    </w:p>
    <w:p>
      <w:pPr>
        <w:pStyle w:val="11"/>
        <w:numPr>
          <w:ilvl w:val="0"/>
          <w:numId w:val="0"/>
        </w:numPr>
        <w:ind w:leftChars="0"/>
        <w:jc w:val="left"/>
        <w:rPr>
          <w:rFonts w:ascii="黑体" w:hAnsi="黑体" w:eastAsia="黑体"/>
          <w:sz w:val="32"/>
          <w:szCs w:val="32"/>
        </w:rPr>
      </w:pPr>
    </w:p>
    <w:p>
      <w:pPr>
        <w:pStyle w:val="11"/>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widowControl/>
        <w:spacing w:line="600" w:lineRule="exact"/>
        <w:ind w:firstLine="640" w:firstLineChars="200"/>
        <w:rPr>
          <w:rFonts w:hint="eastAsia" w:asciiTheme="minorEastAsia" w:hAnsiTheme="minorEastAsia"/>
          <w:sz w:val="32"/>
          <w:szCs w:val="32"/>
        </w:rPr>
      </w:pPr>
      <w:r>
        <w:rPr>
          <w:rFonts w:hint="eastAsia" w:asciiTheme="minorEastAsia" w:hAnsiTheme="minorEastAsia"/>
          <w:sz w:val="32"/>
          <w:szCs w:val="32"/>
        </w:rPr>
        <w:t>实施初中、小学义务教育，促进基础教育发展。主要从事以下活动：1、全面贯彻执行党的路线、方针、政策，依法行政，按教育法律法规办事；2、组织并指导德育工作，全面贯彻落实《教师法》、《未成年人保护法》、《教师道德规范细则》、《中小学教师职业道德规范》、《中小学生守则》，抓好学校校风、教风、学风建设；3、抓好学校教育教学常规管理，加强学校教育科研和教学研究管理，全面推进素质教育，不断提高教育教学质量；4、抓好中小学校体育卫生、美育、健康教育工作和安全稳定工作；5、指导学校加强组织建设、行风建设和勤政廉政建设；6、规范中小学校收费行为，落实义务教育经费保障机制，严格财经制度，严肃财经纪律，增收节支，不断改善办学条件；7、加快教育信息化建设步伐，抓好中小学教师继续教育和有关培训工作，努力建设一支思想好、作风正、业务精的教师队伍；8、切实做好上级各部门布置的各项中心工作。</w:t>
      </w:r>
    </w:p>
    <w:p>
      <w:pPr>
        <w:widowControl/>
        <w:spacing w:line="600" w:lineRule="exact"/>
        <w:ind w:firstLine="640" w:firstLineChars="200"/>
        <w:rPr>
          <w:rFonts w:hint="eastAsia" w:asciiTheme="minorEastAsia" w:hAnsiTheme="minorEastAsia"/>
          <w:sz w:val="32"/>
          <w:szCs w:val="32"/>
        </w:rPr>
      </w:pP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ind w:firstLine="640" w:firstLineChars="200"/>
        <w:rPr>
          <w:rFonts w:hint="eastAsia" w:asciiTheme="minorEastAsia" w:hAnsiTheme="minorEastAsia" w:eastAsiaTheme="minorEastAsia"/>
          <w:bCs/>
          <w:kern w:val="0"/>
          <w:sz w:val="32"/>
          <w:szCs w:val="32"/>
          <w:lang w:eastAsia="zh-CN"/>
        </w:rPr>
      </w:pPr>
      <w:r>
        <w:rPr>
          <w:rFonts w:hint="eastAsia" w:asciiTheme="minorEastAsia" w:hAnsiTheme="minorEastAsia"/>
          <w:bCs/>
          <w:kern w:val="0"/>
          <w:sz w:val="32"/>
          <w:szCs w:val="32"/>
        </w:rPr>
        <w:t>（一）内设机构设置</w:t>
      </w:r>
      <w:r>
        <w:rPr>
          <w:rFonts w:hint="eastAsia" w:asciiTheme="minorEastAsia" w:hAnsiTheme="minorEastAsia"/>
          <w:bCs/>
          <w:kern w:val="0"/>
          <w:sz w:val="32"/>
          <w:szCs w:val="32"/>
          <w:lang w:eastAsia="zh-CN"/>
        </w:rPr>
        <w:t>：</w:t>
      </w:r>
    </w:p>
    <w:p>
      <w:pPr>
        <w:widowControl/>
        <w:spacing w:line="600" w:lineRule="exact"/>
        <w:ind w:left="0" w:leftChars="0" w:firstLine="640" w:firstLineChars="200"/>
        <w:rPr>
          <w:rFonts w:hint="default" w:asciiTheme="minorEastAsia" w:hAnsiTheme="minorEastAsia" w:eastAsiaTheme="minorEastAsia"/>
          <w:bCs/>
          <w:kern w:val="0"/>
          <w:sz w:val="32"/>
          <w:szCs w:val="32"/>
          <w:lang w:val="en-US" w:eastAsia="zh-CN"/>
        </w:rPr>
      </w:pPr>
      <w:r>
        <w:rPr>
          <w:rFonts w:hint="eastAsia" w:ascii="仿宋" w:hAnsi="仿宋" w:eastAsia="仿宋"/>
          <w:sz w:val="32"/>
          <w:szCs w:val="32"/>
          <w:lang w:val="en-US" w:eastAsia="zh-CN"/>
        </w:rPr>
        <w:t>湘乡市泉塘中心学校学校内设机构包括：校长室、教导处、总务室、办公室。</w:t>
      </w:r>
    </w:p>
    <w:p>
      <w:pPr>
        <w:widowControl/>
        <w:numPr>
          <w:ilvl w:val="0"/>
          <w:numId w:val="0"/>
        </w:numPr>
        <w:spacing w:line="600" w:lineRule="exact"/>
        <w:ind w:firstLine="640" w:firstLineChars="200"/>
        <w:rPr>
          <w:rFonts w:hint="eastAsia" w:asciiTheme="minorEastAsia" w:hAnsiTheme="minorEastAsia" w:eastAsiaTheme="minorEastAsia"/>
          <w:bCs/>
          <w:kern w:val="0"/>
          <w:sz w:val="32"/>
          <w:szCs w:val="32"/>
          <w:lang w:eastAsia="zh-CN"/>
        </w:rPr>
      </w:pPr>
      <w:r>
        <w:rPr>
          <w:rFonts w:hint="eastAsia" w:asciiTheme="minorEastAsia" w:hAnsiTheme="minorEastAsia"/>
          <w:bCs/>
          <w:kern w:val="0"/>
          <w:sz w:val="32"/>
          <w:szCs w:val="32"/>
          <w:lang w:eastAsia="zh-CN"/>
        </w:rPr>
        <w:t>（</w:t>
      </w:r>
      <w:r>
        <w:rPr>
          <w:rFonts w:hint="eastAsia" w:asciiTheme="minorEastAsia" w:hAnsiTheme="minorEastAsia"/>
          <w:bCs/>
          <w:kern w:val="0"/>
          <w:sz w:val="32"/>
          <w:szCs w:val="32"/>
          <w:lang w:val="en-US" w:eastAsia="zh-CN"/>
        </w:rPr>
        <w:t>二</w:t>
      </w:r>
      <w:r>
        <w:rPr>
          <w:rFonts w:hint="eastAsia" w:asciiTheme="minorEastAsia" w:hAnsiTheme="minorEastAsia"/>
          <w:bCs/>
          <w:kern w:val="0"/>
          <w:sz w:val="32"/>
          <w:szCs w:val="32"/>
          <w:lang w:eastAsia="zh-CN"/>
        </w:rPr>
        <w:t>）</w:t>
      </w:r>
      <w:r>
        <w:rPr>
          <w:rFonts w:hint="eastAsia" w:asciiTheme="minorEastAsia" w:hAnsiTheme="minorEastAsia"/>
          <w:bCs/>
          <w:kern w:val="0"/>
          <w:sz w:val="32"/>
          <w:szCs w:val="32"/>
        </w:rPr>
        <w:t>决算单位构成</w:t>
      </w:r>
      <w:r>
        <w:rPr>
          <w:rFonts w:hint="eastAsia" w:asciiTheme="minorEastAsia" w:hAnsiTheme="minorEastAsia"/>
          <w:bCs/>
          <w:kern w:val="0"/>
          <w:sz w:val="32"/>
          <w:szCs w:val="32"/>
          <w:lang w:eastAsia="zh-CN"/>
        </w:rPr>
        <w:t>：</w:t>
      </w:r>
    </w:p>
    <w:p>
      <w:pPr>
        <w:widowControl/>
        <w:spacing w:line="600" w:lineRule="exact"/>
        <w:ind w:left="0" w:leftChars="0" w:firstLine="640" w:firstLineChars="200"/>
        <w:rPr>
          <w:rFonts w:hint="default" w:asciiTheme="minorEastAsia" w:hAnsiTheme="minorEastAsia" w:eastAsiaTheme="minorEastAsia"/>
          <w:bCs/>
          <w:kern w:val="0"/>
          <w:sz w:val="32"/>
          <w:szCs w:val="32"/>
          <w:lang w:val="en-US" w:eastAsia="zh-CN"/>
        </w:rPr>
      </w:pPr>
      <w:r>
        <w:rPr>
          <w:rFonts w:hint="eastAsia" w:ascii="仿宋" w:hAnsi="仿宋" w:eastAsia="仿宋"/>
          <w:sz w:val="32"/>
          <w:szCs w:val="32"/>
          <w:lang w:val="en-US" w:eastAsia="zh-CN"/>
        </w:rPr>
        <w:t>湘乡市泉塘中心学校2021年部门决算汇总公开单位构成包括：单位本级以及下辖九年制一贯制学校一所（泉塘中学），普通中学2所（湖山中学、双江中学），普通小学7所（泉塘中心小学、湖山完小、下湾学校、花吾学校、雄心学校、锦屏学校、新阳完小），公办幼儿园1所（泉塘中心幼儿园）。</w:t>
      </w:r>
    </w:p>
    <w:p>
      <w:pPr>
        <w:jc w:val="left"/>
        <w:rPr>
          <w:rFonts w:hint="eastAsia" w:ascii="仿宋_GB2312" w:eastAsia="仿宋_GB2312" w:hAnsiTheme="minorEastAsia"/>
          <w:sz w:val="28"/>
          <w:szCs w:val="32"/>
          <w:lang w:eastAsia="zh-CN"/>
        </w:rPr>
      </w:pPr>
      <w:r>
        <w:rPr>
          <w:rFonts w:hint="eastAsia" w:ascii="黑体" w:hAnsi="黑体" w:eastAsia="黑体"/>
          <w:bCs/>
          <w:kern w:val="0"/>
          <w:sz w:val="32"/>
          <w:szCs w:val="32"/>
          <w:lang w:val="en-US" w:eastAsia="zh-CN"/>
        </w:rPr>
        <w:t xml:space="preserve"> </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both"/>
        <w:rPr>
          <w:sz w:val="72"/>
          <w:szCs w:val="72"/>
        </w:rPr>
      </w:pPr>
    </w:p>
    <w:p>
      <w:pPr>
        <w:jc w:val="center"/>
        <w:rPr>
          <w:sz w:val="72"/>
          <w:szCs w:val="72"/>
        </w:rPr>
      </w:pPr>
    </w:p>
    <w:p>
      <w:pPr>
        <w:jc w:val="center"/>
        <w:rPr>
          <w:sz w:val="72"/>
          <w:szCs w:val="72"/>
        </w:rPr>
      </w:pPr>
    </w:p>
    <w:p>
      <w:pPr>
        <w:jc w:val="center"/>
        <w:rPr>
          <w:rFonts w:hint="eastAsia"/>
          <w:sz w:val="72"/>
          <w:szCs w:val="72"/>
        </w:rPr>
      </w:pPr>
    </w:p>
    <w:p>
      <w:pPr>
        <w:jc w:val="center"/>
        <w:rPr>
          <w:rFonts w:hint="eastAsia"/>
          <w:sz w:val="72"/>
          <w:szCs w:val="72"/>
        </w:rPr>
      </w:pPr>
    </w:p>
    <w:p>
      <w:pPr>
        <w:jc w:val="center"/>
        <w:rPr>
          <w:rFonts w:hint="eastAsia"/>
          <w:sz w:val="72"/>
          <w:szCs w:val="72"/>
        </w:rPr>
      </w:pPr>
    </w:p>
    <w:p>
      <w:pPr>
        <w:jc w:val="center"/>
        <w:rPr>
          <w:rFonts w:hint="eastAsia"/>
          <w:sz w:val="72"/>
          <w:szCs w:val="72"/>
        </w:rPr>
      </w:pPr>
    </w:p>
    <w:p>
      <w:pPr>
        <w:jc w:val="center"/>
        <w:rPr>
          <w:rFonts w:hint="eastAsia"/>
          <w:sz w:val="72"/>
          <w:szCs w:val="72"/>
        </w:rPr>
      </w:pPr>
    </w:p>
    <w:p>
      <w:pPr>
        <w:jc w:val="center"/>
        <w:rPr>
          <w:rFonts w:hint="eastAsia"/>
          <w:sz w:val="72"/>
          <w:szCs w:val="72"/>
        </w:rPr>
      </w:pPr>
    </w:p>
    <w:p>
      <w:pPr>
        <w:jc w:val="center"/>
        <w:rPr>
          <w:rFonts w:hint="eastAsia"/>
          <w:sz w:val="72"/>
          <w:szCs w:val="72"/>
        </w:rPr>
      </w:pPr>
    </w:p>
    <w:p>
      <w:pPr>
        <w:jc w:val="center"/>
        <w:rPr>
          <w:rFonts w:hint="eastAsia"/>
          <w:sz w:val="72"/>
          <w:szCs w:val="72"/>
        </w:rPr>
      </w:pPr>
    </w:p>
    <w:p>
      <w:pPr>
        <w:jc w:val="center"/>
        <w:rPr>
          <w:rFonts w:hint="eastAsia"/>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rFonts w:asciiTheme="minorEastAsia" w:hAnsiTheme="minorEastAsia"/>
          <w:sz w:val="32"/>
          <w:szCs w:val="32"/>
        </w:rPr>
        <w:sectPr>
          <w:pgSz w:w="11906" w:h="16838"/>
          <w:pgMar w:top="850" w:right="1587" w:bottom="465" w:left="1587" w:header="851" w:footer="992" w:gutter="0"/>
          <w:pgBorders>
            <w:top w:val="none" w:sz="0" w:space="0"/>
            <w:left w:val="none" w:sz="0" w:space="0"/>
            <w:bottom w:val="none" w:sz="0" w:space="0"/>
            <w:right w:val="none" w:sz="0" w:space="0"/>
          </w:pgBorders>
          <w:cols w:space="0" w:num="1"/>
          <w:rtlGutter w:val="0"/>
          <w:docGrid w:type="lines" w:linePitch="312" w:charSpace="0"/>
        </w:sectPr>
      </w:pPr>
    </w:p>
    <w:tbl>
      <w:tblPr>
        <w:tblStyle w:val="6"/>
        <w:tblW w:w="14081" w:type="dxa"/>
        <w:tblInd w:w="93"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97"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3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5773"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5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lang w:val="en-US" w:eastAsia="zh-CN"/>
              </w:rPr>
              <w:t>湘乡市泉塘中心</w:t>
            </w:r>
          </w:p>
        </w:tc>
        <w:tc>
          <w:tcPr>
            <w:tcW w:w="697"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3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5773"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5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szCs w:val="24"/>
                <w:lang w:eastAsia="zh-CN"/>
              </w:rPr>
            </w:pP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szCs w:val="24"/>
                <w:lang w:eastAsia="zh-CN"/>
              </w:rPr>
            </w:pP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2788.18</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3429.92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2"/>
                <w:lang w:val="en-US" w:eastAsia="zh-CN"/>
              </w:rPr>
              <w:t>八、社会保障和就业支出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105.13</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746.87</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lang w:eastAsia="zh-CN"/>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lang w:eastAsia="zh-CN"/>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3535.05</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3535.05</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3535.05</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b/>
                <w:bCs/>
                <w:kern w:val="0"/>
                <w:sz w:val="22"/>
                <w:lang w:val="en-US" w:eastAsia="zh-CN"/>
              </w:rPr>
            </w:pPr>
            <w:r>
              <w:rPr>
                <w:rFonts w:hint="eastAsia" w:ascii="宋体" w:hAnsi="宋体" w:eastAsia="宋体" w:cs="宋体"/>
                <w:b/>
                <w:bCs/>
                <w:kern w:val="0"/>
                <w:sz w:val="22"/>
                <w:lang w:val="en-US" w:eastAsia="zh-CN"/>
              </w:rPr>
              <w:t>3535.05</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注：1.本表反映部门本年度的总收支和年末结转结余情况。</w:t>
            </w:r>
          </w:p>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pgBorders>
            <w:top w:val="none" w:sz="0" w:space="0"/>
            <w:left w:val="none" w:sz="0" w:space="0"/>
            <w:bottom w:val="none" w:sz="0" w:space="0"/>
            <w:right w:val="none" w:sz="0" w:space="0"/>
          </w:pgBorders>
          <w:cols w:space="425" w:num="1"/>
          <w:docGrid w:type="linesAndChars" w:linePitch="312" w:charSpace="0"/>
        </w:sectPr>
      </w:pPr>
    </w:p>
    <w:tbl>
      <w:tblPr>
        <w:tblStyle w:val="6"/>
        <w:tblpPr w:leftFromText="180" w:rightFromText="180" w:vertAnchor="text" w:horzAnchor="page" w:tblpX="817" w:tblpY="295"/>
        <w:tblOverlap w:val="never"/>
        <w:tblW w:w="154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73"/>
        <w:gridCol w:w="240"/>
        <w:gridCol w:w="240"/>
        <w:gridCol w:w="2479"/>
        <w:gridCol w:w="2127"/>
        <w:gridCol w:w="1855"/>
        <w:gridCol w:w="1295"/>
        <w:gridCol w:w="1186"/>
        <w:gridCol w:w="1023"/>
        <w:gridCol w:w="1009"/>
        <w:gridCol w:w="22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trPr>
        <w:tc>
          <w:tcPr>
            <w:tcW w:w="15450" w:type="dxa"/>
            <w:gridSpan w:val="11"/>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收入决算表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8" w:hRule="atLeast"/>
        </w:trPr>
        <w:tc>
          <w:tcPr>
            <w:tcW w:w="1773" w:type="dxa"/>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24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4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479"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127"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85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29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8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23"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09"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223"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8" w:hRule="atLeast"/>
        </w:trPr>
        <w:tc>
          <w:tcPr>
            <w:tcW w:w="4732" w:type="dxa"/>
            <w:gridSpan w:val="4"/>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部门：湘乡市泉塘中心学校</w:t>
            </w:r>
          </w:p>
        </w:tc>
        <w:tc>
          <w:tcPr>
            <w:tcW w:w="2127"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85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29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8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23"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09"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223"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473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2127"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855"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1295"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1186"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1023"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1009"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2223"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5" w:hRule="atLeast"/>
        </w:trPr>
        <w:tc>
          <w:tcPr>
            <w:tcW w:w="2253" w:type="dxa"/>
            <w:gridSpan w:val="3"/>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2479" w:type="dxa"/>
            <w:vMerge w:val="restar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127"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5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9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86"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23"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09"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23"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5" w:hRule="atLeast"/>
        </w:trPr>
        <w:tc>
          <w:tcPr>
            <w:tcW w:w="2253"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479" w:type="dxa"/>
            <w:vMerge w:val="continue"/>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27"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5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9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86"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23"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09"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23"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5" w:hRule="atLeast"/>
        </w:trPr>
        <w:tc>
          <w:tcPr>
            <w:tcW w:w="2253"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479" w:type="dxa"/>
            <w:vMerge w:val="continue"/>
            <w:tcBorders>
              <w:top w:val="nil"/>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27"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5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9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86"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23"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09"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23"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4732" w:type="dxa"/>
            <w:gridSpan w:val="4"/>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12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8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9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8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2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0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223"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4732" w:type="dxa"/>
            <w:gridSpan w:val="4"/>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1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3,535.05</w:t>
            </w:r>
          </w:p>
        </w:tc>
        <w:tc>
          <w:tcPr>
            <w:tcW w:w="185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2,788.18</w:t>
            </w:r>
          </w:p>
        </w:tc>
        <w:tc>
          <w:tcPr>
            <w:tcW w:w="12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1023"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1009"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222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746.87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225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247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教育支出</w:t>
            </w:r>
          </w:p>
        </w:tc>
        <w:tc>
          <w:tcPr>
            <w:tcW w:w="21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3,429.92</w:t>
            </w:r>
          </w:p>
        </w:tc>
        <w:tc>
          <w:tcPr>
            <w:tcW w:w="185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2,788.18</w:t>
            </w:r>
          </w:p>
        </w:tc>
        <w:tc>
          <w:tcPr>
            <w:tcW w:w="12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23"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09"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22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641.74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225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20501</w:t>
            </w:r>
          </w:p>
        </w:tc>
        <w:tc>
          <w:tcPr>
            <w:tcW w:w="247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教育管理事务</w:t>
            </w:r>
          </w:p>
        </w:tc>
        <w:tc>
          <w:tcPr>
            <w:tcW w:w="21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29.80</w:t>
            </w:r>
          </w:p>
        </w:tc>
        <w:tc>
          <w:tcPr>
            <w:tcW w:w="185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23"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09"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22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225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2050101</w:t>
            </w:r>
          </w:p>
        </w:tc>
        <w:tc>
          <w:tcPr>
            <w:tcW w:w="247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21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29.80</w:t>
            </w:r>
          </w:p>
        </w:tc>
        <w:tc>
          <w:tcPr>
            <w:tcW w:w="185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23"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09"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22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225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w:t>
            </w:r>
          </w:p>
        </w:tc>
        <w:tc>
          <w:tcPr>
            <w:tcW w:w="247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普通教育</w:t>
            </w:r>
          </w:p>
        </w:tc>
        <w:tc>
          <w:tcPr>
            <w:tcW w:w="21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3,400.12</w:t>
            </w:r>
          </w:p>
        </w:tc>
        <w:tc>
          <w:tcPr>
            <w:tcW w:w="185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2,788.18</w:t>
            </w:r>
          </w:p>
        </w:tc>
        <w:tc>
          <w:tcPr>
            <w:tcW w:w="12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23"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09"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22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611.94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225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2050201</w:t>
            </w:r>
          </w:p>
        </w:tc>
        <w:tc>
          <w:tcPr>
            <w:tcW w:w="247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学前教育</w:t>
            </w:r>
          </w:p>
        </w:tc>
        <w:tc>
          <w:tcPr>
            <w:tcW w:w="21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209.34</w:t>
            </w:r>
          </w:p>
        </w:tc>
        <w:tc>
          <w:tcPr>
            <w:tcW w:w="185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209.34</w:t>
            </w:r>
          </w:p>
        </w:tc>
        <w:tc>
          <w:tcPr>
            <w:tcW w:w="12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23"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09"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223"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225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2050202</w:t>
            </w:r>
          </w:p>
        </w:tc>
        <w:tc>
          <w:tcPr>
            <w:tcW w:w="247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小学教育</w:t>
            </w:r>
          </w:p>
        </w:tc>
        <w:tc>
          <w:tcPr>
            <w:tcW w:w="21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1,944.50</w:t>
            </w:r>
          </w:p>
        </w:tc>
        <w:tc>
          <w:tcPr>
            <w:tcW w:w="185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1,451.18</w:t>
            </w:r>
          </w:p>
        </w:tc>
        <w:tc>
          <w:tcPr>
            <w:tcW w:w="12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23"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09"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22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493.33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225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2050203</w:t>
            </w:r>
          </w:p>
        </w:tc>
        <w:tc>
          <w:tcPr>
            <w:tcW w:w="247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初中教育</w:t>
            </w:r>
          </w:p>
        </w:tc>
        <w:tc>
          <w:tcPr>
            <w:tcW w:w="21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1,246.28</w:t>
            </w:r>
          </w:p>
        </w:tc>
        <w:tc>
          <w:tcPr>
            <w:tcW w:w="185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1,127.67</w:t>
            </w:r>
          </w:p>
        </w:tc>
        <w:tc>
          <w:tcPr>
            <w:tcW w:w="12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23"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09"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22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225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247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21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105.13</w:t>
            </w:r>
          </w:p>
        </w:tc>
        <w:tc>
          <w:tcPr>
            <w:tcW w:w="185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23"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09"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22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225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247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21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71.61</w:t>
            </w:r>
          </w:p>
        </w:tc>
        <w:tc>
          <w:tcPr>
            <w:tcW w:w="185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23"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09"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22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225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2080502</w:t>
            </w:r>
          </w:p>
        </w:tc>
        <w:tc>
          <w:tcPr>
            <w:tcW w:w="247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事业单位离退休</w:t>
            </w:r>
          </w:p>
        </w:tc>
        <w:tc>
          <w:tcPr>
            <w:tcW w:w="21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71.61</w:t>
            </w:r>
          </w:p>
        </w:tc>
        <w:tc>
          <w:tcPr>
            <w:tcW w:w="185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23"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09"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22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225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247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21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33.53</w:t>
            </w:r>
          </w:p>
        </w:tc>
        <w:tc>
          <w:tcPr>
            <w:tcW w:w="185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23"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09"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22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225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247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21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33.53</w:t>
            </w:r>
          </w:p>
        </w:tc>
        <w:tc>
          <w:tcPr>
            <w:tcW w:w="185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23"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09"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22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15450" w:type="dxa"/>
            <w:gridSpan w:val="11"/>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p>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6"/>
        <w:tblW w:w="157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616"/>
        <w:gridCol w:w="222"/>
        <w:gridCol w:w="222"/>
        <w:gridCol w:w="2416"/>
        <w:gridCol w:w="1800"/>
        <w:gridCol w:w="1800"/>
        <w:gridCol w:w="1800"/>
        <w:gridCol w:w="1540"/>
        <w:gridCol w:w="1505"/>
        <w:gridCol w:w="18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5720" w:type="dxa"/>
            <w:gridSpan w:val="10"/>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部门：湘乡市泉塘中心学校</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9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90"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90"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80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80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80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80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80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80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3,535.05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3,437.71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97.35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3,429.92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3,332.57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97.35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教育管理事务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29.80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29.80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2050101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29.80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29.80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普通教育</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3,400.12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3,302.77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97.35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学前教育</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209.34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209.34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小学教育</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1,944.50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1,944.50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初中教育</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1,246.28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1,148.93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97.35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105.13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105.13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71.61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71.61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事业单位离退休</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71.61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71.61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33.53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33.53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33.53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33.53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6"/>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078"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043"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widowControl/>
              <w:jc w:val="left"/>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val="en-US" w:eastAsia="zh-CN"/>
              </w:rPr>
              <w:t>湘乡市泉塘中心学校</w:t>
            </w:r>
          </w:p>
        </w:tc>
        <w:tc>
          <w:tcPr>
            <w:tcW w:w="43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078"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043"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lang w:eastAsia="zh-CN"/>
              </w:rPr>
            </w:pP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2788.18</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r>
              <w:rPr>
                <w:rFonts w:hint="eastAsia" w:ascii="宋体" w:hAnsi="宋体" w:eastAsia="宋体" w:cs="宋体"/>
                <w:kern w:val="0"/>
                <w:sz w:val="22"/>
                <w:lang w:val="en-US" w:eastAsia="zh-CN"/>
              </w:rPr>
              <w:t>2788.18</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r>
              <w:rPr>
                <w:rFonts w:hint="eastAsia" w:ascii="宋体" w:hAnsi="宋体" w:eastAsia="宋体" w:cs="宋体"/>
                <w:kern w:val="0"/>
                <w:sz w:val="22"/>
                <w:lang w:val="en-US" w:eastAsia="zh-CN"/>
              </w:rPr>
              <w:t>2788.18</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2788.18</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r>
              <w:rPr>
                <w:rFonts w:hint="eastAsia" w:ascii="宋体" w:hAnsi="宋体" w:eastAsia="宋体" w:cs="宋体"/>
                <w:kern w:val="0"/>
                <w:sz w:val="22"/>
                <w:lang w:val="en-US" w:eastAsia="zh-CN"/>
              </w:rPr>
              <w:t>2788.18</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r>
              <w:rPr>
                <w:rFonts w:hint="eastAsia" w:ascii="宋体" w:hAnsi="宋体" w:eastAsia="宋体" w:cs="宋体"/>
                <w:kern w:val="0"/>
                <w:sz w:val="22"/>
                <w:lang w:val="en-US" w:eastAsia="zh-CN"/>
              </w:rPr>
              <w:t>2788.18</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2788.18</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lang w:eastAsia="zh-CN"/>
              </w:rPr>
            </w:pPr>
            <w:r>
              <w:rPr>
                <w:rFonts w:hint="eastAsia" w:ascii="宋体" w:hAnsi="宋体" w:eastAsia="宋体" w:cs="宋体"/>
                <w:kern w:val="0"/>
                <w:sz w:val="22"/>
                <w:lang w:val="en-US" w:eastAsia="zh-CN"/>
              </w:rPr>
              <w:t>2788.18</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2788.18</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val="en-US" w:eastAsia="zh-CN"/>
        </w:rPr>
        <w:t>湘乡市泉塘中心学校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val="en-US" w:eastAsia="zh-CN"/>
              </w:rPr>
              <w:t>2788.18</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val="en-US" w:eastAsia="zh-CN"/>
              </w:rPr>
              <w:t>2690.84</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val="en-US" w:eastAsia="zh-CN"/>
              </w:rPr>
              <w:t>97.35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val="en-US" w:eastAsia="zh-CN"/>
              </w:rPr>
              <w:t>205</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教育支出</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2788.18</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2609.84</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97.35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20502</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普通教育</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2788.18</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2609.84</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97.35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2050201</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学前教育</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209.34</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209.34</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r>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val="en-US" w:eastAsia="zh-CN"/>
              </w:rPr>
              <w:t>2050202</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小学教育</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1451.18</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1451.18</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val="en-US" w:eastAsia="zh-CN"/>
              </w:rPr>
              <w:t>2050203</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初中教育</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1127.67</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1030.32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97.35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6"/>
        <w:tblW w:w="0" w:type="auto"/>
        <w:tblInd w:w="0" w:type="dxa"/>
        <w:tblLayout w:type="autofit"/>
        <w:tblCellMar>
          <w:top w:w="0" w:type="dxa"/>
          <w:left w:w="108" w:type="dxa"/>
          <w:bottom w:w="0" w:type="dxa"/>
          <w:right w:w="108" w:type="dxa"/>
        </w:tblCellMar>
      </w:tblPr>
      <w:tblGrid>
        <w:gridCol w:w="1335"/>
        <w:gridCol w:w="3357"/>
        <w:gridCol w:w="949"/>
        <w:gridCol w:w="861"/>
        <w:gridCol w:w="2310"/>
        <w:gridCol w:w="844"/>
        <w:gridCol w:w="812"/>
        <w:gridCol w:w="4196"/>
        <w:gridCol w:w="950"/>
      </w:tblGrid>
      <w:tr>
        <w:tblPrEx>
          <w:tblCellMar>
            <w:top w:w="0" w:type="dxa"/>
            <w:left w:w="108" w:type="dxa"/>
            <w:bottom w:w="0" w:type="dxa"/>
            <w:right w:w="108" w:type="dxa"/>
          </w:tblCellMar>
        </w:tblPrEx>
        <w:trPr>
          <w:trHeight w:val="113" w:hRule="atLeast"/>
        </w:trPr>
        <w:tc>
          <w:tcPr>
            <w:tcW w:w="0" w:type="auto"/>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val="en-US" w:eastAsia="zh-CN"/>
              </w:rPr>
              <w:t>湘乡市泉塘中心学校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998" w:hRule="atLeast"/>
        </w:trPr>
        <w:tc>
          <w:tcPr>
            <w:tcW w:w="133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36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2506.27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184.57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1145.45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62.95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455.04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20.22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409.32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0.55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196.98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15.74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154.07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38.35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5.69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46.39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33.59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60.67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0.35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18.4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27.08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0" w:type="auto"/>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2506.27</w:t>
            </w:r>
          </w:p>
        </w:tc>
        <w:tc>
          <w:tcPr>
            <w:tcW w:w="0" w:type="auto"/>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r>
              <w:rPr>
                <w:rFonts w:hint="eastAsia" w:ascii="宋体" w:hAnsi="宋体" w:eastAsia="宋体" w:cs="宋体"/>
                <w:color w:val="000000"/>
                <w:kern w:val="0"/>
                <w:szCs w:val="18"/>
                <w:lang w:val="en-US" w:eastAsia="zh-CN"/>
              </w:rPr>
              <w:t>184.577</w:t>
            </w:r>
          </w:p>
        </w:tc>
      </w:tr>
      <w:tr>
        <w:tblPrEx>
          <w:tblCellMar>
            <w:top w:w="0" w:type="dxa"/>
            <w:left w:w="108" w:type="dxa"/>
            <w:bottom w:w="0" w:type="dxa"/>
            <w:right w:w="108" w:type="dxa"/>
          </w:tblCellMar>
        </w:tblPrEx>
        <w:trPr>
          <w:trHeight w:val="360" w:hRule="exact"/>
        </w:trPr>
        <w:tc>
          <w:tcPr>
            <w:tcW w:w="0" w:type="auto"/>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val="en-US" w:eastAsia="zh-CN"/>
        </w:rPr>
        <w:t>湘乡市泉塘中心学校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autofit"/>
        <w:tblCellMar>
          <w:top w:w="0" w:type="dxa"/>
          <w:left w:w="108" w:type="dxa"/>
          <w:bottom w:w="0" w:type="dxa"/>
          <w:right w:w="108" w:type="dxa"/>
        </w:tblCellMar>
      </w:tblPr>
      <w:tblGrid>
        <w:gridCol w:w="1418"/>
        <w:gridCol w:w="1022"/>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418"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02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418"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02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418"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02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418"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本表无数据</w:t>
            </w:r>
          </w:p>
        </w:tc>
        <w:tc>
          <w:tcPr>
            <w:tcW w:w="1022"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nil"/>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val="en-US" w:eastAsia="zh-CN"/>
        </w:rPr>
        <w:t>湘乡市泉塘中心学校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本表无数据</w:t>
            </w: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6"/>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5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3215" w:type="dxa"/>
            <w:gridSpan w:val="2"/>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1225" w:type="dxa"/>
            <w:tcBorders>
              <w:top w:val="nil"/>
              <w:left w:val="nil"/>
              <w:bottom w:val="nil"/>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2620" w:type="dxa"/>
            <w:gridSpan w:val="2"/>
            <w:tcBorders>
              <w:top w:val="nil"/>
              <w:left w:val="nil"/>
              <w:bottom w:val="nil"/>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4835" w:type="dxa"/>
            <w:gridSpan w:val="4"/>
            <w:tcBorders>
              <w:top w:val="nil"/>
              <w:left w:val="nil"/>
              <w:bottom w:val="nil"/>
              <w:right w:val="nil"/>
            </w:tcBorders>
            <w:shd w:val="clear" w:color="000000" w:fill="FFFFFF"/>
            <w:noWrap/>
            <w:vAlign w:val="center"/>
          </w:tcPr>
          <w:p>
            <w:pPr>
              <w:widowControl/>
              <w:jc w:val="left"/>
              <w:rPr>
                <w:rFonts w:hint="eastAsia" w:ascii="宋体" w:hAnsi="宋体" w:eastAsia="仿宋_GB2312" w:cs="宋体"/>
                <w:kern w:val="0"/>
                <w:sz w:val="20"/>
                <w:szCs w:val="20"/>
                <w:lang w:eastAsia="zh-CN"/>
              </w:rPr>
            </w:pPr>
            <w:r>
              <w:rPr>
                <w:rFonts w:hint="eastAsia" w:ascii="宋体" w:hAnsi="宋体" w:eastAsia="宋体" w:cs="宋体"/>
                <w:color w:val="000000"/>
                <w:kern w:val="0"/>
                <w:sz w:val="20"/>
                <w:szCs w:val="20"/>
              </w:rPr>
              <w:t>部门：</w:t>
            </w:r>
            <w:r>
              <w:rPr>
                <w:rFonts w:hint="eastAsia" w:ascii="Times New Roman" w:hAnsi="Times New Roman" w:eastAsia="仿宋_GB2312" w:cs="Times New Roman"/>
                <w:color w:val="000000"/>
                <w:kern w:val="0"/>
                <w:szCs w:val="21"/>
                <w:lang w:val="en-US" w:eastAsia="zh-CN"/>
              </w:rPr>
              <w:t>湘乡市泉塘中心学校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p>
        </w:tc>
        <w:tc>
          <w:tcPr>
            <w:tcW w:w="1225" w:type="dxa"/>
            <w:tcBorders>
              <w:top w:val="nil"/>
              <w:left w:val="nil"/>
              <w:bottom w:val="single" w:color="auto" w:sz="8" w:space="0"/>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2620" w:type="dxa"/>
            <w:gridSpan w:val="2"/>
            <w:tcBorders>
              <w:top w:val="nil"/>
              <w:left w:val="nil"/>
              <w:bottom w:val="single" w:color="auto" w:sz="8" w:space="0"/>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本表无数据</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0"/>
        <w:rPr>
          <w:sz w:val="72"/>
          <w:szCs w:val="72"/>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一、收入支出决算总体情况说明</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新宋体" w:hAnsi="新宋体" w:eastAsia="新宋体"/>
          <w:b w:val="0"/>
          <w:bCs/>
          <w:color w:val="auto"/>
          <w:sz w:val="32"/>
          <w:szCs w:val="32"/>
        </w:rPr>
      </w:pPr>
      <w:r>
        <w:rPr>
          <w:rFonts w:hint="eastAsia" w:ascii="新宋体" w:hAnsi="新宋体" w:eastAsia="新宋体"/>
          <w:b w:val="0"/>
          <w:bCs/>
          <w:color w:val="auto"/>
          <w:sz w:val="32"/>
          <w:szCs w:val="32"/>
          <w:lang w:eastAsia="zh-CN"/>
        </w:rPr>
        <w:t>2021</w:t>
      </w:r>
      <w:r>
        <w:rPr>
          <w:rFonts w:hint="eastAsia" w:ascii="新宋体" w:hAnsi="新宋体" w:eastAsia="新宋体"/>
          <w:b w:val="0"/>
          <w:bCs/>
          <w:color w:val="auto"/>
          <w:sz w:val="32"/>
          <w:szCs w:val="32"/>
        </w:rPr>
        <w:t>年</w:t>
      </w:r>
      <w:r>
        <w:rPr>
          <w:rFonts w:hint="eastAsia" w:ascii="新宋体" w:hAnsi="新宋体" w:eastAsia="新宋体"/>
          <w:b w:val="0"/>
          <w:bCs/>
          <w:color w:val="auto"/>
          <w:sz w:val="32"/>
          <w:szCs w:val="32"/>
          <w:lang w:val="en-US" w:eastAsia="zh-CN"/>
        </w:rPr>
        <w:t>收支总计7070.1万元</w:t>
      </w:r>
      <w:r>
        <w:rPr>
          <w:rFonts w:hint="eastAsia" w:ascii="新宋体" w:hAnsi="新宋体" w:eastAsia="新宋体"/>
          <w:b w:val="0"/>
          <w:bCs/>
          <w:color w:val="auto"/>
          <w:sz w:val="32"/>
          <w:szCs w:val="32"/>
        </w:rPr>
        <w:t>，比上年</w:t>
      </w:r>
      <w:r>
        <w:rPr>
          <w:rFonts w:hint="eastAsia" w:ascii="新宋体" w:hAnsi="新宋体" w:eastAsia="新宋体"/>
          <w:b w:val="0"/>
          <w:bCs/>
          <w:color w:val="auto"/>
          <w:sz w:val="32"/>
          <w:szCs w:val="32"/>
          <w:lang w:val="en-US" w:eastAsia="zh-CN"/>
        </w:rPr>
        <w:t>增加110.74</w:t>
      </w:r>
      <w:r>
        <w:rPr>
          <w:rFonts w:hint="eastAsia" w:ascii="新宋体" w:hAnsi="新宋体" w:eastAsia="新宋体"/>
          <w:b w:val="0"/>
          <w:bCs/>
          <w:color w:val="auto"/>
          <w:sz w:val="32"/>
          <w:szCs w:val="32"/>
        </w:rPr>
        <w:t>万元，增长</w:t>
      </w:r>
      <w:r>
        <w:rPr>
          <w:rFonts w:hint="eastAsia" w:ascii="新宋体" w:hAnsi="新宋体" w:eastAsia="新宋体"/>
          <w:b w:val="0"/>
          <w:bCs/>
          <w:color w:val="auto"/>
          <w:sz w:val="32"/>
          <w:szCs w:val="32"/>
          <w:lang w:val="en-US" w:eastAsia="zh-CN"/>
        </w:rPr>
        <w:t>1.59</w:t>
      </w:r>
      <w:r>
        <w:rPr>
          <w:rFonts w:hint="eastAsia" w:ascii="新宋体" w:hAnsi="新宋体" w:eastAsia="新宋体"/>
          <w:b w:val="0"/>
          <w:bCs/>
          <w:color w:val="auto"/>
          <w:sz w:val="32"/>
          <w:szCs w:val="32"/>
        </w:rPr>
        <w:t>%。主要原因是</w:t>
      </w:r>
      <w:r>
        <w:rPr>
          <w:rFonts w:hint="eastAsia" w:ascii="新宋体" w:hAnsi="新宋体" w:eastAsia="新宋体"/>
          <w:b w:val="0"/>
          <w:bCs/>
          <w:color w:val="auto"/>
          <w:sz w:val="32"/>
          <w:szCs w:val="32"/>
          <w:lang w:val="en-US" w:eastAsia="zh-CN"/>
        </w:rPr>
        <w:t>人员工资增加</w:t>
      </w:r>
      <w:r>
        <w:rPr>
          <w:rFonts w:hint="eastAsia" w:ascii="新宋体" w:hAnsi="新宋体" w:eastAsia="新宋体"/>
          <w:b w:val="0"/>
          <w:bCs/>
          <w:color w:val="auto"/>
          <w:sz w:val="32"/>
          <w:szCs w:val="32"/>
        </w:rPr>
        <w:t>。</w:t>
      </w:r>
    </w:p>
    <w:p>
      <w:pPr>
        <w:pStyle w:val="10"/>
        <w:rPr>
          <w:rFonts w:hAnsi="黑体"/>
          <w:b/>
          <w:sz w:val="32"/>
          <w:szCs w:val="32"/>
        </w:rPr>
      </w:pPr>
      <w:r>
        <w:rPr>
          <w:rFonts w:hint="eastAsia" w:hAnsi="黑体"/>
          <w:b/>
          <w:sz w:val="32"/>
          <w:szCs w:val="32"/>
        </w:rPr>
        <w:t>二、收入决算情况说明</w:t>
      </w:r>
    </w:p>
    <w:p>
      <w:pPr>
        <w:pStyle w:val="10"/>
        <w:ind w:firstLine="640" w:firstLineChars="200"/>
      </w:pPr>
      <w:r>
        <w:rPr>
          <w:rFonts w:hint="eastAsia" w:asciiTheme="minorEastAsia" w:hAnsiTheme="minorEastAsia" w:eastAsiaTheme="minorEastAsia"/>
          <w:sz w:val="32"/>
          <w:szCs w:val="32"/>
        </w:rPr>
        <w:t>2021年度收入合计</w:t>
      </w:r>
      <w:r>
        <w:rPr>
          <w:rFonts w:hint="eastAsia" w:asciiTheme="minorEastAsia" w:hAnsiTheme="minorEastAsia" w:eastAsiaTheme="minorEastAsia"/>
          <w:sz w:val="32"/>
          <w:szCs w:val="32"/>
          <w:lang w:val="en-US" w:eastAsia="zh-CN"/>
        </w:rPr>
        <w:t>3535.05</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2788.18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78.87</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746.87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21.13</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三、支出决算情况说明</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新宋体" w:hAnsi="新宋体" w:eastAsia="新宋体"/>
          <w:b w:val="0"/>
          <w:bCs/>
          <w:color w:val="auto"/>
          <w:sz w:val="32"/>
          <w:szCs w:val="32"/>
        </w:rPr>
      </w:pPr>
      <w:r>
        <w:rPr>
          <w:rFonts w:hint="eastAsia" w:asciiTheme="minorEastAsia" w:hAnsiTheme="minorEastAsia" w:eastAsiaTheme="minorEastAsia"/>
          <w:sz w:val="32"/>
          <w:szCs w:val="32"/>
        </w:rPr>
        <w:t>2021年度支出合计</w:t>
      </w:r>
      <w:r>
        <w:rPr>
          <w:rFonts w:hint="eastAsia" w:asciiTheme="minorEastAsia" w:hAnsiTheme="minorEastAsia"/>
          <w:sz w:val="32"/>
          <w:szCs w:val="32"/>
          <w:lang w:val="en-US" w:eastAsia="zh-CN"/>
        </w:rPr>
        <w:t>3535.05</w:t>
      </w:r>
      <w:r>
        <w:rPr>
          <w:rFonts w:hint="eastAsia" w:asciiTheme="minorEastAsia" w:hAnsiTheme="minorEastAsia" w:eastAsiaTheme="minorEastAsia"/>
          <w:sz w:val="32"/>
          <w:szCs w:val="32"/>
        </w:rPr>
        <w:t>万元，其中：基本支出</w:t>
      </w:r>
      <w:r>
        <w:rPr>
          <w:rFonts w:hint="eastAsia" w:ascii="新宋体" w:hAnsi="新宋体" w:eastAsia="新宋体"/>
          <w:b w:val="0"/>
          <w:bCs/>
          <w:color w:val="auto"/>
          <w:sz w:val="32"/>
          <w:szCs w:val="32"/>
          <w:lang w:val="en-US" w:eastAsia="zh-CN"/>
        </w:rPr>
        <w:t>3437.7</w:t>
      </w:r>
      <w:r>
        <w:rPr>
          <w:rFonts w:hint="eastAsia" w:asciiTheme="minorEastAsia" w:hAnsiTheme="minorEastAsia" w:eastAsiaTheme="minorEastAsia"/>
          <w:sz w:val="32"/>
          <w:szCs w:val="32"/>
        </w:rPr>
        <w:t>万元，占</w:t>
      </w:r>
      <w:r>
        <w:rPr>
          <w:rFonts w:hint="eastAsia" w:asciiTheme="minorEastAsia" w:hAnsiTheme="minorEastAsia"/>
          <w:sz w:val="32"/>
          <w:szCs w:val="32"/>
          <w:lang w:val="en-US" w:eastAsia="zh-CN"/>
        </w:rPr>
        <w:t>97.25</w:t>
      </w:r>
      <w:r>
        <w:rPr>
          <w:rFonts w:hint="eastAsia" w:asciiTheme="minorEastAsia" w:hAnsiTheme="minorEastAsia" w:eastAsiaTheme="minorEastAsia"/>
          <w:sz w:val="32"/>
          <w:szCs w:val="32"/>
        </w:rPr>
        <w:t>%；项目支出</w:t>
      </w:r>
      <w:r>
        <w:rPr>
          <w:rFonts w:hint="eastAsia" w:ascii="新宋体" w:hAnsi="新宋体" w:eastAsia="新宋体"/>
          <w:b w:val="0"/>
          <w:bCs/>
          <w:color w:val="auto"/>
          <w:sz w:val="32"/>
          <w:szCs w:val="32"/>
          <w:lang w:val="en-US" w:eastAsia="zh-CN"/>
        </w:rPr>
        <w:t>97.35</w:t>
      </w:r>
      <w:r>
        <w:rPr>
          <w:rFonts w:hint="eastAsia" w:asciiTheme="minorEastAsia" w:hAnsiTheme="minorEastAsia" w:eastAsiaTheme="minorEastAsia"/>
          <w:sz w:val="32"/>
          <w:szCs w:val="32"/>
        </w:rPr>
        <w:t>万元，占</w:t>
      </w:r>
      <w:r>
        <w:rPr>
          <w:rFonts w:hint="eastAsia" w:ascii="新宋体" w:hAnsi="新宋体" w:eastAsia="新宋体"/>
          <w:b w:val="0"/>
          <w:bCs/>
          <w:color w:val="auto"/>
          <w:sz w:val="32"/>
          <w:szCs w:val="32"/>
          <w:lang w:val="en-US" w:eastAsia="zh-CN"/>
        </w:rPr>
        <w:t>2.75</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r>
        <w:rPr>
          <w:rFonts w:hint="eastAsia" w:asciiTheme="minorEastAsia" w:hAnsiTheme="minorEastAsia"/>
          <w:sz w:val="32"/>
          <w:szCs w:val="32"/>
          <w:lang w:eastAsia="zh-CN"/>
        </w:rPr>
        <w:t>。</w:t>
      </w:r>
    </w:p>
    <w:p>
      <w:pPr>
        <w:pStyle w:val="10"/>
        <w:rPr>
          <w:rFonts w:hAnsi="黑体"/>
          <w:b/>
          <w:sz w:val="32"/>
          <w:szCs w:val="32"/>
        </w:rPr>
      </w:pPr>
      <w:r>
        <w:rPr>
          <w:rFonts w:hint="eastAsia" w:hAnsi="黑体"/>
          <w:b/>
          <w:sz w:val="32"/>
          <w:szCs w:val="32"/>
        </w:rPr>
        <w:t>四、财政拨款收入支出决算总体情况说明</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新宋体" w:hAnsi="新宋体" w:eastAsia="新宋体"/>
          <w:b w:val="0"/>
          <w:bCs/>
          <w:color w:val="auto"/>
          <w:sz w:val="32"/>
          <w:szCs w:val="32"/>
          <w:lang w:val="en-US" w:eastAsia="zh-CN"/>
        </w:rPr>
      </w:pPr>
      <w:r>
        <w:rPr>
          <w:rFonts w:hint="eastAsia" w:asciiTheme="minorEastAsia" w:hAnsiTheme="minorEastAsia" w:eastAsiaTheme="minorEastAsia"/>
          <w:sz w:val="32"/>
          <w:szCs w:val="32"/>
        </w:rPr>
        <w:t>2021年度财政拨款收、支总计</w:t>
      </w:r>
      <w:r>
        <w:rPr>
          <w:rFonts w:hint="eastAsia" w:asciiTheme="minorEastAsia" w:hAnsiTheme="minorEastAsia"/>
          <w:color w:val="auto"/>
          <w:sz w:val="32"/>
          <w:szCs w:val="32"/>
          <w:lang w:val="en-US" w:eastAsia="zh-CN"/>
        </w:rPr>
        <w:t>5576.36</w:t>
      </w:r>
      <w:r>
        <w:rPr>
          <w:rFonts w:hint="eastAsia" w:asciiTheme="minorEastAsia" w:hAnsiTheme="minorEastAsia" w:eastAsiaTheme="minorEastAsia"/>
          <w:color w:val="auto"/>
          <w:sz w:val="32"/>
          <w:szCs w:val="32"/>
        </w:rPr>
        <w:t>万元，与上年相比，</w:t>
      </w:r>
      <w:r>
        <w:rPr>
          <w:rFonts w:hint="eastAsia" w:asciiTheme="minorEastAsia" w:hAnsiTheme="minorEastAsia" w:eastAsiaTheme="minorEastAsia"/>
          <w:color w:val="auto"/>
          <w:sz w:val="32"/>
          <w:szCs w:val="32"/>
          <w:lang w:val="en-US" w:eastAsia="zh-CN"/>
        </w:rPr>
        <w:t>减少</w:t>
      </w:r>
      <w:r>
        <w:rPr>
          <w:rFonts w:hint="eastAsia" w:asciiTheme="minorEastAsia" w:hAnsiTheme="minorEastAsia"/>
          <w:color w:val="auto"/>
          <w:sz w:val="32"/>
          <w:szCs w:val="32"/>
          <w:lang w:val="en-US" w:eastAsia="zh-CN"/>
        </w:rPr>
        <w:t>2290.94</w:t>
      </w:r>
      <w:r>
        <w:rPr>
          <w:rFonts w:hint="eastAsia" w:asciiTheme="minorEastAsia" w:hAnsiTheme="minorEastAsia" w:eastAsiaTheme="minorEastAsia"/>
          <w:color w:val="auto"/>
          <w:sz w:val="32"/>
          <w:szCs w:val="32"/>
        </w:rPr>
        <w:t>万元,减少</w:t>
      </w:r>
      <w:r>
        <w:rPr>
          <w:rFonts w:hint="eastAsia" w:asciiTheme="minorEastAsia" w:hAnsiTheme="minorEastAsia"/>
          <w:color w:val="auto"/>
          <w:sz w:val="32"/>
          <w:szCs w:val="32"/>
          <w:lang w:val="en-US" w:eastAsia="zh-CN"/>
        </w:rPr>
        <w:t>34.87</w:t>
      </w:r>
      <w:r>
        <w:rPr>
          <w:rFonts w:hint="eastAsia" w:asciiTheme="minorEastAsia" w:hAnsiTheme="minorEastAsia" w:eastAsiaTheme="minorEastAsia"/>
          <w:color w:val="auto"/>
          <w:sz w:val="32"/>
          <w:szCs w:val="32"/>
        </w:rPr>
        <w:t>%</w:t>
      </w:r>
      <w:r>
        <w:rPr>
          <w:rFonts w:hint="eastAsia" w:asciiTheme="minorEastAsia" w:hAnsiTheme="minorEastAsia"/>
          <w:color w:val="auto"/>
          <w:sz w:val="32"/>
          <w:szCs w:val="32"/>
          <w:lang w:eastAsia="zh-CN"/>
        </w:rPr>
        <w:t>。</w:t>
      </w:r>
      <w:r>
        <w:rPr>
          <w:rFonts w:hint="eastAsia" w:asciiTheme="minorEastAsia" w:hAnsiTheme="minorEastAsia" w:eastAsiaTheme="minorEastAsia"/>
          <w:color w:val="auto"/>
          <w:sz w:val="32"/>
          <w:szCs w:val="32"/>
        </w:rPr>
        <w:t>主要是</w:t>
      </w:r>
      <w:r>
        <w:rPr>
          <w:rFonts w:hint="eastAsia" w:asciiTheme="minorEastAsia" w:hAnsiTheme="minorEastAsia"/>
          <w:color w:val="auto"/>
          <w:sz w:val="32"/>
          <w:szCs w:val="32"/>
          <w:lang w:val="en-US" w:eastAsia="zh-CN"/>
        </w:rPr>
        <w:t>因为公用经费减少</w:t>
      </w:r>
      <w:r>
        <w:rPr>
          <w:rFonts w:hint="eastAsia" w:asciiTheme="minorEastAsia" w:hAnsiTheme="minorEastAsia" w:eastAsiaTheme="minorEastAsia"/>
          <w:sz w:val="32"/>
          <w:szCs w:val="32"/>
          <w:lang w:val="en-US" w:eastAsia="zh-CN"/>
        </w:rPr>
        <w:t>。</w:t>
      </w:r>
    </w:p>
    <w:p>
      <w:pPr>
        <w:pStyle w:val="1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Theme="minorEastAsia" w:hAnsiTheme="minorEastAsia" w:eastAsiaTheme="minorEastAsia"/>
          <w:sz w:val="32"/>
          <w:szCs w:val="32"/>
        </w:rPr>
      </w:pPr>
      <w:r>
        <w:rPr>
          <w:rFonts w:hint="eastAsia" w:ascii="新宋体" w:hAnsi="新宋体" w:eastAsia="新宋体"/>
          <w:b w:val="0"/>
          <w:bCs/>
          <w:color w:val="auto"/>
          <w:sz w:val="32"/>
          <w:szCs w:val="32"/>
        </w:rPr>
        <w:t>2021年度财政拨款支出</w:t>
      </w:r>
      <w:r>
        <w:rPr>
          <w:rFonts w:hint="eastAsia" w:ascii="新宋体" w:hAnsi="新宋体" w:eastAsia="新宋体"/>
          <w:b w:val="0"/>
          <w:bCs/>
          <w:color w:val="auto"/>
          <w:sz w:val="32"/>
          <w:szCs w:val="32"/>
          <w:lang w:val="en-US" w:eastAsia="zh-CN"/>
        </w:rPr>
        <w:t>2788.18</w:t>
      </w:r>
      <w:r>
        <w:rPr>
          <w:rFonts w:hint="eastAsia" w:ascii="新宋体" w:hAnsi="新宋体" w:eastAsia="新宋体"/>
          <w:b w:val="0"/>
          <w:bCs/>
          <w:color w:val="auto"/>
          <w:sz w:val="32"/>
          <w:szCs w:val="32"/>
        </w:rPr>
        <w:t>万元，占本年支出合计的</w:t>
      </w:r>
      <w:r>
        <w:rPr>
          <w:rFonts w:hint="eastAsia" w:ascii="新宋体" w:hAnsi="新宋体" w:eastAsia="新宋体"/>
          <w:b w:val="0"/>
          <w:bCs/>
          <w:color w:val="auto"/>
          <w:sz w:val="32"/>
          <w:szCs w:val="32"/>
          <w:lang w:val="en-US" w:eastAsia="zh-CN"/>
        </w:rPr>
        <w:t>78.87</w:t>
      </w:r>
      <w:r>
        <w:rPr>
          <w:rFonts w:hint="eastAsia" w:ascii="新宋体" w:hAnsi="新宋体" w:eastAsia="新宋体"/>
          <w:b w:val="0"/>
          <w:bCs/>
          <w:color w:val="auto"/>
          <w:sz w:val="32"/>
          <w:szCs w:val="32"/>
        </w:rPr>
        <w:t>%，与上年相比，财政拨款支出</w:t>
      </w:r>
      <w:r>
        <w:rPr>
          <w:rFonts w:hint="eastAsia" w:ascii="新宋体" w:hAnsi="新宋体" w:eastAsia="新宋体"/>
          <w:b w:val="0"/>
          <w:bCs/>
          <w:color w:val="auto"/>
          <w:sz w:val="32"/>
          <w:szCs w:val="32"/>
          <w:lang w:val="en-US" w:eastAsia="zh-CN"/>
        </w:rPr>
        <w:t>3285.42</w:t>
      </w:r>
      <w:r>
        <w:rPr>
          <w:rFonts w:hint="eastAsia" w:ascii="新宋体" w:hAnsi="新宋体" w:eastAsia="新宋体"/>
          <w:b w:val="0"/>
          <w:bCs/>
          <w:color w:val="auto"/>
          <w:sz w:val="32"/>
          <w:szCs w:val="32"/>
        </w:rPr>
        <w:t>万元，减少</w:t>
      </w:r>
      <w:r>
        <w:rPr>
          <w:rFonts w:hint="eastAsia" w:ascii="新宋体" w:hAnsi="新宋体" w:eastAsia="新宋体"/>
          <w:b w:val="0"/>
          <w:bCs/>
          <w:color w:val="auto"/>
          <w:sz w:val="32"/>
          <w:szCs w:val="32"/>
          <w:lang w:val="en-US" w:eastAsia="zh-CN"/>
        </w:rPr>
        <w:t>15.13</w:t>
      </w:r>
      <w:r>
        <w:rPr>
          <w:rFonts w:hint="eastAsia" w:ascii="新宋体" w:hAnsi="新宋体" w:eastAsia="新宋体"/>
          <w:b w:val="0"/>
          <w:bCs/>
          <w:color w:val="auto"/>
          <w:sz w:val="32"/>
          <w:szCs w:val="32"/>
        </w:rPr>
        <w:t>%，主要是因为</w:t>
      </w:r>
      <w:r>
        <w:rPr>
          <w:rFonts w:hint="eastAsia" w:asciiTheme="minorEastAsia" w:hAnsiTheme="minorEastAsia"/>
          <w:color w:val="auto"/>
          <w:sz w:val="32"/>
          <w:szCs w:val="32"/>
          <w:lang w:val="en-US" w:eastAsia="zh-CN"/>
        </w:rPr>
        <w:t>生源减少、公用经费减少</w:t>
      </w:r>
      <w:r>
        <w:rPr>
          <w:rFonts w:hint="eastAsia" w:asciiTheme="minorEastAsia" w:hAnsiTheme="minorEastAsia" w:eastAsiaTheme="minorEastAsia"/>
          <w:sz w:val="32"/>
          <w:szCs w:val="32"/>
          <w:lang w:val="en-US" w:eastAsia="zh-CN"/>
        </w:rPr>
        <w:t>。</w:t>
      </w:r>
      <w:r>
        <w:rPr>
          <w:rFonts w:hint="eastAsia" w:ascii="新宋体" w:hAnsi="新宋体" w:eastAsia="新宋体"/>
          <w:b w:val="0"/>
          <w:bCs/>
          <w:color w:val="auto"/>
          <w:sz w:val="32"/>
          <w:szCs w:val="32"/>
          <w:lang w:eastAsia="zh-CN"/>
        </w:rPr>
        <w:t>。</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hint="eastAsia" w:ascii="新宋体" w:hAnsi="新宋体" w:eastAsia="新宋体" w:cstheme="minorBidi"/>
          <w:b w:val="0"/>
          <w:bCs/>
          <w:color w:val="auto"/>
          <w:kern w:val="2"/>
          <w:sz w:val="32"/>
          <w:szCs w:val="32"/>
          <w:lang w:val="en-US" w:eastAsia="zh-CN" w:bidi="ar-SA"/>
        </w:rPr>
      </w:pPr>
      <w:r>
        <w:rPr>
          <w:rFonts w:hint="eastAsia" w:ascii="新宋体" w:hAnsi="新宋体" w:eastAsia="新宋体" w:cstheme="minorBidi"/>
          <w:b w:val="0"/>
          <w:bCs/>
          <w:color w:val="auto"/>
          <w:kern w:val="2"/>
          <w:sz w:val="32"/>
          <w:szCs w:val="32"/>
          <w:lang w:val="en-US" w:eastAsia="zh-CN" w:bidi="ar-SA"/>
        </w:rPr>
        <w:t>2021年度财政拨款支出2788.18万元，主要用于以下方面：（五）教育支出2788.18万元，占100%。</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2021年度财政拨款支出年初预算数为</w:t>
      </w:r>
      <w:r>
        <w:rPr>
          <w:rFonts w:hint="eastAsia" w:asciiTheme="minorEastAsia" w:hAnsiTheme="minorEastAsia" w:eastAsiaTheme="minorEastAsia"/>
          <w:sz w:val="32"/>
          <w:szCs w:val="32"/>
          <w:lang w:val="en-US" w:eastAsia="zh-CN"/>
        </w:rPr>
        <w:t>2901.83</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2788.18</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96.08</w:t>
      </w:r>
      <w:r>
        <w:rPr>
          <w:rFonts w:hint="eastAsia" w:asciiTheme="minorEastAsia" w:hAnsiTheme="minorEastAsia" w:eastAsiaTheme="minorEastAsia"/>
          <w:sz w:val="32"/>
          <w:szCs w:val="32"/>
        </w:rPr>
        <w:t>%，其中：</w:t>
      </w:r>
    </w:p>
    <w:p>
      <w:pPr>
        <w:pStyle w:val="10"/>
        <w:ind w:firstLine="800" w:firstLineChars="250"/>
        <w:rPr>
          <w:rFonts w:hint="eastAsia"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1、</w:t>
      </w:r>
      <w:r>
        <w:rPr>
          <w:rFonts w:hint="eastAsia" w:asciiTheme="minorEastAsia" w:hAnsiTheme="minorEastAsia" w:eastAsiaTheme="minorEastAsia"/>
          <w:color w:val="auto"/>
          <w:sz w:val="32"/>
          <w:szCs w:val="32"/>
          <w:highlight w:val="none"/>
          <w:lang w:val="en-US" w:eastAsia="zh-CN"/>
        </w:rPr>
        <w:t>教育支出</w:t>
      </w:r>
      <w:r>
        <w:rPr>
          <w:rFonts w:hint="eastAsia" w:asciiTheme="minorEastAsia" w:hAnsiTheme="minorEastAsia" w:eastAsiaTheme="minorEastAsia"/>
          <w:color w:val="auto"/>
          <w:sz w:val="32"/>
          <w:szCs w:val="32"/>
          <w:highlight w:val="none"/>
        </w:rPr>
        <w:t>（类）</w:t>
      </w:r>
      <w:r>
        <w:rPr>
          <w:rFonts w:hint="eastAsia" w:asciiTheme="minorEastAsia" w:hAnsiTheme="minorEastAsia" w:eastAsiaTheme="minorEastAsia"/>
          <w:color w:val="auto"/>
          <w:sz w:val="32"/>
          <w:szCs w:val="32"/>
          <w:highlight w:val="none"/>
          <w:lang w:val="en-US" w:eastAsia="zh-CN"/>
        </w:rPr>
        <w:t>普通教育</w:t>
      </w:r>
      <w:r>
        <w:rPr>
          <w:rFonts w:hint="eastAsia" w:asciiTheme="minorEastAsia" w:hAnsiTheme="minorEastAsia" w:eastAsiaTheme="minorEastAsia"/>
          <w:color w:val="auto"/>
          <w:sz w:val="32"/>
          <w:szCs w:val="32"/>
          <w:highlight w:val="none"/>
        </w:rPr>
        <w:t>（款）</w:t>
      </w:r>
      <w:r>
        <w:rPr>
          <w:rFonts w:hint="eastAsia" w:asciiTheme="minorEastAsia" w:hAnsiTheme="minorEastAsia" w:eastAsiaTheme="minorEastAsia"/>
          <w:color w:val="auto"/>
          <w:sz w:val="32"/>
          <w:szCs w:val="32"/>
          <w:highlight w:val="none"/>
          <w:lang w:val="en-US" w:eastAsia="zh-CN"/>
        </w:rPr>
        <w:t>学前教育</w:t>
      </w:r>
      <w:r>
        <w:rPr>
          <w:rFonts w:hint="eastAsia" w:asciiTheme="minorEastAsia" w:hAnsiTheme="minorEastAsia" w:eastAsiaTheme="minorEastAsia"/>
          <w:color w:val="auto"/>
          <w:sz w:val="32"/>
          <w:szCs w:val="32"/>
          <w:highlight w:val="none"/>
        </w:rPr>
        <w:t>（项）。</w:t>
      </w:r>
    </w:p>
    <w:p>
      <w:pPr>
        <w:pStyle w:val="10"/>
        <w:ind w:left="638" w:leftChars="304" w:firstLine="160" w:firstLineChars="50"/>
        <w:rPr>
          <w:rFonts w:hint="eastAsia" w:asciiTheme="minorEastAsia" w:hAnsiTheme="minorEastAsia" w:eastAsiaTheme="minorEastAsia"/>
          <w:color w:val="auto"/>
          <w:sz w:val="32"/>
          <w:szCs w:val="32"/>
          <w:highlight w:val="none"/>
          <w:lang w:eastAsia="zh-CN"/>
        </w:rPr>
      </w:pPr>
      <w:r>
        <w:rPr>
          <w:rFonts w:hint="eastAsia" w:asciiTheme="minorEastAsia" w:hAnsiTheme="minorEastAsia" w:eastAsiaTheme="minorEastAsia"/>
          <w:color w:val="auto"/>
          <w:sz w:val="32"/>
          <w:szCs w:val="32"/>
          <w:highlight w:val="none"/>
        </w:rPr>
        <w:t>年初预算为</w:t>
      </w:r>
      <w:r>
        <w:rPr>
          <w:rFonts w:hint="eastAsia" w:asciiTheme="minorEastAsia" w:hAnsiTheme="minorEastAsia" w:eastAsiaTheme="minorEastAsia"/>
          <w:color w:val="auto"/>
          <w:sz w:val="32"/>
          <w:szCs w:val="32"/>
          <w:highlight w:val="none"/>
          <w:lang w:val="en-US" w:eastAsia="zh-CN"/>
        </w:rPr>
        <w:t>209.34</w:t>
      </w:r>
      <w:r>
        <w:rPr>
          <w:rFonts w:hint="eastAsia" w:asciiTheme="minorEastAsia" w:hAnsiTheme="minorEastAsia" w:eastAsiaTheme="minorEastAsia"/>
          <w:color w:val="auto"/>
          <w:sz w:val="32"/>
          <w:szCs w:val="32"/>
          <w:highlight w:val="none"/>
        </w:rPr>
        <w:t>万元，支出决算为</w:t>
      </w:r>
      <w:r>
        <w:rPr>
          <w:rFonts w:hint="eastAsia" w:asciiTheme="minorEastAsia" w:hAnsiTheme="minorEastAsia" w:eastAsiaTheme="minorEastAsia"/>
          <w:color w:val="auto"/>
          <w:sz w:val="32"/>
          <w:szCs w:val="32"/>
          <w:highlight w:val="none"/>
          <w:lang w:val="en-US" w:eastAsia="zh-CN"/>
        </w:rPr>
        <w:t>209.34</w:t>
      </w:r>
      <w:r>
        <w:rPr>
          <w:rFonts w:hint="eastAsia" w:asciiTheme="minorEastAsia" w:hAnsiTheme="minorEastAsia" w:eastAsiaTheme="minorEastAsia"/>
          <w:color w:val="auto"/>
          <w:sz w:val="32"/>
          <w:szCs w:val="32"/>
          <w:highlight w:val="none"/>
        </w:rPr>
        <w:t>万元，完成年初预算的</w:t>
      </w:r>
      <w:r>
        <w:rPr>
          <w:rFonts w:hint="eastAsia" w:asciiTheme="minorEastAsia" w:hAnsiTheme="minorEastAsia" w:eastAsiaTheme="minorEastAsia"/>
          <w:color w:val="auto"/>
          <w:sz w:val="32"/>
          <w:szCs w:val="32"/>
          <w:highlight w:val="none"/>
          <w:lang w:val="en-US" w:eastAsia="zh-CN"/>
        </w:rPr>
        <w:t>100</w:t>
      </w:r>
      <w:r>
        <w:rPr>
          <w:rFonts w:hint="eastAsia" w:asciiTheme="minorEastAsia" w:hAnsiTheme="minorEastAsia" w:eastAsiaTheme="minorEastAsia"/>
          <w:color w:val="auto"/>
          <w:sz w:val="32"/>
          <w:szCs w:val="32"/>
          <w:highlight w:val="none"/>
        </w:rPr>
        <w:t>%</w:t>
      </w:r>
      <w:r>
        <w:rPr>
          <w:rFonts w:hint="eastAsia" w:asciiTheme="minorEastAsia" w:hAnsiTheme="minorEastAsia" w:eastAsiaTheme="minorEastAsia"/>
          <w:color w:val="auto"/>
          <w:sz w:val="32"/>
          <w:szCs w:val="32"/>
          <w:highlight w:val="none"/>
          <w:lang w:eastAsia="zh-CN"/>
        </w:rPr>
        <w:t>。</w:t>
      </w:r>
    </w:p>
    <w:p>
      <w:pPr>
        <w:pStyle w:val="10"/>
        <w:ind w:left="638" w:leftChars="304" w:firstLine="160" w:firstLineChars="50"/>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2、</w:t>
      </w:r>
      <w:r>
        <w:rPr>
          <w:rFonts w:hint="eastAsia" w:asciiTheme="minorEastAsia" w:hAnsiTheme="minorEastAsia" w:eastAsiaTheme="minorEastAsia"/>
          <w:color w:val="auto"/>
          <w:sz w:val="32"/>
          <w:szCs w:val="32"/>
          <w:highlight w:val="none"/>
          <w:lang w:val="en-US" w:eastAsia="zh-CN"/>
        </w:rPr>
        <w:t>教育支出</w:t>
      </w:r>
      <w:r>
        <w:rPr>
          <w:rFonts w:hint="eastAsia" w:asciiTheme="minorEastAsia" w:hAnsiTheme="minorEastAsia" w:eastAsiaTheme="minorEastAsia"/>
          <w:color w:val="auto"/>
          <w:sz w:val="32"/>
          <w:szCs w:val="32"/>
          <w:highlight w:val="none"/>
        </w:rPr>
        <w:t>（类）</w:t>
      </w:r>
      <w:r>
        <w:rPr>
          <w:rFonts w:hint="eastAsia" w:asciiTheme="minorEastAsia" w:hAnsiTheme="minorEastAsia" w:eastAsiaTheme="minorEastAsia"/>
          <w:color w:val="auto"/>
          <w:sz w:val="32"/>
          <w:szCs w:val="32"/>
          <w:highlight w:val="none"/>
          <w:lang w:val="en-US" w:eastAsia="zh-CN"/>
        </w:rPr>
        <w:t>普通教育</w:t>
      </w:r>
      <w:r>
        <w:rPr>
          <w:rFonts w:hint="eastAsia" w:asciiTheme="minorEastAsia" w:hAnsiTheme="minorEastAsia" w:eastAsiaTheme="minorEastAsia"/>
          <w:color w:val="auto"/>
          <w:sz w:val="32"/>
          <w:szCs w:val="32"/>
          <w:highlight w:val="none"/>
        </w:rPr>
        <w:t>（款</w:t>
      </w:r>
      <w:r>
        <w:rPr>
          <w:rFonts w:hint="eastAsia" w:asciiTheme="minorEastAsia" w:hAnsiTheme="minorEastAsia" w:eastAsiaTheme="minorEastAsia"/>
          <w:color w:val="auto"/>
          <w:sz w:val="32"/>
          <w:szCs w:val="32"/>
          <w:highlight w:val="none"/>
          <w:lang w:val="en-US" w:eastAsia="zh-CN"/>
        </w:rPr>
        <w:t>）小学教育（项</w:t>
      </w:r>
      <w:r>
        <w:rPr>
          <w:rFonts w:hint="eastAsia" w:asciiTheme="minorEastAsia" w:hAnsiTheme="minorEastAsia" w:eastAsiaTheme="minorEastAsia"/>
          <w:color w:val="auto"/>
          <w:sz w:val="32"/>
          <w:szCs w:val="32"/>
          <w:highlight w:val="none"/>
        </w:rPr>
        <w:t>）。</w:t>
      </w:r>
    </w:p>
    <w:p>
      <w:pPr>
        <w:pStyle w:val="10"/>
        <w:ind w:firstLine="800" w:firstLineChars="250"/>
        <w:rPr>
          <w:rFonts w:hint="eastAsia" w:asciiTheme="minorEastAsia" w:hAnsiTheme="minorEastAsia" w:eastAsiaTheme="minorEastAsia"/>
          <w:color w:val="auto"/>
          <w:sz w:val="32"/>
          <w:szCs w:val="32"/>
          <w:highlight w:val="none"/>
          <w:lang w:eastAsia="zh-CN"/>
        </w:rPr>
      </w:pPr>
      <w:r>
        <w:rPr>
          <w:rFonts w:hint="eastAsia" w:asciiTheme="minorEastAsia" w:hAnsiTheme="minorEastAsia" w:eastAsiaTheme="minorEastAsia"/>
          <w:color w:val="auto"/>
          <w:sz w:val="32"/>
          <w:szCs w:val="32"/>
          <w:highlight w:val="none"/>
        </w:rPr>
        <w:t>年初预算为</w:t>
      </w:r>
      <w:r>
        <w:rPr>
          <w:rFonts w:hint="eastAsia" w:asciiTheme="minorEastAsia" w:hAnsiTheme="minorEastAsia" w:eastAsiaTheme="minorEastAsia"/>
          <w:color w:val="auto"/>
          <w:sz w:val="32"/>
          <w:szCs w:val="32"/>
          <w:highlight w:val="none"/>
          <w:lang w:val="en-US" w:eastAsia="zh-CN"/>
        </w:rPr>
        <w:t>1451.18</w:t>
      </w:r>
      <w:r>
        <w:rPr>
          <w:rFonts w:hint="eastAsia" w:asciiTheme="minorEastAsia" w:hAnsiTheme="minorEastAsia" w:eastAsiaTheme="minorEastAsia"/>
          <w:color w:val="auto"/>
          <w:sz w:val="32"/>
          <w:szCs w:val="32"/>
          <w:highlight w:val="none"/>
        </w:rPr>
        <w:t>万元，支出决算为</w:t>
      </w:r>
      <w:r>
        <w:rPr>
          <w:rFonts w:hint="eastAsia" w:asciiTheme="minorEastAsia" w:hAnsiTheme="minorEastAsia" w:eastAsiaTheme="minorEastAsia"/>
          <w:color w:val="auto"/>
          <w:sz w:val="32"/>
          <w:szCs w:val="32"/>
          <w:highlight w:val="none"/>
          <w:lang w:val="en-US" w:eastAsia="zh-CN"/>
        </w:rPr>
        <w:t>1451.18</w:t>
      </w:r>
      <w:r>
        <w:rPr>
          <w:rFonts w:hint="eastAsia" w:asciiTheme="minorEastAsia" w:hAnsiTheme="minorEastAsia" w:eastAsiaTheme="minorEastAsia"/>
          <w:color w:val="auto"/>
          <w:sz w:val="32"/>
          <w:szCs w:val="32"/>
          <w:highlight w:val="none"/>
        </w:rPr>
        <w:t>万元，完成年初预算的</w:t>
      </w:r>
      <w:r>
        <w:rPr>
          <w:rFonts w:hint="eastAsia" w:asciiTheme="minorEastAsia" w:hAnsiTheme="minorEastAsia" w:eastAsiaTheme="minorEastAsia"/>
          <w:color w:val="auto"/>
          <w:sz w:val="32"/>
          <w:szCs w:val="32"/>
          <w:highlight w:val="none"/>
          <w:lang w:val="en-US" w:eastAsia="zh-CN"/>
        </w:rPr>
        <w:t>100</w:t>
      </w:r>
      <w:r>
        <w:rPr>
          <w:rFonts w:hint="eastAsia" w:asciiTheme="minorEastAsia" w:hAnsiTheme="minorEastAsia" w:eastAsiaTheme="minorEastAsia"/>
          <w:color w:val="auto"/>
          <w:sz w:val="32"/>
          <w:szCs w:val="32"/>
          <w:highlight w:val="none"/>
        </w:rPr>
        <w:t>%</w:t>
      </w:r>
      <w:r>
        <w:rPr>
          <w:rFonts w:hint="eastAsia" w:asciiTheme="minorEastAsia" w:hAnsiTheme="minorEastAsia" w:eastAsiaTheme="minorEastAsia"/>
          <w:color w:val="auto"/>
          <w:sz w:val="32"/>
          <w:szCs w:val="32"/>
          <w:highlight w:val="none"/>
          <w:lang w:eastAsia="zh-CN"/>
        </w:rPr>
        <w:t>。</w:t>
      </w:r>
    </w:p>
    <w:p>
      <w:pPr>
        <w:pStyle w:val="10"/>
        <w:ind w:firstLine="800" w:firstLineChars="250"/>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lang w:val="en-US" w:eastAsia="zh-CN"/>
        </w:rPr>
        <w:t>3</w:t>
      </w:r>
      <w:r>
        <w:rPr>
          <w:rFonts w:hint="eastAsia" w:asciiTheme="minorEastAsia" w:hAnsiTheme="minorEastAsia" w:eastAsiaTheme="minorEastAsia"/>
          <w:color w:val="auto"/>
          <w:sz w:val="32"/>
          <w:szCs w:val="32"/>
          <w:highlight w:val="none"/>
        </w:rPr>
        <w:t>、</w:t>
      </w:r>
      <w:r>
        <w:rPr>
          <w:rFonts w:hint="eastAsia" w:asciiTheme="minorEastAsia" w:hAnsiTheme="minorEastAsia" w:eastAsiaTheme="minorEastAsia"/>
          <w:color w:val="auto"/>
          <w:sz w:val="32"/>
          <w:szCs w:val="32"/>
          <w:highlight w:val="none"/>
          <w:lang w:val="en-US" w:eastAsia="zh-CN"/>
        </w:rPr>
        <w:t>教育支出</w:t>
      </w:r>
      <w:r>
        <w:rPr>
          <w:rFonts w:hint="eastAsia" w:asciiTheme="minorEastAsia" w:hAnsiTheme="minorEastAsia" w:eastAsiaTheme="minorEastAsia"/>
          <w:color w:val="auto"/>
          <w:sz w:val="32"/>
          <w:szCs w:val="32"/>
          <w:highlight w:val="none"/>
        </w:rPr>
        <w:t>（类）</w:t>
      </w:r>
      <w:r>
        <w:rPr>
          <w:rFonts w:hint="eastAsia" w:asciiTheme="minorEastAsia" w:hAnsiTheme="minorEastAsia" w:eastAsiaTheme="minorEastAsia"/>
          <w:color w:val="auto"/>
          <w:sz w:val="32"/>
          <w:szCs w:val="32"/>
          <w:highlight w:val="none"/>
          <w:lang w:val="en-US" w:eastAsia="zh-CN"/>
        </w:rPr>
        <w:t>普通教育（款）初中教育（项）</w:t>
      </w:r>
      <w:r>
        <w:rPr>
          <w:rFonts w:hint="eastAsia" w:asciiTheme="minorEastAsia" w:hAnsiTheme="minorEastAsia" w:eastAsiaTheme="minorEastAsia"/>
          <w:color w:val="auto"/>
          <w:sz w:val="32"/>
          <w:szCs w:val="32"/>
          <w:highlight w:val="none"/>
        </w:rPr>
        <w:t>。</w:t>
      </w:r>
    </w:p>
    <w:p>
      <w:pPr>
        <w:pStyle w:val="10"/>
        <w:ind w:firstLine="800" w:firstLineChars="250"/>
        <w:rPr>
          <w:color w:val="auto"/>
          <w:highlight w:val="none"/>
        </w:rPr>
      </w:pPr>
      <w:r>
        <w:rPr>
          <w:rFonts w:hint="eastAsia" w:asciiTheme="minorEastAsia" w:hAnsiTheme="minorEastAsia" w:eastAsiaTheme="minorEastAsia"/>
          <w:color w:val="auto"/>
          <w:sz w:val="32"/>
          <w:szCs w:val="32"/>
          <w:highlight w:val="none"/>
        </w:rPr>
        <w:t>年初预算为</w:t>
      </w:r>
      <w:r>
        <w:rPr>
          <w:rFonts w:hint="eastAsia" w:asciiTheme="minorEastAsia" w:hAnsiTheme="minorEastAsia" w:eastAsiaTheme="minorEastAsia"/>
          <w:color w:val="auto"/>
          <w:sz w:val="32"/>
          <w:szCs w:val="32"/>
          <w:highlight w:val="none"/>
          <w:lang w:val="en-US" w:eastAsia="zh-CN"/>
        </w:rPr>
        <w:t>1241.31</w:t>
      </w:r>
      <w:r>
        <w:rPr>
          <w:rFonts w:hint="eastAsia" w:asciiTheme="minorEastAsia" w:hAnsiTheme="minorEastAsia" w:eastAsiaTheme="minorEastAsia"/>
          <w:color w:val="auto"/>
          <w:sz w:val="32"/>
          <w:szCs w:val="32"/>
          <w:highlight w:val="none"/>
        </w:rPr>
        <w:t>万元，支出决算为</w:t>
      </w:r>
      <w:r>
        <w:rPr>
          <w:rFonts w:hint="eastAsia" w:asciiTheme="minorEastAsia" w:hAnsiTheme="minorEastAsia" w:eastAsiaTheme="minorEastAsia"/>
          <w:color w:val="auto"/>
          <w:sz w:val="32"/>
          <w:szCs w:val="32"/>
          <w:highlight w:val="none"/>
          <w:lang w:val="en-US" w:eastAsia="zh-CN"/>
        </w:rPr>
        <w:t>1127.67</w:t>
      </w:r>
      <w:r>
        <w:rPr>
          <w:rFonts w:hint="eastAsia" w:asciiTheme="minorEastAsia" w:hAnsiTheme="minorEastAsia" w:eastAsiaTheme="minorEastAsia"/>
          <w:color w:val="auto"/>
          <w:sz w:val="32"/>
          <w:szCs w:val="32"/>
          <w:highlight w:val="none"/>
        </w:rPr>
        <w:t>万元，完成年初预算的</w:t>
      </w:r>
      <w:r>
        <w:rPr>
          <w:rFonts w:hint="eastAsia" w:asciiTheme="minorEastAsia" w:hAnsiTheme="minorEastAsia" w:eastAsiaTheme="minorEastAsia"/>
          <w:color w:val="auto"/>
          <w:sz w:val="32"/>
          <w:szCs w:val="32"/>
          <w:highlight w:val="none"/>
          <w:lang w:val="en-US" w:eastAsia="zh-CN"/>
        </w:rPr>
        <w:t>90.85</w:t>
      </w:r>
      <w:r>
        <w:rPr>
          <w:rFonts w:hint="eastAsia" w:asciiTheme="minorEastAsia" w:hAnsiTheme="minorEastAsia" w:eastAsiaTheme="minorEastAsia"/>
          <w:color w:val="auto"/>
          <w:sz w:val="32"/>
          <w:szCs w:val="32"/>
          <w:highlight w:val="none"/>
        </w:rPr>
        <w:t>%</w:t>
      </w:r>
      <w:r>
        <w:rPr>
          <w:rFonts w:hint="eastAsia" w:asciiTheme="minorEastAsia" w:hAnsiTheme="minorEastAsia" w:eastAsiaTheme="minorEastAsia"/>
          <w:color w:val="auto"/>
          <w:sz w:val="32"/>
          <w:szCs w:val="32"/>
          <w:highlight w:val="none"/>
          <w:lang w:eastAsia="zh-CN"/>
        </w:rPr>
        <w:t>，</w:t>
      </w:r>
      <w:r>
        <w:rPr>
          <w:rFonts w:hint="eastAsia" w:asciiTheme="minorEastAsia" w:hAnsiTheme="minorEastAsia" w:eastAsiaTheme="minorEastAsia"/>
          <w:color w:val="auto"/>
          <w:sz w:val="32"/>
          <w:szCs w:val="32"/>
          <w:highlight w:val="none"/>
        </w:rPr>
        <w:t>决算数小于年初预算数的主要原因是</w:t>
      </w:r>
      <w:r>
        <w:rPr>
          <w:rFonts w:hint="eastAsia" w:asciiTheme="minorEastAsia" w:hAnsiTheme="minorEastAsia" w:eastAsiaTheme="minorEastAsia"/>
          <w:color w:val="auto"/>
          <w:sz w:val="32"/>
          <w:szCs w:val="32"/>
          <w:highlight w:val="none"/>
          <w:lang w:val="en-US" w:eastAsia="zh-CN"/>
        </w:rPr>
        <w:t>人员减少，公用经费减少。</w:t>
      </w:r>
    </w:p>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2021年度财政拨款基本支出</w:t>
      </w:r>
      <w:r>
        <w:rPr>
          <w:rFonts w:hint="eastAsia" w:asciiTheme="minorEastAsia" w:hAnsiTheme="minorEastAsia" w:eastAsiaTheme="minorEastAsia"/>
          <w:sz w:val="32"/>
          <w:szCs w:val="32"/>
          <w:lang w:val="en-US" w:eastAsia="zh-CN"/>
        </w:rPr>
        <w:t>2690.84</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2506.27</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93.14</w:t>
      </w:r>
      <w:r>
        <w:rPr>
          <w:rFonts w:hint="eastAsia" w:asciiTheme="minorEastAsia" w:hAnsiTheme="minorEastAsia" w:eastAsiaTheme="minorEastAsia"/>
          <w:sz w:val="32"/>
          <w:szCs w:val="32"/>
        </w:rPr>
        <w:t>%,主要包括基本工资、津贴补贴</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绩效工资、机关事业单位基本养老保险、职工基本医疗保险缴费、其他社会保障缴费、其他工资福利支出</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184.57</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6.86</w:t>
      </w:r>
      <w:r>
        <w:rPr>
          <w:rFonts w:hint="eastAsia" w:asciiTheme="minorEastAsia" w:hAnsiTheme="minorEastAsia" w:eastAsiaTheme="minorEastAsia"/>
          <w:sz w:val="32"/>
          <w:szCs w:val="32"/>
        </w:rPr>
        <w:t>%，主要包括办公费、印刷费、</w:t>
      </w:r>
      <w:r>
        <w:rPr>
          <w:rFonts w:hint="eastAsia" w:asciiTheme="minorEastAsia" w:hAnsiTheme="minorEastAsia" w:eastAsiaTheme="minorEastAsia"/>
          <w:sz w:val="32"/>
          <w:szCs w:val="32"/>
          <w:lang w:val="en-US" w:eastAsia="zh-CN"/>
        </w:rPr>
        <w:t>水费、电费、差旅费、维修费、培训费、劳务费、工会经费。</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hint="eastAsia"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本单位本年度无“三公”经费。</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本单位本年度无“三公”经费。</w:t>
      </w:r>
    </w:p>
    <w:p>
      <w:pPr>
        <w:pStyle w:val="10"/>
        <w:rPr>
          <w:rFonts w:hAnsi="黑体"/>
          <w:b/>
          <w:sz w:val="32"/>
          <w:szCs w:val="32"/>
        </w:rPr>
      </w:pPr>
      <w:r>
        <w:rPr>
          <w:rFonts w:hint="eastAsia" w:hAnsi="黑体"/>
          <w:b/>
          <w:sz w:val="32"/>
          <w:szCs w:val="32"/>
        </w:rPr>
        <w:t>八、政府性基金预算收入支出决算情况</w:t>
      </w:r>
    </w:p>
    <w:p>
      <w:pPr>
        <w:pStyle w:val="10"/>
        <w:ind w:firstLine="800" w:firstLineChars="250"/>
        <w:rPr>
          <w:rFonts w:hint="default" w:asciiTheme="minorEastAsia" w:hAnsiTheme="minorEastAsia" w:eastAsiaTheme="minorEastAsia"/>
          <w:sz w:val="32"/>
          <w:szCs w:val="32"/>
          <w:lang w:val="en-US"/>
        </w:rPr>
      </w:pPr>
      <w:r>
        <w:rPr>
          <w:rFonts w:hint="eastAsia" w:asciiTheme="minorEastAsia" w:hAnsiTheme="minorEastAsia" w:eastAsiaTheme="minorEastAsia"/>
          <w:sz w:val="32"/>
          <w:szCs w:val="32"/>
          <w:lang w:val="en-US" w:eastAsia="zh-CN"/>
        </w:rPr>
        <w:t>本单位本年度无政府行基金经费收支。</w:t>
      </w:r>
    </w:p>
    <w:p>
      <w:pPr>
        <w:pStyle w:val="10"/>
        <w:rPr>
          <w:rFonts w:hAnsi="黑体"/>
          <w:b/>
          <w:sz w:val="32"/>
          <w:szCs w:val="32"/>
        </w:rPr>
      </w:pPr>
      <w:r>
        <w:rPr>
          <w:rFonts w:hint="eastAsia" w:hAnsi="黑体"/>
          <w:b/>
          <w:sz w:val="32"/>
          <w:szCs w:val="32"/>
        </w:rPr>
        <w:t>九、机关运行经费支出说明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color w:val="auto"/>
          <w:sz w:val="32"/>
          <w:szCs w:val="32"/>
        </w:rPr>
        <w:t>本部门2021年度机关运行经费支出</w:t>
      </w:r>
      <w:r>
        <w:rPr>
          <w:rFonts w:hint="eastAsia" w:asciiTheme="minorEastAsia" w:hAnsiTheme="minorEastAsia" w:eastAsiaTheme="minorEastAsia"/>
          <w:color w:val="auto"/>
          <w:sz w:val="32"/>
          <w:szCs w:val="32"/>
          <w:lang w:val="en-US" w:eastAsia="zh-CN"/>
        </w:rPr>
        <w:t>29.8</w:t>
      </w:r>
      <w:r>
        <w:rPr>
          <w:rFonts w:hint="eastAsia" w:asciiTheme="minorEastAsia" w:hAnsiTheme="minorEastAsia" w:eastAsiaTheme="minorEastAsia"/>
          <w:color w:val="auto"/>
          <w:sz w:val="32"/>
          <w:szCs w:val="32"/>
        </w:rPr>
        <w:t>万元，比上年决算数减少</w:t>
      </w:r>
      <w:r>
        <w:rPr>
          <w:rFonts w:hint="eastAsia" w:asciiTheme="minorEastAsia" w:hAnsiTheme="minorEastAsia" w:eastAsiaTheme="minorEastAsia"/>
          <w:color w:val="auto"/>
          <w:sz w:val="32"/>
          <w:szCs w:val="32"/>
          <w:lang w:val="en-US" w:eastAsia="zh-CN"/>
        </w:rPr>
        <w:t>10.08</w:t>
      </w:r>
      <w:r>
        <w:rPr>
          <w:rFonts w:hint="eastAsia" w:asciiTheme="minorEastAsia" w:hAnsiTheme="minorEastAsia" w:eastAsiaTheme="minorEastAsia"/>
          <w:color w:val="auto"/>
          <w:sz w:val="32"/>
          <w:szCs w:val="32"/>
        </w:rPr>
        <w:t>万元，降低</w:t>
      </w:r>
      <w:r>
        <w:rPr>
          <w:rFonts w:hint="eastAsia" w:asciiTheme="minorEastAsia" w:hAnsiTheme="minorEastAsia" w:eastAsiaTheme="minorEastAsia"/>
          <w:color w:val="auto"/>
          <w:sz w:val="32"/>
          <w:szCs w:val="32"/>
          <w:lang w:val="en-US" w:eastAsia="zh-CN"/>
        </w:rPr>
        <w:t>25.28</w:t>
      </w:r>
      <w:r>
        <w:rPr>
          <w:rFonts w:hint="eastAsia" w:asciiTheme="minorEastAsia" w:hAnsiTheme="minorEastAsia" w:eastAsiaTheme="minorEastAsia"/>
          <w:color w:val="auto"/>
          <w:sz w:val="32"/>
          <w:szCs w:val="32"/>
        </w:rPr>
        <w:t>%。主要原因是：</w:t>
      </w:r>
      <w:r>
        <w:rPr>
          <w:rFonts w:hint="eastAsia" w:asciiTheme="minorEastAsia" w:hAnsiTheme="minorEastAsia" w:eastAsiaTheme="minorEastAsia"/>
          <w:color w:val="auto"/>
          <w:sz w:val="32"/>
          <w:szCs w:val="32"/>
          <w:lang w:val="en-US" w:eastAsia="zh-CN"/>
        </w:rPr>
        <w:t>办公费支出减少。</w:t>
      </w:r>
    </w:p>
    <w:p>
      <w:pPr>
        <w:pStyle w:val="10"/>
        <w:numPr>
          <w:ilvl w:val="0"/>
          <w:numId w:val="2"/>
        </w:numPr>
        <w:rPr>
          <w:rFonts w:hint="eastAsia" w:hAnsi="黑体"/>
          <w:b/>
          <w:sz w:val="32"/>
          <w:szCs w:val="32"/>
        </w:rPr>
      </w:pPr>
      <w:r>
        <w:rPr>
          <w:rFonts w:hint="eastAsia" w:hAnsi="黑体"/>
          <w:b/>
          <w:sz w:val="32"/>
          <w:szCs w:val="32"/>
        </w:rPr>
        <w:t>一般性支出情况说明</w:t>
      </w:r>
    </w:p>
    <w:p>
      <w:pPr>
        <w:pStyle w:val="10"/>
        <w:ind w:firstLine="640" w:firstLineChars="200"/>
        <w:rPr>
          <w:rFonts w:hint="eastAsia" w:asciiTheme="minorEastAsia" w:hAnsiTheme="minorEastAsia" w:eastAsiaTheme="minorEastAsia"/>
          <w:sz w:val="32"/>
          <w:szCs w:val="32"/>
          <w:highlight w:val="magenta"/>
          <w:lang w:val="en-US" w:eastAsia="zh-CN"/>
        </w:rPr>
      </w:pPr>
      <w:r>
        <w:rPr>
          <w:rFonts w:hint="eastAsia" w:asciiTheme="minorEastAsia" w:hAnsiTheme="minorEastAsia" w:eastAsiaTheme="minorEastAsia"/>
          <w:sz w:val="32"/>
          <w:szCs w:val="32"/>
          <w:highlight w:val="none"/>
        </w:rPr>
        <w:t>2021年本部门开支会议费</w:t>
      </w:r>
      <w:r>
        <w:rPr>
          <w:rFonts w:hint="eastAsia" w:asciiTheme="minorEastAsia" w:hAnsiTheme="minorEastAsia" w:eastAsiaTheme="minorEastAsia"/>
          <w:sz w:val="32"/>
          <w:szCs w:val="32"/>
          <w:highlight w:val="none"/>
          <w:lang w:val="en-US" w:eastAsia="zh-CN"/>
        </w:rPr>
        <w:t>0</w:t>
      </w:r>
      <w:r>
        <w:rPr>
          <w:rFonts w:hint="eastAsia" w:asciiTheme="minorEastAsia" w:hAnsiTheme="minorEastAsia" w:eastAsiaTheme="minorEastAsia"/>
          <w:sz w:val="32"/>
          <w:szCs w:val="32"/>
          <w:highlight w:val="none"/>
        </w:rPr>
        <w:t>万元；开支培训费</w:t>
      </w:r>
      <w:r>
        <w:rPr>
          <w:rFonts w:hint="eastAsia" w:asciiTheme="minorEastAsia" w:hAnsiTheme="minorEastAsia" w:eastAsiaTheme="minorEastAsia"/>
          <w:sz w:val="32"/>
          <w:szCs w:val="32"/>
          <w:highlight w:val="none"/>
          <w:lang w:val="en-US" w:eastAsia="zh-CN"/>
        </w:rPr>
        <w:t>0.312</w:t>
      </w:r>
      <w:r>
        <w:rPr>
          <w:rFonts w:hint="eastAsia" w:asciiTheme="minorEastAsia" w:hAnsiTheme="minorEastAsia" w:eastAsiaTheme="minorEastAsia"/>
          <w:sz w:val="32"/>
          <w:szCs w:val="32"/>
          <w:highlight w:val="none"/>
        </w:rPr>
        <w:t>万元，用于开展</w:t>
      </w:r>
      <w:r>
        <w:rPr>
          <w:rFonts w:hint="eastAsia" w:asciiTheme="minorEastAsia" w:hAnsiTheme="minorEastAsia" w:eastAsiaTheme="minorEastAsia"/>
          <w:sz w:val="32"/>
          <w:szCs w:val="32"/>
          <w:highlight w:val="none"/>
          <w:lang w:eastAsia="zh-CN"/>
        </w:rPr>
        <w:t>湘潭市骨干园长规范办园能力提升</w:t>
      </w:r>
      <w:r>
        <w:rPr>
          <w:rFonts w:hint="eastAsia" w:asciiTheme="minorEastAsia" w:hAnsiTheme="minorEastAsia" w:eastAsiaTheme="minorEastAsia"/>
          <w:sz w:val="32"/>
          <w:szCs w:val="32"/>
          <w:highlight w:val="none"/>
        </w:rPr>
        <w:t>培训，人数</w:t>
      </w:r>
      <w:r>
        <w:rPr>
          <w:rFonts w:hint="eastAsia" w:asciiTheme="minorEastAsia" w:hAnsiTheme="minorEastAsia" w:eastAsiaTheme="minorEastAsia"/>
          <w:sz w:val="32"/>
          <w:szCs w:val="32"/>
          <w:highlight w:val="none"/>
          <w:lang w:val="en-US" w:eastAsia="zh-CN"/>
        </w:rPr>
        <w:t>1</w:t>
      </w:r>
      <w:r>
        <w:rPr>
          <w:rFonts w:hint="eastAsia" w:asciiTheme="minorEastAsia" w:hAnsiTheme="minorEastAsia" w:eastAsiaTheme="minorEastAsia"/>
          <w:sz w:val="32"/>
          <w:szCs w:val="32"/>
          <w:highlight w:val="none"/>
        </w:rPr>
        <w:t>人，内容为</w:t>
      </w:r>
      <w:r>
        <w:rPr>
          <w:rFonts w:hint="eastAsia" w:asciiTheme="minorEastAsia" w:hAnsiTheme="minorEastAsia" w:eastAsiaTheme="minorEastAsia"/>
          <w:sz w:val="32"/>
          <w:szCs w:val="32"/>
          <w:highlight w:val="none"/>
          <w:lang w:eastAsia="zh-CN"/>
        </w:rPr>
        <w:t>住宿费与差旅费</w:t>
      </w:r>
      <w:r>
        <w:rPr>
          <w:rFonts w:hint="eastAsia" w:asciiTheme="minorEastAsia" w:hAnsiTheme="minorEastAsia" w:eastAsiaTheme="minorEastAsia"/>
          <w:sz w:val="32"/>
          <w:szCs w:val="32"/>
          <w:highlight w:val="none"/>
        </w:rPr>
        <w:t>；开支培训费</w:t>
      </w:r>
      <w:r>
        <w:rPr>
          <w:rFonts w:hint="eastAsia" w:asciiTheme="minorEastAsia" w:hAnsiTheme="minorEastAsia" w:eastAsiaTheme="minorEastAsia"/>
          <w:sz w:val="32"/>
          <w:szCs w:val="32"/>
          <w:highlight w:val="none"/>
          <w:lang w:val="en-US" w:eastAsia="zh-CN"/>
        </w:rPr>
        <w:t>0.035</w:t>
      </w:r>
      <w:r>
        <w:rPr>
          <w:rFonts w:hint="eastAsia" w:asciiTheme="minorEastAsia" w:hAnsiTheme="minorEastAsia" w:eastAsiaTheme="minorEastAsia"/>
          <w:sz w:val="32"/>
          <w:szCs w:val="32"/>
          <w:highlight w:val="none"/>
        </w:rPr>
        <w:t>万元，用于开展</w:t>
      </w:r>
      <w:r>
        <w:rPr>
          <w:rFonts w:hint="eastAsia" w:asciiTheme="minorEastAsia" w:hAnsiTheme="minorEastAsia" w:eastAsiaTheme="minorEastAsia"/>
          <w:sz w:val="32"/>
          <w:szCs w:val="32"/>
          <w:highlight w:val="none"/>
          <w:lang w:eastAsia="zh-CN"/>
        </w:rPr>
        <w:t>保育员</w:t>
      </w:r>
      <w:r>
        <w:rPr>
          <w:rFonts w:hint="eastAsia" w:asciiTheme="minorEastAsia" w:hAnsiTheme="minorEastAsia" w:eastAsiaTheme="minorEastAsia"/>
          <w:sz w:val="32"/>
          <w:szCs w:val="32"/>
          <w:highlight w:val="none"/>
        </w:rPr>
        <w:t>培训，人数</w:t>
      </w:r>
      <w:r>
        <w:rPr>
          <w:rFonts w:hint="eastAsia" w:asciiTheme="minorEastAsia" w:hAnsiTheme="minorEastAsia" w:eastAsiaTheme="minorEastAsia"/>
          <w:sz w:val="32"/>
          <w:szCs w:val="32"/>
          <w:highlight w:val="none"/>
          <w:lang w:val="en-US" w:eastAsia="zh-CN"/>
        </w:rPr>
        <w:t>1</w:t>
      </w:r>
      <w:r>
        <w:rPr>
          <w:rFonts w:hint="eastAsia" w:asciiTheme="minorEastAsia" w:hAnsiTheme="minorEastAsia" w:eastAsiaTheme="minorEastAsia"/>
          <w:sz w:val="32"/>
          <w:szCs w:val="32"/>
          <w:highlight w:val="none"/>
        </w:rPr>
        <w:t>人，内容为</w:t>
      </w:r>
      <w:r>
        <w:rPr>
          <w:rFonts w:hint="eastAsia" w:asciiTheme="minorEastAsia" w:hAnsiTheme="minorEastAsia" w:eastAsiaTheme="minorEastAsia"/>
          <w:sz w:val="32"/>
          <w:szCs w:val="32"/>
          <w:highlight w:val="none"/>
          <w:lang w:eastAsia="zh-CN"/>
        </w:rPr>
        <w:t>培训费</w:t>
      </w:r>
      <w:r>
        <w:rPr>
          <w:rFonts w:hint="eastAsia" w:asciiTheme="minorEastAsia" w:hAnsiTheme="minorEastAsia" w:eastAsiaTheme="minorEastAsia"/>
          <w:sz w:val="32"/>
          <w:szCs w:val="32"/>
          <w:highlight w:val="none"/>
        </w:rPr>
        <w:t>。</w:t>
      </w:r>
    </w:p>
    <w:p>
      <w:pPr>
        <w:pStyle w:val="10"/>
        <w:rPr>
          <w:rFonts w:hAnsi="黑体"/>
          <w:b/>
          <w:sz w:val="32"/>
          <w:szCs w:val="32"/>
        </w:rPr>
      </w:pPr>
      <w:r>
        <w:rPr>
          <w:rFonts w:hint="eastAsia" w:hAnsi="黑体"/>
          <w:b/>
          <w:sz w:val="32"/>
          <w:szCs w:val="32"/>
        </w:rPr>
        <w:t>十一、政府采购支出说明</w:t>
      </w:r>
    </w:p>
    <w:p>
      <w:pPr>
        <w:pStyle w:val="10"/>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本部门2021年度政府采购支出总额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0"/>
        <w:rPr>
          <w:rFonts w:hAnsi="黑体"/>
          <w:b/>
          <w:sz w:val="32"/>
          <w:szCs w:val="32"/>
        </w:rPr>
      </w:pPr>
      <w:r>
        <w:rPr>
          <w:rFonts w:hint="eastAsia" w:hAnsi="黑体"/>
          <w:b/>
          <w:sz w:val="32"/>
          <w:szCs w:val="32"/>
        </w:rPr>
        <w:t>十二、国有资产占用情况说明</w:t>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截至2021年12月31日，单位</w:t>
      </w:r>
      <w:r>
        <w:rPr>
          <w:rFonts w:hint="eastAsia" w:asciiTheme="minorEastAsia" w:hAnsiTheme="minorEastAsia" w:eastAsiaTheme="minorEastAsia"/>
          <w:sz w:val="32"/>
          <w:szCs w:val="32"/>
          <w:lang w:val="en-US" w:eastAsia="zh-CN"/>
        </w:rPr>
        <w:t>无</w:t>
      </w:r>
      <w:r>
        <w:rPr>
          <w:rFonts w:hint="eastAsia" w:asciiTheme="minorEastAsia" w:hAnsiTheme="minorEastAsia" w:eastAsiaTheme="minorEastAsia"/>
          <w:sz w:val="32"/>
          <w:szCs w:val="32"/>
        </w:rPr>
        <w:t>价值50万元以上通用设备；</w:t>
      </w:r>
      <w:r>
        <w:rPr>
          <w:rFonts w:hint="eastAsia" w:asciiTheme="minorEastAsia" w:hAnsiTheme="minorEastAsia" w:eastAsiaTheme="minorEastAsia"/>
          <w:sz w:val="32"/>
          <w:szCs w:val="32"/>
          <w:lang w:val="en-US" w:eastAsia="zh-CN"/>
        </w:rPr>
        <w:t>无</w:t>
      </w:r>
      <w:r>
        <w:rPr>
          <w:rFonts w:hint="eastAsia" w:asciiTheme="minorEastAsia" w:hAnsiTheme="minorEastAsia" w:eastAsiaTheme="minorEastAsia"/>
          <w:sz w:val="32"/>
          <w:szCs w:val="32"/>
        </w:rPr>
        <w:t>价值100万元以上专用设备。</w:t>
      </w:r>
    </w:p>
    <w:p>
      <w:pPr>
        <w:pStyle w:val="10"/>
        <w:rPr>
          <w:rFonts w:hAnsi="黑体"/>
          <w:b/>
          <w:sz w:val="32"/>
          <w:szCs w:val="32"/>
        </w:rPr>
      </w:pPr>
      <w:r>
        <w:rPr>
          <w:rFonts w:hint="eastAsia" w:hAnsi="黑体"/>
          <w:b/>
          <w:sz w:val="32"/>
          <w:szCs w:val="32"/>
        </w:rPr>
        <w:t>十三、2021年度预算绩效情况说明</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b/>
          <w:color w:val="000000"/>
          <w:kern w:val="0"/>
          <w:sz w:val="32"/>
          <w:szCs w:val="32"/>
        </w:rPr>
        <w:t>（1）绩效管理评价工作开展情况</w:t>
      </w:r>
      <w:r>
        <w:rPr>
          <w:rFonts w:hint="eastAsia" w:cs="黑体" w:asciiTheme="minorEastAsia" w:hAnsiTheme="minorEastAsia"/>
          <w:color w:val="000000"/>
          <w:kern w:val="0"/>
          <w:sz w:val="32"/>
          <w:szCs w:val="32"/>
        </w:rPr>
        <w:t>。</w:t>
      </w:r>
    </w:p>
    <w:p>
      <w:pPr>
        <w:pStyle w:val="10"/>
        <w:ind w:firstLine="640" w:firstLineChars="200"/>
        <w:jc w:val="left"/>
        <w:rPr>
          <w:rFonts w:hint="default"/>
          <w:sz w:val="72"/>
          <w:szCs w:val="72"/>
          <w:lang w:val="en-US"/>
        </w:rPr>
      </w:pPr>
      <w:r>
        <w:rPr>
          <w:rFonts w:hint="eastAsia" w:ascii="新宋体" w:hAnsi="新宋体" w:eastAsia="新宋体"/>
          <w:b w:val="0"/>
          <w:bCs/>
          <w:color w:val="auto"/>
          <w:sz w:val="32"/>
          <w:szCs w:val="32"/>
          <w:lang w:val="en-US" w:eastAsia="zh-CN"/>
        </w:rPr>
        <w:t>本单位为二级预算单位，无项目绩效。</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both"/>
        <w:rPr>
          <w:sz w:val="72"/>
          <w:szCs w:val="72"/>
        </w:rPr>
      </w:pPr>
      <w:bookmarkStart w:id="3" w:name="_GoBack"/>
      <w:bookmarkEnd w:id="3"/>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pStyle w:val="10"/>
        <w:jc w:val="left"/>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一、财政拨款收入：指中央财政当年拨付的资金。</w:t>
      </w:r>
    </w:p>
    <w:p>
      <w:pPr>
        <w:pStyle w:val="10"/>
        <w:jc w:val="left"/>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二、其他收入：指除“财政拨款收入”、“事业收入”、“经营收入”等以外的收入。主要是按规定动用的售房收入、存款利息收入等。</w:t>
      </w:r>
    </w:p>
    <w:p>
      <w:pPr>
        <w:pStyle w:val="10"/>
        <w:jc w:val="left"/>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三、基本支出：指为保障机构正常运转、完成日常工作任务而发生的人员支出和公用支出。</w:t>
      </w:r>
    </w:p>
    <w:p>
      <w:pPr>
        <w:pStyle w:val="10"/>
        <w:jc w:val="left"/>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四、项目支出：指在基本支出之外为完成特定行政任务和事业发展目标所发生的支出。</w:t>
      </w:r>
    </w:p>
    <w:p>
      <w:pPr>
        <w:pStyle w:val="10"/>
        <w:jc w:val="left"/>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五、“三公”经费：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桥过路费、保险费、安全奖励费用等支出；公务接待费反映单位按规定开支的各类公务接待（含外宾接待）支出。</w:t>
      </w:r>
    </w:p>
    <w:p>
      <w:pPr>
        <w:pStyle w:val="10"/>
        <w:jc w:val="left"/>
        <w:rPr>
          <w:rFonts w:hint="eastAsia" w:eastAsia="黑体"/>
          <w:sz w:val="72"/>
          <w:szCs w:val="72"/>
          <w:lang w:val="en-US" w:eastAsia="zh-CN"/>
        </w:rPr>
      </w:pPr>
      <w:r>
        <w:rPr>
          <w:rFonts w:hint="eastAsia" w:ascii="宋体" w:hAnsi="宋体" w:eastAsia="宋体" w:cs="宋体"/>
          <w:b w:val="0"/>
          <w:bCs w:val="0"/>
          <w:sz w:val="32"/>
          <w:szCs w:val="32"/>
          <w:lang w:val="en-US" w:eastAsia="zh-CN"/>
        </w:rPr>
        <w:t>六、机关运行经费：为保障行政单位（含参照公务员法管理的的事业单位）运行用于购买货物和服务的各项资金，包括办公费、印刷费、邮电费、差旅费、会议费、福利费、日常维修费、专用材料费、一般设备购置费、水电费、取暖费、公务用车运行维护费以及其他费用。</w:t>
      </w:r>
    </w:p>
    <w:p>
      <w:pPr>
        <w:pStyle w:val="10"/>
        <w:jc w:val="both"/>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hint="default" w:ascii="黑体" w:eastAsia="黑体" w:cs="黑体"/>
          <w:color w:val="000000"/>
          <w:kern w:val="0"/>
          <w:sz w:val="70"/>
          <w:szCs w:val="70"/>
          <w:lang w:val="en-US" w:eastAsia="zh-CN"/>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left"/>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b/>
          <w:color w:val="000000"/>
          <w:kern w:val="0"/>
          <w:sz w:val="32"/>
          <w:szCs w:val="32"/>
          <w:lang w:eastAsia="zh-CN"/>
        </w:rPr>
        <w:t>无</w:t>
      </w:r>
    </w:p>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F63AF5A3-AD04-47D5-BB61-5DC610331EA5}"/>
  </w:font>
  <w:font w:name="黑体">
    <w:panose1 w:val="02010609060101010101"/>
    <w:charset w:val="86"/>
    <w:family w:val="auto"/>
    <w:pitch w:val="default"/>
    <w:sig w:usb0="800002BF" w:usb1="38CF7CFA" w:usb2="00000016" w:usb3="00000000" w:csb0="00040001" w:csb1="00000000"/>
    <w:embedRegular r:id="rId2" w:fontKey="{00980609-C279-4C8C-8097-AA2E89A48A3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2531F1AA-0EC0-47A3-85EC-6328D1766FA8}"/>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embedRegular r:id="rId4" w:fontKey="{B134F6EE-7EB3-4CD0-80B0-CF9733FD342C}"/>
  </w:font>
  <w:font w:name="方正小标宋_GBK">
    <w:panose1 w:val="02000000000000000000"/>
    <w:charset w:val="86"/>
    <w:family w:val="script"/>
    <w:pitch w:val="default"/>
    <w:sig w:usb0="00000001" w:usb1="080E0000" w:usb2="00000000" w:usb3="00000000" w:csb0="00040000" w:csb1="00000000"/>
    <w:embedRegular r:id="rId5" w:fontKey="{EE2EF4E5-EC4F-4E8E-B00A-71D65F121FCF}"/>
  </w:font>
  <w:font w:name="新宋体">
    <w:panose1 w:val="02010609030101010101"/>
    <w:charset w:val="86"/>
    <w:family w:val="modern"/>
    <w:pitch w:val="default"/>
    <w:sig w:usb0="00000283" w:usb1="288F0000" w:usb2="00000006" w:usb3="00000000" w:csb0="00040001" w:csb1="00000000"/>
    <w:embedRegular r:id="rId6" w:fontKey="{F1E98059-16F9-49D3-8A5E-EC8109304077}"/>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776C07"/>
    <w:multiLevelType w:val="singleLevel"/>
    <w:tmpl w:val="C5776C07"/>
    <w:lvl w:ilvl="0" w:tentative="0">
      <w:start w:val="10"/>
      <w:numFmt w:val="chineseCounting"/>
      <w:suff w:val="nothing"/>
      <w:lvlText w:val="%1、"/>
      <w:lvlJc w:val="left"/>
      <w:rPr>
        <w:rFonts w:hint="eastAsia"/>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yMjhkNjc2ZDIwYTA3OTQxYWFjMjEwOTM2NjBiNDYifQ=="/>
  </w:docVars>
  <w:rsids>
    <w:rsidRoot w:val="00172A27"/>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017B3F96"/>
    <w:rsid w:val="08156117"/>
    <w:rsid w:val="0CCB3955"/>
    <w:rsid w:val="0FEF4712"/>
    <w:rsid w:val="12DE60E2"/>
    <w:rsid w:val="155D7285"/>
    <w:rsid w:val="17255A22"/>
    <w:rsid w:val="18BA2658"/>
    <w:rsid w:val="1B882A24"/>
    <w:rsid w:val="1E6C03DB"/>
    <w:rsid w:val="26000782"/>
    <w:rsid w:val="293E7B22"/>
    <w:rsid w:val="2B57060A"/>
    <w:rsid w:val="2B5B67E3"/>
    <w:rsid w:val="2D4B4866"/>
    <w:rsid w:val="2E61679C"/>
    <w:rsid w:val="2E865D66"/>
    <w:rsid w:val="2EE62013"/>
    <w:rsid w:val="310A1408"/>
    <w:rsid w:val="34C603ED"/>
    <w:rsid w:val="363C3FC2"/>
    <w:rsid w:val="392953DC"/>
    <w:rsid w:val="3BE65909"/>
    <w:rsid w:val="3D88112D"/>
    <w:rsid w:val="41886D7F"/>
    <w:rsid w:val="43DF63AB"/>
    <w:rsid w:val="47376B26"/>
    <w:rsid w:val="4A1F0301"/>
    <w:rsid w:val="4E36583C"/>
    <w:rsid w:val="529C53B1"/>
    <w:rsid w:val="52F42C1D"/>
    <w:rsid w:val="54CC7BFA"/>
    <w:rsid w:val="551358E8"/>
    <w:rsid w:val="5685159C"/>
    <w:rsid w:val="58B419BB"/>
    <w:rsid w:val="590B47F2"/>
    <w:rsid w:val="5B07235A"/>
    <w:rsid w:val="5D170F36"/>
    <w:rsid w:val="61836A3A"/>
    <w:rsid w:val="61FF52A0"/>
    <w:rsid w:val="624A693A"/>
    <w:rsid w:val="62C51241"/>
    <w:rsid w:val="68202C10"/>
    <w:rsid w:val="6F7572D3"/>
    <w:rsid w:val="745A59BB"/>
    <w:rsid w:val="74AD2E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5264</Words>
  <Characters>6652</Characters>
  <Lines>69</Lines>
  <Paragraphs>19</Paragraphs>
  <TotalTime>5</TotalTime>
  <ScaleCrop>false</ScaleCrop>
  <LinksUpToDate>false</LinksUpToDate>
  <CharactersWithSpaces>7516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栖</cp:lastModifiedBy>
  <cp:lastPrinted>2022-10-11T08:21:00Z</cp:lastPrinted>
  <dcterms:modified xsi:type="dcterms:W3CDTF">2022-10-13T07:30:23Z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3CCD3735B36F41F584A73724D544ACA5</vt:lpwstr>
  </property>
</Properties>
</file>