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E33" w:rsidRDefault="00D17E33">
      <w:pPr>
        <w:pStyle w:val="Default"/>
        <w:jc w:val="center"/>
        <w:rPr>
          <w:sz w:val="56"/>
          <w:szCs w:val="56"/>
        </w:rPr>
      </w:pPr>
    </w:p>
    <w:p w:rsidR="00D17E33" w:rsidRDefault="00D17E33">
      <w:pPr>
        <w:pStyle w:val="Default"/>
        <w:jc w:val="center"/>
        <w:rPr>
          <w:sz w:val="56"/>
          <w:szCs w:val="56"/>
        </w:rPr>
      </w:pPr>
    </w:p>
    <w:p w:rsidR="00D17E33" w:rsidRDefault="00D17E33">
      <w:pPr>
        <w:pStyle w:val="Default"/>
        <w:jc w:val="center"/>
        <w:rPr>
          <w:sz w:val="84"/>
          <w:szCs w:val="84"/>
        </w:rPr>
      </w:pPr>
    </w:p>
    <w:p w:rsidR="00D17E33" w:rsidRDefault="00D17E33">
      <w:pPr>
        <w:pStyle w:val="Default"/>
        <w:jc w:val="center"/>
        <w:rPr>
          <w:sz w:val="84"/>
          <w:szCs w:val="84"/>
        </w:rPr>
      </w:pPr>
    </w:p>
    <w:p w:rsidR="00D17E33" w:rsidRDefault="00707424">
      <w:pPr>
        <w:pStyle w:val="Default"/>
        <w:jc w:val="center"/>
        <w:rPr>
          <w:sz w:val="84"/>
          <w:szCs w:val="84"/>
        </w:rPr>
      </w:pPr>
      <w:r>
        <w:rPr>
          <w:rFonts w:hint="eastAsia"/>
          <w:sz w:val="84"/>
          <w:szCs w:val="84"/>
        </w:rPr>
        <w:t>2021</w:t>
      </w:r>
      <w:r>
        <w:rPr>
          <w:rFonts w:hint="eastAsia"/>
          <w:sz w:val="84"/>
          <w:szCs w:val="84"/>
        </w:rPr>
        <w:t>年度</w:t>
      </w:r>
    </w:p>
    <w:p w:rsidR="00D17E33" w:rsidRDefault="00707424">
      <w:pPr>
        <w:pStyle w:val="Default"/>
        <w:jc w:val="center"/>
        <w:rPr>
          <w:sz w:val="84"/>
          <w:szCs w:val="84"/>
        </w:rPr>
      </w:pPr>
      <w:r>
        <w:rPr>
          <w:rFonts w:hint="eastAsia"/>
          <w:sz w:val="84"/>
          <w:szCs w:val="84"/>
        </w:rPr>
        <w:t>湘乡市山枣中心学校</w:t>
      </w:r>
    </w:p>
    <w:p w:rsidR="00D17E33" w:rsidRDefault="00707424">
      <w:pPr>
        <w:pStyle w:val="Default"/>
        <w:jc w:val="center"/>
        <w:rPr>
          <w:sz w:val="84"/>
          <w:szCs w:val="84"/>
        </w:rPr>
      </w:pPr>
      <w:r>
        <w:rPr>
          <w:rFonts w:hint="eastAsia"/>
          <w:sz w:val="84"/>
          <w:szCs w:val="84"/>
        </w:rPr>
        <w:t>部门决算</w:t>
      </w:r>
    </w:p>
    <w:p w:rsidR="00D17E33" w:rsidRDefault="00D17E33">
      <w:pPr>
        <w:pStyle w:val="Default"/>
        <w:jc w:val="center"/>
        <w:rPr>
          <w:sz w:val="56"/>
          <w:szCs w:val="56"/>
        </w:rPr>
      </w:pPr>
    </w:p>
    <w:p w:rsidR="00D17E33" w:rsidRDefault="00D17E33">
      <w:pPr>
        <w:pStyle w:val="Default"/>
        <w:jc w:val="center"/>
        <w:rPr>
          <w:sz w:val="56"/>
          <w:szCs w:val="56"/>
        </w:rPr>
      </w:pPr>
    </w:p>
    <w:p w:rsidR="00D17E33" w:rsidRDefault="00D17E33">
      <w:pPr>
        <w:pStyle w:val="Default"/>
        <w:jc w:val="center"/>
        <w:rPr>
          <w:sz w:val="56"/>
          <w:szCs w:val="56"/>
        </w:rPr>
      </w:pPr>
    </w:p>
    <w:p w:rsidR="00D17E33" w:rsidRDefault="00D17E33">
      <w:pPr>
        <w:pStyle w:val="Default"/>
        <w:jc w:val="center"/>
        <w:rPr>
          <w:sz w:val="56"/>
          <w:szCs w:val="56"/>
        </w:rPr>
      </w:pPr>
    </w:p>
    <w:p w:rsidR="00D17E33" w:rsidRDefault="00D17E33">
      <w:pPr>
        <w:pStyle w:val="Default"/>
        <w:jc w:val="center"/>
        <w:rPr>
          <w:sz w:val="32"/>
          <w:szCs w:val="32"/>
        </w:rPr>
      </w:pPr>
    </w:p>
    <w:p w:rsidR="00D17E33" w:rsidRDefault="00D17E33">
      <w:pPr>
        <w:pStyle w:val="Default"/>
        <w:jc w:val="center"/>
        <w:rPr>
          <w:sz w:val="32"/>
          <w:szCs w:val="32"/>
        </w:rPr>
      </w:pPr>
    </w:p>
    <w:p w:rsidR="00D17E33" w:rsidRDefault="00D17E33">
      <w:pPr>
        <w:pStyle w:val="Default"/>
        <w:jc w:val="center"/>
        <w:rPr>
          <w:sz w:val="32"/>
          <w:szCs w:val="32"/>
        </w:rPr>
      </w:pPr>
    </w:p>
    <w:p w:rsidR="00D17E33" w:rsidRDefault="00D17E33">
      <w:pPr>
        <w:pStyle w:val="Default"/>
        <w:jc w:val="center"/>
        <w:rPr>
          <w:sz w:val="32"/>
          <w:szCs w:val="32"/>
        </w:rPr>
      </w:pPr>
    </w:p>
    <w:p w:rsidR="00D17E33" w:rsidRDefault="00D17E33">
      <w:pPr>
        <w:pStyle w:val="Default"/>
        <w:spacing w:line="500" w:lineRule="exact"/>
        <w:jc w:val="both"/>
        <w:rPr>
          <w:b/>
          <w:sz w:val="36"/>
          <w:szCs w:val="28"/>
        </w:rPr>
      </w:pPr>
    </w:p>
    <w:p w:rsidR="00D17E33" w:rsidRDefault="00D17E33">
      <w:pPr>
        <w:pStyle w:val="Default"/>
        <w:spacing w:line="500" w:lineRule="exact"/>
        <w:jc w:val="center"/>
        <w:rPr>
          <w:b/>
          <w:sz w:val="36"/>
          <w:szCs w:val="28"/>
        </w:rPr>
      </w:pPr>
    </w:p>
    <w:p w:rsidR="00D17E33" w:rsidRDefault="00707424">
      <w:pPr>
        <w:pStyle w:val="Default"/>
        <w:spacing w:line="500" w:lineRule="exact"/>
        <w:jc w:val="center"/>
        <w:rPr>
          <w:b/>
          <w:sz w:val="36"/>
          <w:szCs w:val="28"/>
        </w:rPr>
      </w:pPr>
      <w:r>
        <w:rPr>
          <w:rFonts w:hint="eastAsia"/>
          <w:b/>
          <w:sz w:val="36"/>
          <w:szCs w:val="28"/>
        </w:rPr>
        <w:lastRenderedPageBreak/>
        <w:t>目录</w:t>
      </w:r>
    </w:p>
    <w:p w:rsidR="00D17E33" w:rsidRDefault="00707424">
      <w:pPr>
        <w:pStyle w:val="Default"/>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rPr>
        <w:t xml:space="preserve"> </w:t>
      </w:r>
      <w:r>
        <w:rPr>
          <w:rFonts w:hint="eastAsia"/>
          <w:b/>
          <w:sz w:val="28"/>
          <w:szCs w:val="28"/>
        </w:rPr>
        <w:t>湘乡市教育局（本级）单位概况</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D17E33" w:rsidRDefault="00707424">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hint="eastAsia"/>
          <w:b/>
          <w:sz w:val="28"/>
          <w:szCs w:val="28"/>
        </w:rPr>
        <w:t xml:space="preserve"> </w:t>
      </w:r>
      <w:r>
        <w:rPr>
          <w:rFonts w:hAnsi="仿宋_GB2312"/>
          <w:b/>
          <w:sz w:val="28"/>
          <w:szCs w:val="28"/>
        </w:rPr>
        <w:t>20</w:t>
      </w:r>
      <w:r>
        <w:rPr>
          <w:rFonts w:hAnsi="仿宋_GB2312" w:hint="eastAsia"/>
          <w:b/>
          <w:sz w:val="28"/>
          <w:szCs w:val="28"/>
        </w:rPr>
        <w:t>21</w:t>
      </w:r>
      <w:r>
        <w:rPr>
          <w:rFonts w:hAnsi="仿宋_GB2312" w:hint="eastAsia"/>
          <w:b/>
          <w:sz w:val="28"/>
          <w:szCs w:val="28"/>
        </w:rPr>
        <w:t>年度部门决算表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D17E33" w:rsidRDefault="00707424">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hint="eastAsia"/>
          <w:b/>
          <w:sz w:val="28"/>
          <w:szCs w:val="28"/>
        </w:rPr>
        <w:t xml:space="preserve"> </w:t>
      </w:r>
      <w:r>
        <w:rPr>
          <w:rFonts w:hAnsi="仿宋_GB2312"/>
          <w:b/>
          <w:sz w:val="28"/>
          <w:szCs w:val="28"/>
        </w:rPr>
        <w:t>20</w:t>
      </w:r>
      <w:r>
        <w:rPr>
          <w:rFonts w:hAnsi="仿宋_GB2312" w:hint="eastAsia"/>
          <w:b/>
          <w:sz w:val="28"/>
          <w:szCs w:val="28"/>
        </w:rPr>
        <w:t>21</w:t>
      </w:r>
      <w:r>
        <w:rPr>
          <w:rFonts w:hAnsi="仿宋_GB2312" w:hint="eastAsia"/>
          <w:b/>
          <w:sz w:val="28"/>
          <w:szCs w:val="28"/>
        </w:rPr>
        <w:t>年度部门决算情况说明</w:t>
      </w:r>
    </w:p>
    <w:p w:rsidR="00D17E33" w:rsidRDefault="0070742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D17E33" w:rsidRDefault="00707424">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D17E33" w:rsidRDefault="0070742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D17E33" w:rsidRDefault="00707424">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D17E33" w:rsidRDefault="00707424">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w:t>
      </w:r>
      <w:r>
        <w:rPr>
          <w:rFonts w:asciiTheme="minorEastAsia" w:eastAsiaTheme="minorEastAsia" w:hAnsiTheme="minorEastAsia" w:cs="仿宋_GB2312" w:hint="eastAsia"/>
          <w:sz w:val="28"/>
          <w:szCs w:val="28"/>
        </w:rPr>
        <w:t>2021</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度预算绩效情况说明</w:t>
      </w:r>
    </w:p>
    <w:p w:rsidR="00D17E33" w:rsidRDefault="00707424">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w:t>
      </w:r>
      <w:r>
        <w:rPr>
          <w:rFonts w:ascii="黑体" w:eastAsia="黑体" w:hAnsi="黑体" w:cs="黑体" w:hint="eastAsia"/>
          <w:b/>
          <w:color w:val="000000"/>
          <w:kern w:val="0"/>
          <w:sz w:val="28"/>
          <w:szCs w:val="28"/>
        </w:rPr>
        <w:t xml:space="preserve"> </w:t>
      </w:r>
      <w:r>
        <w:rPr>
          <w:rFonts w:ascii="黑体" w:eastAsia="黑体" w:hAnsi="黑体" w:cs="黑体"/>
          <w:b/>
          <w:color w:val="000000"/>
          <w:kern w:val="0"/>
          <w:sz w:val="28"/>
          <w:szCs w:val="28"/>
        </w:rPr>
        <w:t>名词解释</w:t>
      </w: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rPr>
          <w:sz w:val="72"/>
          <w:szCs w:val="72"/>
        </w:rPr>
      </w:pPr>
    </w:p>
    <w:p w:rsidR="00D17E33" w:rsidRDefault="00707424">
      <w:pPr>
        <w:pStyle w:val="Default"/>
        <w:jc w:val="center"/>
        <w:rPr>
          <w:sz w:val="84"/>
          <w:szCs w:val="84"/>
        </w:rPr>
      </w:pPr>
      <w:r>
        <w:rPr>
          <w:rFonts w:hint="eastAsia"/>
          <w:sz w:val="84"/>
          <w:szCs w:val="84"/>
        </w:rPr>
        <w:t>第一部分</w:t>
      </w:r>
      <w:r>
        <w:rPr>
          <w:sz w:val="84"/>
          <w:szCs w:val="84"/>
        </w:rPr>
        <w:t xml:space="preserve"> </w:t>
      </w:r>
    </w:p>
    <w:p w:rsidR="00D17E33" w:rsidRDefault="00D17E33">
      <w:pPr>
        <w:pStyle w:val="Default"/>
        <w:jc w:val="center"/>
        <w:rPr>
          <w:sz w:val="84"/>
          <w:szCs w:val="84"/>
        </w:rPr>
      </w:pPr>
    </w:p>
    <w:p w:rsidR="00D17E33" w:rsidRDefault="00707424">
      <w:pPr>
        <w:pStyle w:val="Default"/>
        <w:jc w:val="center"/>
        <w:rPr>
          <w:sz w:val="84"/>
          <w:szCs w:val="84"/>
        </w:rPr>
      </w:pPr>
      <w:r>
        <w:rPr>
          <w:rFonts w:hint="eastAsia"/>
          <w:sz w:val="84"/>
          <w:szCs w:val="84"/>
        </w:rPr>
        <w:t>湘乡市山枣中心学校</w:t>
      </w:r>
    </w:p>
    <w:p w:rsidR="00D17E33" w:rsidRDefault="00707424">
      <w:pPr>
        <w:pStyle w:val="Default"/>
        <w:jc w:val="center"/>
        <w:rPr>
          <w:sz w:val="84"/>
          <w:szCs w:val="84"/>
        </w:rPr>
      </w:pPr>
      <w:r>
        <w:rPr>
          <w:rFonts w:hint="eastAsia"/>
          <w:sz w:val="84"/>
          <w:szCs w:val="84"/>
        </w:rPr>
        <w:t>单位概况</w:t>
      </w: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pStyle w:val="a8"/>
        <w:ind w:firstLineChars="0" w:firstLine="0"/>
        <w:jc w:val="left"/>
        <w:rPr>
          <w:rFonts w:ascii="黑体" w:eastAsia="黑体" w:hAnsi="黑体"/>
          <w:sz w:val="32"/>
          <w:szCs w:val="32"/>
        </w:rPr>
      </w:pPr>
    </w:p>
    <w:p w:rsidR="00D17E33" w:rsidRDefault="00707424">
      <w:pPr>
        <w:pStyle w:val="a8"/>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D17E33" w:rsidRDefault="00707424">
      <w:pPr>
        <w:ind w:firstLineChars="200" w:firstLine="640"/>
        <w:jc w:val="left"/>
        <w:rPr>
          <w:rFonts w:asciiTheme="minorEastAsia" w:hAnsiTheme="minorEastAsia"/>
          <w:sz w:val="32"/>
          <w:szCs w:val="32"/>
        </w:rPr>
      </w:pPr>
      <w:r>
        <w:rPr>
          <w:rFonts w:asciiTheme="minorEastAsia" w:hAnsiTheme="minorEastAsia" w:hint="eastAsia"/>
          <w:sz w:val="32"/>
          <w:szCs w:val="32"/>
        </w:rPr>
        <w:t>实施初中、小学义务教育，促进基础教育发展，幼儿、小学、初中教育及相关社会服务。</w:t>
      </w:r>
    </w:p>
    <w:p w:rsidR="00D17E33" w:rsidRDefault="00707424">
      <w:pPr>
        <w:ind w:firstLineChars="200" w:firstLine="640"/>
        <w:jc w:val="left"/>
        <w:rPr>
          <w:rFonts w:asciiTheme="minorEastAsia" w:hAnsiTheme="minorEastAsia"/>
          <w:sz w:val="32"/>
          <w:szCs w:val="32"/>
        </w:rPr>
      </w:pPr>
      <w:r>
        <w:rPr>
          <w:rFonts w:asciiTheme="minorEastAsia" w:hAnsiTheme="minorEastAsia" w:hint="eastAsia"/>
          <w:sz w:val="32"/>
          <w:szCs w:val="32"/>
        </w:rPr>
        <w:t>我校年末有教职工</w:t>
      </w:r>
      <w:r>
        <w:rPr>
          <w:rFonts w:asciiTheme="minorEastAsia" w:hAnsiTheme="minorEastAsia" w:hint="eastAsia"/>
          <w:sz w:val="32"/>
          <w:szCs w:val="32"/>
        </w:rPr>
        <w:t>189</w:t>
      </w:r>
      <w:r>
        <w:rPr>
          <w:rFonts w:asciiTheme="minorEastAsia" w:hAnsiTheme="minorEastAsia" w:hint="eastAsia"/>
          <w:sz w:val="32"/>
          <w:szCs w:val="32"/>
        </w:rPr>
        <w:t>人，学生</w:t>
      </w:r>
      <w:r>
        <w:rPr>
          <w:rFonts w:asciiTheme="minorEastAsia" w:hAnsiTheme="minorEastAsia" w:hint="eastAsia"/>
          <w:sz w:val="32"/>
          <w:szCs w:val="32"/>
        </w:rPr>
        <w:t>1385</w:t>
      </w:r>
      <w:r>
        <w:rPr>
          <w:rFonts w:asciiTheme="minorEastAsia" w:hAnsiTheme="minorEastAsia" w:hint="eastAsia"/>
          <w:sz w:val="32"/>
          <w:szCs w:val="32"/>
        </w:rPr>
        <w:t>人。。</w:t>
      </w:r>
    </w:p>
    <w:p w:rsidR="00D17E33" w:rsidRDefault="00707424">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D17E33" w:rsidRDefault="00707424">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D17E33" w:rsidRDefault="00707424">
      <w:pPr>
        <w:ind w:firstLineChars="200" w:firstLine="640"/>
        <w:jc w:val="left"/>
        <w:rPr>
          <w:rFonts w:asciiTheme="minorEastAsia" w:hAnsiTheme="minorEastAsia"/>
          <w:bCs/>
          <w:kern w:val="0"/>
          <w:sz w:val="32"/>
          <w:szCs w:val="32"/>
        </w:rPr>
      </w:pPr>
      <w:r>
        <w:rPr>
          <w:rFonts w:asciiTheme="minorEastAsia" w:hAnsiTheme="minorEastAsia" w:hint="eastAsia"/>
          <w:bCs/>
          <w:kern w:val="0"/>
          <w:sz w:val="32"/>
          <w:szCs w:val="32"/>
        </w:rPr>
        <w:t>湘乡市山枣中心学校单位内设机构包括：中心学校校长室、中心学校工会、中心学校幼教办公室、中心学校财务室、中心学校扶贫办。</w:t>
      </w:r>
    </w:p>
    <w:p w:rsidR="00D17E33" w:rsidRDefault="00707424">
      <w:pPr>
        <w:widowControl/>
        <w:numPr>
          <w:ilvl w:val="0"/>
          <w:numId w:val="2"/>
        </w:numPr>
        <w:spacing w:line="600" w:lineRule="exact"/>
        <w:rPr>
          <w:rFonts w:asciiTheme="minorEastAsia" w:hAnsiTheme="minorEastAsia"/>
          <w:bCs/>
          <w:kern w:val="0"/>
          <w:sz w:val="32"/>
          <w:szCs w:val="32"/>
        </w:rPr>
      </w:pPr>
      <w:r>
        <w:rPr>
          <w:rFonts w:asciiTheme="minorEastAsia" w:hAnsiTheme="minorEastAsia" w:hint="eastAsia"/>
          <w:bCs/>
          <w:kern w:val="0"/>
          <w:sz w:val="32"/>
          <w:szCs w:val="32"/>
        </w:rPr>
        <w:t>决算单位构成。</w:t>
      </w:r>
    </w:p>
    <w:p w:rsidR="00D17E33" w:rsidRDefault="00707424">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湘乡市山枣中心学校</w:t>
      </w:r>
      <w:r>
        <w:rPr>
          <w:rFonts w:asciiTheme="minorEastAsia" w:hAnsiTheme="minorEastAsia" w:hint="eastAsia"/>
          <w:bCs/>
          <w:kern w:val="0"/>
          <w:sz w:val="32"/>
          <w:szCs w:val="32"/>
        </w:rPr>
        <w:t>221</w:t>
      </w:r>
      <w:r>
        <w:rPr>
          <w:rFonts w:asciiTheme="minorEastAsia" w:hAnsiTheme="minorEastAsia" w:hint="eastAsia"/>
          <w:bCs/>
          <w:kern w:val="0"/>
          <w:sz w:val="32"/>
          <w:szCs w:val="32"/>
        </w:rPr>
        <w:t>年部门决算汇总公开单位构成包括：湘乡市山枣中心学校单位本级以及部门下辖</w:t>
      </w:r>
      <w:r>
        <w:rPr>
          <w:rFonts w:asciiTheme="minorEastAsia" w:hAnsiTheme="minorEastAsia" w:hint="eastAsia"/>
          <w:bCs/>
          <w:kern w:val="0"/>
          <w:sz w:val="32"/>
          <w:szCs w:val="32"/>
        </w:rPr>
        <w:t>7</w:t>
      </w:r>
      <w:r>
        <w:rPr>
          <w:rFonts w:asciiTheme="minorEastAsia" w:hAnsiTheme="minorEastAsia" w:hint="eastAsia"/>
          <w:bCs/>
          <w:kern w:val="0"/>
          <w:sz w:val="32"/>
          <w:szCs w:val="32"/>
        </w:rPr>
        <w:t>所学校及</w:t>
      </w:r>
      <w:r>
        <w:rPr>
          <w:rFonts w:asciiTheme="minorEastAsia" w:hAnsiTheme="minorEastAsia" w:hint="eastAsia"/>
          <w:bCs/>
          <w:kern w:val="0"/>
          <w:sz w:val="32"/>
          <w:szCs w:val="32"/>
        </w:rPr>
        <w:t xml:space="preserve">1 </w:t>
      </w:r>
      <w:r>
        <w:rPr>
          <w:rFonts w:asciiTheme="minorEastAsia" w:hAnsiTheme="minorEastAsia" w:hint="eastAsia"/>
          <w:bCs/>
          <w:kern w:val="0"/>
          <w:sz w:val="32"/>
          <w:szCs w:val="32"/>
        </w:rPr>
        <w:t>所公办幼儿园，洪塘学校、山枣中学、莲花中学、山枣镇中心小学、洙津小学、城江小学、莲花小学、山枣中心幼儿园。</w:t>
      </w:r>
    </w:p>
    <w:p w:rsidR="00D17E33" w:rsidRDefault="00D17E33">
      <w:pPr>
        <w:jc w:val="left"/>
        <w:rPr>
          <w:rFonts w:ascii="仿宋_GB2312" w:eastAsia="仿宋_GB2312" w:hAnsiTheme="minorEastAsia"/>
          <w:sz w:val="28"/>
          <w:szCs w:val="32"/>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rFonts w:ascii="黑体" w:eastAsia="黑体" w:hAnsi="黑体"/>
          <w:sz w:val="28"/>
          <w:szCs w:val="28"/>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707424">
      <w:pPr>
        <w:jc w:val="center"/>
        <w:rPr>
          <w:sz w:val="72"/>
          <w:szCs w:val="72"/>
        </w:rPr>
      </w:pPr>
      <w:r>
        <w:rPr>
          <w:rFonts w:hint="eastAsia"/>
          <w:sz w:val="72"/>
          <w:szCs w:val="72"/>
        </w:rPr>
        <w:t>第二部分</w:t>
      </w:r>
    </w:p>
    <w:p w:rsidR="00D17E33" w:rsidRDefault="00D17E33">
      <w:pPr>
        <w:jc w:val="center"/>
        <w:rPr>
          <w:sz w:val="72"/>
          <w:szCs w:val="72"/>
        </w:rPr>
      </w:pPr>
    </w:p>
    <w:p w:rsidR="00D17E33" w:rsidRDefault="00707424">
      <w:pPr>
        <w:jc w:val="center"/>
        <w:rPr>
          <w:sz w:val="72"/>
          <w:szCs w:val="72"/>
        </w:rPr>
      </w:pPr>
      <w:r>
        <w:rPr>
          <w:rFonts w:hint="eastAsia"/>
          <w:sz w:val="72"/>
          <w:szCs w:val="72"/>
        </w:rPr>
        <w:t>部门决算表</w:t>
      </w: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center"/>
        <w:rPr>
          <w:sz w:val="72"/>
          <w:szCs w:val="72"/>
        </w:rPr>
      </w:pPr>
    </w:p>
    <w:p w:rsidR="00D17E33" w:rsidRDefault="00D17E33">
      <w:pPr>
        <w:jc w:val="left"/>
        <w:rPr>
          <w:sz w:val="32"/>
          <w:szCs w:val="32"/>
        </w:rPr>
      </w:pPr>
    </w:p>
    <w:p w:rsidR="00D17E33" w:rsidRDefault="00D17E33">
      <w:pPr>
        <w:jc w:val="left"/>
        <w:rPr>
          <w:rFonts w:asciiTheme="minorEastAsia" w:hAnsiTheme="minorEastAsia"/>
          <w:sz w:val="32"/>
          <w:szCs w:val="32"/>
        </w:rPr>
        <w:sectPr w:rsidR="00D17E33">
          <w:pgSz w:w="11906" w:h="16838"/>
          <w:pgMar w:top="720" w:right="720" w:bottom="720" w:left="720" w:header="851" w:footer="992" w:gutter="0"/>
          <w:cols w:space="425"/>
          <w:docGrid w:type="lines" w:linePitch="312"/>
        </w:sectPr>
      </w:pPr>
    </w:p>
    <w:tbl>
      <w:tblPr>
        <w:tblW w:w="15008" w:type="dxa"/>
        <w:tblCellMar>
          <w:left w:w="0" w:type="dxa"/>
          <w:right w:w="0" w:type="dxa"/>
        </w:tblCellMar>
        <w:tblLook w:val="04A0"/>
      </w:tblPr>
      <w:tblGrid>
        <w:gridCol w:w="4492"/>
        <w:gridCol w:w="1454"/>
        <w:gridCol w:w="1579"/>
        <w:gridCol w:w="3867"/>
        <w:gridCol w:w="914"/>
        <w:gridCol w:w="2463"/>
        <w:gridCol w:w="239"/>
      </w:tblGrid>
      <w:tr w:rsidR="00D17E33">
        <w:trPr>
          <w:trHeight w:val="551"/>
        </w:trPr>
        <w:tc>
          <w:tcPr>
            <w:tcW w:w="15008" w:type="dxa"/>
            <w:gridSpan w:val="7"/>
            <w:tcBorders>
              <w:top w:val="nil"/>
              <w:left w:val="nil"/>
              <w:bottom w:val="nil"/>
              <w:right w:val="nil"/>
            </w:tcBorders>
            <w:shd w:val="clear" w:color="auto" w:fill="auto"/>
            <w:noWrap/>
            <w:tcMar>
              <w:top w:w="15" w:type="dxa"/>
              <w:left w:w="15" w:type="dxa"/>
              <w:bottom w:w="0" w:type="dxa"/>
              <w:right w:w="15" w:type="dxa"/>
            </w:tcMar>
            <w:vAlign w:val="center"/>
          </w:tcPr>
          <w:p w:rsidR="00D17E33" w:rsidRDefault="00707424">
            <w:pPr>
              <w:widowControl/>
              <w:jc w:val="center"/>
              <w:rPr>
                <w:rFonts w:ascii="华文中宋" w:eastAsia="华文中宋" w:hAnsi="华文中宋"/>
                <w:color w:val="000000"/>
                <w:sz w:val="32"/>
                <w:szCs w:val="32"/>
              </w:rPr>
            </w:pPr>
            <w:r>
              <w:rPr>
                <w:rFonts w:ascii="黑体" w:eastAsia="黑体" w:hAnsi="黑体" w:cs="Times New Roman" w:hint="eastAsia"/>
                <w:b/>
                <w:kern w:val="0"/>
                <w:sz w:val="36"/>
                <w:szCs w:val="36"/>
              </w:rPr>
              <w:lastRenderedPageBreak/>
              <w:t>收入支出决算总表</w:t>
            </w:r>
          </w:p>
        </w:tc>
      </w:tr>
      <w:tr w:rsidR="00D17E33">
        <w:tblPrEx>
          <w:tblCellMar>
            <w:left w:w="108" w:type="dxa"/>
            <w:right w:w="108" w:type="dxa"/>
          </w:tblCellMar>
        </w:tblPrEx>
        <w:trPr>
          <w:gridAfter w:val="1"/>
          <w:wAfter w:w="239" w:type="dxa"/>
          <w:trHeight w:val="323"/>
        </w:trPr>
        <w:tc>
          <w:tcPr>
            <w:tcW w:w="449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5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579"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867"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91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463"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01</w:t>
            </w:r>
            <w:r>
              <w:rPr>
                <w:rFonts w:ascii="宋体" w:eastAsia="宋体" w:hAnsi="宋体" w:cs="Arial" w:hint="eastAsia"/>
                <w:color w:val="000000"/>
                <w:kern w:val="0"/>
                <w:sz w:val="20"/>
                <w:szCs w:val="20"/>
              </w:rPr>
              <w:t>表</w:t>
            </w:r>
          </w:p>
        </w:tc>
      </w:tr>
      <w:tr w:rsidR="00D17E33">
        <w:tblPrEx>
          <w:tblCellMar>
            <w:left w:w="108" w:type="dxa"/>
            <w:right w:w="108" w:type="dxa"/>
          </w:tblCellMar>
        </w:tblPrEx>
        <w:trPr>
          <w:gridAfter w:val="1"/>
          <w:wAfter w:w="239" w:type="dxa"/>
          <w:trHeight w:val="323"/>
        </w:trPr>
        <w:tc>
          <w:tcPr>
            <w:tcW w:w="4492" w:type="dxa"/>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1454"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579"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867"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914"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463"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blPrEx>
          <w:tblCellMar>
            <w:left w:w="108" w:type="dxa"/>
            <w:right w:w="108" w:type="dxa"/>
          </w:tblCellMar>
        </w:tblPrEx>
        <w:trPr>
          <w:gridAfter w:val="1"/>
          <w:wAfter w:w="239" w:type="dxa"/>
          <w:trHeight w:val="390"/>
        </w:trPr>
        <w:tc>
          <w:tcPr>
            <w:tcW w:w="752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收入</w:t>
            </w:r>
          </w:p>
        </w:tc>
        <w:tc>
          <w:tcPr>
            <w:tcW w:w="7244" w:type="dxa"/>
            <w:gridSpan w:val="3"/>
            <w:tcBorders>
              <w:top w:val="single" w:sz="4" w:space="0" w:color="000000"/>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color w:val="000000"/>
                <w:kern w:val="0"/>
                <w:sz w:val="22"/>
              </w:rPr>
            </w:pP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color w:val="000000"/>
                <w:kern w:val="0"/>
                <w:sz w:val="22"/>
              </w:rPr>
            </w:pP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一、一般公共预算财政拨款收入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一、一般公共服务支出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32</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二、政府性基金预算财政拨款收入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二、外交支出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33</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三、国有资本经营预算财政拨款收入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三、国防支出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34</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四、上级补助收入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562.92</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四、公共安全支出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35</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五、事业收入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五、教育支出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36</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3,190.23</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六、经营收入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六、科学技术支出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37</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七、附属单位上缴收入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七、文化旅游体育与传媒支出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38</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八、其他收入</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243.71</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八、社会保障和就业支出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39</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九、卫生健康支出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40</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十、节能环保支出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41</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十一、城乡社区支出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42</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十二、农林水支出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43</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十三、交通运输支出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44</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十四、资源勘探工业信息等支出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45</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十五、商业服务业等支出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46</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十六、金融支出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47</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十七、援助其他地区支出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48</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十八、自然资源海洋气象等支出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49</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十九、住房保障支出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50</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二十、粮油物资储备支出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51</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21</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二十一、国有资本经营预算支出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52</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22</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二十二、灾害防治及应急管理支出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53</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23</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二十三、其他支出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54</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b/>
                <w:bCs/>
                <w:color w:val="000000"/>
                <w:kern w:val="0"/>
                <w:sz w:val="20"/>
                <w:szCs w:val="20"/>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24</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0"/>
                <w:szCs w:val="20"/>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二十四、债务还本支出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55</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0"/>
                <w:szCs w:val="20"/>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25</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0"/>
                <w:szCs w:val="20"/>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二十五、债务付息支出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56</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0"/>
                <w:szCs w:val="20"/>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26</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0"/>
                <w:szCs w:val="20"/>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二十六、抗疫特别国债安排的支出</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57</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本年收入合计</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27</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3,190.00</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本年支出合计</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58</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3,190.23</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使用非财政拨款结余</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28</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结余分配</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59</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年初结转和结余</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29</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1.57</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年末结转和结余</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60</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1.34</w:t>
            </w: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30</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61</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r>
      <w:tr w:rsidR="00D17E33">
        <w:tblPrEx>
          <w:tblCellMar>
            <w:left w:w="108" w:type="dxa"/>
            <w:right w:w="108" w:type="dxa"/>
          </w:tblCellMar>
        </w:tblPrEx>
        <w:trPr>
          <w:gridAfter w:val="1"/>
          <w:wAfter w:w="239" w:type="dxa"/>
          <w:trHeight w:val="390"/>
        </w:trPr>
        <w:tc>
          <w:tcPr>
            <w:tcW w:w="4492"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145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31</w:t>
            </w:r>
          </w:p>
        </w:tc>
        <w:tc>
          <w:tcPr>
            <w:tcW w:w="1579"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3,191.58</w:t>
            </w:r>
          </w:p>
        </w:tc>
        <w:tc>
          <w:tcPr>
            <w:tcW w:w="386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91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62</w:t>
            </w:r>
          </w:p>
        </w:tc>
        <w:tc>
          <w:tcPr>
            <w:tcW w:w="2463"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3,191.58</w:t>
            </w:r>
          </w:p>
        </w:tc>
      </w:tr>
      <w:tr w:rsidR="00D17E33">
        <w:tblPrEx>
          <w:tblCellMar>
            <w:left w:w="108" w:type="dxa"/>
            <w:right w:w="108" w:type="dxa"/>
          </w:tblCellMar>
        </w:tblPrEx>
        <w:trPr>
          <w:gridAfter w:val="1"/>
          <w:wAfter w:w="239" w:type="dxa"/>
          <w:trHeight w:val="390"/>
        </w:trPr>
        <w:tc>
          <w:tcPr>
            <w:tcW w:w="14769" w:type="dxa"/>
            <w:gridSpan w:val="6"/>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w:t>
            </w:r>
            <w:r>
              <w:rPr>
                <w:rFonts w:ascii="宋体" w:eastAsia="宋体" w:hAnsi="宋体" w:cs="Arial" w:hint="eastAsia"/>
                <w:color w:val="000000"/>
                <w:kern w:val="0"/>
                <w:sz w:val="22"/>
              </w:rPr>
              <w:t>1.</w:t>
            </w:r>
            <w:r>
              <w:rPr>
                <w:rFonts w:ascii="宋体" w:eastAsia="宋体" w:hAnsi="宋体" w:cs="Arial" w:hint="eastAsia"/>
                <w:color w:val="000000"/>
                <w:kern w:val="0"/>
                <w:sz w:val="22"/>
              </w:rPr>
              <w:t>本表反映部门本年度的总收支和年末结转结余情况。</w:t>
            </w:r>
          </w:p>
        </w:tc>
      </w:tr>
      <w:tr w:rsidR="00D17E33">
        <w:tblPrEx>
          <w:tblCellMar>
            <w:left w:w="108" w:type="dxa"/>
            <w:right w:w="108" w:type="dxa"/>
          </w:tblCellMar>
        </w:tblPrEx>
        <w:trPr>
          <w:gridAfter w:val="1"/>
          <w:wAfter w:w="239" w:type="dxa"/>
          <w:trHeight w:val="390"/>
        </w:trPr>
        <w:tc>
          <w:tcPr>
            <w:tcW w:w="14769" w:type="dxa"/>
            <w:gridSpan w:val="6"/>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w:t>
            </w:r>
            <w:r>
              <w:rPr>
                <w:rFonts w:ascii="宋体" w:eastAsia="宋体" w:hAnsi="宋体" w:cs="Arial" w:hint="eastAsia"/>
                <w:color w:val="000000"/>
                <w:kern w:val="0"/>
                <w:sz w:val="22"/>
              </w:rPr>
              <w:t>本套报表金额单位转换时可能存在尾数误差。</w:t>
            </w:r>
          </w:p>
        </w:tc>
      </w:tr>
    </w:tbl>
    <w:p w:rsidR="00D17E33" w:rsidRDefault="00707424">
      <w:r>
        <w:br w:type="page"/>
      </w:r>
    </w:p>
    <w:tbl>
      <w:tblPr>
        <w:tblW w:w="14973" w:type="dxa"/>
        <w:tblLook w:val="04A0"/>
      </w:tblPr>
      <w:tblGrid>
        <w:gridCol w:w="401"/>
        <w:gridCol w:w="313"/>
        <w:gridCol w:w="272"/>
        <w:gridCol w:w="1766"/>
        <w:gridCol w:w="1922"/>
        <w:gridCol w:w="1922"/>
        <w:gridCol w:w="1765"/>
        <w:gridCol w:w="1449"/>
        <w:gridCol w:w="1449"/>
        <w:gridCol w:w="1449"/>
        <w:gridCol w:w="2285"/>
      </w:tblGrid>
      <w:tr w:rsidR="00D17E33">
        <w:trPr>
          <w:trHeight w:val="638"/>
        </w:trPr>
        <w:tc>
          <w:tcPr>
            <w:tcW w:w="14973" w:type="dxa"/>
            <w:gridSpan w:val="11"/>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lastRenderedPageBreak/>
              <w:t>收入决算表</w:t>
            </w:r>
          </w:p>
        </w:tc>
      </w:tr>
      <w:tr w:rsidR="00D17E33">
        <w:trPr>
          <w:trHeight w:val="417"/>
        </w:trPr>
        <w:tc>
          <w:tcPr>
            <w:tcW w:w="393"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07"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6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76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2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2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765"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285"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02</w:t>
            </w:r>
            <w:r>
              <w:rPr>
                <w:rFonts w:ascii="宋体" w:eastAsia="宋体" w:hAnsi="宋体" w:cs="Arial" w:hint="eastAsia"/>
                <w:color w:val="000000"/>
                <w:kern w:val="0"/>
                <w:sz w:val="20"/>
                <w:szCs w:val="20"/>
              </w:rPr>
              <w:t>表</w:t>
            </w:r>
          </w:p>
        </w:tc>
      </w:tr>
      <w:tr w:rsidR="00D17E33">
        <w:trPr>
          <w:trHeight w:val="417"/>
        </w:trPr>
        <w:tc>
          <w:tcPr>
            <w:tcW w:w="2731" w:type="dxa"/>
            <w:gridSpan w:val="4"/>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192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2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765"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49"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285"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505"/>
        </w:trPr>
        <w:tc>
          <w:tcPr>
            <w:tcW w:w="2731"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922"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本年收入合计</w:t>
            </w:r>
          </w:p>
        </w:tc>
        <w:tc>
          <w:tcPr>
            <w:tcW w:w="1922"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财政拨款收入</w:t>
            </w:r>
          </w:p>
        </w:tc>
        <w:tc>
          <w:tcPr>
            <w:tcW w:w="1765"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上级补助收入</w:t>
            </w:r>
          </w:p>
        </w:tc>
        <w:tc>
          <w:tcPr>
            <w:tcW w:w="1449"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事业收入</w:t>
            </w:r>
          </w:p>
        </w:tc>
        <w:tc>
          <w:tcPr>
            <w:tcW w:w="1449"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经营收入</w:t>
            </w:r>
          </w:p>
        </w:tc>
        <w:tc>
          <w:tcPr>
            <w:tcW w:w="1449"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附属单位上缴收入</w:t>
            </w:r>
          </w:p>
        </w:tc>
        <w:tc>
          <w:tcPr>
            <w:tcW w:w="2285"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其他收入</w:t>
            </w:r>
          </w:p>
        </w:tc>
      </w:tr>
      <w:tr w:rsidR="00D17E33">
        <w:trPr>
          <w:trHeight w:val="512"/>
        </w:trPr>
        <w:tc>
          <w:tcPr>
            <w:tcW w:w="966"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1766" w:type="dxa"/>
            <w:vMerge w:val="restart"/>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6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28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512"/>
        </w:trPr>
        <w:tc>
          <w:tcPr>
            <w:tcW w:w="966"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6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6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28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512"/>
        </w:trPr>
        <w:tc>
          <w:tcPr>
            <w:tcW w:w="966"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6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6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49"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285"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505"/>
        </w:trPr>
        <w:tc>
          <w:tcPr>
            <w:tcW w:w="2731"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92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92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765"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449"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449"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449"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2285"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r>
      <w:tr w:rsidR="00D17E33">
        <w:trPr>
          <w:trHeight w:val="505"/>
        </w:trPr>
        <w:tc>
          <w:tcPr>
            <w:tcW w:w="2731"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3,190.00</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2,383.37</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562.92</w:t>
            </w: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243.71</w:t>
            </w: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3,190.00</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562.92</w:t>
            </w: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243.71</w:t>
            </w: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3,190.00</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562.92</w:t>
            </w: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243.71</w:t>
            </w: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2050202</w:t>
            </w: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小学教育</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2,861.60</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2,054.97</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562.92</w:t>
            </w: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243.71</w:t>
            </w: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2050203</w:t>
            </w: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初中教育</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505"/>
        </w:trPr>
        <w:tc>
          <w:tcPr>
            <w:tcW w:w="966"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76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2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6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49"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28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505"/>
        </w:trPr>
        <w:tc>
          <w:tcPr>
            <w:tcW w:w="14973" w:type="dxa"/>
            <w:gridSpan w:val="11"/>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注：本表反映部门本年度取得的各项收入情况。</w:t>
            </w:r>
          </w:p>
        </w:tc>
      </w:tr>
    </w:tbl>
    <w:p w:rsidR="00D17E33" w:rsidRDefault="00707424">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tbl>
      <w:tblPr>
        <w:tblW w:w="14938" w:type="dxa"/>
        <w:tblInd w:w="93" w:type="dxa"/>
        <w:tblLook w:val="04A0"/>
      </w:tblPr>
      <w:tblGrid>
        <w:gridCol w:w="401"/>
        <w:gridCol w:w="313"/>
        <w:gridCol w:w="272"/>
        <w:gridCol w:w="1962"/>
        <w:gridCol w:w="2136"/>
        <w:gridCol w:w="2136"/>
        <w:gridCol w:w="1961"/>
        <w:gridCol w:w="1612"/>
        <w:gridCol w:w="1612"/>
        <w:gridCol w:w="2540"/>
      </w:tblGrid>
      <w:tr w:rsidR="00D17E33">
        <w:trPr>
          <w:trHeight w:val="506"/>
        </w:trPr>
        <w:tc>
          <w:tcPr>
            <w:tcW w:w="14937" w:type="dxa"/>
            <w:gridSpan w:val="10"/>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lastRenderedPageBreak/>
              <w:t>支出决算表</w:t>
            </w:r>
          </w:p>
        </w:tc>
      </w:tr>
      <w:tr w:rsidR="00D17E33">
        <w:trPr>
          <w:trHeight w:val="332"/>
        </w:trPr>
        <w:tc>
          <w:tcPr>
            <w:tcW w:w="398"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1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7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6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13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13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6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540"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03</w:t>
            </w:r>
            <w:r>
              <w:rPr>
                <w:rFonts w:ascii="宋体" w:eastAsia="宋体" w:hAnsi="宋体" w:cs="Arial" w:hint="eastAsia"/>
                <w:color w:val="000000"/>
                <w:kern w:val="0"/>
                <w:sz w:val="20"/>
                <w:szCs w:val="20"/>
              </w:rPr>
              <w:t>表</w:t>
            </w:r>
          </w:p>
        </w:tc>
      </w:tr>
      <w:tr w:rsidR="00D17E33">
        <w:trPr>
          <w:trHeight w:val="332"/>
        </w:trPr>
        <w:tc>
          <w:tcPr>
            <w:tcW w:w="2940" w:type="dxa"/>
            <w:gridSpan w:val="4"/>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2136"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136"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96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61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61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540"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401"/>
        </w:trPr>
        <w:tc>
          <w:tcPr>
            <w:tcW w:w="294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2136"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本年支出合计</w:t>
            </w:r>
          </w:p>
        </w:tc>
        <w:tc>
          <w:tcPr>
            <w:tcW w:w="2136"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1961"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c>
          <w:tcPr>
            <w:tcW w:w="1612"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上缴上级支出</w:t>
            </w:r>
          </w:p>
        </w:tc>
        <w:tc>
          <w:tcPr>
            <w:tcW w:w="1612"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经营支出</w:t>
            </w:r>
          </w:p>
        </w:tc>
        <w:tc>
          <w:tcPr>
            <w:tcW w:w="2540" w:type="dxa"/>
            <w:vMerge w:val="restart"/>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对附属单位补助支出</w:t>
            </w:r>
          </w:p>
        </w:tc>
      </w:tr>
      <w:tr w:rsidR="00D17E33">
        <w:trPr>
          <w:trHeight w:val="405"/>
        </w:trPr>
        <w:tc>
          <w:tcPr>
            <w:tcW w:w="978"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1962" w:type="dxa"/>
            <w:vMerge w:val="restart"/>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61"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540"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05"/>
        </w:trPr>
        <w:tc>
          <w:tcPr>
            <w:tcW w:w="978"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62"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61"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540"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05"/>
        </w:trPr>
        <w:tc>
          <w:tcPr>
            <w:tcW w:w="978"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62"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36"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961"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540" w:type="dxa"/>
            <w:vMerge/>
            <w:tcBorders>
              <w:top w:val="single" w:sz="4" w:space="0" w:color="000000"/>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01"/>
        </w:trPr>
        <w:tc>
          <w:tcPr>
            <w:tcW w:w="2940"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2136"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2136"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96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61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61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2540"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r>
      <w:tr w:rsidR="00D17E33">
        <w:trPr>
          <w:trHeight w:val="401"/>
        </w:trPr>
        <w:tc>
          <w:tcPr>
            <w:tcW w:w="2940"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3,190.23</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3,010.75</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179.48</w:t>
            </w: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3,190.23</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3,010.75</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179.48</w:t>
            </w: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3,190.23</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3,010.75</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179.48</w:t>
            </w: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2050202</w:t>
            </w: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小学教育</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2,861.83</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2,682.35</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179.48</w:t>
            </w: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2050203</w:t>
            </w: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初中教育</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978"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96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1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96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61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254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01"/>
        </w:trPr>
        <w:tc>
          <w:tcPr>
            <w:tcW w:w="14937" w:type="dxa"/>
            <w:gridSpan w:val="10"/>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注：本表反映部门本年度各项支出情况。</w:t>
            </w:r>
          </w:p>
        </w:tc>
      </w:tr>
    </w:tbl>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tbl>
      <w:tblPr>
        <w:tblW w:w="14865" w:type="dxa"/>
        <w:tblInd w:w="93" w:type="dxa"/>
        <w:tblLook w:val="04A0"/>
      </w:tblPr>
      <w:tblGrid>
        <w:gridCol w:w="3384"/>
        <w:gridCol w:w="455"/>
        <w:gridCol w:w="1420"/>
        <w:gridCol w:w="3832"/>
        <w:gridCol w:w="455"/>
        <w:gridCol w:w="1096"/>
        <w:gridCol w:w="1420"/>
        <w:gridCol w:w="1058"/>
        <w:gridCol w:w="1771"/>
      </w:tblGrid>
      <w:tr w:rsidR="00D17E33">
        <w:trPr>
          <w:trHeight w:val="446"/>
        </w:trPr>
        <w:tc>
          <w:tcPr>
            <w:tcW w:w="14865" w:type="dxa"/>
            <w:gridSpan w:val="9"/>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t>财政拨款收入支出决算总表</w:t>
            </w:r>
          </w:p>
        </w:tc>
      </w:tr>
      <w:tr w:rsidR="00D17E33">
        <w:trPr>
          <w:trHeight w:val="292"/>
        </w:trPr>
        <w:tc>
          <w:tcPr>
            <w:tcW w:w="338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455"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2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83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455"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07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2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058"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771"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04</w:t>
            </w:r>
            <w:r>
              <w:rPr>
                <w:rFonts w:ascii="宋体" w:eastAsia="宋体" w:hAnsi="宋体" w:cs="Arial" w:hint="eastAsia"/>
                <w:color w:val="000000"/>
                <w:kern w:val="0"/>
                <w:sz w:val="20"/>
                <w:szCs w:val="20"/>
              </w:rPr>
              <w:t>表</w:t>
            </w:r>
          </w:p>
        </w:tc>
      </w:tr>
      <w:tr w:rsidR="00D17E33">
        <w:trPr>
          <w:trHeight w:val="292"/>
        </w:trPr>
        <w:tc>
          <w:tcPr>
            <w:tcW w:w="3384" w:type="dxa"/>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455"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2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83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455"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07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42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058"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771"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353"/>
        </w:trPr>
        <w:tc>
          <w:tcPr>
            <w:tcW w:w="525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w:t>
            </w: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入</w:t>
            </w:r>
          </w:p>
        </w:tc>
        <w:tc>
          <w:tcPr>
            <w:tcW w:w="9606" w:type="dxa"/>
            <w:gridSpan w:val="6"/>
            <w:tcBorders>
              <w:top w:val="single" w:sz="4" w:space="0" w:color="000000"/>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w:t>
            </w: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出</w:t>
            </w:r>
          </w:p>
        </w:tc>
      </w:tr>
      <w:tr w:rsidR="00D17E33">
        <w:trPr>
          <w:trHeight w:val="358"/>
        </w:trPr>
        <w:tc>
          <w:tcPr>
            <w:tcW w:w="3384" w:type="dxa"/>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455"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142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3832"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455"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1070" w:type="dxa"/>
            <w:vMerge w:val="restart"/>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42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一般公共预算财政拨款</w:t>
            </w:r>
          </w:p>
        </w:tc>
        <w:tc>
          <w:tcPr>
            <w:tcW w:w="1058"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政府性基金预算财政拨款</w:t>
            </w:r>
          </w:p>
        </w:tc>
        <w:tc>
          <w:tcPr>
            <w:tcW w:w="1771"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国有资本经营预算财政拨款</w:t>
            </w:r>
          </w:p>
        </w:tc>
      </w:tr>
      <w:tr w:rsidR="00D17E33">
        <w:trPr>
          <w:trHeight w:val="704"/>
        </w:trPr>
        <w:tc>
          <w:tcPr>
            <w:tcW w:w="3384" w:type="dxa"/>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455"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2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832"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455"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07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2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058"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771"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color w:val="000000"/>
                <w:kern w:val="0"/>
                <w:sz w:val="22"/>
              </w:rPr>
            </w:pP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一、一般公共预算财政拨款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一、一般公共服务支出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33</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二、政府性基金预算财政拨款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二、外交支出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34</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三、国有资本经营财政拨款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三、国防支出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35</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四、公共安全支出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36</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五、教育支出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37</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六、科学技术支出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38</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七、文化旅游体育与传媒支出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39</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八、社会保障和就业支出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40</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九、卫生健康支出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41</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十、节能环保支出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42</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十一、城乡社区支出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43</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十二、农林水支出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44</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十三、交通运输支出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45</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十四、资源勘探工业信息等支出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46</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十五、商业服务业等支出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47</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十六、金融支出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48</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十七、援助其他地区支出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49</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十八、自然资源海洋气象等支出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50</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十九、住房保障支出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51</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二十、粮油物资储备支出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52</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21</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二十一、国有资本经营预算支出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53</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22</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二十二、灾害防治及应急管理支出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54</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23</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二十三、其他支出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55</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center"/>
              <w:rPr>
                <w:rFonts w:ascii="宋体" w:eastAsia="宋体" w:hAnsi="宋体" w:cs="Arial"/>
                <w:b/>
                <w:bCs/>
                <w:color w:val="000000"/>
                <w:kern w:val="0"/>
                <w:sz w:val="20"/>
                <w:szCs w:val="20"/>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24</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二十四、债务还本支出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56</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0"/>
                <w:szCs w:val="20"/>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25</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二十五、债务付息支出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57</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0"/>
                <w:szCs w:val="20"/>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26</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二十六、抗疫特别国债安排的支出</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58</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本年收入合计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本年支出合计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59</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年初财政拨款结转和结余</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28</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年末财政拨款结转和结余</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60</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一般公共预算财政拨款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29</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61</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政府性基金预算财政拨款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30</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62</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国有资本经营预算财政拨款</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31</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63</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338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32</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832"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455"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64</w:t>
            </w:r>
          </w:p>
        </w:tc>
        <w:tc>
          <w:tcPr>
            <w:tcW w:w="107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42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105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77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53"/>
        </w:trPr>
        <w:tc>
          <w:tcPr>
            <w:tcW w:w="13094" w:type="dxa"/>
            <w:gridSpan w:val="8"/>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注：本表反映部门本年度一般公共预算财政拨款、政府性基金预算财政拨款和国有资本经营预算财政拨款的总收支和年末结转结余情况。</w:t>
            </w:r>
          </w:p>
        </w:tc>
        <w:tc>
          <w:tcPr>
            <w:tcW w:w="1771" w:type="dxa"/>
            <w:tcBorders>
              <w:top w:val="nil"/>
              <w:left w:val="nil"/>
              <w:bottom w:val="nil"/>
              <w:right w:val="nil"/>
            </w:tcBorders>
            <w:shd w:val="clear" w:color="auto" w:fill="auto"/>
            <w:noWrap/>
            <w:vAlign w:val="center"/>
          </w:tcPr>
          <w:p w:rsidR="00D17E33" w:rsidRDefault="00D17E33">
            <w:pPr>
              <w:widowControl/>
              <w:jc w:val="left"/>
              <w:rPr>
                <w:rFonts w:ascii="宋体" w:eastAsia="宋体" w:hAnsi="宋体" w:cs="Arial"/>
                <w:color w:val="000000"/>
                <w:kern w:val="0"/>
                <w:sz w:val="20"/>
                <w:szCs w:val="20"/>
              </w:rPr>
            </w:pPr>
          </w:p>
        </w:tc>
      </w:tr>
    </w:tbl>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tbl>
      <w:tblPr>
        <w:tblW w:w="14981" w:type="dxa"/>
        <w:tblInd w:w="93" w:type="dxa"/>
        <w:tblLook w:val="04A0"/>
      </w:tblPr>
      <w:tblGrid>
        <w:gridCol w:w="475"/>
        <w:gridCol w:w="372"/>
        <w:gridCol w:w="324"/>
        <w:gridCol w:w="2631"/>
        <w:gridCol w:w="3536"/>
        <w:gridCol w:w="3536"/>
        <w:gridCol w:w="4107"/>
      </w:tblGrid>
      <w:tr w:rsidR="00D17E33">
        <w:trPr>
          <w:trHeight w:val="530"/>
        </w:trPr>
        <w:tc>
          <w:tcPr>
            <w:tcW w:w="14981" w:type="dxa"/>
            <w:gridSpan w:val="7"/>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lastRenderedPageBreak/>
              <w:t>一般公共预算财政拨款支出决算表</w:t>
            </w:r>
          </w:p>
        </w:tc>
      </w:tr>
      <w:tr w:rsidR="00D17E33">
        <w:trPr>
          <w:trHeight w:val="346"/>
        </w:trPr>
        <w:tc>
          <w:tcPr>
            <w:tcW w:w="475"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7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2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63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53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536"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4107"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05</w:t>
            </w:r>
            <w:r>
              <w:rPr>
                <w:rFonts w:ascii="宋体" w:eastAsia="宋体" w:hAnsi="宋体" w:cs="Arial" w:hint="eastAsia"/>
                <w:color w:val="000000"/>
                <w:kern w:val="0"/>
                <w:sz w:val="20"/>
                <w:szCs w:val="20"/>
              </w:rPr>
              <w:t>表</w:t>
            </w:r>
          </w:p>
        </w:tc>
      </w:tr>
      <w:tr w:rsidR="00D17E33">
        <w:trPr>
          <w:trHeight w:val="346"/>
        </w:trPr>
        <w:tc>
          <w:tcPr>
            <w:tcW w:w="3802" w:type="dxa"/>
            <w:gridSpan w:val="4"/>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3536"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536"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4107"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418"/>
        </w:trPr>
        <w:tc>
          <w:tcPr>
            <w:tcW w:w="380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1179" w:type="dxa"/>
            <w:gridSpan w:val="3"/>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w:t>
            </w:r>
          </w:p>
        </w:tc>
      </w:tr>
      <w:tr w:rsidR="00D17E33">
        <w:trPr>
          <w:trHeight w:val="424"/>
        </w:trPr>
        <w:tc>
          <w:tcPr>
            <w:tcW w:w="1171"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2631" w:type="dxa"/>
            <w:vMerge w:val="restart"/>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3536"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3536"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4107"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D17E33">
        <w:trPr>
          <w:trHeight w:val="424"/>
        </w:trPr>
        <w:tc>
          <w:tcPr>
            <w:tcW w:w="1171"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631"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53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53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4107"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24"/>
        </w:trPr>
        <w:tc>
          <w:tcPr>
            <w:tcW w:w="1171" w:type="dxa"/>
            <w:gridSpan w:val="3"/>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631"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53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536"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4107"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18"/>
        </w:trPr>
        <w:tc>
          <w:tcPr>
            <w:tcW w:w="3802"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D17E33">
        <w:trPr>
          <w:trHeight w:val="418"/>
        </w:trPr>
        <w:tc>
          <w:tcPr>
            <w:tcW w:w="3802" w:type="dxa"/>
            <w:gridSpan w:val="4"/>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2,383.37</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2,383.37</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b/>
                <w:bCs/>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2,383.37</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163.54</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2050202</w:t>
            </w: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小学教育</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2,054.97</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2,054.97</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2050203</w:t>
            </w: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初中教育</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164.87</w:t>
            </w: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171" w:type="dxa"/>
            <w:gridSpan w:val="3"/>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63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3536"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4107"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418"/>
        </w:trPr>
        <w:tc>
          <w:tcPr>
            <w:tcW w:w="14981" w:type="dxa"/>
            <w:gridSpan w:val="7"/>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注：本表反映部门本年度一般公共预算财政拨款支出情况。</w:t>
            </w:r>
          </w:p>
        </w:tc>
      </w:tr>
    </w:tbl>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tbl>
      <w:tblPr>
        <w:tblW w:w="14817" w:type="dxa"/>
        <w:tblInd w:w="93" w:type="dxa"/>
        <w:tblLook w:val="04A0"/>
      </w:tblPr>
      <w:tblGrid>
        <w:gridCol w:w="766"/>
        <w:gridCol w:w="2718"/>
        <w:gridCol w:w="1390"/>
        <w:gridCol w:w="766"/>
        <w:gridCol w:w="2147"/>
        <w:gridCol w:w="1390"/>
        <w:gridCol w:w="766"/>
        <w:gridCol w:w="3490"/>
        <w:gridCol w:w="1390"/>
      </w:tblGrid>
      <w:tr w:rsidR="00D17E33">
        <w:trPr>
          <w:trHeight w:val="468"/>
        </w:trPr>
        <w:tc>
          <w:tcPr>
            <w:tcW w:w="14816" w:type="dxa"/>
            <w:gridSpan w:val="9"/>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lastRenderedPageBreak/>
              <w:t>一般公共预算财政拨款基本支出决算明细表</w:t>
            </w:r>
          </w:p>
        </w:tc>
      </w:tr>
      <w:tr w:rsidR="00D17E33">
        <w:trPr>
          <w:trHeight w:val="306"/>
        </w:trPr>
        <w:tc>
          <w:tcPr>
            <w:tcW w:w="76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718"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39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76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147"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39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76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490"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390"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06</w:t>
            </w:r>
            <w:r>
              <w:rPr>
                <w:rFonts w:ascii="宋体" w:eastAsia="宋体" w:hAnsi="宋体" w:cs="Arial" w:hint="eastAsia"/>
                <w:color w:val="000000"/>
                <w:kern w:val="0"/>
                <w:sz w:val="20"/>
                <w:szCs w:val="20"/>
              </w:rPr>
              <w:t>表</w:t>
            </w:r>
          </w:p>
        </w:tc>
      </w:tr>
      <w:tr w:rsidR="00D17E33">
        <w:trPr>
          <w:trHeight w:val="306"/>
        </w:trPr>
        <w:tc>
          <w:tcPr>
            <w:tcW w:w="3481" w:type="dxa"/>
            <w:gridSpan w:val="2"/>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139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764"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2147"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39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764"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3490"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390"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370"/>
        </w:trPr>
        <w:tc>
          <w:tcPr>
            <w:tcW w:w="4871"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人员经费</w:t>
            </w:r>
          </w:p>
        </w:tc>
        <w:tc>
          <w:tcPr>
            <w:tcW w:w="9945" w:type="dxa"/>
            <w:gridSpan w:val="6"/>
            <w:tcBorders>
              <w:top w:val="single" w:sz="4" w:space="0" w:color="000000"/>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公用经费</w:t>
            </w:r>
          </w:p>
        </w:tc>
      </w:tr>
      <w:tr w:rsidR="00D17E33">
        <w:trPr>
          <w:trHeight w:val="378"/>
        </w:trPr>
        <w:tc>
          <w:tcPr>
            <w:tcW w:w="764" w:type="dxa"/>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2718"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39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764"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2147"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39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764"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349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39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D17E33">
        <w:trPr>
          <w:trHeight w:val="378"/>
        </w:trPr>
        <w:tc>
          <w:tcPr>
            <w:tcW w:w="764" w:type="dxa"/>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718"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39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764"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2147"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39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764"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349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39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工资福利支出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2,260.97</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商品和服务支出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56.36</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债务利息及费用支出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30101</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基本工资</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563.62</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30201</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办公费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16.84</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30701</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国内债务付息</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30102</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津贴补贴</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259.63</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30202</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印刷费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1.33</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30702</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国外债务付息</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30103</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奖金</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30203</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咨询费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2.10</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资本性支出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30106</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伙食补助费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16.35</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30204</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手续费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31001</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房屋建筑物购建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30107</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绩效工资</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486.68</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30205</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31002</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办公设备购置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30108</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机关事业单位基本养老保险缴费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349.33</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30206</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电费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0.41</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31003</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专用设备购置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30109</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职业年金缴费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59.87</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30207</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邮电费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31005</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基础设施建设</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30110</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职工基本医疗保险缴费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180.43</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30208</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取暖费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31006</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大型修缮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30111</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公务员医疗补助缴费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30209</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物业管理费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31007</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信息网络及软件购置更新</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30112</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其他社会保障缴费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28.04</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30211</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差旅费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1.18</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31008</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物资储备</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30113</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住房公积金</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314.55</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30212</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因公出国（境）费用</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31009</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土地补偿</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30114</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医疗费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30213</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维修（护）费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0.75</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31010</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安置补助</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30199</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其他工资福利支出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2.48</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30214</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租赁费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31011</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地上附着物和青苗补偿</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对个人和家庭的补助</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66.05</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30215</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会议费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31012</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拆迁补偿</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30301</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离休费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14.83</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30216</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培训费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31013</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公务用车购置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30302</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退休费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30217</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公务接待费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31019</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其他交通工具购置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30303</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退职（役）费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30218</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专用材料费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31021</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文物和陈列品购置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30304</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抚恤金</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7.71</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30224</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被装购置费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31022</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无形资产购置</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lastRenderedPageBreak/>
              <w:t>30305</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生活补助</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27.77</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30225</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专用燃料费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31099</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其他资本性支出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30306</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救济费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30226</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劳务费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2.78</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其他支出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30307</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医疗费补助</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30227</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委托业务费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39906</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赠与</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30308</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助学金</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30228</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工会经费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27.39</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39907</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国家赔偿费用支出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30309</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奖励金</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30229</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福利费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39908</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对民间非营利组织和群众性自治组织补贴</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30310</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个人农业生产补贴</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30231</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公务用车运行维护费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39999</w:t>
            </w: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30311</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代缴社会保险费</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30239</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其他交通费用</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0.47</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30399</w:t>
            </w: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其他对个人和家庭的补助</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15.75</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30240</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税金及附加费用</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764"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2718"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764"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30299</w:t>
            </w:r>
          </w:p>
        </w:tc>
        <w:tc>
          <w:tcPr>
            <w:tcW w:w="2147"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其他商品和服务支出</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3.11</w:t>
            </w:r>
          </w:p>
        </w:tc>
        <w:tc>
          <w:tcPr>
            <w:tcW w:w="76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34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left"/>
              <w:rPr>
                <w:rFonts w:ascii="宋体" w:eastAsia="宋体" w:hAnsi="宋体" w:cs="Arial"/>
                <w:color w:val="000000"/>
                <w:kern w:val="0"/>
                <w:sz w:val="22"/>
              </w:rPr>
            </w:pP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370"/>
        </w:trPr>
        <w:tc>
          <w:tcPr>
            <w:tcW w:w="3481" w:type="dxa"/>
            <w:gridSpan w:val="2"/>
            <w:tcBorders>
              <w:top w:val="nil"/>
              <w:left w:val="single" w:sz="4" w:space="0" w:color="000000"/>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人员经费合计</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2,327.01</w:t>
            </w:r>
          </w:p>
        </w:tc>
        <w:tc>
          <w:tcPr>
            <w:tcW w:w="8555" w:type="dxa"/>
            <w:gridSpan w:val="5"/>
            <w:tcBorders>
              <w:top w:val="nil"/>
              <w:left w:val="nil"/>
              <w:bottom w:val="single" w:sz="4" w:space="0" w:color="000000"/>
              <w:right w:val="single" w:sz="4" w:space="0" w:color="000000"/>
            </w:tcBorders>
            <w:shd w:val="clear" w:color="auto" w:fill="auto"/>
            <w:noWrap/>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公用经费合计</w:t>
            </w:r>
          </w:p>
        </w:tc>
        <w:tc>
          <w:tcPr>
            <w:tcW w:w="1390" w:type="dxa"/>
            <w:tcBorders>
              <w:top w:val="nil"/>
              <w:left w:val="nil"/>
              <w:bottom w:val="single" w:sz="4" w:space="0" w:color="000000"/>
              <w:right w:val="single" w:sz="4" w:space="0" w:color="000000"/>
            </w:tcBorders>
            <w:shd w:val="clear" w:color="auto" w:fill="auto"/>
            <w:noWrap/>
            <w:vAlign w:val="center"/>
          </w:tcPr>
          <w:p w:rsidR="00D17E33" w:rsidRDefault="00707424">
            <w:pPr>
              <w:widowControl/>
              <w:jc w:val="right"/>
              <w:rPr>
                <w:rFonts w:ascii="宋体" w:eastAsia="宋体" w:hAnsi="宋体" w:cs="Arial"/>
                <w:color w:val="000000"/>
                <w:kern w:val="0"/>
                <w:sz w:val="22"/>
              </w:rPr>
            </w:pPr>
            <w:r>
              <w:rPr>
                <w:rFonts w:ascii="宋体" w:eastAsia="宋体" w:hAnsi="宋体" w:cs="Arial" w:hint="eastAsia"/>
                <w:color w:val="000000"/>
                <w:kern w:val="0"/>
                <w:sz w:val="22"/>
              </w:rPr>
              <w:t>56.36</w:t>
            </w:r>
          </w:p>
        </w:tc>
      </w:tr>
      <w:tr w:rsidR="00D17E33">
        <w:trPr>
          <w:trHeight w:val="370"/>
        </w:trPr>
        <w:tc>
          <w:tcPr>
            <w:tcW w:w="14816" w:type="dxa"/>
            <w:gridSpan w:val="9"/>
            <w:tcBorders>
              <w:top w:val="nil"/>
              <w:left w:val="nil"/>
              <w:bottom w:val="nil"/>
              <w:right w:val="nil"/>
            </w:tcBorders>
            <w:shd w:val="clear" w:color="auto" w:fill="auto"/>
            <w:noWrap/>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注：本表反映部门本年度一般公共预算财政拨款基本支出明细情况。</w:t>
            </w:r>
          </w:p>
        </w:tc>
      </w:tr>
    </w:tbl>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tbl>
      <w:tblPr>
        <w:tblW w:w="15017" w:type="dxa"/>
        <w:tblInd w:w="93" w:type="dxa"/>
        <w:tblLook w:val="04A0"/>
      </w:tblPr>
      <w:tblGrid>
        <w:gridCol w:w="1251"/>
        <w:gridCol w:w="1252"/>
        <w:gridCol w:w="206"/>
        <w:gridCol w:w="1045"/>
        <w:gridCol w:w="1251"/>
        <w:gridCol w:w="1252"/>
        <w:gridCol w:w="1252"/>
        <w:gridCol w:w="1251"/>
        <w:gridCol w:w="1251"/>
        <w:gridCol w:w="1251"/>
        <w:gridCol w:w="1251"/>
        <w:gridCol w:w="1244"/>
        <w:gridCol w:w="1260"/>
      </w:tblGrid>
      <w:tr w:rsidR="00D17E33">
        <w:trPr>
          <w:trHeight w:val="601"/>
        </w:trPr>
        <w:tc>
          <w:tcPr>
            <w:tcW w:w="15017" w:type="dxa"/>
            <w:gridSpan w:val="13"/>
            <w:tcBorders>
              <w:top w:val="nil"/>
              <w:left w:val="nil"/>
              <w:bottom w:val="nil"/>
              <w:right w:val="nil"/>
            </w:tcBorders>
            <w:shd w:val="clear" w:color="auto" w:fill="auto"/>
            <w:noWrap/>
            <w:vAlign w:val="bottom"/>
          </w:tcPr>
          <w:p w:rsidR="00D17E33" w:rsidRDefault="00707424">
            <w:pPr>
              <w:widowControl/>
              <w:jc w:val="center"/>
              <w:rPr>
                <w:rFonts w:ascii="宋体" w:eastAsia="宋体" w:hAnsi="宋体" w:cs="Arial"/>
                <w:color w:val="000000"/>
                <w:kern w:val="0"/>
                <w:sz w:val="30"/>
                <w:szCs w:val="30"/>
              </w:rPr>
            </w:pPr>
            <w:r>
              <w:rPr>
                <w:rFonts w:ascii="黑体" w:eastAsia="黑体" w:hAnsi="黑体" w:cs="Times New Roman" w:hint="eastAsia"/>
                <w:b/>
                <w:kern w:val="0"/>
                <w:sz w:val="36"/>
                <w:szCs w:val="36"/>
              </w:rPr>
              <w:lastRenderedPageBreak/>
              <w:t>一般公共预算财政拨款“三公”经费支出决算表</w:t>
            </w:r>
          </w:p>
        </w:tc>
      </w:tr>
      <w:tr w:rsidR="00D17E33">
        <w:trPr>
          <w:trHeight w:val="394"/>
        </w:trPr>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gridSpan w:val="2"/>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2"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44" w:type="dxa"/>
            <w:tcBorders>
              <w:top w:val="nil"/>
              <w:left w:val="nil"/>
              <w:bottom w:val="nil"/>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60" w:type="dxa"/>
            <w:tcBorders>
              <w:top w:val="nil"/>
              <w:left w:val="nil"/>
              <w:bottom w:val="nil"/>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07</w:t>
            </w:r>
            <w:r>
              <w:rPr>
                <w:rFonts w:ascii="宋体" w:eastAsia="宋体" w:hAnsi="宋体" w:cs="Arial" w:hint="eastAsia"/>
                <w:color w:val="000000"/>
                <w:kern w:val="0"/>
                <w:sz w:val="20"/>
                <w:szCs w:val="20"/>
              </w:rPr>
              <w:t>表</w:t>
            </w:r>
          </w:p>
        </w:tc>
      </w:tr>
      <w:tr w:rsidR="00D17E33">
        <w:trPr>
          <w:trHeight w:val="394"/>
        </w:trPr>
        <w:tc>
          <w:tcPr>
            <w:tcW w:w="2503" w:type="dxa"/>
            <w:gridSpan w:val="2"/>
            <w:tcBorders>
              <w:top w:val="nil"/>
              <w:left w:val="nil"/>
              <w:bottom w:val="single" w:sz="4" w:space="0" w:color="000000"/>
              <w:right w:val="nil"/>
            </w:tcBorders>
            <w:shd w:val="clear" w:color="auto" w:fill="auto"/>
            <w:noWrap/>
            <w:vAlign w:val="bottom"/>
          </w:tcPr>
          <w:p w:rsidR="00D17E33" w:rsidRDefault="0070742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部门：湘乡市山枣中心学校</w:t>
            </w:r>
          </w:p>
        </w:tc>
        <w:tc>
          <w:tcPr>
            <w:tcW w:w="1251" w:type="dxa"/>
            <w:gridSpan w:val="2"/>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2"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51"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44" w:type="dxa"/>
            <w:tcBorders>
              <w:top w:val="nil"/>
              <w:left w:val="nil"/>
              <w:bottom w:val="single" w:sz="4" w:space="0" w:color="000000"/>
              <w:right w:val="nil"/>
            </w:tcBorders>
            <w:shd w:val="clear" w:color="auto" w:fill="auto"/>
            <w:noWrap/>
            <w:vAlign w:val="bottom"/>
          </w:tcPr>
          <w:p w:rsidR="00D17E33" w:rsidRDefault="00D17E33">
            <w:pPr>
              <w:widowControl/>
              <w:jc w:val="left"/>
              <w:rPr>
                <w:rFonts w:ascii="Arial" w:eastAsia="宋体" w:hAnsi="Arial" w:cs="Arial"/>
                <w:color w:val="000000"/>
                <w:kern w:val="0"/>
                <w:sz w:val="20"/>
                <w:szCs w:val="20"/>
              </w:rPr>
            </w:pPr>
          </w:p>
        </w:tc>
        <w:tc>
          <w:tcPr>
            <w:tcW w:w="1260" w:type="dxa"/>
            <w:tcBorders>
              <w:top w:val="nil"/>
              <w:left w:val="nil"/>
              <w:bottom w:val="single" w:sz="4" w:space="0" w:color="000000"/>
              <w:right w:val="nil"/>
            </w:tcBorders>
            <w:shd w:val="clear" w:color="auto" w:fill="auto"/>
            <w:noWrap/>
            <w:vAlign w:val="bottom"/>
          </w:tcPr>
          <w:p w:rsidR="00D17E33" w:rsidRDefault="0070742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D17E33">
        <w:trPr>
          <w:trHeight w:val="475"/>
        </w:trPr>
        <w:tc>
          <w:tcPr>
            <w:tcW w:w="750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预算数</w:t>
            </w:r>
          </w:p>
        </w:tc>
        <w:tc>
          <w:tcPr>
            <w:tcW w:w="7508" w:type="dxa"/>
            <w:gridSpan w:val="6"/>
            <w:tcBorders>
              <w:top w:val="single" w:sz="4" w:space="0" w:color="000000"/>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D17E33">
        <w:trPr>
          <w:trHeight w:val="475"/>
        </w:trPr>
        <w:tc>
          <w:tcPr>
            <w:tcW w:w="1251" w:type="dxa"/>
            <w:vMerge w:val="restart"/>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458" w:type="dxa"/>
            <w:gridSpan w:val="2"/>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因公出国（境）费</w:t>
            </w:r>
          </w:p>
        </w:tc>
        <w:tc>
          <w:tcPr>
            <w:tcW w:w="3548" w:type="dxa"/>
            <w:gridSpan w:val="3"/>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公务用车购置及运行费</w:t>
            </w:r>
          </w:p>
        </w:tc>
        <w:tc>
          <w:tcPr>
            <w:tcW w:w="1252"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公务接待费</w:t>
            </w:r>
          </w:p>
        </w:tc>
        <w:tc>
          <w:tcPr>
            <w:tcW w:w="1251"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251"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因公出国（境）费</w:t>
            </w:r>
          </w:p>
        </w:tc>
        <w:tc>
          <w:tcPr>
            <w:tcW w:w="3746" w:type="dxa"/>
            <w:gridSpan w:val="3"/>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公务用车购置及运行费</w:t>
            </w:r>
          </w:p>
        </w:tc>
        <w:tc>
          <w:tcPr>
            <w:tcW w:w="1260" w:type="dxa"/>
            <w:vMerge w:val="restart"/>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公务接待费</w:t>
            </w:r>
          </w:p>
        </w:tc>
      </w:tr>
      <w:tr w:rsidR="00D17E33">
        <w:trPr>
          <w:trHeight w:val="948"/>
        </w:trPr>
        <w:tc>
          <w:tcPr>
            <w:tcW w:w="1251" w:type="dxa"/>
            <w:vMerge/>
            <w:tcBorders>
              <w:top w:val="nil"/>
              <w:left w:val="single" w:sz="4" w:space="0" w:color="000000"/>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458" w:type="dxa"/>
            <w:gridSpan w:val="2"/>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045"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公务用车购置费</w:t>
            </w:r>
          </w:p>
        </w:tc>
        <w:tc>
          <w:tcPr>
            <w:tcW w:w="125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公务用车运行费</w:t>
            </w:r>
          </w:p>
        </w:tc>
        <w:tc>
          <w:tcPr>
            <w:tcW w:w="1252"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251"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251"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公务用车购置费</w:t>
            </w:r>
          </w:p>
        </w:tc>
        <w:tc>
          <w:tcPr>
            <w:tcW w:w="1244"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公务用车运行费</w:t>
            </w:r>
          </w:p>
        </w:tc>
        <w:tc>
          <w:tcPr>
            <w:tcW w:w="1260" w:type="dxa"/>
            <w:vMerge/>
            <w:tcBorders>
              <w:top w:val="nil"/>
              <w:left w:val="nil"/>
              <w:bottom w:val="single" w:sz="4" w:space="0" w:color="000000"/>
              <w:right w:val="single" w:sz="4" w:space="0" w:color="000000"/>
            </w:tcBorders>
            <w:shd w:val="clear" w:color="auto" w:fill="auto"/>
            <w:vAlign w:val="center"/>
          </w:tcPr>
          <w:p w:rsidR="00D17E33" w:rsidRDefault="00D17E33">
            <w:pPr>
              <w:widowControl/>
              <w:jc w:val="left"/>
              <w:rPr>
                <w:rFonts w:ascii="宋体" w:eastAsia="宋体" w:hAnsi="宋体" w:cs="Arial"/>
                <w:color w:val="000000"/>
                <w:kern w:val="0"/>
                <w:sz w:val="22"/>
              </w:rPr>
            </w:pPr>
          </w:p>
        </w:tc>
      </w:tr>
      <w:tr w:rsidR="00D17E33">
        <w:trPr>
          <w:trHeight w:val="475"/>
        </w:trPr>
        <w:tc>
          <w:tcPr>
            <w:tcW w:w="1251" w:type="dxa"/>
            <w:tcBorders>
              <w:top w:val="nil"/>
              <w:left w:val="single" w:sz="4" w:space="0" w:color="000000"/>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458" w:type="dxa"/>
            <w:gridSpan w:val="2"/>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045"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25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252"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251"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244"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260" w:type="dxa"/>
            <w:tcBorders>
              <w:top w:val="nil"/>
              <w:left w:val="nil"/>
              <w:bottom w:val="single" w:sz="4" w:space="0" w:color="000000"/>
              <w:right w:val="single" w:sz="4" w:space="0" w:color="000000"/>
            </w:tcBorders>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r>
      <w:tr w:rsidR="00D17E33">
        <w:trPr>
          <w:trHeight w:val="475"/>
        </w:trPr>
        <w:tc>
          <w:tcPr>
            <w:tcW w:w="1251" w:type="dxa"/>
            <w:tcBorders>
              <w:top w:val="nil"/>
              <w:left w:val="single" w:sz="4" w:space="0" w:color="000000"/>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458" w:type="dxa"/>
            <w:gridSpan w:val="2"/>
            <w:tcBorders>
              <w:top w:val="nil"/>
              <w:left w:val="nil"/>
              <w:bottom w:val="single" w:sz="4" w:space="0" w:color="000000"/>
              <w:right w:val="single" w:sz="4" w:space="0" w:color="000000"/>
            </w:tcBorders>
            <w:shd w:val="clear" w:color="auto" w:fill="auto"/>
            <w:noWrap/>
            <w:vAlign w:val="center"/>
          </w:tcPr>
          <w:p w:rsidR="00D17E33" w:rsidRDefault="00707424">
            <w:pPr>
              <w:widowControl/>
              <w:tabs>
                <w:tab w:val="left" w:pos="1208"/>
              </w:tabs>
              <w:ind w:right="34"/>
              <w:jc w:val="right"/>
              <w:rPr>
                <w:rFonts w:ascii="宋体" w:eastAsia="宋体" w:hAnsi="宋体" w:cs="Arial"/>
                <w:color w:val="000000"/>
                <w:kern w:val="0"/>
                <w:sz w:val="22"/>
              </w:rPr>
            </w:pPr>
            <w:r>
              <w:rPr>
                <w:rFonts w:ascii="宋体" w:eastAsia="宋体" w:hAnsi="宋体" w:cs="Arial" w:hint="eastAsia"/>
                <w:color w:val="000000"/>
                <w:kern w:val="0"/>
                <w:sz w:val="22"/>
              </w:rPr>
              <w:t>本表无数据</w:t>
            </w:r>
          </w:p>
        </w:tc>
        <w:tc>
          <w:tcPr>
            <w:tcW w:w="1045"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2"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51"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44"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c>
          <w:tcPr>
            <w:tcW w:w="1260" w:type="dxa"/>
            <w:tcBorders>
              <w:top w:val="nil"/>
              <w:left w:val="nil"/>
              <w:bottom w:val="single" w:sz="4" w:space="0" w:color="000000"/>
              <w:right w:val="single" w:sz="4" w:space="0" w:color="000000"/>
            </w:tcBorders>
            <w:shd w:val="clear" w:color="auto" w:fill="auto"/>
            <w:noWrap/>
            <w:vAlign w:val="center"/>
          </w:tcPr>
          <w:p w:rsidR="00D17E33" w:rsidRDefault="00D17E33">
            <w:pPr>
              <w:widowControl/>
              <w:jc w:val="right"/>
              <w:rPr>
                <w:rFonts w:ascii="宋体" w:eastAsia="宋体" w:hAnsi="宋体" w:cs="Arial"/>
                <w:color w:val="000000"/>
                <w:kern w:val="0"/>
                <w:sz w:val="22"/>
              </w:rPr>
            </w:pPr>
          </w:p>
        </w:tc>
      </w:tr>
      <w:tr w:rsidR="00D17E33">
        <w:trPr>
          <w:trHeight w:val="948"/>
        </w:trPr>
        <w:tc>
          <w:tcPr>
            <w:tcW w:w="15017" w:type="dxa"/>
            <w:gridSpan w:val="13"/>
            <w:tcBorders>
              <w:top w:val="nil"/>
              <w:left w:val="nil"/>
              <w:bottom w:val="nil"/>
              <w:right w:val="nil"/>
            </w:tcBorders>
            <w:shd w:val="clear" w:color="auto" w:fill="auto"/>
            <w:vAlign w:val="center"/>
          </w:tcPr>
          <w:p w:rsidR="00D17E33" w:rsidRDefault="0070742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rPr>
          <w:rFonts w:ascii="Times New Roman" w:eastAsia="方正小标宋_GBK" w:hAnsi="Times New Roman" w:cs="Times New Roman"/>
          <w:color w:val="000000"/>
          <w:kern w:val="0"/>
          <w:sz w:val="36"/>
          <w:szCs w:val="36"/>
        </w:rPr>
      </w:pPr>
    </w:p>
    <w:p w:rsidR="00D17E33" w:rsidRDefault="00D17E33">
      <w:pPr>
        <w:widowControl/>
        <w:ind w:left="93"/>
        <w:jc w:val="center"/>
        <w:rPr>
          <w:rFonts w:ascii="Times New Roman" w:eastAsia="方正小标宋_GBK" w:hAnsi="Times New Roman" w:cs="Times New Roman"/>
          <w:color w:val="000000"/>
          <w:kern w:val="0"/>
          <w:sz w:val="36"/>
          <w:szCs w:val="21"/>
        </w:rPr>
      </w:pPr>
    </w:p>
    <w:p w:rsidR="00D17E33" w:rsidRDefault="00D17E33">
      <w:pPr>
        <w:widowControl/>
        <w:ind w:left="93"/>
        <w:jc w:val="center"/>
        <w:rPr>
          <w:rFonts w:ascii="Times New Roman" w:eastAsia="方正小标宋_GBK" w:hAnsi="Times New Roman" w:cs="Times New Roman"/>
          <w:color w:val="000000"/>
          <w:kern w:val="0"/>
          <w:sz w:val="36"/>
          <w:szCs w:val="21"/>
        </w:rPr>
      </w:pPr>
    </w:p>
    <w:p w:rsidR="00D17E33" w:rsidRDefault="00D17E33">
      <w:pPr>
        <w:widowControl/>
        <w:jc w:val="left"/>
        <w:rPr>
          <w:rFonts w:ascii="宋体" w:eastAsia="宋体" w:cs="宋体"/>
          <w:kern w:val="0"/>
          <w:sz w:val="24"/>
          <w:szCs w:val="24"/>
        </w:rPr>
      </w:pPr>
    </w:p>
    <w:p w:rsidR="00D17E33" w:rsidRDefault="00D17E33">
      <w:pPr>
        <w:autoSpaceDE w:val="0"/>
        <w:autoSpaceDN w:val="0"/>
        <w:adjustRightInd w:val="0"/>
        <w:ind w:leftChars="150" w:left="315"/>
        <w:jc w:val="left"/>
        <w:rPr>
          <w:rFonts w:ascii="宋体" w:eastAsia="宋体" w:cs="宋体"/>
          <w:kern w:val="0"/>
          <w:sz w:val="24"/>
          <w:szCs w:val="24"/>
        </w:rPr>
      </w:pPr>
    </w:p>
    <w:p w:rsidR="00D17E33" w:rsidRDefault="00707424">
      <w:pPr>
        <w:widowControl/>
        <w:jc w:val="center"/>
        <w:rPr>
          <w:rFonts w:ascii="黑体" w:eastAsia="黑体" w:hAnsi="黑体" w:cs="Times New Roman"/>
          <w:b/>
          <w:kern w:val="0"/>
          <w:sz w:val="36"/>
          <w:szCs w:val="36"/>
        </w:rPr>
      </w:pPr>
      <w:r>
        <w:rPr>
          <w:rFonts w:ascii="黑体" w:eastAsia="黑体" w:hAnsi="黑体" w:cs="Times New Roman"/>
          <w:b/>
          <w:kern w:val="0"/>
          <w:sz w:val="36"/>
          <w:szCs w:val="36"/>
        </w:rPr>
        <w:t>政府性基金预算财政拨款收入支出决算表</w:t>
      </w:r>
    </w:p>
    <w:p w:rsidR="00D17E33" w:rsidRDefault="00707424">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宋体" w:eastAsia="宋体" w:hAnsi="宋体" w:cs="宋体" w:hint="eastAsia"/>
          <w:color w:val="000000"/>
          <w:kern w:val="0"/>
          <w:szCs w:val="21"/>
        </w:rPr>
        <w:t>湘乡市山枣中心学校</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D17E33" w:rsidRDefault="00707424">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D17E33">
        <w:trPr>
          <w:trHeight w:val="454"/>
          <w:jc w:val="center"/>
        </w:trPr>
        <w:tc>
          <w:tcPr>
            <w:tcW w:w="2440" w:type="dxa"/>
            <w:gridSpan w:val="2"/>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项</w:t>
            </w:r>
            <w:r>
              <w:rPr>
                <w:rFonts w:ascii="宋体" w:eastAsia="宋体" w:hAnsi="宋体" w:cs="Arial"/>
                <w:color w:val="000000"/>
                <w:kern w:val="0"/>
                <w:sz w:val="22"/>
              </w:rPr>
              <w:t xml:space="preserve">    </w:t>
            </w:r>
            <w:r>
              <w:rPr>
                <w:rFonts w:ascii="宋体" w:eastAsia="宋体" w:hAnsi="宋体" w:cs="Arial"/>
                <w:color w:val="000000"/>
                <w:kern w:val="0"/>
                <w:sz w:val="22"/>
              </w:rPr>
              <w:t>目</w:t>
            </w: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年初结转和结余</w:t>
            </w: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本年收入</w:t>
            </w:r>
          </w:p>
        </w:tc>
        <w:tc>
          <w:tcPr>
            <w:tcW w:w="6000" w:type="dxa"/>
            <w:gridSpan w:val="3"/>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本年支出</w:t>
            </w: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年末结转和结余</w:t>
            </w:r>
          </w:p>
        </w:tc>
      </w:tr>
      <w:tr w:rsidR="00D17E33">
        <w:trPr>
          <w:trHeight w:val="454"/>
          <w:jc w:val="center"/>
        </w:trPr>
        <w:tc>
          <w:tcPr>
            <w:tcW w:w="1120" w:type="dxa"/>
            <w:vMerge w:val="restart"/>
            <w:shd w:val="clear" w:color="auto" w:fill="auto"/>
            <w:vAlign w:val="center"/>
          </w:tcPr>
          <w:p w:rsidR="00D17E33" w:rsidRDefault="0070742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科目名称</w:t>
            </w:r>
          </w:p>
        </w:tc>
        <w:tc>
          <w:tcPr>
            <w:tcW w:w="2000" w:type="dxa"/>
            <w:vMerge/>
            <w:vAlign w:val="center"/>
          </w:tcPr>
          <w:p w:rsidR="00D17E33" w:rsidRDefault="00D17E33">
            <w:pPr>
              <w:widowControl/>
              <w:jc w:val="left"/>
              <w:rPr>
                <w:rFonts w:ascii="宋体" w:eastAsia="宋体" w:hAnsi="宋体" w:cs="Arial"/>
                <w:color w:val="000000"/>
                <w:kern w:val="0"/>
                <w:sz w:val="22"/>
              </w:rPr>
            </w:pPr>
          </w:p>
        </w:tc>
        <w:tc>
          <w:tcPr>
            <w:tcW w:w="2000" w:type="dxa"/>
            <w:vMerge/>
            <w:vAlign w:val="center"/>
          </w:tcPr>
          <w:p w:rsidR="00D17E33" w:rsidRDefault="00D17E33">
            <w:pPr>
              <w:widowControl/>
              <w:jc w:val="left"/>
              <w:rPr>
                <w:rFonts w:ascii="宋体" w:eastAsia="宋体" w:hAnsi="宋体" w:cs="Arial"/>
                <w:color w:val="000000"/>
                <w:kern w:val="0"/>
                <w:sz w:val="22"/>
              </w:rPr>
            </w:pP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小计</w:t>
            </w: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基本支出</w:t>
            </w:r>
            <w:r>
              <w:rPr>
                <w:rFonts w:ascii="宋体" w:eastAsia="宋体" w:hAnsi="宋体" w:cs="Arial"/>
                <w:color w:val="000000"/>
                <w:kern w:val="0"/>
                <w:sz w:val="22"/>
              </w:rPr>
              <w:t xml:space="preserve">  </w:t>
            </w:r>
          </w:p>
        </w:tc>
        <w:tc>
          <w:tcPr>
            <w:tcW w:w="2000" w:type="dxa"/>
            <w:vMerge w:val="restart"/>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项目支出</w:t>
            </w:r>
          </w:p>
        </w:tc>
        <w:tc>
          <w:tcPr>
            <w:tcW w:w="2000" w:type="dxa"/>
            <w:vMerge/>
            <w:vAlign w:val="center"/>
          </w:tcPr>
          <w:p w:rsidR="00D17E33" w:rsidRDefault="00D17E33">
            <w:pPr>
              <w:widowControl/>
              <w:jc w:val="left"/>
              <w:rPr>
                <w:rFonts w:ascii="宋体" w:eastAsia="宋体" w:hAnsi="宋体" w:cs="Arial"/>
                <w:color w:val="000000"/>
                <w:kern w:val="0"/>
                <w:sz w:val="22"/>
              </w:rPr>
            </w:pPr>
          </w:p>
        </w:tc>
      </w:tr>
      <w:tr w:rsidR="00D17E33">
        <w:trPr>
          <w:trHeight w:val="454"/>
          <w:jc w:val="center"/>
        </w:trPr>
        <w:tc>
          <w:tcPr>
            <w:tcW w:w="1120" w:type="dxa"/>
            <w:vMerge/>
            <w:vAlign w:val="center"/>
          </w:tcPr>
          <w:p w:rsidR="00D17E33" w:rsidRDefault="00D17E33">
            <w:pPr>
              <w:widowControl/>
              <w:jc w:val="left"/>
              <w:rPr>
                <w:rFonts w:ascii="Times New Roman" w:eastAsia="仿宋_GB2312" w:hAnsi="Times New Roman" w:cs="Times New Roman"/>
                <w:kern w:val="0"/>
                <w:szCs w:val="21"/>
              </w:rPr>
            </w:pPr>
          </w:p>
        </w:tc>
        <w:tc>
          <w:tcPr>
            <w:tcW w:w="132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vMerge/>
            <w:vAlign w:val="center"/>
          </w:tcPr>
          <w:p w:rsidR="00D17E33" w:rsidRDefault="00D17E33">
            <w:pPr>
              <w:widowControl/>
              <w:jc w:val="left"/>
              <w:rPr>
                <w:rFonts w:ascii="Times New Roman" w:eastAsia="仿宋_GB2312" w:hAnsi="Times New Roman" w:cs="Times New Roman"/>
                <w:kern w:val="0"/>
                <w:szCs w:val="21"/>
              </w:rPr>
            </w:pPr>
          </w:p>
        </w:tc>
        <w:tc>
          <w:tcPr>
            <w:tcW w:w="132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c>
          <w:tcPr>
            <w:tcW w:w="2000" w:type="dxa"/>
            <w:vMerge/>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2440" w:type="dxa"/>
            <w:gridSpan w:val="2"/>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栏次</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1</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2</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3</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4</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5</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6</w:t>
            </w:r>
          </w:p>
        </w:tc>
      </w:tr>
      <w:tr w:rsidR="00D17E33">
        <w:trPr>
          <w:trHeight w:val="454"/>
          <w:jc w:val="center"/>
        </w:trPr>
        <w:tc>
          <w:tcPr>
            <w:tcW w:w="2440" w:type="dxa"/>
            <w:gridSpan w:val="2"/>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color w:val="000000"/>
                <w:kern w:val="0"/>
                <w:sz w:val="22"/>
              </w:rPr>
              <w:t>合计</w:t>
            </w:r>
          </w:p>
        </w:tc>
        <w:tc>
          <w:tcPr>
            <w:tcW w:w="2000" w:type="dxa"/>
            <w:shd w:val="clear" w:color="auto" w:fill="auto"/>
            <w:vAlign w:val="center"/>
          </w:tcPr>
          <w:p w:rsidR="00D17E33" w:rsidRDefault="0070742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本表无数据</w:t>
            </w: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c>
          <w:tcPr>
            <w:tcW w:w="2000" w:type="dxa"/>
            <w:shd w:val="clear" w:color="auto" w:fill="auto"/>
            <w:vAlign w:val="center"/>
          </w:tcPr>
          <w:p w:rsidR="00D17E33" w:rsidRDefault="00D17E33">
            <w:pPr>
              <w:widowControl/>
              <w:jc w:val="center"/>
              <w:rPr>
                <w:rFonts w:ascii="宋体" w:eastAsia="宋体" w:hAnsi="宋体" w:cs="Arial"/>
                <w:color w:val="000000"/>
                <w:kern w:val="0"/>
                <w:sz w:val="22"/>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r>
      <w:tr w:rsidR="00D17E33">
        <w:trPr>
          <w:trHeight w:val="454"/>
          <w:jc w:val="center"/>
        </w:trPr>
        <w:tc>
          <w:tcPr>
            <w:tcW w:w="1120" w:type="dxa"/>
            <w:shd w:val="clear" w:color="auto" w:fill="auto"/>
            <w:vAlign w:val="center"/>
          </w:tcPr>
          <w:p w:rsidR="00D17E33" w:rsidRDefault="00D17E33">
            <w:pPr>
              <w:widowControl/>
              <w:jc w:val="center"/>
              <w:rPr>
                <w:rFonts w:ascii="Times New Roman" w:eastAsia="仿宋_GB2312" w:hAnsi="Times New Roman" w:cs="Times New Roman"/>
                <w:kern w:val="0"/>
                <w:szCs w:val="21"/>
              </w:rPr>
            </w:pPr>
          </w:p>
        </w:tc>
        <w:tc>
          <w:tcPr>
            <w:tcW w:w="132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c>
          <w:tcPr>
            <w:tcW w:w="2000" w:type="dxa"/>
            <w:shd w:val="clear" w:color="auto" w:fill="auto"/>
            <w:vAlign w:val="center"/>
          </w:tcPr>
          <w:p w:rsidR="00D17E33" w:rsidRDefault="00D17E33">
            <w:pPr>
              <w:widowControl/>
              <w:jc w:val="left"/>
              <w:rPr>
                <w:rFonts w:ascii="Times New Roman" w:eastAsia="仿宋_GB2312" w:hAnsi="Times New Roman" w:cs="Times New Roman"/>
                <w:kern w:val="0"/>
                <w:szCs w:val="21"/>
              </w:rPr>
            </w:pPr>
          </w:p>
        </w:tc>
      </w:tr>
    </w:tbl>
    <w:p w:rsidR="00D17E33" w:rsidRDefault="00707424">
      <w:pPr>
        <w:widowControl/>
        <w:jc w:val="left"/>
        <w:rPr>
          <w:rFonts w:ascii="宋体" w:eastAsia="宋体" w:hAnsi="宋体" w:cs="Arial"/>
          <w:color w:val="000000"/>
          <w:kern w:val="0"/>
          <w:sz w:val="22"/>
        </w:rPr>
      </w:pPr>
      <w:r>
        <w:rPr>
          <w:rFonts w:ascii="宋体" w:eastAsia="宋体" w:hAnsi="宋体" w:cs="Arial"/>
          <w:color w:val="000000"/>
          <w:kern w:val="0"/>
          <w:sz w:val="22"/>
        </w:rPr>
        <w:t>注：本表反映部门本年度政府性基金预算财政拨款收入、支出及结转和结余情况</w:t>
      </w:r>
    </w:p>
    <w:p w:rsidR="00D17E33" w:rsidRDefault="00707424">
      <w:pPr>
        <w:widowControl/>
        <w:jc w:val="left"/>
        <w:rPr>
          <w:rFonts w:ascii="宋体" w:eastAsia="宋体" w:hAnsi="宋体" w:cs="Arial"/>
          <w:color w:val="000000"/>
          <w:kern w:val="0"/>
          <w:sz w:val="22"/>
        </w:rPr>
      </w:pPr>
      <w:r>
        <w:rPr>
          <w:rFonts w:ascii="宋体" w:eastAsia="宋体" w:hAnsi="宋体" w:cs="Arial"/>
          <w:color w:val="000000"/>
          <w:kern w:val="0"/>
          <w:sz w:val="22"/>
        </w:rPr>
        <w:t>(</w:t>
      </w:r>
      <w:r>
        <w:rPr>
          <w:rFonts w:ascii="宋体" w:eastAsia="宋体" w:hAnsi="宋体" w:cs="Arial" w:hint="eastAsia"/>
          <w:color w:val="000000"/>
          <w:kern w:val="0"/>
          <w:sz w:val="22"/>
        </w:rPr>
        <w:t>湘乡市山枣中心学校没有政府性基金收入，也没有使用政府性基金安排的支出，故本表无数据</w:t>
      </w:r>
      <w:r>
        <w:rPr>
          <w:rFonts w:ascii="宋体" w:eastAsia="宋体" w:hAnsi="宋体" w:cs="Arial"/>
          <w:color w:val="000000"/>
          <w:kern w:val="0"/>
          <w:sz w:val="22"/>
        </w:rPr>
        <w:t>)</w:t>
      </w:r>
      <w:r>
        <w:rPr>
          <w:rFonts w:ascii="宋体" w:eastAsia="宋体" w:hAnsi="宋体" w:cs="Arial"/>
          <w:color w:val="000000"/>
          <w:kern w:val="0"/>
          <w:sz w:val="22"/>
        </w:rPr>
        <w:t>。</w:t>
      </w:r>
    </w:p>
    <w:p w:rsidR="00D17E33" w:rsidRDefault="00707424">
      <w:pPr>
        <w:widowControl/>
        <w:jc w:val="left"/>
        <w:rPr>
          <w:rFonts w:ascii="宋体" w:eastAsia="宋体" w:hAnsi="宋体" w:cs="Arial"/>
          <w:color w:val="000000"/>
          <w:kern w:val="0"/>
          <w:sz w:val="22"/>
        </w:rPr>
      </w:pPr>
      <w:r>
        <w:rPr>
          <w:rFonts w:ascii="宋体" w:eastAsia="宋体" w:hAnsi="宋体" w:cs="Arial"/>
          <w:color w:val="000000"/>
          <w:kern w:val="0"/>
          <w:sz w:val="22"/>
        </w:rPr>
        <w:br w:type="page"/>
      </w:r>
    </w:p>
    <w:tbl>
      <w:tblPr>
        <w:tblW w:w="14190" w:type="dxa"/>
        <w:tblInd w:w="93" w:type="dxa"/>
        <w:tblLook w:val="04A0"/>
      </w:tblPr>
      <w:tblGrid>
        <w:gridCol w:w="1060"/>
        <w:gridCol w:w="560"/>
        <w:gridCol w:w="1089"/>
        <w:gridCol w:w="2126"/>
        <w:gridCol w:w="1225"/>
        <w:gridCol w:w="1326"/>
        <w:gridCol w:w="1294"/>
        <w:gridCol w:w="1683"/>
        <w:gridCol w:w="3827"/>
      </w:tblGrid>
      <w:tr w:rsidR="00D17E33">
        <w:trPr>
          <w:trHeight w:val="720"/>
        </w:trPr>
        <w:tc>
          <w:tcPr>
            <w:tcW w:w="14190" w:type="dxa"/>
            <w:gridSpan w:val="9"/>
            <w:tcBorders>
              <w:top w:val="nil"/>
              <w:left w:val="nil"/>
              <w:bottom w:val="nil"/>
              <w:right w:val="nil"/>
            </w:tcBorders>
            <w:shd w:val="clear" w:color="000000" w:fill="FFFFFF"/>
            <w:vAlign w:val="center"/>
          </w:tcPr>
          <w:p w:rsidR="00D17E33" w:rsidRDefault="00707424">
            <w:pPr>
              <w:widowControl/>
              <w:jc w:val="center"/>
              <w:rPr>
                <w:rFonts w:ascii="黑体" w:eastAsia="黑体" w:hAnsi="黑体" w:cs="宋体"/>
                <w:b/>
                <w:kern w:val="0"/>
                <w:sz w:val="32"/>
                <w:szCs w:val="32"/>
              </w:rPr>
            </w:pPr>
            <w:r>
              <w:rPr>
                <w:rFonts w:ascii="黑体" w:eastAsia="黑体" w:hAnsi="黑体" w:cs="Times New Roman" w:hint="eastAsia"/>
                <w:b/>
                <w:kern w:val="0"/>
                <w:sz w:val="36"/>
                <w:szCs w:val="36"/>
              </w:rPr>
              <w:lastRenderedPageBreak/>
              <w:t>国有资本经营预算财政拨款支出决算表</w:t>
            </w:r>
          </w:p>
        </w:tc>
      </w:tr>
      <w:tr w:rsidR="00D17E33">
        <w:trPr>
          <w:trHeight w:val="285"/>
        </w:trPr>
        <w:tc>
          <w:tcPr>
            <w:tcW w:w="1060" w:type="dxa"/>
            <w:tcBorders>
              <w:top w:val="nil"/>
              <w:left w:val="nil"/>
              <w:bottom w:val="nil"/>
              <w:right w:val="nil"/>
            </w:tcBorders>
            <w:shd w:val="clear" w:color="000000" w:fill="FFFFFF"/>
            <w:vAlign w:val="center"/>
          </w:tcPr>
          <w:p w:rsidR="00D17E33" w:rsidRDefault="00D17E33">
            <w:pPr>
              <w:widowControl/>
              <w:jc w:val="center"/>
              <w:rPr>
                <w:rFonts w:ascii="宋体" w:eastAsia="宋体" w:hAnsi="宋体" w:cs="宋体"/>
                <w:kern w:val="0"/>
                <w:sz w:val="20"/>
                <w:szCs w:val="20"/>
              </w:rPr>
            </w:pPr>
          </w:p>
        </w:tc>
        <w:tc>
          <w:tcPr>
            <w:tcW w:w="560" w:type="dxa"/>
            <w:tcBorders>
              <w:top w:val="nil"/>
              <w:left w:val="nil"/>
              <w:bottom w:val="nil"/>
              <w:right w:val="nil"/>
            </w:tcBorders>
            <w:shd w:val="clear" w:color="000000" w:fill="FFFFFF"/>
            <w:vAlign w:val="center"/>
          </w:tcPr>
          <w:p w:rsidR="00D17E33" w:rsidRDefault="00D17E33">
            <w:pPr>
              <w:widowControl/>
              <w:jc w:val="center"/>
              <w:rPr>
                <w:rFonts w:ascii="宋体" w:eastAsia="宋体" w:hAnsi="宋体" w:cs="宋体"/>
                <w:kern w:val="0"/>
                <w:sz w:val="20"/>
                <w:szCs w:val="20"/>
              </w:rPr>
            </w:pPr>
          </w:p>
        </w:tc>
        <w:tc>
          <w:tcPr>
            <w:tcW w:w="3215" w:type="dxa"/>
            <w:gridSpan w:val="2"/>
            <w:tcBorders>
              <w:top w:val="nil"/>
              <w:left w:val="nil"/>
              <w:bottom w:val="nil"/>
              <w:right w:val="nil"/>
            </w:tcBorders>
            <w:shd w:val="clear" w:color="000000" w:fill="FFFFFF"/>
            <w:vAlign w:val="center"/>
          </w:tcPr>
          <w:p w:rsidR="00D17E33" w:rsidRDefault="00D17E33">
            <w:pPr>
              <w:widowControl/>
              <w:jc w:val="center"/>
              <w:rPr>
                <w:rFonts w:ascii="宋体" w:eastAsia="宋体" w:hAnsi="宋体" w:cs="宋体"/>
                <w:kern w:val="0"/>
                <w:sz w:val="20"/>
                <w:szCs w:val="20"/>
              </w:rPr>
            </w:pPr>
          </w:p>
        </w:tc>
        <w:tc>
          <w:tcPr>
            <w:tcW w:w="1225" w:type="dxa"/>
            <w:tcBorders>
              <w:top w:val="nil"/>
              <w:left w:val="nil"/>
              <w:bottom w:val="nil"/>
              <w:right w:val="nil"/>
            </w:tcBorders>
            <w:shd w:val="clear" w:color="000000" w:fill="FFFFFF"/>
            <w:vAlign w:val="center"/>
          </w:tcPr>
          <w:p w:rsidR="00D17E33" w:rsidRDefault="00D17E33">
            <w:pPr>
              <w:widowControl/>
              <w:jc w:val="left"/>
              <w:rPr>
                <w:rFonts w:ascii="宋体" w:eastAsia="宋体" w:hAnsi="宋体" w:cs="宋体"/>
                <w:kern w:val="0"/>
                <w:sz w:val="20"/>
                <w:szCs w:val="20"/>
              </w:rPr>
            </w:pPr>
          </w:p>
        </w:tc>
        <w:tc>
          <w:tcPr>
            <w:tcW w:w="2620" w:type="dxa"/>
            <w:gridSpan w:val="2"/>
            <w:tcBorders>
              <w:top w:val="nil"/>
              <w:left w:val="nil"/>
              <w:bottom w:val="nil"/>
              <w:right w:val="nil"/>
            </w:tcBorders>
            <w:shd w:val="clear" w:color="000000" w:fill="FFFFFF"/>
            <w:vAlign w:val="center"/>
          </w:tcPr>
          <w:p w:rsidR="00D17E33" w:rsidRDefault="00D17E33">
            <w:pPr>
              <w:widowControl/>
              <w:jc w:val="left"/>
              <w:rPr>
                <w:rFonts w:ascii="宋体" w:eastAsia="宋体" w:hAnsi="宋体" w:cs="宋体"/>
                <w:kern w:val="0"/>
                <w:sz w:val="20"/>
                <w:szCs w:val="20"/>
              </w:rPr>
            </w:pPr>
          </w:p>
        </w:tc>
        <w:tc>
          <w:tcPr>
            <w:tcW w:w="5510" w:type="dxa"/>
            <w:gridSpan w:val="2"/>
            <w:tcBorders>
              <w:top w:val="nil"/>
              <w:left w:val="nil"/>
              <w:bottom w:val="nil"/>
              <w:right w:val="nil"/>
            </w:tcBorders>
            <w:shd w:val="clear" w:color="000000" w:fill="FFFFFF"/>
            <w:noWrap/>
            <w:vAlign w:val="center"/>
          </w:tcPr>
          <w:p w:rsidR="00D17E33" w:rsidRDefault="0070742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D17E33">
        <w:trPr>
          <w:trHeight w:val="285"/>
        </w:trPr>
        <w:tc>
          <w:tcPr>
            <w:tcW w:w="6060" w:type="dxa"/>
            <w:gridSpan w:val="5"/>
            <w:tcBorders>
              <w:top w:val="nil"/>
              <w:left w:val="nil"/>
              <w:bottom w:val="nil"/>
              <w:right w:val="nil"/>
            </w:tcBorders>
            <w:shd w:val="clear" w:color="000000" w:fill="FFFFFF"/>
            <w:noWrap/>
            <w:vAlign w:val="center"/>
          </w:tcPr>
          <w:p w:rsidR="00D17E33" w:rsidRDefault="00707424">
            <w:pPr>
              <w:widowControl/>
              <w:jc w:val="left"/>
              <w:rPr>
                <w:rFonts w:ascii="宋体" w:eastAsia="宋体" w:hAnsi="宋体" w:cs="宋体"/>
                <w:kern w:val="0"/>
                <w:sz w:val="20"/>
                <w:szCs w:val="20"/>
              </w:rPr>
            </w:pPr>
            <w:r>
              <w:rPr>
                <w:rFonts w:ascii="宋体" w:eastAsia="宋体" w:hAnsi="宋体" w:cs="宋体" w:hint="eastAsia"/>
                <w:color w:val="000000"/>
                <w:kern w:val="0"/>
                <w:sz w:val="20"/>
                <w:szCs w:val="20"/>
              </w:rPr>
              <w:t>部门：湘乡市山枣中心学校</w:t>
            </w:r>
          </w:p>
          <w:p w:rsidR="00D17E33" w:rsidRDefault="00D17E33">
            <w:pPr>
              <w:widowControl/>
              <w:jc w:val="left"/>
              <w:rPr>
                <w:rFonts w:ascii="宋体" w:eastAsia="宋体" w:hAnsi="宋体" w:cs="宋体"/>
                <w:kern w:val="0"/>
                <w:sz w:val="20"/>
                <w:szCs w:val="20"/>
              </w:rPr>
            </w:pPr>
          </w:p>
        </w:tc>
        <w:tc>
          <w:tcPr>
            <w:tcW w:w="2620" w:type="dxa"/>
            <w:gridSpan w:val="2"/>
            <w:tcBorders>
              <w:top w:val="nil"/>
              <w:left w:val="nil"/>
              <w:bottom w:val="single" w:sz="8" w:space="0" w:color="auto"/>
              <w:right w:val="nil"/>
            </w:tcBorders>
            <w:shd w:val="clear" w:color="000000" w:fill="FFFFFF"/>
            <w:vAlign w:val="center"/>
          </w:tcPr>
          <w:p w:rsidR="00D17E33" w:rsidRDefault="00D17E33">
            <w:pPr>
              <w:widowControl/>
              <w:jc w:val="left"/>
              <w:rPr>
                <w:rFonts w:ascii="宋体" w:eastAsia="宋体" w:hAnsi="宋体" w:cs="宋体"/>
                <w:kern w:val="0"/>
                <w:sz w:val="20"/>
                <w:szCs w:val="20"/>
              </w:rPr>
            </w:pPr>
          </w:p>
        </w:tc>
        <w:tc>
          <w:tcPr>
            <w:tcW w:w="5510" w:type="dxa"/>
            <w:gridSpan w:val="2"/>
            <w:tcBorders>
              <w:top w:val="nil"/>
              <w:left w:val="nil"/>
              <w:bottom w:val="nil"/>
              <w:right w:val="nil"/>
            </w:tcBorders>
            <w:shd w:val="clear" w:color="000000" w:fill="FFFFFF"/>
            <w:noWrap/>
            <w:vAlign w:val="center"/>
          </w:tcPr>
          <w:p w:rsidR="00D17E33" w:rsidRDefault="0070742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D17E33">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D17E33">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D17E33">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D17E33">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D17E33" w:rsidRDefault="00707424">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D17E33" w:rsidRDefault="00707424">
            <w:pPr>
              <w:widowControl/>
              <w:jc w:val="left"/>
              <w:rPr>
                <w:rFonts w:ascii="宋体" w:eastAsia="宋体" w:hAnsi="宋体" w:cs="宋体"/>
                <w:kern w:val="0"/>
                <w:sz w:val="20"/>
                <w:szCs w:val="20"/>
              </w:rPr>
            </w:pPr>
            <w:r>
              <w:rPr>
                <w:rFonts w:ascii="宋体" w:eastAsia="宋体" w:hAnsi="宋体" w:cs="宋体" w:hint="eastAsia"/>
                <w:kern w:val="0"/>
                <w:sz w:val="20"/>
                <w:szCs w:val="20"/>
              </w:rPr>
              <w:t>本表无数据</w:t>
            </w: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0"/>
                <w:szCs w:val="20"/>
              </w:rPr>
            </w:pP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D17E33" w:rsidRDefault="00D17E33">
            <w:pPr>
              <w:widowControl/>
              <w:jc w:val="center"/>
              <w:rPr>
                <w:rFonts w:ascii="宋体" w:eastAsia="宋体" w:hAnsi="宋体" w:cs="宋体"/>
                <w:kern w:val="0"/>
                <w:sz w:val="24"/>
                <w:szCs w:val="24"/>
              </w:rPr>
            </w:pPr>
          </w:p>
        </w:tc>
        <w:tc>
          <w:tcPr>
            <w:tcW w:w="3215" w:type="dxa"/>
            <w:gridSpan w:val="2"/>
            <w:tcBorders>
              <w:top w:val="nil"/>
              <w:left w:val="nil"/>
              <w:bottom w:val="single" w:sz="8"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551" w:type="dxa"/>
            <w:gridSpan w:val="2"/>
            <w:tcBorders>
              <w:top w:val="nil"/>
              <w:left w:val="nil"/>
              <w:bottom w:val="single" w:sz="8"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2977" w:type="dxa"/>
            <w:gridSpan w:val="2"/>
            <w:tcBorders>
              <w:top w:val="nil"/>
              <w:left w:val="nil"/>
              <w:bottom w:val="single" w:sz="8"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c>
          <w:tcPr>
            <w:tcW w:w="3827" w:type="dxa"/>
            <w:tcBorders>
              <w:top w:val="nil"/>
              <w:left w:val="nil"/>
              <w:bottom w:val="single" w:sz="8" w:space="0" w:color="auto"/>
              <w:right w:val="single" w:sz="4" w:space="0" w:color="auto"/>
            </w:tcBorders>
            <w:shd w:val="clear" w:color="auto" w:fill="auto"/>
            <w:vAlign w:val="center"/>
          </w:tcPr>
          <w:p w:rsidR="00D17E33" w:rsidRDefault="00D17E33">
            <w:pPr>
              <w:widowControl/>
              <w:jc w:val="left"/>
              <w:rPr>
                <w:rFonts w:ascii="宋体" w:eastAsia="宋体" w:hAnsi="宋体" w:cs="宋体"/>
                <w:kern w:val="0"/>
                <w:sz w:val="24"/>
                <w:szCs w:val="24"/>
              </w:rPr>
            </w:pPr>
          </w:p>
        </w:tc>
      </w:tr>
      <w:tr w:rsidR="00D17E33">
        <w:trPr>
          <w:trHeight w:val="720"/>
        </w:trPr>
        <w:tc>
          <w:tcPr>
            <w:tcW w:w="14190" w:type="dxa"/>
            <w:gridSpan w:val="9"/>
            <w:tcBorders>
              <w:top w:val="single" w:sz="8" w:space="0" w:color="auto"/>
              <w:left w:val="nil"/>
              <w:bottom w:val="nil"/>
              <w:right w:val="nil"/>
            </w:tcBorders>
            <w:shd w:val="clear" w:color="auto" w:fill="auto"/>
            <w:vAlign w:val="center"/>
          </w:tcPr>
          <w:p w:rsidR="00D17E33" w:rsidRDefault="00707424">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D17E33" w:rsidRDefault="00D17E33">
      <w:pPr>
        <w:pStyle w:val="Default"/>
        <w:rPr>
          <w:sz w:val="72"/>
          <w:szCs w:val="72"/>
        </w:rPr>
        <w:sectPr w:rsidR="00D17E33">
          <w:pgSz w:w="16838" w:h="11906" w:orient="landscape"/>
          <w:pgMar w:top="720" w:right="720" w:bottom="720" w:left="720" w:header="851" w:footer="992" w:gutter="0"/>
          <w:cols w:space="425"/>
          <w:docGrid w:type="lines" w:linePitch="312"/>
        </w:sectPr>
      </w:pPr>
    </w:p>
    <w:p w:rsidR="00D17E33" w:rsidRDefault="00D17E33">
      <w:pPr>
        <w:pStyle w:val="Default"/>
        <w:rPr>
          <w:sz w:val="72"/>
          <w:szCs w:val="72"/>
        </w:rPr>
      </w:pPr>
    </w:p>
    <w:p w:rsidR="00D17E33" w:rsidRDefault="00D17E33">
      <w:pPr>
        <w:pStyle w:val="Default"/>
        <w:rPr>
          <w:sz w:val="72"/>
          <w:szCs w:val="72"/>
        </w:rPr>
      </w:pPr>
    </w:p>
    <w:p w:rsidR="00D17E33" w:rsidRDefault="00D17E33">
      <w:pPr>
        <w:pStyle w:val="Default"/>
        <w:rPr>
          <w:sz w:val="72"/>
          <w:szCs w:val="72"/>
        </w:rPr>
      </w:pPr>
    </w:p>
    <w:p w:rsidR="00D17E33" w:rsidRDefault="00D17E33">
      <w:pPr>
        <w:pStyle w:val="Default"/>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707424">
      <w:pPr>
        <w:pStyle w:val="Default"/>
        <w:jc w:val="center"/>
        <w:rPr>
          <w:sz w:val="72"/>
          <w:szCs w:val="72"/>
        </w:rPr>
      </w:pPr>
      <w:r>
        <w:rPr>
          <w:rFonts w:hint="eastAsia"/>
          <w:sz w:val="72"/>
          <w:szCs w:val="72"/>
        </w:rPr>
        <w:t>第三部分</w:t>
      </w:r>
    </w:p>
    <w:p w:rsidR="00D17E33" w:rsidRDefault="00D17E33">
      <w:pPr>
        <w:pStyle w:val="Default"/>
        <w:jc w:val="center"/>
        <w:rPr>
          <w:sz w:val="70"/>
          <w:szCs w:val="70"/>
        </w:rPr>
      </w:pPr>
    </w:p>
    <w:p w:rsidR="00D17E33" w:rsidRDefault="00707424">
      <w:pPr>
        <w:pStyle w:val="Default"/>
        <w:jc w:val="center"/>
        <w:rPr>
          <w:sz w:val="70"/>
          <w:szCs w:val="70"/>
        </w:rPr>
      </w:pPr>
      <w:r>
        <w:rPr>
          <w:sz w:val="70"/>
          <w:szCs w:val="70"/>
        </w:rPr>
        <w:t>20</w:t>
      </w:r>
      <w:r>
        <w:rPr>
          <w:rFonts w:hint="eastAsia"/>
          <w:sz w:val="70"/>
          <w:szCs w:val="70"/>
        </w:rPr>
        <w:t>21</w:t>
      </w:r>
      <w:r>
        <w:rPr>
          <w:rFonts w:hint="eastAsia"/>
          <w:sz w:val="70"/>
          <w:szCs w:val="70"/>
        </w:rPr>
        <w:t>年度部门决算情况说明</w:t>
      </w:r>
    </w:p>
    <w:p w:rsidR="00D17E33" w:rsidRDefault="00707424">
      <w:pPr>
        <w:widowControl/>
        <w:jc w:val="left"/>
        <w:rPr>
          <w:rFonts w:asciiTheme="minorEastAsia" w:hAnsiTheme="minorEastAsia"/>
          <w:sz w:val="32"/>
          <w:szCs w:val="32"/>
        </w:rPr>
      </w:pPr>
      <w:r>
        <w:rPr>
          <w:sz w:val="70"/>
          <w:szCs w:val="70"/>
        </w:rPr>
        <w:br w:type="page"/>
      </w:r>
    </w:p>
    <w:p w:rsidR="00D17E33" w:rsidRDefault="00707424">
      <w:pPr>
        <w:pStyle w:val="Default"/>
        <w:rPr>
          <w:rFonts w:hAnsi="黑体"/>
          <w:b/>
          <w:sz w:val="32"/>
          <w:szCs w:val="32"/>
        </w:rPr>
      </w:pPr>
      <w:r>
        <w:rPr>
          <w:rFonts w:hAnsi="黑体" w:hint="eastAsia"/>
          <w:b/>
          <w:sz w:val="32"/>
          <w:szCs w:val="32"/>
        </w:rPr>
        <w:lastRenderedPageBreak/>
        <w:t>一、收入支出决算总体情况说明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年度收、支总计</w:t>
      </w:r>
      <w:r>
        <w:rPr>
          <w:rFonts w:asciiTheme="minorEastAsia" w:eastAsiaTheme="minorEastAsia" w:hAnsiTheme="minorEastAsia" w:hint="eastAsia"/>
          <w:sz w:val="32"/>
          <w:szCs w:val="32"/>
        </w:rPr>
        <w:t>6380.23</w:t>
      </w:r>
      <w:r>
        <w:rPr>
          <w:rFonts w:asciiTheme="minorEastAsia" w:eastAsiaTheme="minorEastAsia" w:hAnsiTheme="minorEastAsia" w:hint="eastAsia"/>
          <w:sz w:val="32"/>
          <w:szCs w:val="32"/>
        </w:rPr>
        <w:t>万元。与上年相比，增加</w:t>
      </w:r>
      <w:r>
        <w:rPr>
          <w:rFonts w:asciiTheme="minorEastAsia" w:eastAsiaTheme="minorEastAsia" w:hAnsiTheme="minorEastAsia" w:hint="eastAsia"/>
          <w:sz w:val="32"/>
          <w:szCs w:val="32"/>
        </w:rPr>
        <w:t>665.43</w:t>
      </w:r>
      <w:r>
        <w:rPr>
          <w:rFonts w:asciiTheme="minorEastAsia" w:eastAsiaTheme="minorEastAsia" w:hAnsiTheme="minorEastAsia" w:hint="eastAsia"/>
          <w:sz w:val="32"/>
          <w:szCs w:val="32"/>
        </w:rPr>
        <w:t>万元，增长</w:t>
      </w:r>
      <w:r>
        <w:rPr>
          <w:rFonts w:asciiTheme="minorEastAsia" w:eastAsiaTheme="minorEastAsia" w:hAnsiTheme="minorEastAsia" w:hint="eastAsia"/>
          <w:sz w:val="32"/>
          <w:szCs w:val="32"/>
        </w:rPr>
        <w:t>11.64%</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、人员工资增加；</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、按要求各校的食堂伙食费收入、保育费本年做项支出。</w:t>
      </w:r>
    </w:p>
    <w:p w:rsidR="00D17E33" w:rsidRDefault="00707424">
      <w:pPr>
        <w:pStyle w:val="Default"/>
        <w:rPr>
          <w:rFonts w:hAnsi="黑体"/>
          <w:b/>
          <w:sz w:val="32"/>
          <w:szCs w:val="32"/>
        </w:rPr>
      </w:pPr>
      <w:r>
        <w:rPr>
          <w:rFonts w:hAnsi="黑体" w:hint="eastAsia"/>
          <w:b/>
          <w:sz w:val="32"/>
          <w:szCs w:val="32"/>
        </w:rPr>
        <w:t>二、收入决算情况说明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年度收入合计</w:t>
      </w:r>
      <w:r>
        <w:rPr>
          <w:rFonts w:asciiTheme="minorEastAsia" w:eastAsiaTheme="minorEastAsia" w:hAnsiTheme="minorEastAsia" w:hint="eastAsia"/>
          <w:sz w:val="32"/>
          <w:szCs w:val="32"/>
        </w:rPr>
        <w:t>3190</w:t>
      </w:r>
      <w:r>
        <w:rPr>
          <w:rFonts w:asciiTheme="minorEastAsia" w:eastAsiaTheme="minorEastAsia" w:hAnsiTheme="minorEastAsia" w:hint="eastAsia"/>
          <w:sz w:val="32"/>
          <w:szCs w:val="32"/>
        </w:rPr>
        <w:t>万元，其中：财政拨款收入</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74.71%</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562.92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17.64%</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243.71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7.65%</w:t>
      </w:r>
      <w:r>
        <w:rPr>
          <w:rFonts w:asciiTheme="minorEastAsia" w:eastAsiaTheme="minorEastAsia" w:hAnsiTheme="minorEastAsia" w:hint="eastAsia"/>
          <w:sz w:val="32"/>
          <w:szCs w:val="32"/>
        </w:rPr>
        <w:t>。</w:t>
      </w:r>
    </w:p>
    <w:p w:rsidR="00D17E33" w:rsidRDefault="00707424">
      <w:pPr>
        <w:pStyle w:val="Default"/>
        <w:rPr>
          <w:rFonts w:hAnsi="黑体"/>
          <w:b/>
          <w:sz w:val="32"/>
          <w:szCs w:val="32"/>
        </w:rPr>
      </w:pPr>
      <w:r>
        <w:rPr>
          <w:rFonts w:hAnsi="黑体" w:hint="eastAsia"/>
          <w:b/>
          <w:sz w:val="32"/>
          <w:szCs w:val="32"/>
        </w:rPr>
        <w:t>三、支出决算情况说明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21</w:t>
      </w:r>
      <w:r>
        <w:rPr>
          <w:rFonts w:asciiTheme="minorEastAsia" w:eastAsiaTheme="minorEastAsia" w:hAnsiTheme="minorEastAsia" w:hint="eastAsia"/>
          <w:sz w:val="32"/>
          <w:szCs w:val="32"/>
        </w:rPr>
        <w:t>年度支出合计</w:t>
      </w:r>
      <w:r>
        <w:rPr>
          <w:rFonts w:asciiTheme="minorEastAsia" w:eastAsiaTheme="minorEastAsia" w:hAnsiTheme="minorEastAsia" w:hint="eastAsia"/>
          <w:sz w:val="32"/>
          <w:szCs w:val="32"/>
        </w:rPr>
        <w:t>3190.23</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3010.75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94.37%</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179.48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5.63%</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D17E33" w:rsidRDefault="00707424">
      <w:pPr>
        <w:pStyle w:val="Default"/>
        <w:rPr>
          <w:rFonts w:hAnsi="黑体"/>
          <w:b/>
          <w:sz w:val="32"/>
          <w:szCs w:val="32"/>
        </w:rPr>
      </w:pPr>
      <w:r>
        <w:rPr>
          <w:rFonts w:hAnsi="黑体" w:hint="eastAsia"/>
          <w:b/>
          <w:sz w:val="32"/>
          <w:szCs w:val="32"/>
        </w:rPr>
        <w:t>四、财政拨款收入支出决算总体情况说明</w:t>
      </w:r>
    </w:p>
    <w:p w:rsidR="00D17E33" w:rsidRDefault="00707424">
      <w:pPr>
        <w:pStyle w:val="Default"/>
        <w:ind w:firstLine="630"/>
        <w:rPr>
          <w:rFonts w:ascii="新宋体" w:eastAsia="新宋体" w:hAnsi="新宋体"/>
          <w:bCs/>
          <w:color w:val="auto"/>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年度财政拨款收、支总计</w:t>
      </w:r>
      <w:r>
        <w:rPr>
          <w:rFonts w:asciiTheme="minorEastAsia" w:eastAsiaTheme="minorEastAsia" w:hAnsiTheme="minorEastAsia" w:hint="eastAsia"/>
          <w:sz w:val="32"/>
          <w:szCs w:val="32"/>
        </w:rPr>
        <w:t>4766.74</w:t>
      </w:r>
      <w:r>
        <w:rPr>
          <w:rFonts w:asciiTheme="minorEastAsia" w:eastAsiaTheme="minorEastAsia" w:hAnsiTheme="minorEastAsia" w:hint="eastAsia"/>
          <w:sz w:val="32"/>
          <w:szCs w:val="32"/>
        </w:rPr>
        <w:t>万元，与上年相比，减少</w:t>
      </w:r>
      <w:r>
        <w:rPr>
          <w:rFonts w:asciiTheme="minorEastAsia" w:eastAsiaTheme="minorEastAsia" w:hAnsiTheme="minorEastAsia" w:hint="eastAsia"/>
          <w:sz w:val="32"/>
          <w:szCs w:val="32"/>
        </w:rPr>
        <w:t>302.66</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5.97%</w:t>
      </w:r>
      <w:r>
        <w:rPr>
          <w:rFonts w:asciiTheme="minorEastAsia" w:eastAsiaTheme="minorEastAsia" w:hAnsiTheme="minorEastAsia" w:hint="eastAsia"/>
          <w:sz w:val="32"/>
          <w:szCs w:val="32"/>
        </w:rPr>
        <w:t>，</w:t>
      </w:r>
      <w:r>
        <w:rPr>
          <w:rFonts w:ascii="新宋体" w:eastAsia="新宋体" w:hAnsi="新宋体" w:hint="eastAsia"/>
          <w:bCs/>
          <w:color w:val="auto"/>
          <w:sz w:val="32"/>
          <w:szCs w:val="32"/>
        </w:rPr>
        <w:t>变化的主要原因是：本年财政实际拨款数减少；基础类建设基本完成，项目支出减幅较大。</w:t>
      </w:r>
    </w:p>
    <w:p w:rsidR="00D17E33" w:rsidRDefault="00707424">
      <w:pPr>
        <w:pStyle w:val="Default"/>
        <w:rPr>
          <w:rFonts w:hAnsi="黑体"/>
          <w:b/>
          <w:sz w:val="32"/>
          <w:szCs w:val="32"/>
        </w:rPr>
      </w:pPr>
      <w:r>
        <w:rPr>
          <w:rFonts w:hAnsi="黑体" w:hint="eastAsia"/>
          <w:b/>
          <w:sz w:val="32"/>
          <w:szCs w:val="32"/>
        </w:rPr>
        <w:t>五、一般公共预算财政拨款支出决算情况说明</w:t>
      </w:r>
    </w:p>
    <w:p w:rsidR="00D17E33" w:rsidRDefault="00707424" w:rsidP="00707424">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74.71%</w:t>
      </w:r>
      <w:r>
        <w:rPr>
          <w:rFonts w:asciiTheme="minorEastAsia" w:eastAsiaTheme="minorEastAsia" w:hAnsiTheme="minorEastAsia" w:hint="eastAsia"/>
          <w:sz w:val="32"/>
          <w:szCs w:val="32"/>
        </w:rPr>
        <w:t>，与上年相比，财政拨款支出增加</w:t>
      </w:r>
      <w:r>
        <w:rPr>
          <w:rFonts w:asciiTheme="minorEastAsia" w:eastAsiaTheme="minorEastAsia" w:hAnsiTheme="minorEastAsia" w:hint="eastAsia"/>
          <w:sz w:val="32"/>
          <w:szCs w:val="32"/>
        </w:rPr>
        <w:t>20.02</w:t>
      </w:r>
      <w:r>
        <w:rPr>
          <w:rFonts w:asciiTheme="minorEastAsia" w:eastAsiaTheme="minorEastAsia" w:hAnsiTheme="minorEastAsia" w:hint="eastAsia"/>
          <w:sz w:val="32"/>
          <w:szCs w:val="32"/>
        </w:rPr>
        <w:t>万元，增长（减少）</w:t>
      </w:r>
      <w:r>
        <w:rPr>
          <w:rFonts w:asciiTheme="minorEastAsia" w:eastAsiaTheme="minorEastAsia" w:hAnsiTheme="minorEastAsia" w:hint="eastAsia"/>
          <w:sz w:val="32"/>
          <w:szCs w:val="32"/>
        </w:rPr>
        <w:t>0.85%</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月人员基本工资调标，人员工资增加。</w:t>
      </w:r>
    </w:p>
    <w:p w:rsidR="00D17E33" w:rsidRDefault="00707424" w:rsidP="00707424">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万元，主要用于以下方面：教育（类）</w:t>
      </w:r>
      <w:r>
        <w:rPr>
          <w:rFonts w:asciiTheme="minorEastAsia" w:eastAsiaTheme="minorEastAsia" w:hAnsiTheme="minorEastAsia" w:hint="eastAsia"/>
          <w:sz w:val="32"/>
          <w:szCs w:val="32"/>
        </w:rPr>
        <w:lastRenderedPageBreak/>
        <w:t>支出</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p>
    <w:p w:rsidR="00D17E33" w:rsidRDefault="00707424" w:rsidP="00707424">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2609.18</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万元，完成年初预算</w:t>
      </w:r>
      <w:r>
        <w:rPr>
          <w:rFonts w:asciiTheme="minorEastAsia" w:eastAsiaTheme="minorEastAsia" w:hAnsiTheme="minorEastAsia" w:hint="eastAsia"/>
          <w:color w:val="auto"/>
          <w:sz w:val="32"/>
          <w:szCs w:val="32"/>
        </w:rPr>
        <w:t>的</w:t>
      </w:r>
      <w:r>
        <w:rPr>
          <w:rFonts w:asciiTheme="minorEastAsia" w:eastAsiaTheme="minorEastAsia" w:hAnsiTheme="minorEastAsia" w:hint="eastAsia"/>
          <w:color w:val="auto"/>
          <w:sz w:val="32"/>
          <w:szCs w:val="32"/>
        </w:rPr>
        <w:t>91.53%</w:t>
      </w:r>
      <w:r>
        <w:rPr>
          <w:rFonts w:asciiTheme="minorEastAsia" w:eastAsiaTheme="minorEastAsia" w:hAnsiTheme="minorEastAsia" w:hint="eastAsia"/>
          <w:color w:val="auto"/>
          <w:sz w:val="32"/>
          <w:szCs w:val="32"/>
        </w:rPr>
        <w:t>，其中</w:t>
      </w:r>
      <w:r>
        <w:rPr>
          <w:rFonts w:asciiTheme="minorEastAsia" w:eastAsiaTheme="minorEastAsia" w:hAnsiTheme="minorEastAsia" w:hint="eastAsia"/>
          <w:sz w:val="32"/>
          <w:szCs w:val="32"/>
        </w:rPr>
        <w:t>：</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、教育支出</w:t>
      </w:r>
      <w:r>
        <w:rPr>
          <w:rFonts w:asciiTheme="minorEastAsia" w:eastAsiaTheme="minorEastAsia" w:hAnsiTheme="minorEastAsia" w:hint="eastAsia"/>
          <w:sz w:val="32"/>
          <w:szCs w:val="32"/>
        </w:rPr>
        <w:t>（类）普通教育（款）学前教育（项）。</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163.54</w:t>
      </w:r>
      <w:r>
        <w:rPr>
          <w:rFonts w:asciiTheme="minorEastAsia" w:eastAsiaTheme="minorEastAsia" w:hAnsiTheme="minorEastAsia" w:hint="eastAsia"/>
          <w:sz w:val="32"/>
          <w:szCs w:val="32"/>
        </w:rPr>
        <w:t>万元，决算数大于年初预算数的主要原因是：年初预算数将人员类经费全部放入小学教育上报，决算根据财政局和教育局要求进行行调整，故预决算差额较大。</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、教育支出（类）普通教育（款）小学教育（项）。</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2609.18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2054.97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78.76%</w:t>
      </w:r>
      <w:r>
        <w:rPr>
          <w:rFonts w:asciiTheme="minorEastAsia" w:eastAsiaTheme="minorEastAsia" w:hAnsiTheme="minorEastAsia" w:hint="eastAsia"/>
          <w:sz w:val="32"/>
          <w:szCs w:val="32"/>
        </w:rPr>
        <w:t>，决算数大于年初预算数的主要原因是：年未决算根据财政局和教育局要求进行行调整，故预决算差额较大。</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3. </w:t>
      </w:r>
      <w:r>
        <w:rPr>
          <w:rFonts w:asciiTheme="minorEastAsia" w:eastAsiaTheme="minorEastAsia" w:hAnsiTheme="minorEastAsia" w:hint="eastAsia"/>
          <w:sz w:val="32"/>
          <w:szCs w:val="32"/>
        </w:rPr>
        <w:t>教育支出（类）普通教育（款）初中教育（项）。</w:t>
      </w:r>
    </w:p>
    <w:p w:rsidR="00D17E33" w:rsidRDefault="0070742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w:t>
      </w:r>
      <w:r>
        <w:rPr>
          <w:rFonts w:asciiTheme="minorEastAsia" w:eastAsiaTheme="minorEastAsia" w:hAnsiTheme="minorEastAsia" w:hint="eastAsia"/>
          <w:sz w:val="32"/>
          <w:szCs w:val="32"/>
        </w:rPr>
        <w:t>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164.87</w:t>
      </w:r>
      <w:r>
        <w:rPr>
          <w:rFonts w:asciiTheme="minorEastAsia" w:eastAsiaTheme="minorEastAsia" w:hAnsiTheme="minorEastAsia" w:hint="eastAsia"/>
          <w:sz w:val="32"/>
          <w:szCs w:val="32"/>
        </w:rPr>
        <w:t>万元，决算数大于年初预算数的主要原因是：年未决算根据财政局和教育局要求进行调整，故预决算差额较大。</w:t>
      </w:r>
    </w:p>
    <w:p w:rsidR="00D17E33" w:rsidRDefault="00707424">
      <w:pPr>
        <w:pStyle w:val="Default"/>
        <w:rPr>
          <w:rFonts w:hAnsi="黑体"/>
          <w:b/>
          <w:sz w:val="32"/>
          <w:szCs w:val="32"/>
        </w:rPr>
      </w:pPr>
      <w:r>
        <w:rPr>
          <w:rFonts w:hAnsi="黑体" w:hint="eastAsia"/>
          <w:b/>
          <w:sz w:val="32"/>
          <w:szCs w:val="32"/>
        </w:rPr>
        <w:t>六、一般公共预算财政拨款基本支出决算情况说明</w:t>
      </w:r>
    </w:p>
    <w:p w:rsidR="00D17E33" w:rsidRDefault="00707424">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2383.37</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2327.01</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97.64%,</w:t>
      </w:r>
      <w:r>
        <w:rPr>
          <w:rFonts w:asciiTheme="minorEastAsia" w:eastAsiaTheme="minorEastAsia" w:hAnsiTheme="minorEastAsia" w:hint="eastAsia"/>
          <w:sz w:val="32"/>
          <w:szCs w:val="32"/>
        </w:rPr>
        <w:t>主要包括基本工资、津贴补贴、伙食补助费、绩效工资、机关事业单位基本养老保险、职工基本医疗保险缴费、其他社会保障缴费、其他工资福利支出、离休费、抚恤金、生活补助、其他对个人和家庭的补助；公用经费</w:t>
      </w:r>
      <w:r>
        <w:rPr>
          <w:rFonts w:asciiTheme="minorEastAsia" w:eastAsiaTheme="minorEastAsia" w:hAnsiTheme="minorEastAsia" w:hint="eastAsia"/>
          <w:sz w:val="32"/>
          <w:szCs w:val="32"/>
        </w:rPr>
        <w:t>56.36</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36%</w:t>
      </w:r>
      <w:r>
        <w:rPr>
          <w:rFonts w:asciiTheme="minorEastAsia" w:eastAsiaTheme="minorEastAsia" w:hAnsiTheme="minorEastAsia" w:hint="eastAsia"/>
          <w:sz w:val="32"/>
          <w:szCs w:val="32"/>
        </w:rPr>
        <w:t>，主要包括办公费、印刷费、咨询费、电费、差旅费、维修（护）费、劳务费、工会经费、其他交通费用、其他商品和服务支出。</w:t>
      </w:r>
    </w:p>
    <w:p w:rsidR="00D17E33" w:rsidRDefault="00707424">
      <w:pPr>
        <w:pStyle w:val="Default"/>
        <w:rPr>
          <w:rFonts w:hAnsi="黑体"/>
          <w:b/>
          <w:sz w:val="32"/>
          <w:szCs w:val="32"/>
        </w:rPr>
      </w:pPr>
      <w:r>
        <w:rPr>
          <w:rFonts w:hAnsi="黑体" w:hint="eastAsia"/>
          <w:b/>
          <w:sz w:val="32"/>
          <w:szCs w:val="32"/>
        </w:rPr>
        <w:lastRenderedPageBreak/>
        <w:t>七、一般公共预算财政拨款“三公”经费支出决算情况说明</w:t>
      </w:r>
    </w:p>
    <w:p w:rsidR="00D17E33" w:rsidRDefault="00707424">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本单位本年度无“三公经费。</w:t>
      </w:r>
    </w:p>
    <w:p w:rsidR="00D17E33" w:rsidRDefault="00707424">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本单位本年度无“三公经费。</w:t>
      </w:r>
    </w:p>
    <w:p w:rsidR="00D17E33" w:rsidRDefault="00707424">
      <w:pPr>
        <w:pStyle w:val="Default"/>
        <w:rPr>
          <w:rFonts w:hAnsi="黑体"/>
          <w:b/>
          <w:sz w:val="32"/>
          <w:szCs w:val="32"/>
        </w:rPr>
      </w:pPr>
      <w:r>
        <w:rPr>
          <w:rFonts w:hAnsi="黑体" w:hint="eastAsia"/>
          <w:b/>
          <w:sz w:val="32"/>
          <w:szCs w:val="32"/>
        </w:rPr>
        <w:t>八、政府性基金预算收入支出决算情况</w:t>
      </w:r>
    </w:p>
    <w:p w:rsidR="00D17E33" w:rsidRDefault="00707424">
      <w:pPr>
        <w:pStyle w:val="Default"/>
        <w:ind w:firstLine="630"/>
        <w:rPr>
          <w:rFonts w:asciiTheme="minorEastAsia" w:eastAsiaTheme="minorEastAsia" w:hAnsiTheme="minorEastAsia"/>
          <w:sz w:val="32"/>
          <w:szCs w:val="32"/>
        </w:rPr>
      </w:pPr>
      <w:r>
        <w:rPr>
          <w:rFonts w:asciiTheme="minorEastAsia" w:eastAsiaTheme="minorEastAsia" w:hAnsiTheme="minorEastAsia" w:hint="eastAsia"/>
          <w:sz w:val="32"/>
          <w:szCs w:val="32"/>
        </w:rPr>
        <w:t>本单位本年度无政府性基金经费收支。</w:t>
      </w:r>
    </w:p>
    <w:p w:rsidR="00D17E33" w:rsidRDefault="00707424">
      <w:pPr>
        <w:pStyle w:val="Default"/>
        <w:rPr>
          <w:rFonts w:hAnsi="黑体"/>
          <w:b/>
          <w:sz w:val="32"/>
          <w:szCs w:val="32"/>
        </w:rPr>
      </w:pPr>
      <w:r>
        <w:rPr>
          <w:rFonts w:hAnsi="黑体" w:hint="eastAsia"/>
          <w:b/>
          <w:sz w:val="32"/>
          <w:szCs w:val="32"/>
        </w:rPr>
        <w:t>九、机关运行经费支出说明</w:t>
      </w:r>
    </w:p>
    <w:p w:rsidR="00D17E33" w:rsidRDefault="00707424">
      <w:pPr>
        <w:pStyle w:val="Default"/>
        <w:ind w:firstLineChars="200" w:firstLine="640"/>
        <w:rPr>
          <w:rFonts w:asciiTheme="minorEastAsia" w:eastAsiaTheme="minorEastAsia" w:hAnsiTheme="minorEastAsia"/>
          <w:sz w:val="32"/>
          <w:szCs w:val="32"/>
        </w:rPr>
      </w:pPr>
      <w:commentRangeStart w:id="0"/>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56.36</w:t>
      </w:r>
      <w:r>
        <w:rPr>
          <w:rFonts w:asciiTheme="minorEastAsia" w:eastAsiaTheme="minorEastAsia" w:hAnsiTheme="minorEastAsia" w:hint="eastAsia"/>
          <w:sz w:val="32"/>
          <w:szCs w:val="32"/>
        </w:rPr>
        <w:t>万元，比年初预算数增加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万元，增长</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commentRangeEnd w:id="0"/>
      <w:r>
        <w:commentReference w:id="0"/>
      </w:r>
      <w:r>
        <w:rPr>
          <w:rFonts w:asciiTheme="minorEastAsia" w:eastAsiaTheme="minorEastAsia" w:hAnsiTheme="minorEastAsia" w:hint="eastAsia"/>
          <w:sz w:val="32"/>
          <w:szCs w:val="32"/>
        </w:rPr>
        <w:t>未发生变化的原因：厉行节约，压减一般性支出。</w:t>
      </w:r>
    </w:p>
    <w:p w:rsidR="00D17E33" w:rsidRDefault="00707424">
      <w:pPr>
        <w:pStyle w:val="Default"/>
        <w:rPr>
          <w:rFonts w:hAnsi="黑体"/>
          <w:b/>
          <w:sz w:val="32"/>
          <w:szCs w:val="32"/>
        </w:rPr>
      </w:pPr>
      <w:r>
        <w:rPr>
          <w:rFonts w:hAnsi="黑体" w:hint="eastAsia"/>
          <w:b/>
          <w:sz w:val="32"/>
          <w:szCs w:val="32"/>
        </w:rPr>
        <w:t>十、一般性支出情况说明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万元，人数</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人；开支培训费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万元，人数</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人；举办节庆、晚会、论坛、赛事活动，开支</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D17E33" w:rsidRDefault="00707424">
      <w:pPr>
        <w:pStyle w:val="Default"/>
        <w:rPr>
          <w:rFonts w:hAnsi="黑体"/>
          <w:b/>
          <w:sz w:val="32"/>
          <w:szCs w:val="32"/>
        </w:rPr>
      </w:pPr>
      <w:r>
        <w:rPr>
          <w:rFonts w:hAnsi="黑体" w:hint="eastAsia"/>
          <w:b/>
          <w:sz w:val="32"/>
          <w:szCs w:val="32"/>
        </w:rPr>
        <w:t>十一、政府采购支出说明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，其中：授予小微企业合同金额</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万元，占授予中小企业合同金额的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；货物采购授予中小企业合同金额占货物支出金额的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，工程采购授予中小企业合同金额占工程支出金额的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，服务采购授予中小企业合同金额占服务支出金额的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D17E33" w:rsidRDefault="00707424">
      <w:pPr>
        <w:pStyle w:val="Default"/>
        <w:rPr>
          <w:rFonts w:hAnsi="黑体"/>
          <w:b/>
          <w:sz w:val="32"/>
          <w:szCs w:val="32"/>
        </w:rPr>
      </w:pPr>
      <w:r>
        <w:rPr>
          <w:rFonts w:hAnsi="黑体" w:hint="eastAsia"/>
          <w:b/>
          <w:sz w:val="32"/>
          <w:szCs w:val="32"/>
        </w:rPr>
        <w:t>十二、国有资产占用情况说明</w:t>
      </w:r>
    </w:p>
    <w:p w:rsidR="00D17E33" w:rsidRDefault="0070742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日，单位无价值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万元以上通用设备；无价值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w:t>
      </w:r>
      <w:r>
        <w:rPr>
          <w:rFonts w:asciiTheme="minorEastAsia" w:eastAsiaTheme="minorEastAsia" w:hAnsiTheme="minorEastAsia" w:hint="eastAsia"/>
          <w:sz w:val="32"/>
          <w:szCs w:val="32"/>
        </w:rPr>
        <w:t>用设备。</w:t>
      </w:r>
    </w:p>
    <w:p w:rsidR="00D17E33" w:rsidRDefault="00707424">
      <w:pPr>
        <w:pStyle w:val="Default"/>
        <w:rPr>
          <w:rFonts w:hAnsi="黑体"/>
          <w:b/>
          <w:sz w:val="32"/>
          <w:szCs w:val="32"/>
        </w:rPr>
      </w:pPr>
      <w:r>
        <w:rPr>
          <w:rFonts w:hAnsi="黑体" w:hint="eastAsia"/>
          <w:b/>
          <w:sz w:val="32"/>
          <w:szCs w:val="32"/>
        </w:rPr>
        <w:t>十三、</w:t>
      </w:r>
      <w:r>
        <w:rPr>
          <w:rFonts w:hAnsi="黑体" w:hint="eastAsia"/>
          <w:b/>
          <w:sz w:val="32"/>
          <w:szCs w:val="32"/>
        </w:rPr>
        <w:t>2021</w:t>
      </w:r>
      <w:r>
        <w:rPr>
          <w:rFonts w:hAnsi="黑体" w:hint="eastAsia"/>
          <w:b/>
          <w:sz w:val="32"/>
          <w:szCs w:val="32"/>
        </w:rPr>
        <w:t>年度预算绩效情况说明</w:t>
      </w:r>
    </w:p>
    <w:p w:rsidR="00D17E33" w:rsidRDefault="00707424" w:rsidP="00707424">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lastRenderedPageBreak/>
        <w:t>（</w:t>
      </w:r>
      <w:r>
        <w:rPr>
          <w:rFonts w:asciiTheme="minorEastAsia" w:hAnsiTheme="minorEastAsia" w:cs="黑体" w:hint="eastAsia"/>
          <w:b/>
          <w:color w:val="000000"/>
          <w:kern w:val="0"/>
          <w:sz w:val="32"/>
          <w:szCs w:val="32"/>
        </w:rPr>
        <w:t>1</w:t>
      </w:r>
      <w:r>
        <w:rPr>
          <w:rFonts w:asciiTheme="minorEastAsia" w:hAnsiTheme="minorEastAsia" w:cs="黑体" w:hint="eastAsia"/>
          <w:b/>
          <w:color w:val="000000"/>
          <w:kern w:val="0"/>
          <w:sz w:val="32"/>
          <w:szCs w:val="32"/>
        </w:rPr>
        <w:t>）绩效管理评价工作开展情况</w:t>
      </w:r>
      <w:r>
        <w:rPr>
          <w:rFonts w:asciiTheme="minorEastAsia" w:hAnsiTheme="minorEastAsia" w:cs="黑体" w:hint="eastAsia"/>
          <w:color w:val="000000"/>
          <w:kern w:val="0"/>
          <w:sz w:val="32"/>
          <w:szCs w:val="32"/>
        </w:rPr>
        <w:t>。</w:t>
      </w:r>
    </w:p>
    <w:p w:rsidR="00D17E33" w:rsidRDefault="0070742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本单位为二级预算单位，无项目绩效。</w:t>
      </w: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rPr>
          <w:sz w:val="72"/>
          <w:szCs w:val="72"/>
        </w:rPr>
      </w:pPr>
    </w:p>
    <w:p w:rsidR="00D17E33" w:rsidRDefault="00D17E33">
      <w:pPr>
        <w:pStyle w:val="Default"/>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bookmarkStart w:id="1" w:name="_GoBack"/>
      <w:bookmarkEnd w:id="1"/>
    </w:p>
    <w:p w:rsidR="00D17E33" w:rsidRDefault="00707424">
      <w:pPr>
        <w:pStyle w:val="Default"/>
        <w:jc w:val="center"/>
        <w:rPr>
          <w:sz w:val="72"/>
          <w:szCs w:val="72"/>
        </w:rPr>
      </w:pPr>
      <w:r>
        <w:rPr>
          <w:rFonts w:hint="eastAsia"/>
          <w:sz w:val="72"/>
          <w:szCs w:val="72"/>
        </w:rPr>
        <w:t>第四部分</w:t>
      </w:r>
    </w:p>
    <w:p w:rsidR="00D17E33" w:rsidRDefault="00D17E33">
      <w:pPr>
        <w:jc w:val="center"/>
        <w:rPr>
          <w:rFonts w:ascii="黑体" w:eastAsia="黑体" w:cs="黑体"/>
          <w:color w:val="000000"/>
          <w:kern w:val="0"/>
          <w:sz w:val="70"/>
          <w:szCs w:val="70"/>
        </w:rPr>
      </w:pPr>
    </w:p>
    <w:p w:rsidR="00D17E33" w:rsidRDefault="00707424">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D17E33" w:rsidRDefault="00707424">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D17E33" w:rsidRDefault="00D17E33">
      <w:pPr>
        <w:ind w:firstLineChars="200" w:firstLine="640"/>
        <w:jc w:val="left"/>
        <w:rPr>
          <w:rFonts w:asciiTheme="minorEastAsia" w:hAnsiTheme="minorEastAsia" w:cs="黑体"/>
          <w:color w:val="000000"/>
          <w:kern w:val="0"/>
          <w:sz w:val="32"/>
          <w:szCs w:val="32"/>
        </w:rPr>
      </w:pP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一、财政拨款收入：指中央财政当年拨付的资金。</w:t>
      </w: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二、其他收入：指除“财政拨款收入”、“事业收入”、“经营收入”等以外的收入。主要是按规定动用的售房收入、存款利息收入等。</w:t>
      </w: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三、基本支出：指为保障机构正常运转、完成日常工作任务而发生的人员支出和公用支出。</w:t>
      </w: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四、项目支出：指在基本支出之外为完成特定行政任务和事业发展目标所发生的支出。</w:t>
      </w: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rsidR="00D17E33" w:rsidRDefault="00707424">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六、机关运行经费：为保障行政单位（含参照公务员法管理的的事业单位）运行用</w:t>
      </w:r>
      <w:r>
        <w:rPr>
          <w:rFonts w:asciiTheme="minorEastAsia" w:hAnsiTheme="minorEastAsia" w:cs="黑体" w:hint="eastAsia"/>
          <w:color w:val="000000"/>
          <w:kern w:val="0"/>
          <w:sz w:val="32"/>
          <w:szCs w:val="32"/>
        </w:rPr>
        <w:t>于购买货物和服务的各项资金，包括办公费、印刷费、邮电费、差旅费、会议费、福利费、日常维修费、专用材料费、一般设备购置费、水电费、取暖费、公务用车运行维护费以及其他费用。</w:t>
      </w:r>
    </w:p>
    <w:p w:rsidR="00D17E33" w:rsidRDefault="00D17E33">
      <w:pPr>
        <w:pStyle w:val="Default"/>
        <w:jc w:val="center"/>
        <w:rPr>
          <w:sz w:val="72"/>
          <w:szCs w:val="72"/>
        </w:rPr>
      </w:pPr>
    </w:p>
    <w:p w:rsidR="00D17E33" w:rsidRDefault="00D17E33">
      <w:pPr>
        <w:pStyle w:val="Default"/>
        <w:jc w:val="center"/>
        <w:rPr>
          <w:sz w:val="72"/>
          <w:szCs w:val="72"/>
        </w:rPr>
      </w:pPr>
    </w:p>
    <w:p w:rsidR="00D17E33" w:rsidRDefault="00D17E33">
      <w:pPr>
        <w:pStyle w:val="Default"/>
        <w:jc w:val="center"/>
        <w:rPr>
          <w:sz w:val="72"/>
          <w:szCs w:val="72"/>
        </w:rPr>
      </w:pPr>
    </w:p>
    <w:sectPr w:rsidR="00D17E33" w:rsidSect="00D17E33">
      <w:pgSz w:w="11906" w:h="16838"/>
      <w:pgMar w:top="720" w:right="720" w:bottom="720" w:left="720" w:header="851" w:footer="992" w:gutter="0"/>
      <w:cols w:space="425"/>
      <w:docGrid w:type="linesAndChar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栖" w:date="2022-10-11T09:33:00Z" w:initials="">
    <w:p w:rsidR="00D17E33" w:rsidRDefault="00707424">
      <w:pPr>
        <w:pStyle w:val="a3"/>
      </w:pPr>
      <w:r>
        <w:rPr>
          <w:rFonts w:hint="eastAsia"/>
        </w:rPr>
        <w:t>请按模板填写</w:t>
      </w:r>
    </w:p>
    <w:p w:rsidR="00D17E33" w:rsidRDefault="00707424">
      <w:pPr>
        <w:pStyle w:val="a3"/>
      </w:pPr>
      <w:r>
        <w:t>本部门</w:t>
      </w:r>
      <w:r>
        <w:t>2021</w:t>
      </w:r>
      <w:r>
        <w:t>年度机关运行经费支出</w:t>
      </w:r>
      <w:r>
        <w:t>XX</w:t>
      </w:r>
      <w:r>
        <w:t>万元（与部门决算中行政单位和参照公务员法管理事业单位一般公共预算财政拨款基本支出中公用经费之和一致），比年初预算数（或者上年决算数）增加（减少）</w:t>
      </w:r>
      <w:r>
        <w:t xml:space="preserve">XX </w:t>
      </w:r>
      <w:r>
        <w:t>万元，增长（降低）</w:t>
      </w:r>
      <w:r>
        <w:t>XX%</w:t>
      </w:r>
      <w:r>
        <w:t>。主要原因是：</w:t>
      </w:r>
      <w:r>
        <w:t>……</w:t>
      </w:r>
      <w:r>
        <w:t>（具体增减原因由部门根据实际情况填列，机关运行经费支出口径应在专业名词解释中予以说明）。</w:t>
      </w:r>
    </w:p>
    <w:p w:rsidR="00D17E33" w:rsidRDefault="00D17E33">
      <w:pPr>
        <w:pStyle w:val="a3"/>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DCF72F9" w15:done="0"/>
</w15:commentsEx>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default"/>
    <w:sig w:usb0="00000001" w:usb1="080E0000" w:usb2="00000000" w:usb3="00000000" w:csb0="00040000" w:csb1="00000000"/>
  </w:font>
  <w:font w:name="华文中宋">
    <w:altName w:val="宋体"/>
    <w:charset w:val="86"/>
    <w:family w:val="auto"/>
    <w:pitch w:val="default"/>
    <w:sig w:usb0="00000000" w:usb1="0000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charset w:val="86"/>
    <w:family w:val="script"/>
    <w:pitch w:val="default"/>
    <w:sig w:usb0="00000001"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A37913F"/>
    <w:multiLevelType w:val="singleLevel"/>
    <w:tmpl w:val="3A37913F"/>
    <w:lvl w:ilvl="0">
      <w:start w:val="2"/>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栖">
    <w15:presenceInfo w15:providerId="WPS Office" w15:userId="295637717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0B2643"/>
    <w:rsid w:val="0010055C"/>
    <w:rsid w:val="00103957"/>
    <w:rsid w:val="00124A1F"/>
    <w:rsid w:val="00134ECE"/>
    <w:rsid w:val="00152C6D"/>
    <w:rsid w:val="00162D39"/>
    <w:rsid w:val="001678BD"/>
    <w:rsid w:val="00172A27"/>
    <w:rsid w:val="00182373"/>
    <w:rsid w:val="001A67DB"/>
    <w:rsid w:val="001B49C9"/>
    <w:rsid w:val="001C3C29"/>
    <w:rsid w:val="001D51E5"/>
    <w:rsid w:val="001E080D"/>
    <w:rsid w:val="001E53D0"/>
    <w:rsid w:val="001F0C3B"/>
    <w:rsid w:val="001F2E48"/>
    <w:rsid w:val="001F5635"/>
    <w:rsid w:val="00202C14"/>
    <w:rsid w:val="00202C82"/>
    <w:rsid w:val="00214427"/>
    <w:rsid w:val="00226CB7"/>
    <w:rsid w:val="00264552"/>
    <w:rsid w:val="00264EF9"/>
    <w:rsid w:val="00265724"/>
    <w:rsid w:val="0027426B"/>
    <w:rsid w:val="0028587B"/>
    <w:rsid w:val="002E0A30"/>
    <w:rsid w:val="003077F9"/>
    <w:rsid w:val="003110FF"/>
    <w:rsid w:val="003130C4"/>
    <w:rsid w:val="00316C4B"/>
    <w:rsid w:val="0032192B"/>
    <w:rsid w:val="003479BD"/>
    <w:rsid w:val="0037197D"/>
    <w:rsid w:val="003768D5"/>
    <w:rsid w:val="003A266A"/>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B5208"/>
    <w:rsid w:val="005D4D55"/>
    <w:rsid w:val="005E2CFB"/>
    <w:rsid w:val="005F2103"/>
    <w:rsid w:val="005F3D1C"/>
    <w:rsid w:val="0062378F"/>
    <w:rsid w:val="00641842"/>
    <w:rsid w:val="0064315D"/>
    <w:rsid w:val="00651EEC"/>
    <w:rsid w:val="00686673"/>
    <w:rsid w:val="00691E8C"/>
    <w:rsid w:val="006A22C4"/>
    <w:rsid w:val="006A348B"/>
    <w:rsid w:val="006A351B"/>
    <w:rsid w:val="006B0422"/>
    <w:rsid w:val="006B627D"/>
    <w:rsid w:val="006C1B53"/>
    <w:rsid w:val="006D7730"/>
    <w:rsid w:val="006E5284"/>
    <w:rsid w:val="006F3EB5"/>
    <w:rsid w:val="00702E34"/>
    <w:rsid w:val="00704395"/>
    <w:rsid w:val="00707424"/>
    <w:rsid w:val="00710FE7"/>
    <w:rsid w:val="007142A1"/>
    <w:rsid w:val="00717621"/>
    <w:rsid w:val="00720FF1"/>
    <w:rsid w:val="00727A53"/>
    <w:rsid w:val="00740159"/>
    <w:rsid w:val="00787B42"/>
    <w:rsid w:val="007C4539"/>
    <w:rsid w:val="007F3657"/>
    <w:rsid w:val="00812ED5"/>
    <w:rsid w:val="008254FC"/>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689B"/>
    <w:rsid w:val="00B33BEA"/>
    <w:rsid w:val="00B57C9F"/>
    <w:rsid w:val="00B60ECF"/>
    <w:rsid w:val="00B63572"/>
    <w:rsid w:val="00B845B3"/>
    <w:rsid w:val="00B85D8B"/>
    <w:rsid w:val="00BB4A40"/>
    <w:rsid w:val="00BD6C3E"/>
    <w:rsid w:val="00BE3674"/>
    <w:rsid w:val="00C10681"/>
    <w:rsid w:val="00C3049A"/>
    <w:rsid w:val="00C31B1E"/>
    <w:rsid w:val="00C77645"/>
    <w:rsid w:val="00C80896"/>
    <w:rsid w:val="00CA4291"/>
    <w:rsid w:val="00CE04C3"/>
    <w:rsid w:val="00CE76A0"/>
    <w:rsid w:val="00D148C6"/>
    <w:rsid w:val="00D17A8A"/>
    <w:rsid w:val="00D17E33"/>
    <w:rsid w:val="00D415BA"/>
    <w:rsid w:val="00D63780"/>
    <w:rsid w:val="00D644EE"/>
    <w:rsid w:val="00D75489"/>
    <w:rsid w:val="00DD06FF"/>
    <w:rsid w:val="00DD5FE9"/>
    <w:rsid w:val="00E00C7A"/>
    <w:rsid w:val="00E209CF"/>
    <w:rsid w:val="00E37D6C"/>
    <w:rsid w:val="00E55B68"/>
    <w:rsid w:val="00E67BE6"/>
    <w:rsid w:val="00E8683C"/>
    <w:rsid w:val="00EA2B72"/>
    <w:rsid w:val="00EB0EB3"/>
    <w:rsid w:val="00EE1CF0"/>
    <w:rsid w:val="00F45193"/>
    <w:rsid w:val="00F74360"/>
    <w:rsid w:val="00FA2104"/>
    <w:rsid w:val="00FB462F"/>
    <w:rsid w:val="00FC4661"/>
    <w:rsid w:val="00FE16FA"/>
    <w:rsid w:val="00FE328A"/>
    <w:rsid w:val="00FE6269"/>
    <w:rsid w:val="00FF5CD6"/>
    <w:rsid w:val="2725040E"/>
    <w:rsid w:val="38015D69"/>
    <w:rsid w:val="6F7572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7E3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D17E33"/>
    <w:pPr>
      <w:jc w:val="left"/>
    </w:pPr>
  </w:style>
  <w:style w:type="paragraph" w:styleId="a4">
    <w:name w:val="Balloon Text"/>
    <w:basedOn w:val="a"/>
    <w:link w:val="Char"/>
    <w:uiPriority w:val="99"/>
    <w:semiHidden/>
    <w:unhideWhenUsed/>
    <w:rsid w:val="00D17E33"/>
    <w:rPr>
      <w:sz w:val="18"/>
      <w:szCs w:val="18"/>
    </w:rPr>
  </w:style>
  <w:style w:type="paragraph" w:styleId="a5">
    <w:name w:val="footer"/>
    <w:basedOn w:val="a"/>
    <w:link w:val="Char0"/>
    <w:uiPriority w:val="99"/>
    <w:unhideWhenUsed/>
    <w:qFormat/>
    <w:rsid w:val="00D17E33"/>
    <w:pPr>
      <w:tabs>
        <w:tab w:val="center" w:pos="4153"/>
        <w:tab w:val="right" w:pos="8306"/>
      </w:tabs>
      <w:snapToGrid w:val="0"/>
      <w:jc w:val="left"/>
    </w:pPr>
    <w:rPr>
      <w:sz w:val="18"/>
      <w:szCs w:val="18"/>
    </w:rPr>
  </w:style>
  <w:style w:type="paragraph" w:styleId="a6">
    <w:name w:val="header"/>
    <w:basedOn w:val="a"/>
    <w:link w:val="Char1"/>
    <w:uiPriority w:val="99"/>
    <w:unhideWhenUsed/>
    <w:rsid w:val="00D17E33"/>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rsid w:val="00D17E33"/>
    <w:rPr>
      <w:sz w:val="21"/>
      <w:szCs w:val="21"/>
    </w:rPr>
  </w:style>
  <w:style w:type="character" w:customStyle="1" w:styleId="Char1">
    <w:name w:val="页眉 Char"/>
    <w:basedOn w:val="a0"/>
    <w:link w:val="a6"/>
    <w:uiPriority w:val="99"/>
    <w:qFormat/>
    <w:rsid w:val="00D17E33"/>
    <w:rPr>
      <w:sz w:val="18"/>
      <w:szCs w:val="18"/>
    </w:rPr>
  </w:style>
  <w:style w:type="character" w:customStyle="1" w:styleId="Char0">
    <w:name w:val="页脚 Char"/>
    <w:basedOn w:val="a0"/>
    <w:link w:val="a5"/>
    <w:uiPriority w:val="99"/>
    <w:qFormat/>
    <w:rsid w:val="00D17E33"/>
    <w:rPr>
      <w:sz w:val="18"/>
      <w:szCs w:val="18"/>
    </w:rPr>
  </w:style>
  <w:style w:type="paragraph" w:customStyle="1" w:styleId="Default">
    <w:name w:val="Default"/>
    <w:qFormat/>
    <w:rsid w:val="00D17E33"/>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rsid w:val="00D17E33"/>
    <w:pPr>
      <w:ind w:firstLineChars="200" w:firstLine="420"/>
    </w:pPr>
  </w:style>
  <w:style w:type="character" w:customStyle="1" w:styleId="Char">
    <w:name w:val="批注框文本 Char"/>
    <w:basedOn w:val="a0"/>
    <w:link w:val="a4"/>
    <w:uiPriority w:val="99"/>
    <w:semiHidden/>
    <w:qFormat/>
    <w:rsid w:val="00D17E3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FEBA7-7E13-4519-9385-5D9427AE9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1367</Words>
  <Characters>7793</Characters>
  <Application>Microsoft Office Word</Application>
  <DocSecurity>0</DocSecurity>
  <Lines>64</Lines>
  <Paragraphs>18</Paragraphs>
  <ScaleCrop>false</ScaleCrop>
  <Company>Microsoft</Company>
  <LinksUpToDate>false</LinksUpToDate>
  <CharactersWithSpaces>9142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88</cp:revision>
  <cp:lastPrinted>2022-07-27T12:55:00Z</cp:lastPrinted>
  <dcterms:created xsi:type="dcterms:W3CDTF">2020-07-02T02:32:00Z</dcterms:created>
  <dcterms:modified xsi:type="dcterms:W3CDTF">2022-10-14T01:22:00Z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3CCD3735B36F41F584A73724D544ACA5</vt:lpwstr>
  </property>
</Properties>
</file>