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sz w:val="56"/>
          <w:szCs w:val="56"/>
        </w:rPr>
      </w:pPr>
    </w:p>
    <w:p>
      <w:pPr>
        <w:pStyle w:val="11"/>
        <w:jc w:val="center"/>
        <w:rPr>
          <w:sz w:val="56"/>
          <w:szCs w:val="56"/>
        </w:rPr>
      </w:pPr>
    </w:p>
    <w:p>
      <w:pPr>
        <w:pStyle w:val="11"/>
        <w:jc w:val="center"/>
        <w:rPr>
          <w:sz w:val="84"/>
          <w:szCs w:val="84"/>
        </w:rPr>
      </w:pPr>
    </w:p>
    <w:p>
      <w:pPr>
        <w:pStyle w:val="11"/>
        <w:jc w:val="center"/>
        <w:rPr>
          <w:sz w:val="84"/>
          <w:szCs w:val="84"/>
        </w:rPr>
      </w:pPr>
    </w:p>
    <w:p>
      <w:pPr>
        <w:pStyle w:val="11"/>
        <w:jc w:val="center"/>
        <w:rPr>
          <w:sz w:val="84"/>
          <w:szCs w:val="84"/>
        </w:rPr>
      </w:pPr>
      <w:r>
        <w:rPr>
          <w:rFonts w:hint="eastAsia"/>
          <w:sz w:val="84"/>
          <w:szCs w:val="84"/>
        </w:rPr>
        <w:t>2021年度</w:t>
      </w:r>
    </w:p>
    <w:p>
      <w:pPr>
        <w:pStyle w:val="11"/>
        <w:jc w:val="center"/>
        <w:rPr>
          <w:sz w:val="84"/>
          <w:szCs w:val="84"/>
        </w:rPr>
      </w:pPr>
      <w:r>
        <w:rPr>
          <w:rFonts w:hint="eastAsia"/>
          <w:sz w:val="84"/>
          <w:szCs w:val="84"/>
        </w:rPr>
        <w:t>湘乡市第二中学部门决算</w:t>
      </w: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32"/>
          <w:szCs w:val="32"/>
        </w:rPr>
      </w:pPr>
    </w:p>
    <w:p>
      <w:pPr>
        <w:pStyle w:val="11"/>
        <w:jc w:val="center"/>
        <w:rPr>
          <w:sz w:val="32"/>
          <w:szCs w:val="32"/>
        </w:rPr>
      </w:pPr>
    </w:p>
    <w:p>
      <w:pPr>
        <w:pStyle w:val="11"/>
        <w:jc w:val="center"/>
        <w:rPr>
          <w:sz w:val="32"/>
          <w:szCs w:val="32"/>
        </w:rPr>
      </w:pPr>
    </w:p>
    <w:p>
      <w:pPr>
        <w:pStyle w:val="11"/>
        <w:jc w:val="center"/>
        <w:rPr>
          <w:sz w:val="32"/>
          <w:szCs w:val="32"/>
        </w:rPr>
      </w:pPr>
    </w:p>
    <w:p>
      <w:pPr>
        <w:pStyle w:val="11"/>
        <w:jc w:val="center"/>
        <w:rPr>
          <w:sz w:val="32"/>
          <w:szCs w:val="32"/>
        </w:rPr>
      </w:pPr>
    </w:p>
    <w:p>
      <w:pPr>
        <w:pStyle w:val="11"/>
        <w:spacing w:line="540" w:lineRule="exact"/>
        <w:jc w:val="center"/>
        <w:rPr>
          <w:sz w:val="56"/>
          <w:szCs w:val="56"/>
        </w:rPr>
      </w:pPr>
    </w:p>
    <w:p>
      <w:pPr>
        <w:pStyle w:val="11"/>
        <w:spacing w:line="500" w:lineRule="exact"/>
        <w:jc w:val="center"/>
        <w:rPr>
          <w:b/>
          <w:sz w:val="36"/>
          <w:szCs w:val="28"/>
        </w:rPr>
      </w:pPr>
    </w:p>
    <w:p>
      <w:pPr>
        <w:pStyle w:val="11"/>
        <w:spacing w:line="500" w:lineRule="exact"/>
        <w:jc w:val="center"/>
        <w:rPr>
          <w:b/>
          <w:sz w:val="36"/>
          <w:szCs w:val="28"/>
        </w:rPr>
      </w:pPr>
    </w:p>
    <w:p>
      <w:pPr>
        <w:pStyle w:val="11"/>
        <w:spacing w:line="500" w:lineRule="exact"/>
        <w:jc w:val="center"/>
        <w:rPr>
          <w:b/>
          <w:sz w:val="36"/>
          <w:szCs w:val="28"/>
        </w:rPr>
      </w:pPr>
      <w:r>
        <w:rPr>
          <w:rFonts w:hint="eastAsia"/>
          <w:b/>
          <w:sz w:val="36"/>
          <w:szCs w:val="28"/>
        </w:rPr>
        <w:t>目录</w:t>
      </w:r>
    </w:p>
    <w:p>
      <w:pPr>
        <w:pStyle w:val="11"/>
        <w:spacing w:line="500" w:lineRule="exact"/>
        <w:rPr>
          <w:rFonts w:ascii="仿宋_GB2312" w:hAnsi="仿宋_GB2312" w:cs="仿宋_GB2312"/>
          <w:b/>
          <w:sz w:val="28"/>
          <w:szCs w:val="28"/>
        </w:rPr>
      </w:pPr>
      <w:r>
        <w:rPr>
          <w:rFonts w:hint="eastAsia"/>
          <w:b/>
          <w:sz w:val="28"/>
          <w:szCs w:val="28"/>
        </w:rPr>
        <w:t>第一部分湘乡市第二中学单位概况</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1"/>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1"/>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1"/>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1"/>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1"/>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1"/>
        <w:jc w:val="center"/>
        <w:rPr>
          <w:sz w:val="84"/>
          <w:szCs w:val="84"/>
        </w:rPr>
      </w:pPr>
      <w:r>
        <w:rPr>
          <w:rFonts w:hint="eastAsia"/>
          <w:sz w:val="84"/>
          <w:szCs w:val="84"/>
        </w:rPr>
        <w:t>第一部分</w:t>
      </w:r>
    </w:p>
    <w:p>
      <w:pPr>
        <w:pStyle w:val="11"/>
        <w:jc w:val="center"/>
        <w:rPr>
          <w:sz w:val="84"/>
          <w:szCs w:val="84"/>
        </w:rPr>
      </w:pPr>
    </w:p>
    <w:p>
      <w:pPr>
        <w:pStyle w:val="11"/>
        <w:jc w:val="center"/>
        <w:rPr>
          <w:sz w:val="84"/>
          <w:szCs w:val="84"/>
        </w:rPr>
      </w:pPr>
      <w:r>
        <w:rPr>
          <w:rFonts w:hint="eastAsia"/>
          <w:sz w:val="84"/>
          <w:szCs w:val="84"/>
        </w:rPr>
        <w:t>湘乡市第二中学单位概况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ind w:firstLine="800" w:firstLineChars="250"/>
        <w:jc w:val="left"/>
        <w:rPr>
          <w:rFonts w:asciiTheme="minorEastAsia" w:hAnsiTheme="minorEastAsia"/>
          <w:sz w:val="32"/>
          <w:szCs w:val="32"/>
        </w:rPr>
      </w:pPr>
      <w:r>
        <w:rPr>
          <w:rFonts w:hint="eastAsia" w:asciiTheme="minorEastAsia" w:hAnsiTheme="minorEastAsia"/>
          <w:sz w:val="32"/>
          <w:szCs w:val="32"/>
        </w:rPr>
        <w:t>实施初</w:t>
      </w:r>
      <w:r>
        <w:rPr>
          <w:rFonts w:asciiTheme="minorEastAsia" w:hAnsiTheme="minorEastAsia"/>
          <w:sz w:val="32"/>
          <w:szCs w:val="32"/>
        </w:rPr>
        <w:t>、</w:t>
      </w:r>
      <w:r>
        <w:rPr>
          <w:rFonts w:hint="eastAsia" w:asciiTheme="minorEastAsia" w:hAnsiTheme="minorEastAsia"/>
          <w:sz w:val="32"/>
          <w:szCs w:val="32"/>
        </w:rPr>
        <w:t>高中教育</w:t>
      </w:r>
      <w:r>
        <w:rPr>
          <w:rFonts w:asciiTheme="minorEastAsia" w:hAnsiTheme="minorEastAsia"/>
          <w:sz w:val="32"/>
          <w:szCs w:val="32"/>
        </w:rPr>
        <w:t>，</w:t>
      </w:r>
      <w:r>
        <w:rPr>
          <w:rFonts w:hint="eastAsia" w:asciiTheme="minorEastAsia" w:hAnsiTheme="minorEastAsia"/>
          <w:sz w:val="32"/>
          <w:szCs w:val="32"/>
        </w:rPr>
        <w:t>促进基础教育发展及相关社会服务</w:t>
      </w:r>
      <w:r>
        <w:rPr>
          <w:rFonts w:asciiTheme="minorEastAsia" w:hAnsiTheme="minorEastAsia"/>
          <w:sz w:val="32"/>
          <w:szCs w:val="32"/>
        </w:rPr>
        <w:t>。</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rPr>
        <w:t>（一）内设机构设置</w:t>
      </w:r>
      <w:r>
        <w:rPr>
          <w:rFonts w:asciiTheme="minorEastAsia" w:hAnsiTheme="minorEastAsia"/>
          <w:bCs/>
          <w:kern w:val="0"/>
          <w:sz w:val="32"/>
          <w:szCs w:val="32"/>
        </w:rPr>
        <w:t>：</w:t>
      </w:r>
      <w:r>
        <w:rPr>
          <w:rFonts w:hint="eastAsia" w:asciiTheme="minorEastAsia" w:hAnsiTheme="minorEastAsia"/>
          <w:bCs/>
          <w:kern w:val="0"/>
          <w:sz w:val="32"/>
          <w:szCs w:val="32"/>
        </w:rPr>
        <w:t>湘乡市第二中学是全额拨款的事业单位</w:t>
      </w:r>
      <w:r>
        <w:rPr>
          <w:rFonts w:asciiTheme="minorEastAsia" w:hAnsiTheme="minorEastAsia"/>
          <w:bCs/>
          <w:kern w:val="0"/>
          <w:sz w:val="32"/>
          <w:szCs w:val="32"/>
        </w:rPr>
        <w:t>。</w:t>
      </w:r>
      <w:r>
        <w:rPr>
          <w:rFonts w:hint="eastAsia" w:asciiTheme="minorEastAsia" w:hAnsiTheme="minorEastAsia"/>
          <w:bCs/>
          <w:kern w:val="0"/>
          <w:sz w:val="32"/>
          <w:szCs w:val="32"/>
        </w:rPr>
        <w:t>内设初中部和高中部</w:t>
      </w:r>
      <w:r>
        <w:rPr>
          <w:rFonts w:asciiTheme="minorEastAsia" w:hAnsiTheme="minorEastAsia"/>
          <w:bCs/>
          <w:kern w:val="0"/>
          <w:sz w:val="32"/>
          <w:szCs w:val="32"/>
        </w:rPr>
        <w:t>，</w:t>
      </w:r>
      <w:r>
        <w:rPr>
          <w:rFonts w:hint="eastAsia" w:asciiTheme="minorEastAsia" w:hAnsiTheme="minorEastAsia"/>
          <w:bCs/>
          <w:kern w:val="0"/>
          <w:sz w:val="32"/>
          <w:szCs w:val="32"/>
        </w:rPr>
        <w:t>分别设有教务处</w:t>
      </w:r>
      <w:r>
        <w:rPr>
          <w:rFonts w:asciiTheme="minorEastAsia" w:hAnsiTheme="minorEastAsia"/>
          <w:bCs/>
          <w:kern w:val="0"/>
          <w:sz w:val="32"/>
          <w:szCs w:val="32"/>
        </w:rPr>
        <w:t>、</w:t>
      </w:r>
      <w:r>
        <w:rPr>
          <w:rFonts w:hint="eastAsia" w:asciiTheme="minorEastAsia" w:hAnsiTheme="minorEastAsia"/>
          <w:bCs/>
          <w:kern w:val="0"/>
          <w:sz w:val="32"/>
          <w:szCs w:val="32"/>
        </w:rPr>
        <w:t>政教处</w:t>
      </w:r>
      <w:r>
        <w:rPr>
          <w:rFonts w:asciiTheme="minorEastAsia" w:hAnsiTheme="minorEastAsia"/>
          <w:bCs/>
          <w:kern w:val="0"/>
          <w:sz w:val="32"/>
          <w:szCs w:val="32"/>
        </w:rPr>
        <w:t>、</w:t>
      </w:r>
      <w:r>
        <w:rPr>
          <w:rFonts w:hint="eastAsia" w:asciiTheme="minorEastAsia" w:hAnsiTheme="minorEastAsia"/>
          <w:bCs/>
          <w:kern w:val="0"/>
          <w:sz w:val="32"/>
          <w:szCs w:val="32"/>
        </w:rPr>
        <w:t>总务处</w:t>
      </w:r>
      <w:r>
        <w:rPr>
          <w:rFonts w:asciiTheme="minorEastAsia" w:hAnsiTheme="minorEastAsia"/>
          <w:bCs/>
          <w:kern w:val="0"/>
          <w:sz w:val="32"/>
          <w:szCs w:val="32"/>
        </w:rPr>
        <w:t>、</w:t>
      </w:r>
      <w:r>
        <w:rPr>
          <w:rFonts w:hint="eastAsia" w:asciiTheme="minorEastAsia" w:hAnsiTheme="minorEastAsia"/>
          <w:bCs/>
          <w:kern w:val="0"/>
          <w:sz w:val="32"/>
          <w:szCs w:val="32"/>
        </w:rPr>
        <w:t>办公室</w:t>
      </w:r>
      <w:r>
        <w:rPr>
          <w:rFonts w:asciiTheme="minorEastAsia" w:hAnsiTheme="minorEastAsia"/>
          <w:bCs/>
          <w:kern w:val="0"/>
          <w:sz w:val="32"/>
          <w:szCs w:val="32"/>
        </w:rPr>
        <w:t>、</w:t>
      </w:r>
      <w:r>
        <w:rPr>
          <w:rFonts w:hint="eastAsia" w:asciiTheme="minorEastAsia" w:hAnsiTheme="minorEastAsia"/>
          <w:bCs/>
          <w:kern w:val="0"/>
          <w:sz w:val="32"/>
          <w:szCs w:val="32"/>
        </w:rPr>
        <w:t>团委</w:t>
      </w:r>
      <w:r>
        <w:rPr>
          <w:rFonts w:asciiTheme="minorEastAsia" w:hAnsiTheme="minorEastAsia"/>
          <w:bCs/>
          <w:kern w:val="0"/>
          <w:sz w:val="32"/>
          <w:szCs w:val="32"/>
        </w:rPr>
        <w:t>、</w:t>
      </w:r>
      <w:r>
        <w:rPr>
          <w:rFonts w:hint="eastAsia" w:asciiTheme="minorEastAsia" w:hAnsiTheme="minorEastAsia"/>
          <w:bCs/>
          <w:kern w:val="0"/>
          <w:sz w:val="32"/>
          <w:szCs w:val="32"/>
        </w:rPr>
        <w:t>校工会</w:t>
      </w:r>
      <w:r>
        <w:rPr>
          <w:rFonts w:asciiTheme="minorEastAsia" w:hAnsiTheme="minorEastAsia"/>
          <w:bCs/>
          <w:kern w:val="0"/>
          <w:sz w:val="32"/>
          <w:szCs w:val="32"/>
        </w:rPr>
        <w:t>。</w:t>
      </w: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rPr>
        <w:t>（二）决算单位构成。湘乡市第二中学</w:t>
      </w:r>
      <w:r>
        <w:rPr>
          <w:rFonts w:asciiTheme="minorEastAsia" w:hAnsiTheme="minorEastAsia"/>
          <w:bCs/>
          <w:kern w:val="0"/>
          <w:sz w:val="32"/>
          <w:szCs w:val="32"/>
        </w:rPr>
        <w:t>20</w:t>
      </w:r>
      <w:r>
        <w:rPr>
          <w:rFonts w:hint="eastAsia" w:asciiTheme="minorEastAsia" w:hAnsiTheme="minorEastAsia"/>
          <w:bCs/>
          <w:kern w:val="0"/>
          <w:sz w:val="32"/>
          <w:szCs w:val="32"/>
        </w:rPr>
        <w:t>21年部门决算汇总公开单位构成包括：纳入本套决算编制范围的独立核算单位共1个</w:t>
      </w:r>
      <w:r>
        <w:rPr>
          <w:rFonts w:asciiTheme="minorEastAsia" w:hAnsiTheme="minorEastAsia"/>
          <w:bCs/>
          <w:kern w:val="0"/>
          <w:sz w:val="32"/>
          <w:szCs w:val="32"/>
        </w:rPr>
        <w:t>（</w:t>
      </w:r>
      <w:r>
        <w:rPr>
          <w:rFonts w:hint="eastAsia" w:asciiTheme="minorEastAsia" w:hAnsiTheme="minorEastAsia"/>
          <w:bCs/>
          <w:kern w:val="0"/>
          <w:sz w:val="32"/>
          <w:szCs w:val="32"/>
        </w:rPr>
        <w:t>湘乡市第二中学</w:t>
      </w:r>
      <w:r>
        <w:rPr>
          <w:rFonts w:asciiTheme="minorEastAsia" w:hAnsiTheme="minorEastAsia"/>
          <w:bCs/>
          <w:kern w:val="0"/>
          <w:sz w:val="32"/>
          <w:szCs w:val="32"/>
        </w:rPr>
        <w:t>）</w:t>
      </w:r>
      <w:r>
        <w:rPr>
          <w:rFonts w:hint="eastAsia" w:asciiTheme="minorEastAsia" w:hAnsiTheme="minorEastAsia"/>
          <w:bCs/>
          <w:kern w:val="0"/>
          <w:sz w:val="32"/>
          <w:szCs w:val="32"/>
        </w:rPr>
        <w:t>比上年增减0个</w:t>
      </w:r>
      <w:r>
        <w:rPr>
          <w:rFonts w:asciiTheme="minorEastAsia" w:hAnsiTheme="minorEastAsia"/>
          <w:bCs/>
          <w:kern w:val="0"/>
          <w:sz w:val="32"/>
          <w:szCs w:val="32"/>
        </w:rPr>
        <w:t>。</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6"/>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2658.99</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2928.19</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5505.57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5587.18</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5505.57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bookmarkStart w:id="3" w:name="_GoBack" w:colFirst="0" w:colLast="1"/>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215.91</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134.29</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bookmarkEnd w:id="3"/>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b/>
                <w:bCs/>
                <w:kern w:val="0"/>
                <w:sz w:val="22"/>
              </w:rPr>
              <w:t>5721.48</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5721.48</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5428" w:type="dxa"/>
        <w:tblInd w:w="0" w:type="dxa"/>
        <w:tblLayout w:type="fixed"/>
        <w:tblCellMar>
          <w:top w:w="0" w:type="dxa"/>
          <w:left w:w="0" w:type="dxa"/>
          <w:bottom w:w="0" w:type="dxa"/>
          <w:right w:w="0" w:type="dxa"/>
        </w:tblCellMar>
      </w:tblPr>
      <w:tblGrid>
        <w:gridCol w:w="37"/>
        <w:gridCol w:w="824"/>
        <w:gridCol w:w="1767"/>
        <w:gridCol w:w="2134"/>
        <w:gridCol w:w="2483"/>
        <w:gridCol w:w="2000"/>
        <w:gridCol w:w="1933"/>
        <w:gridCol w:w="1767"/>
        <w:gridCol w:w="1183"/>
        <w:gridCol w:w="1300"/>
      </w:tblGrid>
      <w:tr>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3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82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176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213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248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200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193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176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118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130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86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176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213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248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2000"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p>
        </w:tc>
        <w:tc>
          <w:tcPr>
            <w:tcW w:w="193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176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118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130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2628"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213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2483"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200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93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76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18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30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86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1767"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213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48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00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93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6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18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0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86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67"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13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48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00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93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6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18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0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262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21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248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20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93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7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18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3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262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2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sz w:val="24"/>
                <w:szCs w:val="24"/>
              </w:rPr>
            </w:pPr>
            <w:r>
              <w:rPr>
                <w:rFonts w:hint="eastAsia" w:ascii="宋体" w:hAnsi="宋体" w:eastAsia="宋体" w:cs="宋体"/>
                <w:b/>
                <w:bCs/>
                <w:color w:val="000000"/>
                <w:kern w:val="0"/>
                <w:sz w:val="22"/>
              </w:rPr>
              <w:t>5,587.18</w:t>
            </w:r>
          </w:p>
        </w:tc>
        <w:tc>
          <w:tcPr>
            <w:tcW w:w="24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sz w:val="24"/>
                <w:szCs w:val="24"/>
              </w:rPr>
            </w:pPr>
            <w:r>
              <w:rPr>
                <w:rFonts w:hint="eastAsia" w:ascii="宋体" w:hAnsi="宋体" w:eastAsia="宋体" w:cs="宋体"/>
                <w:b/>
                <w:bCs/>
                <w:color w:val="000000"/>
                <w:kern w:val="0"/>
                <w:sz w:val="22"/>
              </w:rPr>
              <w:t>2,658.99</w:t>
            </w:r>
          </w:p>
        </w:tc>
        <w:tc>
          <w:tcPr>
            <w:tcW w:w="20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sz w:val="24"/>
                <w:szCs w:val="24"/>
              </w:rPr>
            </w:pPr>
            <w:r>
              <w:rPr>
                <w:rFonts w:hint="eastAsia" w:ascii="宋体" w:hAnsi="宋体" w:eastAsia="宋体" w:cs="宋体"/>
                <w:b/>
                <w:bCs/>
                <w:color w:val="000000"/>
                <w:kern w:val="0"/>
                <w:sz w:val="22"/>
              </w:rPr>
              <w:t>2,928.19</w:t>
            </w:r>
          </w:p>
        </w:tc>
        <w:tc>
          <w:tcPr>
            <w:tcW w:w="17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1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8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2"/>
              </w:rPr>
              <w:t>205</w:t>
            </w:r>
          </w:p>
        </w:tc>
        <w:tc>
          <w:tcPr>
            <w:tcW w:w="17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2"/>
              </w:rPr>
              <w:t>教育支出</w:t>
            </w:r>
          </w:p>
        </w:tc>
        <w:tc>
          <w:tcPr>
            <w:tcW w:w="2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5,587.18</w:t>
            </w:r>
          </w:p>
        </w:tc>
        <w:tc>
          <w:tcPr>
            <w:tcW w:w="24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2,658.99</w:t>
            </w:r>
          </w:p>
        </w:tc>
        <w:tc>
          <w:tcPr>
            <w:tcW w:w="20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2,928.19</w:t>
            </w:r>
          </w:p>
        </w:tc>
        <w:tc>
          <w:tcPr>
            <w:tcW w:w="17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1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8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2"/>
              </w:rPr>
              <w:t>20502</w:t>
            </w:r>
          </w:p>
        </w:tc>
        <w:tc>
          <w:tcPr>
            <w:tcW w:w="17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2"/>
              </w:rPr>
              <w:t>普通教育</w:t>
            </w:r>
          </w:p>
        </w:tc>
        <w:tc>
          <w:tcPr>
            <w:tcW w:w="2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华文中宋" w:hAnsi="华文中宋" w:eastAsia="华文中宋" w:cs="宋体"/>
                <w:sz w:val="24"/>
                <w:szCs w:val="24"/>
              </w:rPr>
            </w:pPr>
            <w:r>
              <w:rPr>
                <w:rFonts w:hint="eastAsia" w:ascii="宋体" w:hAnsi="宋体" w:eastAsia="宋体" w:cs="宋体"/>
                <w:color w:val="000000"/>
                <w:kern w:val="0"/>
                <w:sz w:val="22"/>
              </w:rPr>
              <w:t>5,587.18</w:t>
            </w:r>
          </w:p>
        </w:tc>
        <w:tc>
          <w:tcPr>
            <w:tcW w:w="24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2,658.99</w:t>
            </w:r>
          </w:p>
        </w:tc>
        <w:tc>
          <w:tcPr>
            <w:tcW w:w="20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2,928.19</w:t>
            </w:r>
          </w:p>
        </w:tc>
        <w:tc>
          <w:tcPr>
            <w:tcW w:w="17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1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8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2"/>
              </w:rPr>
              <w:t>2050203</w:t>
            </w:r>
          </w:p>
        </w:tc>
        <w:tc>
          <w:tcPr>
            <w:tcW w:w="17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2"/>
              </w:rPr>
              <w:t xml:space="preserve">  初中教育</w:t>
            </w:r>
          </w:p>
        </w:tc>
        <w:tc>
          <w:tcPr>
            <w:tcW w:w="2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1,693.00</w:t>
            </w:r>
          </w:p>
        </w:tc>
        <w:tc>
          <w:tcPr>
            <w:tcW w:w="24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1,422.80</w:t>
            </w:r>
          </w:p>
        </w:tc>
        <w:tc>
          <w:tcPr>
            <w:tcW w:w="20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270.20</w:t>
            </w:r>
          </w:p>
        </w:tc>
        <w:tc>
          <w:tcPr>
            <w:tcW w:w="17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1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8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2"/>
              </w:rPr>
              <w:t>2050204</w:t>
            </w:r>
          </w:p>
        </w:tc>
        <w:tc>
          <w:tcPr>
            <w:tcW w:w="17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2"/>
              </w:rPr>
              <w:t xml:space="preserve">  高中教育</w:t>
            </w:r>
          </w:p>
        </w:tc>
        <w:tc>
          <w:tcPr>
            <w:tcW w:w="2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3,894.19</w:t>
            </w:r>
          </w:p>
        </w:tc>
        <w:tc>
          <w:tcPr>
            <w:tcW w:w="24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1,236.19</w:t>
            </w:r>
          </w:p>
        </w:tc>
        <w:tc>
          <w:tcPr>
            <w:tcW w:w="20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2,658.00</w:t>
            </w:r>
          </w:p>
        </w:tc>
        <w:tc>
          <w:tcPr>
            <w:tcW w:w="17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1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8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p>
        </w:tc>
        <w:tc>
          <w:tcPr>
            <w:tcW w:w="17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p>
        </w:tc>
        <w:tc>
          <w:tcPr>
            <w:tcW w:w="2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24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20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7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1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8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p>
        </w:tc>
        <w:tc>
          <w:tcPr>
            <w:tcW w:w="17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p>
        </w:tc>
        <w:tc>
          <w:tcPr>
            <w:tcW w:w="2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24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20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9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7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1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3183" w:type="dxa"/>
        <w:tblInd w:w="93" w:type="dxa"/>
        <w:tblLayout w:type="fixed"/>
        <w:tblCellMar>
          <w:top w:w="0" w:type="dxa"/>
          <w:left w:w="108" w:type="dxa"/>
          <w:bottom w:w="0" w:type="dxa"/>
          <w:right w:w="108" w:type="dxa"/>
        </w:tblCellMar>
      </w:tblPr>
      <w:tblGrid>
        <w:gridCol w:w="1042"/>
        <w:gridCol w:w="240"/>
        <w:gridCol w:w="1385"/>
        <w:gridCol w:w="1800"/>
        <w:gridCol w:w="1371"/>
        <w:gridCol w:w="1679"/>
        <w:gridCol w:w="1679"/>
        <w:gridCol w:w="1679"/>
        <w:gridCol w:w="2308"/>
      </w:tblGrid>
      <w:tr>
        <w:tblPrEx>
          <w:tblCellMar>
            <w:top w:w="0" w:type="dxa"/>
            <w:left w:w="108" w:type="dxa"/>
            <w:bottom w:w="0" w:type="dxa"/>
            <w:right w:w="108" w:type="dxa"/>
          </w:tblCellMar>
        </w:tblPrEx>
        <w:trPr>
          <w:trHeight w:val="435" w:hRule="atLeast"/>
        </w:trPr>
        <w:tc>
          <w:tcPr>
            <w:tcW w:w="13183"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38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8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37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38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8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37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266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8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37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30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82"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385"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7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8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7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266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80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37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266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kern w:val="0"/>
                <w:sz w:val="24"/>
                <w:szCs w:val="24"/>
              </w:rPr>
            </w:pPr>
            <w:r>
              <w:rPr>
                <w:rFonts w:hint="eastAsia" w:ascii="宋体" w:hAnsi="宋体" w:eastAsia="宋体" w:cs="宋体"/>
                <w:b/>
                <w:bCs/>
                <w:color w:val="000000"/>
                <w:kern w:val="0"/>
                <w:sz w:val="22"/>
              </w:rPr>
              <w:t>5,505.57</w:t>
            </w:r>
          </w:p>
        </w:tc>
        <w:tc>
          <w:tcPr>
            <w:tcW w:w="1371"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kern w:val="0"/>
                <w:sz w:val="24"/>
                <w:szCs w:val="24"/>
              </w:rPr>
            </w:pPr>
            <w:r>
              <w:rPr>
                <w:rFonts w:hint="eastAsia" w:ascii="宋体" w:hAnsi="宋体" w:eastAsia="宋体" w:cs="宋体"/>
                <w:b/>
                <w:bCs/>
                <w:color w:val="000000"/>
                <w:kern w:val="0"/>
                <w:sz w:val="22"/>
              </w:rPr>
              <w:t>5,505.57</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205</w:t>
            </w:r>
          </w:p>
        </w:tc>
        <w:tc>
          <w:tcPr>
            <w:tcW w:w="1385"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教育支出</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kern w:val="0"/>
                <w:sz w:val="24"/>
                <w:szCs w:val="24"/>
              </w:rPr>
            </w:pPr>
            <w:r>
              <w:rPr>
                <w:rFonts w:hint="eastAsia" w:ascii="宋体" w:hAnsi="宋体" w:eastAsia="宋体" w:cs="宋体"/>
                <w:color w:val="000000"/>
                <w:kern w:val="0"/>
                <w:sz w:val="22"/>
              </w:rPr>
              <w:t>5,505.57</w:t>
            </w:r>
          </w:p>
        </w:tc>
        <w:tc>
          <w:tcPr>
            <w:tcW w:w="1371"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kern w:val="0"/>
                <w:sz w:val="24"/>
                <w:szCs w:val="24"/>
              </w:rPr>
            </w:pPr>
            <w:r>
              <w:rPr>
                <w:rFonts w:hint="eastAsia" w:ascii="宋体" w:hAnsi="宋体" w:eastAsia="宋体" w:cs="宋体"/>
                <w:color w:val="000000"/>
                <w:kern w:val="0"/>
                <w:sz w:val="22"/>
              </w:rPr>
              <w:t>5,505.57</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20502</w:t>
            </w:r>
          </w:p>
        </w:tc>
        <w:tc>
          <w:tcPr>
            <w:tcW w:w="1385"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普通教育</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kern w:val="0"/>
                <w:sz w:val="24"/>
                <w:szCs w:val="24"/>
              </w:rPr>
            </w:pPr>
            <w:r>
              <w:rPr>
                <w:rFonts w:hint="eastAsia" w:ascii="宋体" w:hAnsi="宋体" w:eastAsia="宋体" w:cs="宋体"/>
                <w:color w:val="000000"/>
                <w:kern w:val="0"/>
                <w:sz w:val="22"/>
              </w:rPr>
              <w:t>5,505.57</w:t>
            </w:r>
          </w:p>
        </w:tc>
        <w:tc>
          <w:tcPr>
            <w:tcW w:w="1371"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kern w:val="0"/>
                <w:sz w:val="24"/>
                <w:szCs w:val="24"/>
              </w:rPr>
            </w:pPr>
            <w:r>
              <w:rPr>
                <w:rFonts w:hint="eastAsia" w:ascii="宋体" w:hAnsi="宋体" w:eastAsia="宋体" w:cs="宋体"/>
                <w:color w:val="000000"/>
                <w:kern w:val="0"/>
                <w:sz w:val="22"/>
              </w:rPr>
              <w:t>5,505.57</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2050203</w:t>
            </w:r>
          </w:p>
        </w:tc>
        <w:tc>
          <w:tcPr>
            <w:tcW w:w="1385"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 xml:space="preserve">  初中教育</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kern w:val="0"/>
                <w:sz w:val="24"/>
                <w:szCs w:val="24"/>
              </w:rPr>
            </w:pPr>
            <w:r>
              <w:rPr>
                <w:rFonts w:hint="eastAsia" w:ascii="宋体" w:hAnsi="宋体" w:eastAsia="宋体" w:cs="宋体"/>
                <w:color w:val="000000"/>
                <w:kern w:val="0"/>
                <w:sz w:val="22"/>
              </w:rPr>
              <w:t>1,693.00</w:t>
            </w:r>
          </w:p>
        </w:tc>
        <w:tc>
          <w:tcPr>
            <w:tcW w:w="1371"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kern w:val="0"/>
                <w:sz w:val="24"/>
                <w:szCs w:val="24"/>
              </w:rPr>
            </w:pPr>
            <w:r>
              <w:rPr>
                <w:rFonts w:hint="eastAsia" w:ascii="宋体" w:hAnsi="宋体" w:eastAsia="宋体" w:cs="宋体"/>
                <w:color w:val="000000"/>
                <w:kern w:val="0"/>
                <w:sz w:val="22"/>
              </w:rPr>
              <w:t>1,693.00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2050204</w:t>
            </w:r>
          </w:p>
        </w:tc>
        <w:tc>
          <w:tcPr>
            <w:tcW w:w="1385"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 xml:space="preserve">  高中教育</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kern w:val="0"/>
                <w:sz w:val="24"/>
                <w:szCs w:val="24"/>
              </w:rPr>
            </w:pPr>
            <w:r>
              <w:rPr>
                <w:rFonts w:hint="eastAsia" w:ascii="宋体" w:hAnsi="宋体" w:eastAsia="宋体" w:cs="宋体"/>
                <w:color w:val="000000"/>
                <w:kern w:val="0"/>
                <w:sz w:val="22"/>
              </w:rPr>
              <w:t>3,812.57</w:t>
            </w:r>
          </w:p>
        </w:tc>
        <w:tc>
          <w:tcPr>
            <w:tcW w:w="1371"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kern w:val="0"/>
                <w:sz w:val="24"/>
                <w:szCs w:val="24"/>
              </w:rPr>
            </w:pPr>
            <w:r>
              <w:rPr>
                <w:rFonts w:hint="eastAsia" w:ascii="宋体" w:hAnsi="宋体" w:eastAsia="宋体" w:cs="宋体"/>
                <w:color w:val="000000"/>
                <w:kern w:val="0"/>
                <w:sz w:val="22"/>
              </w:rPr>
              <w:t>3,812.57</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p>
        </w:tc>
        <w:tc>
          <w:tcPr>
            <w:tcW w:w="138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3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p>
        </w:tc>
        <w:tc>
          <w:tcPr>
            <w:tcW w:w="138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3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630" w:hRule="atLeast"/>
        </w:trPr>
        <w:tc>
          <w:tcPr>
            <w:tcW w:w="13183"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6"/>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2658.99</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2658.99</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2658.99</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2658.99</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2658.99</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2658.99</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2658.99</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2658.99</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2658.99</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Lines="5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textAlignment w:val="center"/>
              <w:rPr>
                <w:rFonts w:ascii="Times New Roman" w:hAnsi="Times New Roman" w:eastAsia="仿宋_GB2312" w:cs="Times New Roman"/>
                <w:kern w:val="0"/>
                <w:szCs w:val="21"/>
              </w:rPr>
            </w:pPr>
            <w:r>
              <w:rPr>
                <w:rFonts w:hint="eastAsia" w:ascii="宋体" w:hAnsi="宋体" w:eastAsia="宋体" w:cs="宋体"/>
                <w:color w:val="000000"/>
                <w:kern w:val="0"/>
                <w:sz w:val="22"/>
              </w:rPr>
              <w:t>205</w:t>
            </w:r>
          </w:p>
        </w:tc>
        <w:tc>
          <w:tcPr>
            <w:tcW w:w="3527" w:type="dxa"/>
            <w:tcBorders>
              <w:top w:val="nil"/>
              <w:left w:val="nil"/>
              <w:bottom w:val="single" w:color="auto" w:sz="4" w:space="0"/>
              <w:right w:val="single" w:color="auto" w:sz="4" w:space="0"/>
            </w:tcBorders>
            <w:shd w:val="clear" w:color="auto" w:fill="auto"/>
            <w:vAlign w:val="center"/>
          </w:tcPr>
          <w:p>
            <w:pPr>
              <w:widowControl/>
              <w:jc w:val="left"/>
              <w:textAlignment w:val="center"/>
              <w:rPr>
                <w:rFonts w:ascii="Times New Roman" w:hAnsi="Times New Roman" w:eastAsia="仿宋_GB2312" w:cs="Times New Roman"/>
                <w:kern w:val="0"/>
                <w:szCs w:val="21"/>
              </w:rPr>
            </w:pPr>
            <w:r>
              <w:rPr>
                <w:rFonts w:hint="eastAsia" w:ascii="宋体" w:hAnsi="宋体" w:eastAsia="宋体" w:cs="宋体"/>
                <w:color w:val="000000"/>
                <w:kern w:val="0"/>
                <w:sz w:val="22"/>
              </w:rPr>
              <w:t>教育支出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textAlignment w:val="center"/>
              <w:rPr>
                <w:rFonts w:ascii="Times New Roman" w:hAnsi="Times New Roman" w:eastAsia="仿宋_GB2312" w:cs="Times New Roman"/>
                <w:kern w:val="0"/>
                <w:szCs w:val="21"/>
              </w:rPr>
            </w:pPr>
            <w:r>
              <w:rPr>
                <w:rFonts w:hint="eastAsia" w:ascii="宋体" w:hAnsi="宋体" w:eastAsia="宋体" w:cs="宋体"/>
                <w:b/>
                <w:bCs/>
                <w:color w:val="000000"/>
                <w:kern w:val="0"/>
                <w:sz w:val="22"/>
              </w:rPr>
              <w:t>2,658.99</w:t>
            </w:r>
          </w:p>
        </w:tc>
        <w:tc>
          <w:tcPr>
            <w:tcW w:w="3492" w:type="dxa"/>
            <w:tcBorders>
              <w:top w:val="nil"/>
              <w:left w:val="nil"/>
              <w:bottom w:val="single" w:color="auto" w:sz="4" w:space="0"/>
              <w:right w:val="single" w:color="auto" w:sz="4" w:space="0"/>
            </w:tcBorders>
            <w:shd w:val="clear" w:color="auto" w:fill="auto"/>
            <w:vAlign w:val="center"/>
          </w:tcPr>
          <w:p>
            <w:pPr>
              <w:widowControl/>
              <w:jc w:val="right"/>
              <w:textAlignment w:val="center"/>
              <w:rPr>
                <w:rFonts w:ascii="Times New Roman" w:hAnsi="Times New Roman" w:eastAsia="仿宋_GB2312" w:cs="Times New Roman"/>
                <w:kern w:val="0"/>
                <w:szCs w:val="21"/>
              </w:rPr>
            </w:pPr>
            <w:r>
              <w:rPr>
                <w:rFonts w:hint="eastAsia" w:ascii="宋体" w:hAnsi="宋体" w:eastAsia="宋体" w:cs="宋体"/>
                <w:b/>
                <w:bCs/>
                <w:color w:val="000000"/>
                <w:kern w:val="0"/>
                <w:sz w:val="22"/>
              </w:rPr>
              <w:t>2,658.99</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textAlignment w:val="center"/>
              <w:rPr>
                <w:rFonts w:ascii="Times New Roman" w:hAnsi="Times New Roman" w:eastAsia="仿宋_GB2312" w:cs="Times New Roman"/>
                <w:kern w:val="0"/>
                <w:szCs w:val="21"/>
              </w:rPr>
            </w:pPr>
            <w:r>
              <w:rPr>
                <w:rFonts w:hint="eastAsia" w:ascii="宋体" w:hAnsi="宋体" w:eastAsia="宋体" w:cs="宋体"/>
                <w:color w:val="000000"/>
                <w:kern w:val="0"/>
                <w:sz w:val="22"/>
              </w:rPr>
              <w:t>20502</w:t>
            </w:r>
          </w:p>
        </w:tc>
        <w:tc>
          <w:tcPr>
            <w:tcW w:w="3527" w:type="dxa"/>
            <w:tcBorders>
              <w:top w:val="nil"/>
              <w:left w:val="nil"/>
              <w:bottom w:val="single" w:color="auto" w:sz="4" w:space="0"/>
              <w:right w:val="single" w:color="auto" w:sz="4" w:space="0"/>
            </w:tcBorders>
            <w:shd w:val="clear" w:color="auto" w:fill="auto"/>
            <w:vAlign w:val="center"/>
          </w:tcPr>
          <w:p>
            <w:pPr>
              <w:widowControl/>
              <w:jc w:val="left"/>
              <w:textAlignment w:val="center"/>
              <w:rPr>
                <w:rFonts w:ascii="Times New Roman" w:hAnsi="Times New Roman" w:eastAsia="仿宋_GB2312" w:cs="Times New Roman"/>
                <w:kern w:val="0"/>
                <w:szCs w:val="21"/>
              </w:rPr>
            </w:pPr>
            <w:r>
              <w:rPr>
                <w:rFonts w:hint="eastAsia" w:ascii="宋体" w:hAnsi="宋体" w:eastAsia="宋体" w:cs="宋体"/>
                <w:color w:val="000000"/>
                <w:kern w:val="0"/>
                <w:sz w:val="22"/>
              </w:rPr>
              <w:t>普通教育</w:t>
            </w:r>
          </w:p>
        </w:tc>
        <w:tc>
          <w:tcPr>
            <w:tcW w:w="3000" w:type="dxa"/>
            <w:tcBorders>
              <w:top w:val="nil"/>
              <w:left w:val="nil"/>
              <w:bottom w:val="single" w:color="auto" w:sz="4" w:space="0"/>
              <w:right w:val="single" w:color="auto" w:sz="4" w:space="0"/>
            </w:tcBorders>
            <w:shd w:val="clear" w:color="auto" w:fill="auto"/>
            <w:vAlign w:val="center"/>
          </w:tcPr>
          <w:p>
            <w:pPr>
              <w:widowControl/>
              <w:jc w:val="right"/>
              <w:textAlignment w:val="center"/>
              <w:rPr>
                <w:rFonts w:ascii="Times New Roman" w:hAnsi="Times New Roman" w:eastAsia="仿宋_GB2312" w:cs="Times New Roman"/>
                <w:kern w:val="0"/>
                <w:szCs w:val="21"/>
              </w:rPr>
            </w:pPr>
            <w:r>
              <w:rPr>
                <w:rFonts w:hint="eastAsia" w:ascii="宋体" w:hAnsi="宋体" w:eastAsia="宋体" w:cs="宋体"/>
                <w:color w:val="000000"/>
                <w:kern w:val="0"/>
                <w:sz w:val="22"/>
              </w:rPr>
              <w:t>2,658.99</w:t>
            </w:r>
          </w:p>
        </w:tc>
        <w:tc>
          <w:tcPr>
            <w:tcW w:w="3492" w:type="dxa"/>
            <w:tcBorders>
              <w:top w:val="nil"/>
              <w:left w:val="nil"/>
              <w:bottom w:val="single" w:color="auto" w:sz="4" w:space="0"/>
              <w:right w:val="single" w:color="auto" w:sz="4" w:space="0"/>
            </w:tcBorders>
            <w:shd w:val="clear" w:color="auto" w:fill="auto"/>
            <w:vAlign w:val="center"/>
          </w:tcPr>
          <w:p>
            <w:pPr>
              <w:widowControl/>
              <w:jc w:val="right"/>
              <w:textAlignment w:val="center"/>
              <w:rPr>
                <w:rFonts w:ascii="Times New Roman" w:hAnsi="Times New Roman" w:eastAsia="仿宋_GB2312" w:cs="Times New Roman"/>
                <w:kern w:val="0"/>
                <w:szCs w:val="21"/>
              </w:rPr>
            </w:pPr>
            <w:r>
              <w:rPr>
                <w:rFonts w:hint="eastAsia" w:ascii="宋体" w:hAnsi="宋体" w:eastAsia="宋体" w:cs="宋体"/>
                <w:color w:val="000000"/>
                <w:kern w:val="0"/>
                <w:sz w:val="22"/>
              </w:rPr>
              <w:t>2,658.99</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textAlignment w:val="center"/>
              <w:rPr>
                <w:rFonts w:ascii="Times New Roman" w:hAnsi="Times New Roman" w:eastAsia="仿宋_GB2312" w:cs="Times New Roman"/>
                <w:kern w:val="0"/>
                <w:szCs w:val="21"/>
              </w:rPr>
            </w:pPr>
            <w:r>
              <w:rPr>
                <w:rFonts w:hint="eastAsia" w:ascii="宋体" w:hAnsi="宋体" w:eastAsia="宋体" w:cs="宋体"/>
                <w:color w:val="000000"/>
                <w:kern w:val="0"/>
                <w:sz w:val="22"/>
              </w:rPr>
              <w:t>2050203</w:t>
            </w:r>
          </w:p>
        </w:tc>
        <w:tc>
          <w:tcPr>
            <w:tcW w:w="3527" w:type="dxa"/>
            <w:tcBorders>
              <w:top w:val="nil"/>
              <w:left w:val="nil"/>
              <w:bottom w:val="single" w:color="auto" w:sz="4" w:space="0"/>
              <w:right w:val="single" w:color="auto" w:sz="4" w:space="0"/>
            </w:tcBorders>
            <w:shd w:val="clear" w:color="auto" w:fill="auto"/>
            <w:vAlign w:val="center"/>
          </w:tcPr>
          <w:p>
            <w:pPr>
              <w:widowControl/>
              <w:jc w:val="left"/>
              <w:textAlignment w:val="center"/>
              <w:rPr>
                <w:rFonts w:ascii="Times New Roman" w:hAnsi="Times New Roman" w:eastAsia="仿宋_GB2312" w:cs="Times New Roman"/>
                <w:kern w:val="0"/>
                <w:szCs w:val="21"/>
              </w:rPr>
            </w:pPr>
            <w:r>
              <w:rPr>
                <w:rFonts w:hint="eastAsia" w:ascii="宋体" w:hAnsi="宋体" w:eastAsia="宋体" w:cs="宋体"/>
                <w:color w:val="000000"/>
                <w:kern w:val="0"/>
                <w:sz w:val="22"/>
              </w:rPr>
              <w:t xml:space="preserve">  初中教育</w:t>
            </w:r>
          </w:p>
        </w:tc>
        <w:tc>
          <w:tcPr>
            <w:tcW w:w="30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xml:space="preserve">                   1,422</w:t>
            </w:r>
            <w:r>
              <w:rPr>
                <w:rFonts w:hint="eastAsia" w:ascii="Times New Roman" w:hAnsi="Times New Roman" w:eastAsia="仿宋_GB2312" w:cs="Times New Roman"/>
                <w:kern w:val="0"/>
                <w:szCs w:val="21"/>
              </w:rPr>
              <w:t>.</w:t>
            </w:r>
            <w:r>
              <w:rPr>
                <w:rFonts w:ascii="Times New Roman" w:hAnsi="Times New Roman" w:eastAsia="仿宋_GB2312" w:cs="Times New Roman"/>
                <w:kern w:val="0"/>
                <w:szCs w:val="21"/>
              </w:rPr>
              <w:t>80</w:t>
            </w:r>
          </w:p>
        </w:tc>
        <w:tc>
          <w:tcPr>
            <w:tcW w:w="3492" w:type="dxa"/>
            <w:tcBorders>
              <w:top w:val="nil"/>
              <w:left w:val="nil"/>
              <w:bottom w:val="single" w:color="auto" w:sz="4" w:space="0"/>
              <w:right w:val="single" w:color="auto" w:sz="4" w:space="0"/>
            </w:tcBorders>
            <w:shd w:val="clear" w:color="auto" w:fill="auto"/>
            <w:vAlign w:val="center"/>
          </w:tcPr>
          <w:p>
            <w:pPr>
              <w:widowControl/>
              <w:textAlignment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xml:space="preserve">                        1,422</w:t>
            </w:r>
            <w:r>
              <w:rPr>
                <w:rFonts w:hint="eastAsia" w:ascii="Times New Roman" w:hAnsi="Times New Roman" w:eastAsia="仿宋_GB2312" w:cs="Times New Roman"/>
                <w:kern w:val="0"/>
                <w:szCs w:val="21"/>
              </w:rPr>
              <w:t>.</w:t>
            </w:r>
            <w:r>
              <w:rPr>
                <w:rFonts w:ascii="Times New Roman" w:hAnsi="Times New Roman" w:eastAsia="仿宋_GB2312" w:cs="Times New Roman"/>
                <w:kern w:val="0"/>
                <w:szCs w:val="21"/>
              </w:rPr>
              <w:t>80</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textAlignment w:val="center"/>
              <w:rPr>
                <w:rFonts w:ascii="Times New Roman" w:hAnsi="Times New Roman" w:eastAsia="仿宋_GB2312" w:cs="Times New Roman"/>
                <w:kern w:val="0"/>
                <w:szCs w:val="21"/>
              </w:rPr>
            </w:pPr>
            <w:r>
              <w:rPr>
                <w:rFonts w:hint="eastAsia" w:ascii="宋体" w:hAnsi="宋体" w:eastAsia="宋体" w:cs="宋体"/>
                <w:color w:val="000000"/>
                <w:kern w:val="0"/>
                <w:sz w:val="22"/>
              </w:rPr>
              <w:t>2050204</w:t>
            </w:r>
          </w:p>
        </w:tc>
        <w:tc>
          <w:tcPr>
            <w:tcW w:w="3527" w:type="dxa"/>
            <w:tcBorders>
              <w:top w:val="nil"/>
              <w:left w:val="nil"/>
              <w:bottom w:val="single" w:color="auto" w:sz="4" w:space="0"/>
              <w:right w:val="single" w:color="auto" w:sz="4" w:space="0"/>
            </w:tcBorders>
            <w:shd w:val="clear" w:color="auto" w:fill="auto"/>
            <w:vAlign w:val="center"/>
          </w:tcPr>
          <w:p>
            <w:pPr>
              <w:widowControl/>
              <w:jc w:val="left"/>
              <w:textAlignment w:val="center"/>
              <w:rPr>
                <w:rFonts w:ascii="Times New Roman" w:hAnsi="Times New Roman" w:eastAsia="仿宋_GB2312" w:cs="Times New Roman"/>
                <w:kern w:val="0"/>
                <w:szCs w:val="21"/>
              </w:rPr>
            </w:pPr>
            <w:r>
              <w:rPr>
                <w:rFonts w:hint="eastAsia" w:ascii="宋体" w:hAnsi="宋体" w:eastAsia="宋体" w:cs="宋体"/>
                <w:color w:val="000000"/>
                <w:kern w:val="0"/>
                <w:sz w:val="22"/>
              </w:rPr>
              <w:t xml:space="preserve">  高中教育</w:t>
            </w:r>
          </w:p>
        </w:tc>
        <w:tc>
          <w:tcPr>
            <w:tcW w:w="3000" w:type="dxa"/>
            <w:tcBorders>
              <w:top w:val="nil"/>
              <w:left w:val="nil"/>
              <w:bottom w:val="single" w:color="auto" w:sz="4" w:space="0"/>
              <w:right w:val="single" w:color="auto" w:sz="4" w:space="0"/>
            </w:tcBorders>
            <w:shd w:val="clear" w:color="auto" w:fill="auto"/>
            <w:vAlign w:val="center"/>
          </w:tcPr>
          <w:p>
            <w:pPr>
              <w:widowControl/>
              <w:jc w:val="right"/>
              <w:textAlignment w:val="center"/>
              <w:rPr>
                <w:rFonts w:ascii="Times New Roman" w:hAnsi="Times New Roman" w:eastAsia="宋体" w:cs="Times New Roman"/>
                <w:kern w:val="0"/>
                <w:szCs w:val="21"/>
              </w:rPr>
            </w:pPr>
            <w:r>
              <w:rPr>
                <w:rFonts w:ascii="宋体" w:hAnsi="宋体" w:eastAsia="宋体" w:cs="宋体"/>
                <w:color w:val="000000"/>
                <w:kern w:val="0"/>
                <w:sz w:val="22"/>
              </w:rPr>
              <w:t>1,236</w:t>
            </w:r>
            <w:r>
              <w:rPr>
                <w:rFonts w:hint="eastAsia" w:ascii="宋体" w:hAnsi="宋体" w:eastAsia="宋体" w:cs="宋体"/>
                <w:color w:val="000000"/>
                <w:kern w:val="0"/>
                <w:sz w:val="22"/>
              </w:rPr>
              <w:t>.</w:t>
            </w:r>
            <w:r>
              <w:rPr>
                <w:rFonts w:ascii="宋体" w:hAnsi="宋体" w:eastAsia="宋体" w:cs="宋体"/>
                <w:color w:val="000000"/>
                <w:kern w:val="0"/>
                <w:sz w:val="22"/>
              </w:rPr>
              <w:t>19</w:t>
            </w:r>
          </w:p>
        </w:tc>
        <w:tc>
          <w:tcPr>
            <w:tcW w:w="3492" w:type="dxa"/>
            <w:tcBorders>
              <w:top w:val="nil"/>
              <w:left w:val="nil"/>
              <w:bottom w:val="single" w:color="auto" w:sz="4" w:space="0"/>
              <w:right w:val="single" w:color="auto" w:sz="4" w:space="0"/>
            </w:tcBorders>
            <w:shd w:val="clear" w:color="auto" w:fill="auto"/>
            <w:vAlign w:val="center"/>
          </w:tcPr>
          <w:p>
            <w:pPr>
              <w:widowControl/>
              <w:jc w:val="right"/>
              <w:textAlignment w:val="center"/>
              <w:rPr>
                <w:rFonts w:ascii="Times New Roman" w:hAnsi="Times New Roman" w:eastAsia="宋体" w:cs="Times New Roman"/>
                <w:kern w:val="0"/>
                <w:szCs w:val="21"/>
              </w:rPr>
            </w:pPr>
            <w:r>
              <w:rPr>
                <w:rFonts w:ascii="宋体" w:hAnsi="宋体" w:eastAsia="宋体" w:cs="宋体"/>
                <w:color w:val="000000"/>
                <w:kern w:val="0"/>
                <w:sz w:val="22"/>
              </w:rPr>
              <w:t>1,236</w:t>
            </w:r>
            <w:r>
              <w:rPr>
                <w:rFonts w:hint="eastAsia" w:ascii="宋体" w:hAnsi="宋体" w:eastAsia="宋体" w:cs="宋体"/>
                <w:color w:val="000000"/>
                <w:kern w:val="0"/>
                <w:sz w:val="22"/>
              </w:rPr>
              <w:t>.</w:t>
            </w:r>
            <w:r>
              <w:rPr>
                <w:rFonts w:ascii="宋体" w:hAnsi="宋体" w:eastAsia="宋体" w:cs="宋体"/>
                <w:color w:val="000000"/>
                <w:kern w:val="0"/>
                <w:sz w:val="22"/>
              </w:rPr>
              <w:t>19</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6"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6"/>
        <w:tblW w:w="0" w:type="auto"/>
        <w:tblInd w:w="0" w:type="dxa"/>
        <w:tblLayout w:type="autofit"/>
        <w:tblCellMar>
          <w:top w:w="0" w:type="dxa"/>
          <w:left w:w="108" w:type="dxa"/>
          <w:bottom w:w="0" w:type="dxa"/>
          <w:right w:w="108" w:type="dxa"/>
        </w:tblCellMar>
      </w:tblPr>
      <w:tblGrid>
        <w:gridCol w:w="1338"/>
        <w:gridCol w:w="3366"/>
        <w:gridCol w:w="1096"/>
        <w:gridCol w:w="886"/>
        <w:gridCol w:w="2316"/>
        <w:gridCol w:w="766"/>
        <w:gridCol w:w="886"/>
        <w:gridCol w:w="4206"/>
        <w:gridCol w:w="754"/>
      </w:tblGrid>
      <w:tr>
        <w:tblPrEx>
          <w:tblCellMar>
            <w:top w:w="0" w:type="dxa"/>
            <w:left w:w="108" w:type="dxa"/>
            <w:bottom w:w="0" w:type="dxa"/>
            <w:right w:w="108" w:type="dxa"/>
          </w:tblCellMar>
        </w:tblPrEx>
        <w:trPr>
          <w:trHeight w:val="113" w:hRule="atLeast"/>
        </w:trPr>
        <w:tc>
          <w:tcPr>
            <w:tcW w:w="0" w:type="auto"/>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33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6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2,611.46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76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28.91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854.77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76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1.30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14.67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76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53.42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76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09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76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425.18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76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467.21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76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84.24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76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188.21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76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09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76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7.47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96.64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76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427.13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76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09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76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1.20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09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76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18.62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76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6.60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76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0.47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76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09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76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12.02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76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09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76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09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76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9.98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09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76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09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76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5.50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09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76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3.34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09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76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09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76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0.13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09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76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766"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0" w:type="auto"/>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2,630.08</w:t>
            </w:r>
          </w:p>
        </w:tc>
        <w:tc>
          <w:tcPr>
            <w:tcW w:w="0" w:type="auto"/>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28.91</w:t>
            </w:r>
          </w:p>
        </w:tc>
      </w:tr>
      <w:tr>
        <w:tblPrEx>
          <w:tblCellMar>
            <w:top w:w="0" w:type="dxa"/>
            <w:left w:w="108" w:type="dxa"/>
            <w:bottom w:w="0" w:type="dxa"/>
            <w:right w:w="108" w:type="dxa"/>
          </w:tblCellMar>
        </w:tblPrEx>
        <w:trPr>
          <w:trHeight w:val="284" w:hRule="exact"/>
        </w:trPr>
        <w:tc>
          <w:tcPr>
            <w:tcW w:w="0" w:type="auto"/>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351"/>
        <w:gridCol w:w="1089"/>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351"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08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351"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08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351"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089"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351"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本表无数据</w:t>
            </w:r>
          </w:p>
        </w:tc>
        <w:tc>
          <w:tcPr>
            <w:tcW w:w="1089"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nil"/>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本表无数据</w:t>
            </w: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本表无数据</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1"/>
        <w:rPr>
          <w:sz w:val="72"/>
          <w:szCs w:val="72"/>
        </w:rPr>
        <w:sectPr>
          <w:pgSz w:w="16838" w:h="11906" w:orient="landscape"/>
          <w:pgMar w:top="720" w:right="720" w:bottom="720" w:left="720" w:header="851" w:footer="992" w:gutter="0"/>
          <w:cols w:space="425" w:num="1"/>
          <w:docGrid w:type="lines" w:linePitch="312" w:charSpace="0"/>
        </w:sectPr>
      </w:pPr>
    </w:p>
    <w:p>
      <w:pPr>
        <w:pStyle w:val="11"/>
        <w:rPr>
          <w:sz w:val="72"/>
          <w:szCs w:val="72"/>
        </w:rPr>
      </w:pPr>
    </w:p>
    <w:p>
      <w:pPr>
        <w:pStyle w:val="11"/>
        <w:rPr>
          <w:sz w:val="72"/>
          <w:szCs w:val="72"/>
        </w:rPr>
      </w:pPr>
    </w:p>
    <w:p>
      <w:pPr>
        <w:pStyle w:val="11"/>
        <w:rPr>
          <w:sz w:val="72"/>
          <w:szCs w:val="72"/>
        </w:rPr>
      </w:pPr>
    </w:p>
    <w:p>
      <w:pPr>
        <w:pStyle w:val="11"/>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第三部分</w:t>
      </w:r>
    </w:p>
    <w:p>
      <w:pPr>
        <w:pStyle w:val="11"/>
        <w:jc w:val="center"/>
        <w:rPr>
          <w:sz w:val="70"/>
          <w:szCs w:val="70"/>
        </w:rPr>
      </w:pPr>
    </w:p>
    <w:p>
      <w:pPr>
        <w:pStyle w:val="11"/>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11"/>
        <w:rPr>
          <w:rFonts w:asciiTheme="minorEastAsia" w:hAnsiTheme="minorEastAsia" w:eastAsiaTheme="minorEastAsia"/>
          <w:sz w:val="32"/>
          <w:szCs w:val="32"/>
        </w:rPr>
      </w:pPr>
    </w:p>
    <w:p>
      <w:pPr>
        <w:pStyle w:val="11"/>
        <w:rPr>
          <w:rFonts w:hAnsi="黑体"/>
          <w:b/>
          <w:sz w:val="32"/>
          <w:szCs w:val="32"/>
        </w:rPr>
      </w:pPr>
      <w:r>
        <w:rPr>
          <w:rFonts w:hint="eastAsia" w:hAnsi="黑体"/>
          <w:b/>
          <w:sz w:val="32"/>
          <w:szCs w:val="32"/>
        </w:rPr>
        <w:t>一、收入支出决算总体情况说明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2021年度收、支总计</w:t>
      </w:r>
      <w:r>
        <w:rPr>
          <w:rFonts w:asciiTheme="minorEastAsia" w:hAnsiTheme="minorEastAsia" w:eastAsiaTheme="minorEastAsia"/>
          <w:sz w:val="32"/>
          <w:szCs w:val="32"/>
        </w:rPr>
        <w:t>11092</w:t>
      </w:r>
      <w:r>
        <w:rPr>
          <w:rFonts w:hint="eastAsia" w:asciiTheme="minorEastAsia" w:hAnsiTheme="minorEastAsia" w:eastAsiaTheme="minorEastAsia"/>
          <w:sz w:val="32"/>
          <w:szCs w:val="32"/>
        </w:rPr>
        <w:t>.</w:t>
      </w:r>
      <w:r>
        <w:rPr>
          <w:rFonts w:asciiTheme="minorEastAsia" w:hAnsiTheme="minorEastAsia" w:eastAsiaTheme="minorEastAsia"/>
          <w:sz w:val="32"/>
          <w:szCs w:val="32"/>
        </w:rPr>
        <w:t>75</w:t>
      </w:r>
      <w:r>
        <w:rPr>
          <w:rFonts w:hint="eastAsia" w:asciiTheme="minorEastAsia" w:hAnsiTheme="minorEastAsia" w:eastAsiaTheme="minorEastAsia"/>
          <w:sz w:val="32"/>
          <w:szCs w:val="32"/>
        </w:rPr>
        <w:t>万元。与上年相比，增加</w:t>
      </w:r>
      <w:r>
        <w:rPr>
          <w:rFonts w:asciiTheme="minorEastAsia" w:hAnsiTheme="minorEastAsia" w:eastAsiaTheme="minorEastAsia"/>
          <w:sz w:val="32"/>
          <w:szCs w:val="32"/>
        </w:rPr>
        <w:t>363</w:t>
      </w:r>
      <w:r>
        <w:rPr>
          <w:rFonts w:hint="eastAsia" w:asciiTheme="minorEastAsia" w:hAnsiTheme="minorEastAsia" w:eastAsiaTheme="minorEastAsia"/>
          <w:sz w:val="32"/>
          <w:szCs w:val="32"/>
        </w:rPr>
        <w:t>.</w:t>
      </w:r>
      <w:r>
        <w:rPr>
          <w:rFonts w:asciiTheme="minorEastAsia" w:hAnsiTheme="minorEastAsia" w:eastAsiaTheme="minorEastAsia"/>
          <w:sz w:val="32"/>
          <w:szCs w:val="32"/>
        </w:rPr>
        <w:t>51</w:t>
      </w:r>
      <w:r>
        <w:rPr>
          <w:rFonts w:hint="eastAsia" w:asciiTheme="minorEastAsia" w:hAnsiTheme="minorEastAsia" w:eastAsiaTheme="minorEastAsia"/>
          <w:sz w:val="32"/>
          <w:szCs w:val="32"/>
        </w:rPr>
        <w:t>万元，增加</w:t>
      </w:r>
      <w:r>
        <w:rPr>
          <w:rFonts w:asciiTheme="minorEastAsia" w:hAnsiTheme="minorEastAsia" w:eastAsiaTheme="minorEastAsia"/>
          <w:sz w:val="32"/>
          <w:szCs w:val="32"/>
        </w:rPr>
        <w:t>3</w:t>
      </w:r>
      <w:r>
        <w:rPr>
          <w:rFonts w:hint="eastAsia" w:asciiTheme="minorEastAsia" w:hAnsiTheme="minorEastAsia" w:eastAsiaTheme="minorEastAsia"/>
          <w:sz w:val="32"/>
          <w:szCs w:val="32"/>
        </w:rPr>
        <w:t>.</w:t>
      </w:r>
      <w:r>
        <w:rPr>
          <w:rFonts w:asciiTheme="minorEastAsia" w:hAnsiTheme="minorEastAsia" w:eastAsiaTheme="minorEastAsia"/>
          <w:sz w:val="32"/>
          <w:szCs w:val="32"/>
        </w:rPr>
        <w:t>4</w:t>
      </w:r>
      <w:r>
        <w:rPr>
          <w:rFonts w:hint="eastAsia" w:asciiTheme="minorEastAsia" w:hAnsiTheme="minorEastAsia" w:eastAsiaTheme="minorEastAsia"/>
          <w:sz w:val="32"/>
          <w:szCs w:val="32"/>
        </w:rPr>
        <w:t>%，主要是因为学费收入增加以及经费安排增加</w:t>
      </w:r>
      <w:r>
        <w:rPr>
          <w:rFonts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二、收入决算情况说明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2021年度收入合计</w:t>
      </w:r>
      <w:r>
        <w:rPr>
          <w:rFonts w:asciiTheme="minorEastAsia" w:hAnsiTheme="minorEastAsia" w:eastAsiaTheme="minorEastAsia"/>
          <w:sz w:val="32"/>
          <w:szCs w:val="32"/>
        </w:rPr>
        <w:t>5</w:t>
      </w:r>
      <w:r>
        <w:rPr>
          <w:rFonts w:hint="eastAsia" w:asciiTheme="minorEastAsia" w:hAnsiTheme="minorEastAsia" w:eastAsiaTheme="minorEastAsia"/>
          <w:sz w:val="32"/>
          <w:szCs w:val="32"/>
        </w:rPr>
        <w:t>587.18万元，其中：财政拨款收入2658.99万元，占</w:t>
      </w:r>
      <w:r>
        <w:rPr>
          <w:rFonts w:asciiTheme="minorEastAsia" w:hAnsiTheme="minorEastAsia" w:eastAsiaTheme="minorEastAsia"/>
          <w:sz w:val="32"/>
          <w:szCs w:val="32"/>
        </w:rPr>
        <w:t>47</w:t>
      </w:r>
      <w:r>
        <w:rPr>
          <w:rFonts w:hint="eastAsia" w:asciiTheme="minorEastAsia" w:hAnsiTheme="minorEastAsia" w:eastAsiaTheme="minorEastAsia"/>
          <w:sz w:val="32"/>
          <w:szCs w:val="32"/>
        </w:rPr>
        <w:t>.</w:t>
      </w:r>
      <w:r>
        <w:rPr>
          <w:rFonts w:asciiTheme="minorEastAsia" w:hAnsiTheme="minorEastAsia" w:eastAsiaTheme="minorEastAsia"/>
          <w:sz w:val="32"/>
          <w:szCs w:val="32"/>
        </w:rPr>
        <w:t>6</w:t>
      </w:r>
      <w:r>
        <w:rPr>
          <w:rFonts w:hint="eastAsia" w:asciiTheme="minorEastAsia" w:hAnsiTheme="minorEastAsia" w:eastAsiaTheme="minorEastAsia"/>
          <w:sz w:val="32"/>
          <w:szCs w:val="32"/>
        </w:rPr>
        <w:t>%；事业收入2928.19万元，占</w:t>
      </w:r>
      <w:r>
        <w:rPr>
          <w:rFonts w:asciiTheme="minorEastAsia" w:hAnsiTheme="minorEastAsia" w:eastAsiaTheme="minorEastAsia"/>
          <w:sz w:val="32"/>
          <w:szCs w:val="32"/>
        </w:rPr>
        <w:t>52</w:t>
      </w:r>
      <w:r>
        <w:rPr>
          <w:rFonts w:hint="eastAsia" w:asciiTheme="minorEastAsia" w:hAnsiTheme="minorEastAsia" w:eastAsiaTheme="minorEastAsia"/>
          <w:sz w:val="32"/>
          <w:szCs w:val="32"/>
        </w:rPr>
        <w:t>.</w:t>
      </w:r>
      <w:r>
        <w:rPr>
          <w:rFonts w:asciiTheme="minorEastAsia" w:hAnsiTheme="minorEastAsia" w:eastAsiaTheme="minorEastAsia"/>
          <w:sz w:val="32"/>
          <w:szCs w:val="32"/>
        </w:rPr>
        <w:t>4</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三、支出决算情况说明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2021年度支出合计5505.57万元，其中：基本支出5505.57万元，占100%；。</w:t>
      </w:r>
    </w:p>
    <w:p>
      <w:pPr>
        <w:pStyle w:val="11"/>
        <w:rPr>
          <w:rFonts w:hAnsi="黑体"/>
          <w:b/>
          <w:sz w:val="32"/>
          <w:szCs w:val="32"/>
        </w:rPr>
      </w:pPr>
      <w:r>
        <w:rPr>
          <w:rFonts w:hint="eastAsia" w:hAnsi="黑体"/>
          <w:b/>
          <w:sz w:val="32"/>
          <w:szCs w:val="32"/>
        </w:rPr>
        <w:t>四、财政拨款收入支出决算总体情况说明</w:t>
      </w:r>
    </w:p>
    <w:p>
      <w:pPr>
        <w:pStyle w:val="11"/>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2021年度财政拨款收、支总计</w:t>
      </w:r>
      <w:r>
        <w:rPr>
          <w:rFonts w:asciiTheme="minorEastAsia" w:hAnsiTheme="minorEastAsia" w:eastAsiaTheme="minorEastAsia"/>
          <w:sz w:val="32"/>
          <w:szCs w:val="32"/>
        </w:rPr>
        <w:t>5317</w:t>
      </w:r>
      <w:r>
        <w:rPr>
          <w:rFonts w:hint="eastAsia" w:asciiTheme="minorEastAsia" w:hAnsiTheme="minorEastAsia" w:eastAsiaTheme="minorEastAsia"/>
          <w:sz w:val="32"/>
          <w:szCs w:val="32"/>
        </w:rPr>
        <w:t>.</w:t>
      </w:r>
      <w:r>
        <w:rPr>
          <w:rFonts w:asciiTheme="minorEastAsia" w:hAnsiTheme="minorEastAsia" w:eastAsiaTheme="minorEastAsia"/>
          <w:sz w:val="32"/>
          <w:szCs w:val="32"/>
        </w:rPr>
        <w:t>98</w:t>
      </w:r>
      <w:r>
        <w:rPr>
          <w:rFonts w:hint="eastAsia" w:asciiTheme="minorEastAsia" w:hAnsiTheme="minorEastAsia" w:eastAsiaTheme="minorEastAsia"/>
          <w:sz w:val="32"/>
          <w:szCs w:val="32"/>
        </w:rPr>
        <w:t>万元，与上年相比，增加</w:t>
      </w:r>
      <w:r>
        <w:rPr>
          <w:rFonts w:asciiTheme="minorEastAsia" w:hAnsiTheme="minorEastAsia" w:eastAsiaTheme="minorEastAsia"/>
          <w:sz w:val="32"/>
          <w:szCs w:val="32"/>
        </w:rPr>
        <w:t>307</w:t>
      </w:r>
      <w:r>
        <w:rPr>
          <w:rFonts w:hint="eastAsia" w:asciiTheme="minorEastAsia" w:hAnsiTheme="minorEastAsia" w:eastAsiaTheme="minorEastAsia"/>
          <w:sz w:val="32"/>
          <w:szCs w:val="32"/>
        </w:rPr>
        <w:t>.</w:t>
      </w:r>
      <w:r>
        <w:rPr>
          <w:rFonts w:asciiTheme="minorEastAsia" w:hAnsiTheme="minorEastAsia" w:eastAsiaTheme="minorEastAsia"/>
          <w:sz w:val="32"/>
          <w:szCs w:val="32"/>
        </w:rPr>
        <w:t>69</w:t>
      </w:r>
      <w:r>
        <w:rPr>
          <w:rFonts w:hint="eastAsia" w:asciiTheme="minorEastAsia" w:hAnsiTheme="minorEastAsia" w:eastAsiaTheme="minorEastAsia"/>
          <w:sz w:val="32"/>
          <w:szCs w:val="32"/>
        </w:rPr>
        <w:t>万元</w:t>
      </w:r>
      <w:r>
        <w:rPr>
          <w:rFonts w:asciiTheme="minorEastAsia" w:hAnsiTheme="minorEastAsia" w:eastAsiaTheme="minorEastAsia"/>
          <w:sz w:val="32"/>
          <w:szCs w:val="32"/>
        </w:rPr>
        <w:t>，</w:t>
      </w:r>
      <w:r>
        <w:rPr>
          <w:rFonts w:hint="eastAsia" w:asciiTheme="minorEastAsia" w:hAnsiTheme="minorEastAsia" w:eastAsiaTheme="minorEastAsia"/>
          <w:sz w:val="32"/>
          <w:szCs w:val="32"/>
        </w:rPr>
        <w:t>增加</w:t>
      </w:r>
      <w:r>
        <w:rPr>
          <w:rFonts w:asciiTheme="minorEastAsia" w:hAnsiTheme="minorEastAsia" w:eastAsiaTheme="minorEastAsia"/>
          <w:sz w:val="32"/>
          <w:szCs w:val="32"/>
        </w:rPr>
        <w:t>5</w:t>
      </w:r>
      <w:r>
        <w:rPr>
          <w:rFonts w:hint="eastAsia" w:asciiTheme="minorEastAsia" w:hAnsiTheme="minorEastAsia" w:eastAsiaTheme="minorEastAsia"/>
          <w:sz w:val="32"/>
          <w:szCs w:val="32"/>
        </w:rPr>
        <w:t>.</w:t>
      </w:r>
      <w:r>
        <w:rPr>
          <w:rFonts w:asciiTheme="minorEastAsia" w:hAnsiTheme="minorEastAsia" w:eastAsiaTheme="minorEastAsia"/>
          <w:sz w:val="32"/>
          <w:szCs w:val="32"/>
        </w:rPr>
        <w:t>5</w:t>
      </w:r>
      <w:r>
        <w:rPr>
          <w:rFonts w:hint="eastAsia" w:asciiTheme="minorEastAsia" w:hAnsiTheme="minorEastAsia" w:eastAsiaTheme="minorEastAsia"/>
          <w:sz w:val="32"/>
          <w:szCs w:val="32"/>
        </w:rPr>
        <w:t>%，主要是财政拨款增加</w:t>
      </w:r>
      <w:r>
        <w:rPr>
          <w:rFonts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五、一般公共预算财政拨款支出决算情况说明</w:t>
      </w:r>
    </w:p>
    <w:p>
      <w:pPr>
        <w:pStyle w:val="11"/>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2021年度财政拨款支出2658.99万元，占本年支出合计的</w:t>
      </w:r>
      <w:r>
        <w:rPr>
          <w:rFonts w:asciiTheme="minorEastAsia" w:hAnsiTheme="minorEastAsia" w:eastAsiaTheme="minorEastAsia"/>
          <w:sz w:val="32"/>
          <w:szCs w:val="32"/>
        </w:rPr>
        <w:t>48</w:t>
      </w:r>
      <w:r>
        <w:rPr>
          <w:rFonts w:hint="eastAsia" w:asciiTheme="minorEastAsia" w:hAnsiTheme="minorEastAsia" w:eastAsiaTheme="minorEastAsia"/>
          <w:sz w:val="32"/>
          <w:szCs w:val="32"/>
        </w:rPr>
        <w:t>.</w:t>
      </w:r>
      <w:r>
        <w:rPr>
          <w:rFonts w:asciiTheme="minorEastAsia" w:hAnsiTheme="minorEastAsia" w:eastAsiaTheme="minorEastAsia"/>
          <w:sz w:val="32"/>
          <w:szCs w:val="32"/>
        </w:rPr>
        <w:t>3</w:t>
      </w:r>
      <w:r>
        <w:rPr>
          <w:rFonts w:hint="eastAsia" w:asciiTheme="minorEastAsia" w:hAnsiTheme="minorEastAsia" w:eastAsiaTheme="minorEastAsia"/>
          <w:sz w:val="32"/>
          <w:szCs w:val="32"/>
        </w:rPr>
        <w:t>%，与上年相比，财政拨款支出减少</w:t>
      </w:r>
      <w:r>
        <w:rPr>
          <w:rFonts w:asciiTheme="minorEastAsia" w:hAnsiTheme="minorEastAsia" w:eastAsiaTheme="minorEastAsia"/>
          <w:sz w:val="32"/>
          <w:szCs w:val="32"/>
        </w:rPr>
        <w:t>388</w:t>
      </w:r>
      <w:r>
        <w:rPr>
          <w:rFonts w:hint="eastAsia" w:asciiTheme="minorEastAsia" w:hAnsiTheme="minorEastAsia" w:eastAsiaTheme="minorEastAsia"/>
          <w:sz w:val="32"/>
          <w:szCs w:val="32"/>
        </w:rPr>
        <w:t>.</w:t>
      </w:r>
      <w:r>
        <w:rPr>
          <w:rFonts w:asciiTheme="minorEastAsia" w:hAnsiTheme="minorEastAsia" w:eastAsiaTheme="minorEastAsia"/>
          <w:sz w:val="32"/>
          <w:szCs w:val="32"/>
        </w:rPr>
        <w:t>84</w:t>
      </w:r>
      <w:r>
        <w:rPr>
          <w:rFonts w:hint="eastAsia" w:asciiTheme="minorEastAsia" w:hAnsiTheme="minorEastAsia" w:eastAsiaTheme="minorEastAsia"/>
          <w:sz w:val="32"/>
          <w:szCs w:val="32"/>
        </w:rPr>
        <w:t>万元，减少</w:t>
      </w:r>
      <w:r>
        <w:rPr>
          <w:rFonts w:asciiTheme="minorEastAsia" w:hAnsiTheme="minorEastAsia" w:eastAsiaTheme="minorEastAsia"/>
          <w:sz w:val="32"/>
          <w:szCs w:val="32"/>
        </w:rPr>
        <w:t>12</w:t>
      </w:r>
      <w:r>
        <w:rPr>
          <w:rFonts w:hint="eastAsia" w:asciiTheme="minorEastAsia" w:hAnsiTheme="minorEastAsia" w:eastAsiaTheme="minorEastAsia"/>
          <w:sz w:val="32"/>
          <w:szCs w:val="32"/>
        </w:rPr>
        <w:t>.</w:t>
      </w:r>
      <w:r>
        <w:rPr>
          <w:rFonts w:asciiTheme="minorEastAsia" w:hAnsiTheme="minorEastAsia" w:eastAsiaTheme="minorEastAsia"/>
          <w:sz w:val="32"/>
          <w:szCs w:val="32"/>
        </w:rPr>
        <w:t>76</w:t>
      </w:r>
      <w:r>
        <w:rPr>
          <w:rFonts w:hint="eastAsia" w:asciiTheme="minorEastAsia" w:hAnsiTheme="minorEastAsia" w:eastAsiaTheme="minorEastAsia"/>
          <w:sz w:val="32"/>
          <w:szCs w:val="32"/>
        </w:rPr>
        <w:t>%，主要是因为财政减少拨款</w:t>
      </w:r>
      <w:r>
        <w:rPr>
          <w:rFonts w:asciiTheme="minorEastAsia" w:hAnsiTheme="minorEastAsia" w:eastAsiaTheme="minorEastAsia"/>
          <w:sz w:val="32"/>
          <w:szCs w:val="32"/>
        </w:rPr>
        <w:t>。</w:t>
      </w:r>
    </w:p>
    <w:p>
      <w:pPr>
        <w:pStyle w:val="11"/>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2021年度财政拨款支出2658.99万元，主要用于以下方面：教育（类）支出2658.99万元，占100%。</w:t>
      </w:r>
    </w:p>
    <w:p>
      <w:pPr>
        <w:pStyle w:val="11"/>
        <w:numPr>
          <w:ilvl w:val="0"/>
          <w:numId w:val="2"/>
        </w:numPr>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财政拨款支出决算具体情况</w:t>
      </w:r>
    </w:p>
    <w:p>
      <w:pPr>
        <w:pStyle w:val="11"/>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2021年度财政拨款支出教育支出（类）普通教育（款）年初预算数为2905.67万元，支出决算数为2658.99万元，完成年初预算的</w:t>
      </w:r>
      <w:r>
        <w:rPr>
          <w:rFonts w:hint="eastAsia" w:asciiTheme="minorEastAsia" w:hAnsiTheme="minorEastAsia" w:eastAsiaTheme="minorEastAsia"/>
          <w:color w:val="auto"/>
          <w:sz w:val="32"/>
          <w:szCs w:val="32"/>
        </w:rPr>
        <w:t>91.51%</w:t>
      </w:r>
      <w:r>
        <w:rPr>
          <w:rFonts w:hint="eastAsia" w:asciiTheme="minorEastAsia" w:hAnsiTheme="minorEastAsia" w:eastAsiaTheme="minorEastAsia"/>
          <w:sz w:val="32"/>
          <w:szCs w:val="32"/>
        </w:rPr>
        <w:t>。其中：</w:t>
      </w:r>
    </w:p>
    <w:p>
      <w:pPr>
        <w:pStyle w:val="11"/>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（一）教育支出（类）普通教育（款）初中教育（项）年初预算为1422.8万元，支出决算为1422.8万元，完成年初预算的</w:t>
      </w:r>
      <w:r>
        <w:rPr>
          <w:rFonts w:hint="eastAsia" w:asciiTheme="minorEastAsia" w:hAnsiTheme="minorEastAsia" w:eastAsiaTheme="minorEastAsia"/>
          <w:color w:val="auto"/>
          <w:sz w:val="32"/>
          <w:szCs w:val="32"/>
        </w:rPr>
        <w:t>100%</w:t>
      </w:r>
      <w:r>
        <w:rPr>
          <w:rFonts w:hint="eastAsia" w:asciiTheme="minorEastAsia" w:hAnsiTheme="minorEastAsia" w:eastAsiaTheme="minorEastAsia"/>
          <w:sz w:val="32"/>
          <w:szCs w:val="32"/>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（二）教育支出（类）普通教育（款）高中教育（项）年初预算为1482.87万元，支出决算为1236.19万元，完成年初预算的</w:t>
      </w:r>
      <w:r>
        <w:rPr>
          <w:rFonts w:hint="eastAsia" w:asciiTheme="minorEastAsia" w:hAnsiTheme="minorEastAsia" w:eastAsiaTheme="minorEastAsia"/>
          <w:color w:val="auto"/>
          <w:sz w:val="32"/>
          <w:szCs w:val="32"/>
        </w:rPr>
        <w:t>83.36%</w:t>
      </w:r>
      <w:r>
        <w:rPr>
          <w:rFonts w:hint="eastAsia" w:asciiTheme="minorEastAsia" w:hAnsiTheme="minorEastAsia" w:eastAsiaTheme="minorEastAsia"/>
          <w:sz w:val="32"/>
          <w:szCs w:val="32"/>
        </w:rPr>
        <w:t>，决算数小于年初预算数的主要原因是：单位节约开支，财政拨款支出减少。</w:t>
      </w:r>
    </w:p>
    <w:p>
      <w:pPr>
        <w:pStyle w:val="11"/>
        <w:rPr>
          <w:rFonts w:hAnsi="黑体"/>
          <w:b/>
          <w:sz w:val="32"/>
          <w:szCs w:val="32"/>
        </w:rPr>
      </w:pPr>
      <w:r>
        <w:rPr>
          <w:rFonts w:hint="eastAsia" w:hAnsi="黑体"/>
          <w:b/>
          <w:sz w:val="32"/>
          <w:szCs w:val="32"/>
        </w:rPr>
        <w:t>六、一般公共预算财政拨款基本支出决算情况说明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2021年度财政拨款基本支出2658.99万元，其中：人员经费2630.08万元，占基本支出的</w:t>
      </w:r>
      <w:r>
        <w:rPr>
          <w:rFonts w:asciiTheme="minorEastAsia" w:hAnsiTheme="minorEastAsia" w:eastAsiaTheme="minorEastAsia"/>
          <w:sz w:val="32"/>
          <w:szCs w:val="32"/>
        </w:rPr>
        <w:t>98</w:t>
      </w:r>
      <w:r>
        <w:rPr>
          <w:rFonts w:hint="eastAsia" w:asciiTheme="minorEastAsia" w:hAnsiTheme="minorEastAsia" w:eastAsiaTheme="minorEastAsia"/>
          <w:sz w:val="32"/>
          <w:szCs w:val="32"/>
        </w:rPr>
        <w:t>.</w:t>
      </w:r>
      <w:r>
        <w:rPr>
          <w:rFonts w:asciiTheme="minorEastAsia" w:hAnsiTheme="minorEastAsia" w:eastAsiaTheme="minorEastAsia"/>
          <w:sz w:val="32"/>
          <w:szCs w:val="32"/>
        </w:rPr>
        <w:t>9</w:t>
      </w:r>
      <w:r>
        <w:rPr>
          <w:rFonts w:hint="eastAsia" w:asciiTheme="minorEastAsia" w:hAnsiTheme="minorEastAsia" w:eastAsiaTheme="minorEastAsia"/>
          <w:sz w:val="32"/>
          <w:szCs w:val="32"/>
        </w:rPr>
        <w:t>%,主要包括基本工资、津贴补贴、奖金、绩效工资</w:t>
      </w:r>
      <w:r>
        <w:rPr>
          <w:rFonts w:asciiTheme="minorEastAsia" w:hAnsiTheme="minorEastAsia" w:eastAsiaTheme="minorEastAsia"/>
          <w:sz w:val="32"/>
          <w:szCs w:val="32"/>
        </w:rPr>
        <w:t>、</w:t>
      </w:r>
      <w:r>
        <w:rPr>
          <w:rFonts w:hint="eastAsia" w:asciiTheme="minorEastAsia" w:hAnsiTheme="minorEastAsia" w:eastAsiaTheme="minorEastAsia"/>
          <w:sz w:val="32"/>
          <w:szCs w:val="32"/>
        </w:rPr>
        <w:t>养老保险</w:t>
      </w:r>
      <w:r>
        <w:rPr>
          <w:rFonts w:asciiTheme="minorEastAsia" w:hAnsiTheme="minorEastAsia" w:eastAsiaTheme="minorEastAsia"/>
          <w:sz w:val="32"/>
          <w:szCs w:val="32"/>
        </w:rPr>
        <w:t>、</w:t>
      </w:r>
      <w:r>
        <w:rPr>
          <w:rFonts w:hint="eastAsia" w:asciiTheme="minorEastAsia" w:hAnsiTheme="minorEastAsia" w:eastAsiaTheme="minorEastAsia"/>
          <w:sz w:val="32"/>
          <w:szCs w:val="32"/>
        </w:rPr>
        <w:t>职业年金</w:t>
      </w:r>
      <w:r>
        <w:rPr>
          <w:rFonts w:asciiTheme="minorEastAsia" w:hAnsiTheme="minorEastAsia" w:eastAsiaTheme="minorEastAsia"/>
          <w:sz w:val="32"/>
          <w:szCs w:val="32"/>
        </w:rPr>
        <w:t>、</w:t>
      </w:r>
      <w:r>
        <w:rPr>
          <w:rFonts w:hint="eastAsia" w:asciiTheme="minorEastAsia" w:hAnsiTheme="minorEastAsia" w:eastAsiaTheme="minorEastAsia"/>
          <w:sz w:val="32"/>
          <w:szCs w:val="32"/>
        </w:rPr>
        <w:t>医保</w:t>
      </w:r>
      <w:r>
        <w:rPr>
          <w:rFonts w:asciiTheme="minorEastAsia" w:hAnsiTheme="minorEastAsia" w:eastAsiaTheme="minorEastAsia"/>
          <w:sz w:val="32"/>
          <w:szCs w:val="32"/>
        </w:rPr>
        <w:t>、</w:t>
      </w:r>
      <w:r>
        <w:rPr>
          <w:rFonts w:hint="eastAsia" w:asciiTheme="minorEastAsia" w:hAnsiTheme="minorEastAsia" w:eastAsiaTheme="minorEastAsia"/>
          <w:sz w:val="32"/>
          <w:szCs w:val="32"/>
        </w:rPr>
        <w:t>其他社保</w:t>
      </w:r>
      <w:r>
        <w:rPr>
          <w:rFonts w:asciiTheme="minorEastAsia" w:hAnsiTheme="minorEastAsia" w:eastAsiaTheme="minorEastAsia"/>
          <w:sz w:val="32"/>
          <w:szCs w:val="32"/>
        </w:rPr>
        <w:t>、</w:t>
      </w:r>
      <w:r>
        <w:rPr>
          <w:rFonts w:hint="eastAsia" w:asciiTheme="minorEastAsia" w:hAnsiTheme="minorEastAsia" w:eastAsiaTheme="minorEastAsia"/>
          <w:sz w:val="32"/>
          <w:szCs w:val="32"/>
        </w:rPr>
        <w:t>住房公积金</w:t>
      </w:r>
      <w:r>
        <w:rPr>
          <w:rFonts w:asciiTheme="minorEastAsia" w:hAnsiTheme="minorEastAsia" w:eastAsiaTheme="minorEastAsia"/>
          <w:sz w:val="32"/>
          <w:szCs w:val="32"/>
        </w:rPr>
        <w:t>、</w:t>
      </w:r>
      <w:r>
        <w:rPr>
          <w:rFonts w:hint="eastAsia" w:asciiTheme="minorEastAsia" w:hAnsiTheme="minorEastAsia" w:eastAsiaTheme="minorEastAsia"/>
          <w:sz w:val="32"/>
          <w:szCs w:val="32"/>
        </w:rPr>
        <w:t>对家庭和个人的补助</w:t>
      </w:r>
      <w:r>
        <w:rPr>
          <w:rFonts w:asciiTheme="minorEastAsia" w:hAnsiTheme="minorEastAsia" w:eastAsiaTheme="minorEastAsia"/>
          <w:sz w:val="32"/>
          <w:szCs w:val="32"/>
        </w:rPr>
        <w:t>、</w:t>
      </w:r>
      <w:r>
        <w:rPr>
          <w:rFonts w:hint="eastAsia" w:asciiTheme="minorEastAsia" w:hAnsiTheme="minorEastAsia" w:eastAsiaTheme="minorEastAsia"/>
          <w:sz w:val="32"/>
          <w:szCs w:val="32"/>
        </w:rPr>
        <w:t>离休费</w:t>
      </w:r>
      <w:r>
        <w:rPr>
          <w:rFonts w:asciiTheme="minorEastAsia" w:hAnsiTheme="minorEastAsia" w:eastAsiaTheme="minorEastAsia"/>
          <w:sz w:val="32"/>
          <w:szCs w:val="32"/>
        </w:rPr>
        <w:t>、</w:t>
      </w:r>
      <w:r>
        <w:rPr>
          <w:rFonts w:hint="eastAsia" w:asciiTheme="minorEastAsia" w:hAnsiTheme="minorEastAsia" w:eastAsiaTheme="minorEastAsia"/>
          <w:sz w:val="32"/>
          <w:szCs w:val="32"/>
        </w:rPr>
        <w:t>抚恤金；公用经费28.91万元，占基本支出的</w:t>
      </w:r>
      <w:r>
        <w:rPr>
          <w:rFonts w:asciiTheme="minorEastAsia" w:hAnsiTheme="minorEastAsia" w:eastAsiaTheme="minorEastAsia"/>
          <w:sz w:val="32"/>
          <w:szCs w:val="32"/>
        </w:rPr>
        <w:t>1</w:t>
      </w:r>
      <w:r>
        <w:rPr>
          <w:rFonts w:hint="eastAsia" w:asciiTheme="minorEastAsia" w:hAnsiTheme="minorEastAsia" w:eastAsiaTheme="minorEastAsia"/>
          <w:sz w:val="32"/>
          <w:szCs w:val="32"/>
        </w:rPr>
        <w:t>.</w:t>
      </w:r>
      <w:r>
        <w:rPr>
          <w:rFonts w:asciiTheme="minorEastAsia" w:hAnsiTheme="minorEastAsia" w:eastAsiaTheme="minorEastAsia"/>
          <w:sz w:val="32"/>
          <w:szCs w:val="32"/>
        </w:rPr>
        <w:t>1</w:t>
      </w:r>
      <w:r>
        <w:rPr>
          <w:rFonts w:hint="eastAsia" w:asciiTheme="minorEastAsia" w:hAnsiTheme="minorEastAsia" w:eastAsiaTheme="minorEastAsia"/>
          <w:sz w:val="32"/>
          <w:szCs w:val="32"/>
        </w:rPr>
        <w:t>%，主要包括办公费、物业管理费</w:t>
      </w:r>
      <w:r>
        <w:rPr>
          <w:rFonts w:asciiTheme="minorEastAsia" w:hAnsiTheme="minorEastAsia" w:eastAsiaTheme="minorEastAsia"/>
          <w:sz w:val="32"/>
          <w:szCs w:val="32"/>
        </w:rPr>
        <w:t>、</w:t>
      </w:r>
      <w:r>
        <w:rPr>
          <w:rFonts w:hint="eastAsia" w:asciiTheme="minorEastAsia" w:hAnsiTheme="minorEastAsia" w:eastAsiaTheme="minorEastAsia"/>
          <w:sz w:val="32"/>
          <w:szCs w:val="32"/>
        </w:rPr>
        <w:t>维修费</w:t>
      </w:r>
      <w:r>
        <w:rPr>
          <w:rFonts w:asciiTheme="minorEastAsia" w:hAnsiTheme="minorEastAsia" w:eastAsiaTheme="minorEastAsia"/>
          <w:sz w:val="32"/>
          <w:szCs w:val="32"/>
        </w:rPr>
        <w:t>、</w:t>
      </w:r>
      <w:r>
        <w:rPr>
          <w:rFonts w:hint="eastAsia" w:asciiTheme="minorEastAsia" w:hAnsiTheme="minorEastAsia" w:eastAsiaTheme="minorEastAsia"/>
          <w:sz w:val="32"/>
          <w:szCs w:val="32"/>
        </w:rPr>
        <w:t>劳务费</w:t>
      </w:r>
      <w:r>
        <w:rPr>
          <w:rFonts w:asciiTheme="minorEastAsia" w:hAnsiTheme="minorEastAsia" w:eastAsiaTheme="minorEastAsia"/>
          <w:sz w:val="32"/>
          <w:szCs w:val="32"/>
        </w:rPr>
        <w:t>、</w:t>
      </w:r>
      <w:r>
        <w:rPr>
          <w:rFonts w:hint="eastAsia" w:asciiTheme="minorEastAsia" w:hAnsiTheme="minorEastAsia" w:eastAsiaTheme="minorEastAsia"/>
          <w:sz w:val="32"/>
          <w:szCs w:val="32"/>
        </w:rPr>
        <w:t>工会经费</w:t>
      </w:r>
      <w:r>
        <w:rPr>
          <w:rFonts w:asciiTheme="minorEastAsia" w:hAnsiTheme="minorEastAsia" w:eastAsiaTheme="minorEastAsia"/>
          <w:sz w:val="32"/>
          <w:szCs w:val="32"/>
        </w:rPr>
        <w:t>、</w:t>
      </w:r>
      <w:r>
        <w:rPr>
          <w:rFonts w:hint="eastAsia" w:asciiTheme="minorEastAsia" w:hAnsiTheme="minorEastAsia" w:eastAsiaTheme="minorEastAsia"/>
          <w:sz w:val="32"/>
          <w:szCs w:val="32"/>
        </w:rPr>
        <w:t>福利费</w:t>
      </w:r>
      <w:r>
        <w:rPr>
          <w:rFonts w:asciiTheme="minorEastAsia" w:hAnsiTheme="minorEastAsia" w:eastAsiaTheme="minorEastAsia"/>
          <w:sz w:val="32"/>
          <w:szCs w:val="32"/>
        </w:rPr>
        <w:t>、</w:t>
      </w:r>
      <w:r>
        <w:rPr>
          <w:rFonts w:hint="eastAsia" w:asciiTheme="minorEastAsia" w:hAnsiTheme="minorEastAsia" w:eastAsiaTheme="minorEastAsia"/>
          <w:sz w:val="32"/>
          <w:szCs w:val="32"/>
        </w:rPr>
        <w:t>其他交通费用。</w:t>
      </w:r>
    </w:p>
    <w:p>
      <w:pPr>
        <w:pStyle w:val="11"/>
        <w:rPr>
          <w:rFonts w:hAnsi="黑体"/>
          <w:b/>
          <w:sz w:val="32"/>
          <w:szCs w:val="32"/>
        </w:rPr>
      </w:pPr>
      <w:r>
        <w:rPr>
          <w:rFonts w:hint="eastAsia" w:hAnsi="黑体"/>
          <w:b/>
          <w:sz w:val="32"/>
          <w:szCs w:val="32"/>
        </w:rPr>
        <w:t>七、一般公共预算财政拨款“三公”经费支出决算情况说明</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2021年度本单位无“三公”经费支出。</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2021年度本单位无“三公”经费支出。</w:t>
      </w:r>
    </w:p>
    <w:p>
      <w:pPr>
        <w:pStyle w:val="11"/>
        <w:rPr>
          <w:rFonts w:hAnsi="黑体"/>
          <w:b/>
          <w:sz w:val="32"/>
          <w:szCs w:val="32"/>
        </w:rPr>
      </w:pPr>
      <w:r>
        <w:rPr>
          <w:rFonts w:hint="eastAsia" w:hAnsi="黑体"/>
          <w:b/>
          <w:sz w:val="32"/>
          <w:szCs w:val="32"/>
        </w:rPr>
        <w:t>八、政府性基金预算收入支出决算情况</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2021年度本单位无政府性基金收入与支出。</w:t>
      </w:r>
    </w:p>
    <w:p>
      <w:pPr>
        <w:pStyle w:val="11"/>
        <w:rPr>
          <w:rFonts w:hAnsi="黑体"/>
          <w:b/>
          <w:sz w:val="32"/>
          <w:szCs w:val="32"/>
        </w:rPr>
      </w:pPr>
      <w:r>
        <w:rPr>
          <w:rFonts w:hint="eastAsia" w:hAnsi="黑体"/>
          <w:b/>
          <w:sz w:val="32"/>
          <w:szCs w:val="32"/>
        </w:rPr>
        <w:t>九、机关运行经费支出说明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本单位2021年度机关运行经费支出28.91万元，比上年决算数减少194.46万元，降低87%。主要原因是：单位节约开支，减少各类一般性财政拨款办公支出。</w:t>
      </w:r>
    </w:p>
    <w:p>
      <w:pPr>
        <w:pStyle w:val="11"/>
        <w:rPr>
          <w:rFonts w:hAnsi="黑体"/>
          <w:b/>
          <w:sz w:val="32"/>
          <w:szCs w:val="32"/>
        </w:rPr>
      </w:pPr>
      <w:r>
        <w:rPr>
          <w:rFonts w:hint="eastAsia" w:hAnsi="黑体"/>
          <w:b/>
          <w:sz w:val="32"/>
          <w:szCs w:val="32"/>
        </w:rPr>
        <w:t>十、一般性支出情况说明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2021年本部门无会议费、培训费等一般性支出。</w:t>
      </w:r>
    </w:p>
    <w:p>
      <w:pPr>
        <w:pStyle w:val="11"/>
        <w:rPr>
          <w:rFonts w:hAnsi="黑体"/>
          <w:b/>
          <w:sz w:val="32"/>
          <w:szCs w:val="32"/>
        </w:rPr>
      </w:pPr>
      <w:r>
        <w:rPr>
          <w:rFonts w:hint="eastAsia" w:hAnsi="黑体"/>
          <w:b/>
          <w:sz w:val="32"/>
          <w:szCs w:val="32"/>
        </w:rPr>
        <w:t>十一、政府采购支出说明</w:t>
      </w:r>
    </w:p>
    <w:p>
      <w:pPr>
        <w:pStyle w:val="11"/>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本部门2021年度无政府采购支出。</w:t>
      </w:r>
    </w:p>
    <w:p>
      <w:pPr>
        <w:pStyle w:val="11"/>
        <w:rPr>
          <w:rFonts w:hAnsi="黑体"/>
          <w:b/>
          <w:sz w:val="32"/>
          <w:szCs w:val="32"/>
        </w:rPr>
      </w:pPr>
      <w:r>
        <w:rPr>
          <w:rFonts w:hint="eastAsia" w:hAnsi="黑体"/>
          <w:b/>
          <w:sz w:val="32"/>
          <w:szCs w:val="32"/>
        </w:rPr>
        <w:t>十二、国有资产占用情况说明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截至2021年12月31日，本单位价值50万元以上通用设备10台（套）。</w:t>
      </w:r>
    </w:p>
    <w:p>
      <w:pPr>
        <w:pStyle w:val="11"/>
        <w:rPr>
          <w:rFonts w:hAnsi="黑体"/>
          <w:b/>
          <w:sz w:val="32"/>
          <w:szCs w:val="32"/>
        </w:rPr>
      </w:pPr>
      <w:r>
        <w:rPr>
          <w:rFonts w:hint="eastAsia" w:hAnsi="黑体"/>
          <w:b/>
          <w:sz w:val="32"/>
          <w:szCs w:val="32"/>
        </w:rPr>
        <w:t>十三、2021年度预算绩效情况说明</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（1）绩效管理评价工作开展情况</w:t>
      </w:r>
      <w:r>
        <w:rPr>
          <w:rFonts w:hint="eastAsia" w:cs="黑体" w:asciiTheme="minorEastAsia" w:hAnsiTheme="minorEastAsia"/>
          <w:color w:val="000000"/>
          <w:kern w:val="0"/>
          <w:sz w:val="32"/>
          <w:szCs w:val="32"/>
        </w:rPr>
        <w:t>。</w:t>
      </w:r>
    </w:p>
    <w:p>
      <w:pPr>
        <w:autoSpaceDE w:val="0"/>
        <w:autoSpaceDN w:val="0"/>
        <w:adjustRightInd w:val="0"/>
        <w:ind w:firstLine="640" w:firstLineChars="200"/>
        <w:jc w:val="left"/>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我校没有项目支出</w:t>
      </w:r>
      <w:r>
        <w:rPr>
          <w:rFonts w:cs="黑体" w:asciiTheme="minorEastAsia" w:hAnsiTheme="minorEastAsia"/>
          <w:b/>
          <w:color w:val="000000"/>
          <w:kern w:val="0"/>
          <w:sz w:val="32"/>
          <w:szCs w:val="32"/>
        </w:rPr>
        <w:t>、</w:t>
      </w:r>
      <w:r>
        <w:rPr>
          <w:rFonts w:hint="eastAsia" w:cs="黑体" w:asciiTheme="minorEastAsia" w:hAnsiTheme="minorEastAsia"/>
          <w:b/>
          <w:color w:val="000000"/>
          <w:kern w:val="0"/>
          <w:sz w:val="32"/>
          <w:szCs w:val="32"/>
        </w:rPr>
        <w:t>没有政府性基金项目支出</w:t>
      </w:r>
      <w:r>
        <w:rPr>
          <w:rFonts w:cs="黑体" w:asciiTheme="minorEastAsia" w:hAnsiTheme="minorEastAsia"/>
          <w:b/>
          <w:color w:val="000000"/>
          <w:kern w:val="0"/>
          <w:sz w:val="32"/>
          <w:szCs w:val="32"/>
        </w:rPr>
        <w:t>、</w:t>
      </w:r>
      <w:r>
        <w:rPr>
          <w:rFonts w:hint="eastAsia" w:cs="黑体" w:asciiTheme="minorEastAsia" w:hAnsiTheme="minorEastAsia"/>
          <w:b/>
          <w:color w:val="000000"/>
          <w:kern w:val="0"/>
          <w:sz w:val="32"/>
          <w:szCs w:val="32"/>
        </w:rPr>
        <w:t>没有国有资本经营预算项目支出</w:t>
      </w:r>
      <w:r>
        <w:rPr>
          <w:rFonts w:cs="黑体" w:asciiTheme="minorEastAsia" w:hAnsiTheme="minorEastAsia"/>
          <w:b/>
          <w:color w:val="000000"/>
          <w:kern w:val="0"/>
          <w:sz w:val="32"/>
          <w:szCs w:val="32"/>
        </w:rPr>
        <w:t>。</w:t>
      </w:r>
    </w:p>
    <w:p>
      <w:pPr>
        <w:pStyle w:val="11"/>
        <w:jc w:val="center"/>
        <w:rPr>
          <w:sz w:val="72"/>
          <w:szCs w:val="72"/>
        </w:rPr>
      </w:pPr>
    </w:p>
    <w:p>
      <w:pPr>
        <w:pStyle w:val="11"/>
        <w:jc w:val="center"/>
        <w:rPr>
          <w:sz w:val="72"/>
          <w:szCs w:val="72"/>
        </w:rPr>
      </w:pPr>
    </w:p>
    <w:p>
      <w:pPr>
        <w:pStyle w:val="11"/>
        <w:rPr>
          <w:sz w:val="72"/>
          <w:szCs w:val="72"/>
        </w:rPr>
      </w:pPr>
    </w:p>
    <w:p>
      <w:pPr>
        <w:pStyle w:val="11"/>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一、机关运行经费支出指一般公共预算财政拨款基本支出中公用经费支出，具体包括办公费、物业管理费、维修费、劳务费、工会经费、福利费、其他交通费用。</w:t>
      </w:r>
    </w:p>
    <w:p>
      <w:pPr>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二、“三公经费”支出指因公出国（境）费、公务用车购置及运行维护费、公务接待费。</w:t>
      </w:r>
    </w:p>
    <w:p>
      <w:pPr>
        <w:widowControl/>
        <w:jc w:val="left"/>
        <w:rPr>
          <w:rFonts w:eastAsia="黑体" w:cs="黑体" w:asciiTheme="minorEastAsia" w:hAnsiTheme="minorEastAsia"/>
          <w:color w:val="000000"/>
          <w:kern w:val="0"/>
          <w:sz w:val="28"/>
          <w:szCs w:val="32"/>
        </w:rPr>
      </w:pPr>
      <w:r>
        <w:rPr>
          <w:rFonts w:hint="eastAsia" w:asciiTheme="minorEastAsia" w:hAnsiTheme="minorEastAsia"/>
          <w:sz w:val="28"/>
          <w:szCs w:val="32"/>
        </w:rPr>
        <w:t>（名词解释应包含本部门专有名词，如省财政厅应有对“财政事务”科目的解释）</w:t>
      </w: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2021年度部门整体支出绩效评价报告</w:t>
      </w:r>
    </w:p>
    <w:p>
      <w:pPr>
        <w:ind w:firstLine="640" w:firstLineChars="200"/>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t>………</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87C3109-A19C-4B71-8EC0-32A6FE6103F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0AE392CC-B1E9-4E33-AE6B-8E385F5E8B4A}"/>
  </w:font>
  <w:font w:name="华文中宋">
    <w:altName w:val="宋体"/>
    <w:panose1 w:val="02010600040101010101"/>
    <w:charset w:val="86"/>
    <w:family w:val="auto"/>
    <w:pitch w:val="default"/>
    <w:sig w:usb0="00000000" w:usb1="00000000" w:usb2="00000010" w:usb3="00000000" w:csb0="0004009F" w:csb1="00000000"/>
    <w:embedRegular r:id="rId3" w:fontKey="{C402FCB6-234F-40C8-8FB9-F806D621254E}"/>
  </w:font>
  <w:font w:name="方正小标宋_GBK">
    <w:panose1 w:val="02000000000000000000"/>
    <w:charset w:val="86"/>
    <w:family w:val="script"/>
    <w:pitch w:val="default"/>
    <w:sig w:usb0="00000001" w:usb1="080E0000" w:usb2="00000000" w:usb3="00000000" w:csb0="00040000" w:csb1="00000000"/>
    <w:embedRegular r:id="rId4" w:fontKey="{3FEDFBC3-BD25-4F89-AF2B-CE6ED9A05D1B}"/>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F6E5DAC"/>
    <w:multiLevelType w:val="singleLevel"/>
    <w:tmpl w:val="4F6E5DAC"/>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jkyMjhkNjc2ZDIwYTA3OTQxYWFjMjEwOTM2NjBiNDYifQ=="/>
  </w:docVars>
  <w:rsids>
    <w:rsidRoot w:val="004506F9"/>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1347"/>
    <w:rsid w:val="005767CC"/>
    <w:rsid w:val="00590D9F"/>
    <w:rsid w:val="00595D26"/>
    <w:rsid w:val="005A74E6"/>
    <w:rsid w:val="005B404E"/>
    <w:rsid w:val="005D4D55"/>
    <w:rsid w:val="005E2CFB"/>
    <w:rsid w:val="005F2103"/>
    <w:rsid w:val="005F3D1C"/>
    <w:rsid w:val="0062378F"/>
    <w:rsid w:val="00641842"/>
    <w:rsid w:val="00651EEC"/>
    <w:rsid w:val="006754D6"/>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E167D"/>
    <w:rsid w:val="007F3657"/>
    <w:rsid w:val="00812ED5"/>
    <w:rsid w:val="008277D9"/>
    <w:rsid w:val="0084478C"/>
    <w:rsid w:val="00860ACE"/>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BF1948"/>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15701F1B"/>
    <w:rsid w:val="21F9482D"/>
    <w:rsid w:val="2FCE5577"/>
    <w:rsid w:val="30E37C29"/>
    <w:rsid w:val="54577253"/>
    <w:rsid w:val="5C2B156D"/>
    <w:rsid w:val="5FE197E5"/>
    <w:rsid w:val="72B97EBA"/>
    <w:rsid w:val="7D59218D"/>
    <w:rsid w:val="7F5FD08E"/>
    <w:rsid w:val="BBFF24A0"/>
    <w:rsid w:val="CF7FFAC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3"/>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annotation reference"/>
    <w:basedOn w:val="7"/>
    <w:semiHidden/>
    <w:unhideWhenUsed/>
    <w:qFormat/>
    <w:uiPriority w:val="99"/>
    <w:rPr>
      <w:sz w:val="21"/>
      <w:szCs w:val="21"/>
    </w:rPr>
  </w:style>
  <w:style w:type="character" w:customStyle="1" w:styleId="9">
    <w:name w:val="页眉 Char"/>
    <w:basedOn w:val="7"/>
    <w:link w:val="5"/>
    <w:qFormat/>
    <w:uiPriority w:val="99"/>
    <w:rPr>
      <w:sz w:val="18"/>
      <w:szCs w:val="18"/>
    </w:rPr>
  </w:style>
  <w:style w:type="character" w:customStyle="1" w:styleId="10">
    <w:name w:val="页脚 Char"/>
    <w:basedOn w:val="7"/>
    <w:link w:val="4"/>
    <w:qFormat/>
    <w:uiPriority w:val="99"/>
    <w:rPr>
      <w:sz w:val="18"/>
      <w:szCs w:val="18"/>
    </w:rPr>
  </w:style>
  <w:style w:type="paragraph" w:customStyle="1" w:styleId="11">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2">
    <w:name w:val="List Paragraph"/>
    <w:basedOn w:val="1"/>
    <w:qFormat/>
    <w:uiPriority w:val="34"/>
    <w:pPr>
      <w:ind w:firstLine="420" w:firstLineChars="200"/>
    </w:pPr>
  </w:style>
  <w:style w:type="character" w:customStyle="1" w:styleId="13">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22</Pages>
  <Words>4100</Words>
  <Characters>5209</Characters>
  <Lines>51</Lines>
  <Paragraphs>14</Paragraphs>
  <TotalTime>0</TotalTime>
  <ScaleCrop>false</ScaleCrop>
  <LinksUpToDate>false</LinksUpToDate>
  <CharactersWithSpaces>5852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2020-07-02T18:32:00Z</dcterms:created>
  <dc:creator>李航 null</dc:creator>
  <cp:lastModifiedBy>栖</cp:lastModifiedBy>
  <cp:lastPrinted>2022-07-28T04:55:00Z</cp:lastPrinted>
  <dcterms:modified xsi:type="dcterms:W3CDTF">2022-10-13T08:38:36Z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DB71A0AF92830C5C56DF4363526B6565</vt:lpwstr>
  </property>
</Properties>
</file>