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sz w:val="56"/>
          <w:szCs w:val="56"/>
        </w:rPr>
      </w:pPr>
    </w:p>
    <w:p>
      <w:pPr>
        <w:pStyle w:val="11"/>
        <w:jc w:val="center"/>
        <w:rPr>
          <w:sz w:val="56"/>
          <w:szCs w:val="56"/>
        </w:rPr>
      </w:pPr>
    </w:p>
    <w:p>
      <w:pPr>
        <w:pStyle w:val="11"/>
        <w:jc w:val="center"/>
        <w:rPr>
          <w:sz w:val="84"/>
          <w:szCs w:val="84"/>
        </w:rPr>
      </w:pPr>
    </w:p>
    <w:p>
      <w:pPr>
        <w:pStyle w:val="11"/>
        <w:jc w:val="center"/>
        <w:rPr>
          <w:sz w:val="84"/>
          <w:szCs w:val="84"/>
        </w:rPr>
      </w:pPr>
    </w:p>
    <w:p>
      <w:pPr>
        <w:pStyle w:val="11"/>
        <w:jc w:val="center"/>
        <w:rPr>
          <w:sz w:val="84"/>
          <w:szCs w:val="84"/>
        </w:rPr>
      </w:pPr>
      <w:r>
        <w:rPr>
          <w:rFonts w:hint="eastAsia"/>
          <w:sz w:val="84"/>
          <w:szCs w:val="84"/>
        </w:rPr>
        <w:t>2021年度</w:t>
      </w:r>
    </w:p>
    <w:p>
      <w:pPr>
        <w:pStyle w:val="11"/>
        <w:jc w:val="center"/>
        <w:rPr>
          <w:sz w:val="84"/>
          <w:szCs w:val="84"/>
        </w:rPr>
      </w:pPr>
      <w:r>
        <w:rPr>
          <w:rFonts w:hint="eastAsia"/>
          <w:sz w:val="84"/>
          <w:szCs w:val="84"/>
        </w:rPr>
        <w:t>向阳学校部门决算</w:t>
      </w: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32"/>
          <w:szCs w:val="32"/>
        </w:rPr>
      </w:pPr>
    </w:p>
    <w:p>
      <w:pPr>
        <w:pStyle w:val="11"/>
        <w:jc w:val="center"/>
        <w:rPr>
          <w:sz w:val="32"/>
          <w:szCs w:val="32"/>
        </w:rPr>
      </w:pPr>
    </w:p>
    <w:p>
      <w:pPr>
        <w:pStyle w:val="11"/>
        <w:jc w:val="center"/>
        <w:rPr>
          <w:sz w:val="32"/>
          <w:szCs w:val="32"/>
        </w:rPr>
      </w:pPr>
    </w:p>
    <w:p>
      <w:pPr>
        <w:pStyle w:val="11"/>
        <w:jc w:val="center"/>
        <w:rPr>
          <w:sz w:val="32"/>
          <w:szCs w:val="32"/>
        </w:rPr>
      </w:pPr>
    </w:p>
    <w:p>
      <w:pPr>
        <w:pStyle w:val="11"/>
        <w:jc w:val="center"/>
        <w:rPr>
          <w:sz w:val="32"/>
          <w:szCs w:val="32"/>
        </w:rPr>
      </w:pPr>
    </w:p>
    <w:p>
      <w:pPr>
        <w:pStyle w:val="11"/>
        <w:spacing w:line="540" w:lineRule="exact"/>
        <w:jc w:val="center"/>
        <w:rPr>
          <w:sz w:val="56"/>
          <w:szCs w:val="56"/>
        </w:rPr>
      </w:pPr>
    </w:p>
    <w:p>
      <w:pPr>
        <w:pStyle w:val="11"/>
        <w:spacing w:line="500" w:lineRule="exact"/>
        <w:jc w:val="center"/>
        <w:rPr>
          <w:b/>
          <w:sz w:val="36"/>
          <w:szCs w:val="28"/>
        </w:rPr>
      </w:pPr>
    </w:p>
    <w:p>
      <w:pPr>
        <w:pStyle w:val="11"/>
        <w:spacing w:line="500" w:lineRule="exact"/>
        <w:jc w:val="center"/>
        <w:rPr>
          <w:b/>
          <w:sz w:val="36"/>
          <w:szCs w:val="28"/>
        </w:rPr>
      </w:pPr>
    </w:p>
    <w:p>
      <w:pPr>
        <w:pStyle w:val="11"/>
        <w:spacing w:line="500" w:lineRule="exact"/>
        <w:jc w:val="center"/>
        <w:rPr>
          <w:b/>
          <w:sz w:val="36"/>
          <w:szCs w:val="28"/>
        </w:rPr>
      </w:pPr>
      <w:r>
        <w:rPr>
          <w:rFonts w:hint="eastAsia"/>
          <w:b/>
          <w:sz w:val="36"/>
          <w:szCs w:val="28"/>
        </w:rPr>
        <w:t>目录</w:t>
      </w:r>
    </w:p>
    <w:p>
      <w:pPr>
        <w:pStyle w:val="11"/>
        <w:spacing w:line="500" w:lineRule="exact"/>
        <w:rPr>
          <w:rFonts w:ascii="仿宋_GB2312" w:hAnsi="仿宋_GB2312" w:cs="仿宋_GB2312"/>
          <w:b/>
          <w:sz w:val="28"/>
          <w:szCs w:val="28"/>
        </w:rPr>
      </w:pPr>
      <w:r>
        <w:rPr>
          <w:rFonts w:hint="eastAsia"/>
          <w:b/>
          <w:sz w:val="28"/>
          <w:szCs w:val="28"/>
        </w:rPr>
        <w:t>第一部分单位概况</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1"/>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21年度部门决算表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1"/>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1"/>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21年度部门决算情况说明</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11"/>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11"/>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1"/>
        <w:jc w:val="center"/>
        <w:rPr>
          <w:sz w:val="84"/>
          <w:szCs w:val="84"/>
        </w:rPr>
      </w:pPr>
      <w:r>
        <w:rPr>
          <w:rFonts w:hint="eastAsia"/>
          <w:sz w:val="84"/>
          <w:szCs w:val="84"/>
        </w:rPr>
        <w:t>第一部分</w:t>
      </w:r>
    </w:p>
    <w:p>
      <w:pPr>
        <w:pStyle w:val="11"/>
        <w:jc w:val="center"/>
        <w:rPr>
          <w:sz w:val="84"/>
          <w:szCs w:val="84"/>
        </w:rPr>
      </w:pPr>
    </w:p>
    <w:p>
      <w:pPr>
        <w:pStyle w:val="11"/>
        <w:jc w:val="center"/>
        <w:rPr>
          <w:sz w:val="84"/>
          <w:szCs w:val="84"/>
        </w:rPr>
      </w:pPr>
      <w:r>
        <w:rPr>
          <w:rFonts w:hint="eastAsia"/>
          <w:sz w:val="84"/>
          <w:szCs w:val="84"/>
        </w:rPr>
        <w:t>向阳学校概况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ind w:left="720" w:firstLine="0" w:firstLineChars="0"/>
        <w:jc w:val="left"/>
        <w:rPr>
          <w:rFonts w:ascii="黑体" w:hAnsi="黑体" w:eastAsia="黑体"/>
          <w:sz w:val="32"/>
          <w:szCs w:val="32"/>
        </w:rPr>
      </w:pPr>
    </w:p>
    <w:p>
      <w:pPr>
        <w:pStyle w:val="12"/>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ind w:firstLine="800" w:firstLineChars="250"/>
        <w:jc w:val="left"/>
        <w:rPr>
          <w:rFonts w:asciiTheme="minorEastAsia" w:hAnsiTheme="minorEastAsia"/>
          <w:sz w:val="32"/>
          <w:szCs w:val="32"/>
        </w:rPr>
      </w:pPr>
      <w:r>
        <w:rPr>
          <w:rFonts w:hint="eastAsia" w:asciiTheme="minorEastAsia" w:hAnsiTheme="minorEastAsia"/>
          <w:sz w:val="32"/>
          <w:szCs w:val="32"/>
        </w:rPr>
        <w:t>（一）</w:t>
      </w:r>
      <w:r>
        <w:rPr>
          <w:rFonts w:hint="eastAsia" w:ascii="微软雅黑" w:hAnsi="微软雅黑" w:eastAsia="微软雅黑"/>
          <w:sz w:val="24"/>
        </w:rPr>
        <w:t>实施小学义务教育。</w:t>
      </w:r>
    </w:p>
    <w:p>
      <w:pPr>
        <w:ind w:firstLine="800" w:firstLineChars="250"/>
        <w:jc w:val="left"/>
        <w:rPr>
          <w:rFonts w:asciiTheme="minorEastAsia" w:hAnsiTheme="minorEastAsia"/>
          <w:sz w:val="32"/>
          <w:szCs w:val="32"/>
        </w:rPr>
      </w:pPr>
      <w:r>
        <w:rPr>
          <w:rFonts w:hint="eastAsia" w:asciiTheme="minorEastAsia" w:hAnsiTheme="minorEastAsia"/>
          <w:sz w:val="32"/>
          <w:szCs w:val="32"/>
        </w:rPr>
        <w:t>（二）</w:t>
      </w:r>
      <w:r>
        <w:rPr>
          <w:rFonts w:hint="eastAsia" w:ascii="微软雅黑" w:hAnsi="微软雅黑" w:eastAsia="微软雅黑"/>
          <w:sz w:val="24"/>
        </w:rPr>
        <w:t>促进基础教育发展,、小学学历教育及相关社会服务</w:t>
      </w:r>
    </w:p>
    <w:p>
      <w:pPr>
        <w:widowControl/>
        <w:spacing w:line="360" w:lineRule="auto"/>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360" w:lineRule="auto"/>
        <w:rPr>
          <w:rFonts w:asciiTheme="minorEastAsia" w:hAnsiTheme="minorEastAsia"/>
          <w:bCs/>
          <w:kern w:val="0"/>
          <w:sz w:val="28"/>
          <w:szCs w:val="28"/>
        </w:rPr>
      </w:pPr>
      <w:r>
        <w:rPr>
          <w:rFonts w:hint="eastAsia" w:asciiTheme="minorEastAsia" w:hAnsiTheme="minorEastAsia"/>
          <w:bCs/>
          <w:kern w:val="0"/>
          <w:sz w:val="28"/>
          <w:szCs w:val="28"/>
        </w:rPr>
        <w:t>（一）内设机构设置。</w:t>
      </w:r>
    </w:p>
    <w:p>
      <w:pPr>
        <w:snapToGrid w:val="0"/>
        <w:spacing w:line="360" w:lineRule="auto"/>
        <w:ind w:firstLine="560" w:firstLineChars="200"/>
        <w:rPr>
          <w:rFonts w:asciiTheme="minorEastAsia" w:hAnsiTheme="minorEastAsia"/>
          <w:sz w:val="28"/>
          <w:szCs w:val="28"/>
        </w:rPr>
      </w:pPr>
      <w:r>
        <w:rPr>
          <w:rFonts w:hint="eastAsia" w:asciiTheme="minorEastAsia" w:hAnsiTheme="minorEastAsia"/>
          <w:bCs/>
          <w:kern w:val="0"/>
          <w:sz w:val="28"/>
          <w:szCs w:val="28"/>
        </w:rPr>
        <w:t>单位内设机构包括：校长办公室、教导处、德育处、总务处、工会、各年级组、各学科组</w:t>
      </w:r>
      <w:r>
        <w:rPr>
          <w:rFonts w:hint="eastAsia" w:asciiTheme="minorEastAsia" w:hAnsiTheme="minorEastAsia"/>
          <w:sz w:val="28"/>
          <w:szCs w:val="28"/>
        </w:rPr>
        <w:t>。</w:t>
      </w:r>
    </w:p>
    <w:p>
      <w:pPr>
        <w:widowControl/>
        <w:spacing w:line="360" w:lineRule="auto"/>
        <w:rPr>
          <w:rFonts w:asciiTheme="minorEastAsia" w:hAnsiTheme="minorEastAsia"/>
          <w:bCs/>
          <w:kern w:val="0"/>
          <w:sz w:val="28"/>
          <w:szCs w:val="28"/>
        </w:rPr>
      </w:pPr>
      <w:r>
        <w:rPr>
          <w:rFonts w:hint="eastAsia" w:asciiTheme="minorEastAsia" w:hAnsiTheme="minorEastAsia"/>
          <w:bCs/>
          <w:kern w:val="0"/>
          <w:sz w:val="28"/>
          <w:szCs w:val="28"/>
        </w:rPr>
        <w:t>（二）决算单位构成。向阳学校</w:t>
      </w:r>
      <w:r>
        <w:rPr>
          <w:rFonts w:asciiTheme="minorEastAsia" w:hAnsiTheme="minorEastAsia"/>
          <w:bCs/>
          <w:kern w:val="0"/>
          <w:sz w:val="28"/>
          <w:szCs w:val="28"/>
        </w:rPr>
        <w:t>20</w:t>
      </w:r>
      <w:r>
        <w:rPr>
          <w:rFonts w:hint="eastAsia" w:asciiTheme="minorEastAsia" w:hAnsiTheme="minorEastAsia"/>
          <w:bCs/>
          <w:kern w:val="0"/>
          <w:sz w:val="28"/>
          <w:szCs w:val="28"/>
        </w:rPr>
        <w:t>21年部门决算汇总公开单位为向阳学校附小校区和南小校区。</w:t>
      </w:r>
    </w:p>
    <w:p>
      <w:pPr>
        <w:spacing w:line="360" w:lineRule="auto"/>
        <w:jc w:val="left"/>
        <w:rPr>
          <w:rFonts w:ascii="仿宋_GB2312" w:eastAsia="仿宋_GB2312" w:hAnsiTheme="minorEastAsia"/>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6"/>
        <w:tblW w:w="14081" w:type="dxa"/>
        <w:tblInd w:w="93"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1137.13</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1821.08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xml:space="preserve">     661.41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1,798.54</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1821.08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30.54</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53.08</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1851.62</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22"/>
              </w:rPr>
            </w:pPr>
            <w:r>
              <w:rPr>
                <w:rFonts w:hint="eastAsia" w:ascii="宋体" w:hAnsi="宋体" w:eastAsia="宋体" w:cs="宋体"/>
                <w:b/>
                <w:bCs/>
                <w:kern w:val="0"/>
                <w:sz w:val="22"/>
              </w:rPr>
              <w:t>1851.62</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p>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720" w:right="720" w:bottom="720" w:left="720" w:header="851" w:footer="992" w:gutter="0"/>
          <w:cols w:space="425" w:num="1"/>
          <w:docGrid w:type="linesAndChars" w:linePitch="312" w:charSpace="0"/>
        </w:sectPr>
      </w:pPr>
    </w:p>
    <w:tbl>
      <w:tblPr>
        <w:tblStyle w:val="6"/>
        <w:tblW w:w="15428" w:type="dxa"/>
        <w:tblInd w:w="0" w:type="dxa"/>
        <w:tblLayout w:type="autofit"/>
        <w:tblCellMar>
          <w:top w:w="0" w:type="dxa"/>
          <w:left w:w="0" w:type="dxa"/>
          <w:bottom w:w="0" w:type="dxa"/>
          <w:right w:w="0" w:type="dxa"/>
        </w:tblCellMar>
      </w:tblPr>
      <w:tblGrid>
        <w:gridCol w:w="390"/>
        <w:gridCol w:w="356"/>
        <w:gridCol w:w="2521"/>
        <w:gridCol w:w="2176"/>
        <w:gridCol w:w="2176"/>
        <w:gridCol w:w="1263"/>
        <w:gridCol w:w="1263"/>
        <w:gridCol w:w="1263"/>
        <w:gridCol w:w="1263"/>
        <w:gridCol w:w="2757"/>
      </w:tblGrid>
      <w:tr>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3324"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项目</w:t>
            </w:r>
          </w:p>
        </w:tc>
        <w:tc>
          <w:tcPr>
            <w:tcW w:w="205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2057"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37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37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37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37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249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97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2351"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cs="宋体"/>
                <w:sz w:val="24"/>
                <w:szCs w:val="24"/>
              </w:rPr>
            </w:pPr>
            <w:r>
              <w:rPr>
                <w:rFonts w:hint="eastAsia"/>
              </w:rPr>
              <w:t>1798.54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cs="宋体"/>
                <w:sz w:val="24"/>
                <w:szCs w:val="24"/>
              </w:rPr>
            </w:pPr>
            <w:r>
              <w:rPr>
                <w:rFonts w:hint="eastAsia"/>
              </w:rPr>
              <w:t>1137.13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661.41</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205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教育支出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cs="宋体"/>
                <w:sz w:val="24"/>
                <w:szCs w:val="24"/>
              </w:rPr>
            </w:pPr>
            <w:r>
              <w:rPr>
                <w:rFonts w:hint="eastAsia"/>
              </w:rPr>
              <w:t>1798.54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cs="宋体"/>
                <w:sz w:val="24"/>
                <w:szCs w:val="24"/>
              </w:rPr>
            </w:pPr>
            <w:r>
              <w:rPr>
                <w:rFonts w:hint="eastAsia"/>
              </w:rPr>
              <w:t>1137.13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661.41</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20502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普通教育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cs="宋体"/>
                <w:sz w:val="24"/>
                <w:szCs w:val="24"/>
              </w:rPr>
            </w:pPr>
            <w:r>
              <w:rPr>
                <w:rFonts w:hint="eastAsia"/>
              </w:rPr>
              <w:t>1798.54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cs="宋体"/>
                <w:sz w:val="24"/>
                <w:szCs w:val="24"/>
              </w:rPr>
            </w:pPr>
            <w:r>
              <w:rPr>
                <w:rFonts w:hint="eastAsia"/>
              </w:rPr>
              <w:t>1137.13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661.41</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2050202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rPr>
              <w:t>小学教育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cs="宋体"/>
                <w:sz w:val="24"/>
                <w:szCs w:val="24"/>
              </w:rPr>
            </w:pPr>
            <w:r>
              <w:rPr>
                <w:rFonts w:hint="eastAsia"/>
              </w:rPr>
              <w:t>1798.54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cs="宋体"/>
                <w:sz w:val="24"/>
                <w:szCs w:val="24"/>
              </w:rPr>
            </w:pPr>
            <w:r>
              <w:rPr>
                <w:rFonts w:hint="eastAsia"/>
              </w:rPr>
              <w:t>1137.13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661.41</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6"/>
        <w:tblW w:w="13183" w:type="dxa"/>
        <w:tblInd w:w="93" w:type="dxa"/>
        <w:tblLayout w:type="autofit"/>
        <w:tblCellMar>
          <w:top w:w="0" w:type="dxa"/>
          <w:left w:w="108" w:type="dxa"/>
          <w:bottom w:w="0" w:type="dxa"/>
          <w:right w:w="108" w:type="dxa"/>
        </w:tblCellMar>
      </w:tblPr>
      <w:tblGrid>
        <w:gridCol w:w="1042"/>
        <w:gridCol w:w="222"/>
        <w:gridCol w:w="1249"/>
        <w:gridCol w:w="1646"/>
        <w:gridCol w:w="1679"/>
        <w:gridCol w:w="1679"/>
        <w:gridCol w:w="1679"/>
        <w:gridCol w:w="1679"/>
        <w:gridCol w:w="2308"/>
      </w:tblGrid>
      <w:tr>
        <w:tblPrEx>
          <w:tblCellMar>
            <w:top w:w="0" w:type="dxa"/>
            <w:left w:w="108" w:type="dxa"/>
            <w:bottom w:w="0" w:type="dxa"/>
            <w:right w:w="108" w:type="dxa"/>
          </w:tblCellMar>
        </w:tblPrEx>
        <w:trPr>
          <w:trHeight w:val="435" w:hRule="atLeast"/>
        </w:trPr>
        <w:tc>
          <w:tcPr>
            <w:tcW w:w="13183"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22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24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64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2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24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64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2513"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64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30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264"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1249"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6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4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251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64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251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64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1821.08</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1582.44</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238.64</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sz w:val="24"/>
                <w:szCs w:val="24"/>
              </w:rPr>
            </w:pPr>
            <w:r>
              <w:rPr>
                <w:rFonts w:hint="eastAsia"/>
              </w:rPr>
              <w:t>205</w:t>
            </w:r>
          </w:p>
        </w:tc>
        <w:tc>
          <w:tcPr>
            <w:tcW w:w="1249"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sz w:val="24"/>
                <w:szCs w:val="24"/>
              </w:rPr>
            </w:pPr>
            <w:r>
              <w:rPr>
                <w:rFonts w:hint="eastAsia"/>
              </w:rPr>
              <w:t>教育支出</w:t>
            </w:r>
          </w:p>
        </w:tc>
        <w:tc>
          <w:tcPr>
            <w:tcW w:w="164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1821.08</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1582.44</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238.64</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sz w:val="24"/>
                <w:szCs w:val="24"/>
              </w:rPr>
            </w:pPr>
            <w:r>
              <w:rPr>
                <w:rFonts w:hint="eastAsia"/>
              </w:rPr>
              <w:t>20502</w:t>
            </w:r>
          </w:p>
        </w:tc>
        <w:tc>
          <w:tcPr>
            <w:tcW w:w="1249"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sz w:val="24"/>
                <w:szCs w:val="24"/>
              </w:rPr>
            </w:pPr>
            <w:r>
              <w:rPr>
                <w:rFonts w:hint="eastAsia"/>
              </w:rPr>
              <w:t>普通教育</w:t>
            </w:r>
          </w:p>
        </w:tc>
        <w:tc>
          <w:tcPr>
            <w:tcW w:w="164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1821.08</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1582.44</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238.64</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sz w:val="24"/>
                <w:szCs w:val="24"/>
              </w:rPr>
            </w:pPr>
            <w:r>
              <w:rPr>
                <w:rFonts w:hint="eastAsia"/>
              </w:rPr>
              <w:t>2050202</w:t>
            </w:r>
          </w:p>
        </w:tc>
        <w:tc>
          <w:tcPr>
            <w:tcW w:w="1249"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sz w:val="24"/>
                <w:szCs w:val="24"/>
              </w:rPr>
            </w:pPr>
            <w:r>
              <w:rPr>
                <w:rFonts w:hint="eastAsia"/>
              </w:rPr>
              <w:t>小学教育</w:t>
            </w:r>
          </w:p>
        </w:tc>
        <w:tc>
          <w:tcPr>
            <w:tcW w:w="164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1821.08</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1582.44</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238.64</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p>
        </w:tc>
        <w:tc>
          <w:tcPr>
            <w:tcW w:w="1249"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p>
        </w:tc>
        <w:tc>
          <w:tcPr>
            <w:tcW w:w="164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p>
        </w:tc>
        <w:tc>
          <w:tcPr>
            <w:tcW w:w="1249"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p>
        </w:tc>
        <w:tc>
          <w:tcPr>
            <w:tcW w:w="164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p>
        </w:tc>
        <w:tc>
          <w:tcPr>
            <w:tcW w:w="1249"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p>
        </w:tc>
        <w:tc>
          <w:tcPr>
            <w:tcW w:w="164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630" w:hRule="atLeast"/>
        </w:trPr>
        <w:tc>
          <w:tcPr>
            <w:tcW w:w="13183"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6"/>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1137.13</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1137.13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1137.13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1137.13</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1137.13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1137.13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1137.13</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1137.13</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1137.13</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Lines="5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1137.13</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1137.13</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ascii="宋体" w:hAnsi="宋体" w:eastAsia="宋体" w:cs="宋体"/>
                <w:sz w:val="24"/>
                <w:szCs w:val="24"/>
              </w:rPr>
            </w:pPr>
            <w:r>
              <w:rPr>
                <w:rFonts w:hint="eastAsia"/>
              </w:rPr>
              <w:t>205</w:t>
            </w:r>
          </w:p>
        </w:tc>
        <w:tc>
          <w:tcPr>
            <w:tcW w:w="3527" w:type="dxa"/>
            <w:tcBorders>
              <w:top w:val="nil"/>
              <w:left w:val="nil"/>
              <w:bottom w:val="single" w:color="auto" w:sz="4" w:space="0"/>
              <w:right w:val="single" w:color="auto" w:sz="4" w:space="0"/>
            </w:tcBorders>
            <w:shd w:val="clear" w:color="auto" w:fill="auto"/>
            <w:vAlign w:val="center"/>
          </w:tcPr>
          <w:p>
            <w:pPr>
              <w:rPr>
                <w:rFonts w:ascii="宋体" w:hAnsi="宋体" w:eastAsia="宋体" w:cs="宋体"/>
                <w:sz w:val="24"/>
                <w:szCs w:val="24"/>
              </w:rPr>
            </w:pPr>
            <w:r>
              <w:rPr>
                <w:rFonts w:hint="eastAsia"/>
              </w:rPr>
              <w:t>教育支出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1137.13</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1137.13</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ascii="宋体" w:hAnsi="宋体" w:eastAsia="宋体" w:cs="宋体"/>
                <w:sz w:val="24"/>
                <w:szCs w:val="24"/>
              </w:rPr>
            </w:pPr>
            <w:r>
              <w:rPr>
                <w:rFonts w:hint="eastAsia"/>
              </w:rPr>
              <w:t>20502</w:t>
            </w:r>
          </w:p>
        </w:tc>
        <w:tc>
          <w:tcPr>
            <w:tcW w:w="3527" w:type="dxa"/>
            <w:tcBorders>
              <w:top w:val="nil"/>
              <w:left w:val="nil"/>
              <w:bottom w:val="single" w:color="auto" w:sz="4" w:space="0"/>
              <w:right w:val="single" w:color="auto" w:sz="4" w:space="0"/>
            </w:tcBorders>
            <w:shd w:val="clear" w:color="auto" w:fill="auto"/>
            <w:vAlign w:val="center"/>
          </w:tcPr>
          <w:p>
            <w:pPr>
              <w:rPr>
                <w:rFonts w:ascii="宋体" w:hAnsi="宋体" w:eastAsia="宋体" w:cs="宋体"/>
                <w:sz w:val="24"/>
                <w:szCs w:val="24"/>
              </w:rPr>
            </w:pPr>
            <w:r>
              <w:rPr>
                <w:rFonts w:hint="eastAsia"/>
              </w:rPr>
              <w:t>普通教育</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1137.13</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1137.13</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ascii="宋体" w:hAnsi="宋体" w:eastAsia="宋体" w:cs="宋体"/>
                <w:sz w:val="24"/>
                <w:szCs w:val="24"/>
              </w:rPr>
            </w:pPr>
            <w:r>
              <w:rPr>
                <w:rFonts w:hint="eastAsia"/>
              </w:rPr>
              <w:t>2050202</w:t>
            </w:r>
          </w:p>
        </w:tc>
        <w:tc>
          <w:tcPr>
            <w:tcW w:w="3527" w:type="dxa"/>
            <w:tcBorders>
              <w:top w:val="nil"/>
              <w:left w:val="nil"/>
              <w:bottom w:val="single" w:color="auto" w:sz="4" w:space="0"/>
              <w:right w:val="single" w:color="auto" w:sz="4" w:space="0"/>
            </w:tcBorders>
            <w:shd w:val="clear" w:color="auto" w:fill="auto"/>
            <w:vAlign w:val="center"/>
          </w:tcPr>
          <w:p>
            <w:pPr>
              <w:rPr>
                <w:rFonts w:ascii="宋体" w:hAnsi="宋体" w:eastAsia="宋体" w:cs="宋体"/>
                <w:sz w:val="24"/>
                <w:szCs w:val="24"/>
              </w:rPr>
            </w:pPr>
            <w:r>
              <w:rPr>
                <w:rFonts w:hint="eastAsia"/>
              </w:rPr>
              <w:t>小学教育</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1137.13</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1137.13</w:t>
            </w: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492"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6"/>
        <w:tblW w:w="0" w:type="auto"/>
        <w:tblInd w:w="0" w:type="dxa"/>
        <w:tblLayout w:type="fixed"/>
        <w:tblCellMar>
          <w:top w:w="0" w:type="dxa"/>
          <w:left w:w="108" w:type="dxa"/>
          <w:bottom w:w="0" w:type="dxa"/>
          <w:right w:w="108" w:type="dxa"/>
        </w:tblCellMar>
      </w:tblPr>
      <w:tblGrid>
        <w:gridCol w:w="1040"/>
        <w:gridCol w:w="2865"/>
        <w:gridCol w:w="1065"/>
        <w:gridCol w:w="1095"/>
        <w:gridCol w:w="2490"/>
        <w:gridCol w:w="870"/>
        <w:gridCol w:w="1095"/>
        <w:gridCol w:w="3912"/>
        <w:gridCol w:w="1182"/>
      </w:tblGrid>
      <w:tr>
        <w:tblPrEx>
          <w:tblCellMar>
            <w:top w:w="0" w:type="dxa"/>
            <w:left w:w="108" w:type="dxa"/>
            <w:bottom w:w="0" w:type="dxa"/>
            <w:right w:w="108" w:type="dxa"/>
          </w:tblCellMar>
        </w:tblPrEx>
        <w:trPr>
          <w:trHeight w:val="113" w:hRule="atLeast"/>
        </w:trPr>
        <w:tc>
          <w:tcPr>
            <w:tcW w:w="15614"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838" w:hRule="atLeast"/>
        </w:trPr>
        <w:tc>
          <w:tcPr>
            <w:tcW w:w="10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286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6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9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49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7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9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91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8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978.71</w:t>
            </w: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126.36</w:t>
            </w: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485.05</w:t>
            </w: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46.65</w:t>
            </w: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2.74</w:t>
            </w: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10.12</w:t>
            </w: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271.80</w:t>
            </w: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10.98</w:t>
            </w: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117.26</w:t>
            </w: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10.50</w:t>
            </w: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65.91</w:t>
            </w: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24.86</w:t>
            </w: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0.17</w:t>
            </w: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11.10</w:t>
            </w: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14.59</w:t>
            </w: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32.06</w:t>
            </w: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6.80</w:t>
            </w: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6.45</w:t>
            </w: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16.47</w:t>
            </w:r>
          </w:p>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16.47</w:t>
            </w: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8.78</w:t>
            </w: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25.81</w:t>
            </w: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1.08</w:t>
            </w: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28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4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8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09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p>
        </w:tc>
        <w:tc>
          <w:tcPr>
            <w:tcW w:w="391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390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06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20"/>
              </w:rPr>
            </w:pPr>
            <w:r>
              <w:rPr>
                <w:rFonts w:hint="eastAsia" w:ascii="宋体" w:hAnsi="宋体" w:eastAsia="宋体" w:cs="宋体"/>
                <w:color w:val="000000"/>
                <w:kern w:val="0"/>
                <w:szCs w:val="20"/>
              </w:rPr>
              <w:t>1010.77</w:t>
            </w:r>
          </w:p>
        </w:tc>
        <w:tc>
          <w:tcPr>
            <w:tcW w:w="9462"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18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000000"/>
                <w:kern w:val="0"/>
                <w:szCs w:val="18"/>
              </w:rPr>
            </w:pPr>
            <w:r>
              <w:rPr>
                <w:rFonts w:hint="eastAsia" w:ascii="宋体" w:hAnsi="宋体" w:eastAsia="宋体" w:cs="宋体"/>
                <w:color w:val="000000"/>
                <w:kern w:val="0"/>
                <w:szCs w:val="18"/>
              </w:rPr>
              <w:t>126.36.</w:t>
            </w:r>
          </w:p>
        </w:tc>
      </w:tr>
      <w:tr>
        <w:tblPrEx>
          <w:tblCellMar>
            <w:top w:w="0" w:type="dxa"/>
            <w:left w:w="108" w:type="dxa"/>
            <w:bottom w:w="0" w:type="dxa"/>
            <w:right w:w="108" w:type="dxa"/>
          </w:tblCellMar>
        </w:tblPrEx>
        <w:trPr>
          <w:trHeight w:val="284" w:hRule="exact"/>
        </w:trPr>
        <w:tc>
          <w:tcPr>
            <w:tcW w:w="15614"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autofit"/>
        <w:tblCellMar>
          <w:top w:w="0" w:type="dxa"/>
          <w:left w:w="108" w:type="dxa"/>
          <w:bottom w:w="0" w:type="dxa"/>
          <w:right w:w="108" w:type="dxa"/>
        </w:tblCellMar>
      </w:tblPr>
      <w:tblGrid>
        <w:gridCol w:w="1318"/>
        <w:gridCol w:w="1122"/>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318"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12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318"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12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318"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12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318"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本表无数据</w:t>
            </w:r>
          </w:p>
        </w:tc>
        <w:tc>
          <w:tcPr>
            <w:tcW w:w="1122"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nil"/>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本表无数据</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w:t>
            </w: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p>
        </w:tc>
        <w:tc>
          <w:tcPr>
            <w:tcW w:w="132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p>
        </w:tc>
        <w:tc>
          <w:tcPr>
            <w:tcW w:w="132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p>
        </w:tc>
        <w:tc>
          <w:tcPr>
            <w:tcW w:w="132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p>
        </w:tc>
        <w:tc>
          <w:tcPr>
            <w:tcW w:w="132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p>
        </w:tc>
        <w:tc>
          <w:tcPr>
            <w:tcW w:w="132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p>
        </w:tc>
        <w:tc>
          <w:tcPr>
            <w:tcW w:w="132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6"/>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本表无数据</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1"/>
        <w:rPr>
          <w:sz w:val="72"/>
          <w:szCs w:val="72"/>
        </w:rPr>
        <w:sectPr>
          <w:pgSz w:w="16838" w:h="11906" w:orient="landscape"/>
          <w:pgMar w:top="720" w:right="720" w:bottom="720" w:left="720" w:header="851" w:footer="992" w:gutter="0"/>
          <w:cols w:space="425" w:num="1"/>
          <w:docGrid w:type="lines" w:linePitch="312" w:charSpace="0"/>
        </w:sectPr>
      </w:pPr>
    </w:p>
    <w:p>
      <w:pPr>
        <w:pStyle w:val="11"/>
        <w:rPr>
          <w:sz w:val="72"/>
          <w:szCs w:val="72"/>
        </w:rPr>
      </w:pPr>
    </w:p>
    <w:p>
      <w:pPr>
        <w:pStyle w:val="11"/>
        <w:rPr>
          <w:sz w:val="72"/>
          <w:szCs w:val="72"/>
        </w:rPr>
      </w:pPr>
    </w:p>
    <w:p>
      <w:pPr>
        <w:pStyle w:val="11"/>
        <w:rPr>
          <w:sz w:val="72"/>
          <w:szCs w:val="72"/>
        </w:rPr>
      </w:pPr>
    </w:p>
    <w:p>
      <w:pPr>
        <w:pStyle w:val="11"/>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第三部分</w:t>
      </w:r>
    </w:p>
    <w:p>
      <w:pPr>
        <w:pStyle w:val="11"/>
        <w:jc w:val="center"/>
        <w:rPr>
          <w:sz w:val="70"/>
          <w:szCs w:val="70"/>
        </w:rPr>
      </w:pPr>
    </w:p>
    <w:p>
      <w:pPr>
        <w:pStyle w:val="11"/>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11"/>
        <w:rPr>
          <w:rFonts w:asciiTheme="minorEastAsia" w:hAnsiTheme="minorEastAsia" w:eastAsiaTheme="minorEastAsia"/>
          <w:sz w:val="32"/>
          <w:szCs w:val="32"/>
        </w:rPr>
      </w:pPr>
    </w:p>
    <w:p>
      <w:pPr>
        <w:pStyle w:val="11"/>
        <w:rPr>
          <w:rFonts w:hAnsi="黑体"/>
          <w:b/>
          <w:sz w:val="32"/>
          <w:szCs w:val="32"/>
        </w:rPr>
      </w:pPr>
      <w:r>
        <w:rPr>
          <w:rFonts w:hint="eastAsia" w:hAnsi="黑体"/>
          <w:b/>
          <w:sz w:val="32"/>
          <w:szCs w:val="32"/>
        </w:rPr>
        <w:t>一、收入支出决算总体情况说明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2021年度收、支总计</w:t>
      </w:r>
      <w:r>
        <w:rPr>
          <w:rFonts w:hint="eastAsia" w:asciiTheme="minorEastAsia" w:hAnsiTheme="minorEastAsia" w:eastAsiaTheme="minorEastAsia"/>
          <w:color w:val="auto"/>
          <w:sz w:val="32"/>
          <w:szCs w:val="32"/>
          <w:highlight w:val="none"/>
        </w:rPr>
        <w:t>3619.62</w:t>
      </w:r>
      <w:r>
        <w:rPr>
          <w:rFonts w:hint="eastAsia" w:asciiTheme="minorEastAsia" w:hAnsiTheme="minorEastAsia" w:eastAsiaTheme="minorEastAsia"/>
          <w:sz w:val="32"/>
          <w:szCs w:val="32"/>
        </w:rPr>
        <w:t>万元。与上年相比，增加</w:t>
      </w:r>
      <w:r>
        <w:rPr>
          <w:rFonts w:hint="eastAsia" w:asciiTheme="minorEastAsia" w:hAnsiTheme="minorEastAsia" w:eastAsiaTheme="minorEastAsia"/>
          <w:color w:val="auto"/>
          <w:sz w:val="32"/>
          <w:szCs w:val="32"/>
        </w:rPr>
        <w:t>233.69</w:t>
      </w:r>
      <w:r>
        <w:rPr>
          <w:rFonts w:hint="eastAsia" w:asciiTheme="minorEastAsia" w:hAnsiTheme="minorEastAsia" w:eastAsiaTheme="minorEastAsia"/>
          <w:sz w:val="32"/>
          <w:szCs w:val="32"/>
        </w:rPr>
        <w:t>万元，增长</w:t>
      </w:r>
      <w:r>
        <w:rPr>
          <w:rFonts w:hint="eastAsia" w:asciiTheme="minorEastAsia" w:hAnsiTheme="minorEastAsia" w:eastAsiaTheme="minorEastAsia"/>
          <w:color w:val="auto"/>
          <w:sz w:val="32"/>
          <w:szCs w:val="32"/>
        </w:rPr>
        <w:t>6.9</w:t>
      </w:r>
      <w:r>
        <w:rPr>
          <w:rFonts w:hint="eastAsia" w:asciiTheme="minorEastAsia" w:hAnsiTheme="minorEastAsia" w:eastAsiaTheme="minorEastAsia"/>
          <w:sz w:val="32"/>
          <w:szCs w:val="32"/>
        </w:rPr>
        <w:t>%，主要是因为工资福利支出和对个人及家庭的补助增加，项目建设投入有所减少。</w:t>
      </w:r>
    </w:p>
    <w:p>
      <w:pPr>
        <w:pStyle w:val="11"/>
        <w:rPr>
          <w:rFonts w:hAnsi="黑体"/>
          <w:b/>
          <w:sz w:val="32"/>
          <w:szCs w:val="32"/>
        </w:rPr>
      </w:pPr>
      <w:r>
        <w:rPr>
          <w:rFonts w:hint="eastAsia" w:hAnsi="黑体"/>
          <w:b/>
          <w:sz w:val="32"/>
          <w:szCs w:val="32"/>
        </w:rPr>
        <w:t>二、收入决算情况说明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2021年度收入合计1798.54万元，其中：财政拨款收入1137.13万元，占63.23%；其他收入661.41万元，占36.77%。</w:t>
      </w:r>
    </w:p>
    <w:p>
      <w:pPr>
        <w:pStyle w:val="11"/>
        <w:rPr>
          <w:rFonts w:hAnsi="黑体"/>
          <w:b/>
          <w:sz w:val="32"/>
          <w:szCs w:val="32"/>
        </w:rPr>
      </w:pPr>
      <w:r>
        <w:rPr>
          <w:rFonts w:hint="eastAsia" w:hAnsi="黑体"/>
          <w:b/>
          <w:sz w:val="32"/>
          <w:szCs w:val="32"/>
        </w:rPr>
        <w:t>三、支出决算情况说明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2021年度支出合计1821.08万元，其中：基本支出1582.44万元，占86.9%；项目支出238.64万元，占13.1%。</w:t>
      </w:r>
    </w:p>
    <w:p>
      <w:pPr>
        <w:pStyle w:val="11"/>
        <w:rPr>
          <w:rFonts w:hAnsi="黑体"/>
          <w:b/>
          <w:sz w:val="32"/>
          <w:szCs w:val="32"/>
        </w:rPr>
      </w:pPr>
      <w:r>
        <w:rPr>
          <w:rFonts w:hint="eastAsia" w:hAnsi="黑体"/>
          <w:b/>
          <w:sz w:val="32"/>
          <w:szCs w:val="32"/>
        </w:rPr>
        <w:t>四、财政拨款收入支出决算总体情况说明</w:t>
      </w:r>
    </w:p>
    <w:p>
      <w:pPr>
        <w:pStyle w:val="11"/>
        <w:ind w:firstLine="630"/>
        <w:rPr>
          <w:rFonts w:asciiTheme="minorEastAsia" w:hAnsiTheme="minorEastAsia" w:eastAsiaTheme="minorEastAsia"/>
          <w:color w:val="auto"/>
          <w:sz w:val="32"/>
          <w:szCs w:val="32"/>
        </w:rPr>
      </w:pPr>
      <w:r>
        <w:rPr>
          <w:rFonts w:hint="eastAsia" w:asciiTheme="minorEastAsia" w:hAnsiTheme="minorEastAsia" w:eastAsiaTheme="minorEastAsia"/>
          <w:sz w:val="32"/>
          <w:szCs w:val="32"/>
        </w:rPr>
        <w:t>2021年度财政拨款收、支总计</w:t>
      </w:r>
      <w:r>
        <w:rPr>
          <w:rFonts w:hint="eastAsia" w:asciiTheme="minorEastAsia" w:hAnsiTheme="minorEastAsia" w:eastAsiaTheme="minorEastAsia"/>
          <w:sz w:val="32"/>
          <w:szCs w:val="32"/>
          <w:highlight w:val="none"/>
        </w:rPr>
        <w:t>2274.26</w:t>
      </w:r>
      <w:r>
        <w:rPr>
          <w:rFonts w:hint="eastAsia" w:asciiTheme="minorEastAsia" w:hAnsiTheme="minorEastAsia" w:eastAsiaTheme="minorEastAsia"/>
          <w:sz w:val="32"/>
          <w:szCs w:val="32"/>
        </w:rPr>
        <w:t>万元，与上年相比，减少</w:t>
      </w:r>
      <w:r>
        <w:rPr>
          <w:rFonts w:hint="eastAsia" w:asciiTheme="minorEastAsia" w:hAnsiTheme="minorEastAsia" w:eastAsiaTheme="minorEastAsia"/>
          <w:color w:val="auto"/>
          <w:sz w:val="32"/>
          <w:szCs w:val="32"/>
        </w:rPr>
        <w:t>560.86万元,减少19.78%，主要是因为项目资金的减少。</w:t>
      </w:r>
    </w:p>
    <w:p>
      <w:pPr>
        <w:pStyle w:val="11"/>
        <w:ind w:firstLine="630"/>
        <w:rPr>
          <w:rFonts w:hAnsi="黑体"/>
          <w:b/>
          <w:sz w:val="32"/>
          <w:szCs w:val="32"/>
        </w:rPr>
      </w:pPr>
      <w:r>
        <w:rPr>
          <w:rFonts w:hint="eastAsia" w:hAnsi="黑体"/>
          <w:b/>
          <w:sz w:val="32"/>
          <w:szCs w:val="32"/>
        </w:rPr>
        <w:t>五、一般公共预算财政拨款支出决算情况说明</w:t>
      </w:r>
    </w:p>
    <w:p>
      <w:pPr>
        <w:pStyle w:val="11"/>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2021年度财政拨款支出1137.13万元，占本年支出合计的62.44%，与上年相比，财政拨款支出减少438.79万元，减少27.84%，主要是因为项目资金的减少。</w:t>
      </w:r>
    </w:p>
    <w:p>
      <w:pPr>
        <w:pStyle w:val="11"/>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1"/>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sz w:val="32"/>
          <w:szCs w:val="32"/>
        </w:rPr>
        <w:t>2021年度财政拨款支出1137.13万元，主要用于以下方面：教育支出1137.13万元，占100%</w:t>
      </w:r>
      <w:r>
        <w:rPr>
          <w:rFonts w:hint="eastAsia" w:asciiTheme="minorEastAsia" w:hAnsiTheme="minorEastAsia" w:eastAsiaTheme="minorEastAsia"/>
          <w:color w:val="auto"/>
          <w:sz w:val="32"/>
          <w:szCs w:val="32"/>
        </w:rPr>
        <w:t>。</w:t>
      </w:r>
    </w:p>
    <w:p>
      <w:pPr>
        <w:pStyle w:val="11"/>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2021年度财政拨款支出年初预算数为1086.29万元，支出决算数为1137.13万元，完成年初预算的104.68%.其中：</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教育支出（类）</w:t>
      </w:r>
      <w:r>
        <w:rPr>
          <w:rFonts w:hint="eastAsia" w:asciiTheme="minorEastAsia" w:hAnsiTheme="minorEastAsia" w:eastAsiaTheme="minorEastAsia"/>
          <w:sz w:val="32"/>
          <w:szCs w:val="32"/>
          <w:lang w:val="en-US" w:eastAsia="zh-CN"/>
        </w:rPr>
        <w:t>普通教育</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val="en-US" w:eastAsia="zh-CN"/>
        </w:rPr>
        <w:t>小学教育</w:t>
      </w:r>
      <w:r>
        <w:rPr>
          <w:rFonts w:hint="eastAsia" w:asciiTheme="minorEastAsia" w:hAnsiTheme="minorEastAsia" w:eastAsiaTheme="minorEastAsia"/>
          <w:sz w:val="32"/>
          <w:szCs w:val="32"/>
        </w:rPr>
        <w:t>（项）</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1086.29万元，支出决算为1137.13万元，完成年初预算的104.68%，决算数大于年初预算数的主要原因是：工资福利支出中基本工资、津补贴、绩效工资因人员增加而相应增加，各项社保因财政资金不足未能按时足额缴纳；商品和服务支出中因财政资金紧张除了水电费、培训费、交通费有所增加，其他各项支出均缩减开支，有所减少；。</w:t>
      </w:r>
    </w:p>
    <w:p>
      <w:pPr>
        <w:pStyle w:val="11"/>
        <w:rPr>
          <w:rFonts w:hAnsi="黑体"/>
          <w:b/>
          <w:sz w:val="32"/>
          <w:szCs w:val="32"/>
        </w:rPr>
      </w:pPr>
      <w:r>
        <w:rPr>
          <w:rFonts w:hint="eastAsia" w:hAnsi="黑体"/>
          <w:b/>
          <w:sz w:val="32"/>
          <w:szCs w:val="32"/>
        </w:rPr>
        <w:t>六、一般公共预算财政拨款基本支出决算情况说明</w:t>
      </w:r>
    </w:p>
    <w:p>
      <w:pPr>
        <w:pStyle w:val="11"/>
        <w:ind w:firstLine="640" w:firstLineChars="200"/>
        <w:rPr>
          <w:rFonts w:asciiTheme="minorEastAsia" w:hAnsiTheme="minorEastAsia" w:eastAsiaTheme="minorEastAsia"/>
          <w:i/>
          <w:color w:val="FF0000"/>
          <w:sz w:val="32"/>
          <w:szCs w:val="32"/>
        </w:rPr>
      </w:pPr>
      <w:r>
        <w:rPr>
          <w:rFonts w:hint="eastAsia" w:asciiTheme="minorEastAsia" w:hAnsiTheme="minorEastAsia" w:eastAsiaTheme="minorEastAsia"/>
          <w:sz w:val="32"/>
          <w:szCs w:val="32"/>
        </w:rPr>
        <w:t>2021年度财政拨款基本支出1137.13万元，其中：人员经费1010.77万元，占基本支出的88.89%,主要包括基本工资、津贴补贴、奖金、绩效工资、养老保险缴费、医疗保险缴费、住房公积金、其他社会保障缴费、离休费、退休费、生活补助；公用经费126.36万元，占基本支出的11.11%，主要包括办公费、印刷费、水费、电费、差旅费、维修（护）费、培训费、工会经费、其他交通费。</w:t>
      </w:r>
    </w:p>
    <w:p>
      <w:pPr>
        <w:pStyle w:val="11"/>
        <w:rPr>
          <w:rFonts w:hAnsi="黑体"/>
          <w:b/>
          <w:sz w:val="32"/>
          <w:szCs w:val="32"/>
        </w:rPr>
      </w:pPr>
      <w:r>
        <w:rPr>
          <w:rFonts w:hint="eastAsia" w:hAnsi="黑体"/>
          <w:b/>
          <w:sz w:val="32"/>
          <w:szCs w:val="32"/>
        </w:rPr>
        <w:t>七、一般公共预算财政拨款“三公”经费支出决算情况说明</w:t>
      </w:r>
    </w:p>
    <w:p>
      <w:pPr>
        <w:pStyle w:val="11"/>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2021年度“三公”经费财政拨款支出预算为0万元，支出决算为0万元。</w:t>
      </w:r>
    </w:p>
    <w:p>
      <w:pPr>
        <w:pStyle w:val="11"/>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2021年度无“三公”经费支出。</w:t>
      </w:r>
    </w:p>
    <w:p>
      <w:pPr>
        <w:pStyle w:val="11"/>
        <w:rPr>
          <w:rFonts w:hAnsi="黑体"/>
          <w:b/>
          <w:sz w:val="32"/>
          <w:szCs w:val="32"/>
        </w:rPr>
      </w:pPr>
      <w:r>
        <w:rPr>
          <w:rFonts w:hint="eastAsia" w:hAnsi="黑体"/>
          <w:b/>
          <w:sz w:val="32"/>
          <w:szCs w:val="32"/>
        </w:rPr>
        <w:t>八、政府性基金预算收入支出决算情况</w:t>
      </w:r>
    </w:p>
    <w:p>
      <w:pPr>
        <w:pStyle w:val="11"/>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2021年度无政府性基金预算财政拨款收支。</w:t>
      </w:r>
    </w:p>
    <w:p>
      <w:pPr>
        <w:pStyle w:val="11"/>
        <w:rPr>
          <w:rFonts w:hAnsi="黑体"/>
          <w:b/>
          <w:sz w:val="32"/>
          <w:szCs w:val="32"/>
        </w:rPr>
      </w:pPr>
      <w:r>
        <w:rPr>
          <w:rFonts w:hint="eastAsia" w:hAnsi="黑体"/>
          <w:b/>
          <w:sz w:val="32"/>
          <w:szCs w:val="32"/>
        </w:rPr>
        <w:t>九、机关运行经费支出说明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本部门2021年度机关运行经费支出126.36万元，比上年决算数减少135.15万元，降低51.68%：原因是财政经费紧张，单位在保证教育教学的前提下压缩各项开支，另外代课教师劳务费有所减少也是原因之一。</w:t>
      </w:r>
    </w:p>
    <w:p>
      <w:pPr>
        <w:pStyle w:val="11"/>
        <w:rPr>
          <w:rFonts w:hAnsi="黑体"/>
          <w:b/>
          <w:sz w:val="32"/>
          <w:szCs w:val="32"/>
        </w:rPr>
      </w:pPr>
      <w:r>
        <w:rPr>
          <w:rFonts w:hint="eastAsia" w:hAnsi="黑体"/>
          <w:b/>
          <w:sz w:val="32"/>
          <w:szCs w:val="32"/>
        </w:rPr>
        <w:t>十、一般性支出情况说明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2021年本部门开支会议费0万元；开支培训费6.45万元，用于开展教师业务培训，人数约46人次，内容为学科活动、教研改革等。</w:t>
      </w:r>
    </w:p>
    <w:p>
      <w:pPr>
        <w:pStyle w:val="11"/>
        <w:rPr>
          <w:rFonts w:hAnsi="黑体"/>
          <w:b/>
          <w:sz w:val="32"/>
          <w:szCs w:val="32"/>
        </w:rPr>
      </w:pPr>
      <w:r>
        <w:rPr>
          <w:rFonts w:hint="eastAsia" w:hAnsi="黑体"/>
          <w:b/>
          <w:sz w:val="32"/>
          <w:szCs w:val="32"/>
        </w:rPr>
        <w:t>十一、政府采购支出说明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本部门2021年度无政府采购支出。</w:t>
      </w:r>
    </w:p>
    <w:p>
      <w:pPr>
        <w:pStyle w:val="11"/>
        <w:rPr>
          <w:rFonts w:hAnsi="黑体"/>
          <w:b/>
          <w:sz w:val="32"/>
          <w:szCs w:val="32"/>
        </w:rPr>
      </w:pPr>
      <w:r>
        <w:rPr>
          <w:rFonts w:hint="eastAsia" w:hAnsi="黑体"/>
          <w:b/>
          <w:sz w:val="32"/>
          <w:szCs w:val="32"/>
        </w:rPr>
        <w:t>十二、国有资产占用情况说明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截至2021年12月31日，本单位无车辆；无单位价值50万元以上通用设备；无单位价值100万元以上专用设备。</w:t>
      </w:r>
    </w:p>
    <w:p>
      <w:pPr>
        <w:pStyle w:val="11"/>
        <w:rPr>
          <w:rFonts w:hAnsi="黑体"/>
          <w:b/>
          <w:sz w:val="32"/>
          <w:szCs w:val="32"/>
        </w:rPr>
      </w:pPr>
      <w:r>
        <w:rPr>
          <w:rFonts w:hint="eastAsia" w:hAnsi="黑体"/>
          <w:b/>
          <w:sz w:val="32"/>
          <w:szCs w:val="32"/>
        </w:rPr>
        <w:t>十三、2021年度预算绩效情况说明</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b/>
          <w:color w:val="000000"/>
          <w:kern w:val="0"/>
          <w:sz w:val="32"/>
          <w:szCs w:val="32"/>
        </w:rPr>
        <w:t>（1）绩效管理评价工作开展情况</w:t>
      </w:r>
      <w:r>
        <w:rPr>
          <w:rFonts w:hint="eastAsia" w:cs="黑体" w:asciiTheme="minorEastAsia" w:hAnsiTheme="minorEastAsia"/>
          <w:color w:val="000000"/>
          <w:kern w:val="0"/>
          <w:sz w:val="32"/>
          <w:szCs w:val="32"/>
        </w:rPr>
        <w:t>。</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根据预算绩效管理要求，我部门</w:t>
      </w:r>
      <w:r>
        <w:rPr>
          <w:rFonts w:cs="黑体" w:asciiTheme="minorEastAsia" w:hAnsiTheme="minorEastAsia"/>
          <w:color w:val="000000"/>
          <w:kern w:val="0"/>
          <w:sz w:val="32"/>
          <w:szCs w:val="32"/>
        </w:rPr>
        <w:t>2021</w:t>
      </w:r>
      <w:r>
        <w:rPr>
          <w:rFonts w:hint="eastAsia" w:cs="黑体" w:asciiTheme="minorEastAsia" w:hAnsiTheme="minorEastAsia"/>
          <w:color w:val="000000"/>
          <w:kern w:val="0"/>
          <w:sz w:val="32"/>
          <w:szCs w:val="32"/>
        </w:rPr>
        <w:t>年度无一般公共预算项目支出</w:t>
      </w: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rPr>
          <w:sz w:val="72"/>
          <w:szCs w:val="72"/>
        </w:rPr>
      </w:pPr>
    </w:p>
    <w:p>
      <w:pPr>
        <w:pStyle w:val="11"/>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both"/>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sz w:val="72"/>
          <w:szCs w:val="72"/>
        </w:rPr>
      </w:pPr>
      <w:r>
        <w:rPr>
          <w:rFonts w:ascii="黑体" w:eastAsia="黑体" w:cs="黑体"/>
          <w:color w:val="000000"/>
          <w:kern w:val="0"/>
          <w:sz w:val="70"/>
          <w:szCs w:val="70"/>
        </w:rPr>
        <w:br w:type="page"/>
      </w:r>
    </w:p>
    <w:p>
      <w:pPr>
        <w:keepNext w:val="0"/>
        <w:keepLines w:val="0"/>
        <w:widowControl w:val="0"/>
        <w:suppressLineNumbers w:val="0"/>
        <w:autoSpaceDE w:val="0"/>
        <w:autoSpaceDN/>
        <w:spacing w:before="0" w:beforeAutospacing="0" w:after="0" w:afterAutospacing="0"/>
        <w:ind w:left="735" w:leftChars="350" w:right="0"/>
        <w:jc w:val="both"/>
        <w:rPr>
          <w:rFonts w:hint="eastAsia" w:ascii="宋体" w:hAnsi="宋体" w:eastAsia="宋体" w:cs="Times New Roman"/>
          <w:kern w:val="2"/>
          <w:sz w:val="28"/>
          <w:szCs w:val="28"/>
        </w:rPr>
      </w:pPr>
      <w:r>
        <w:rPr>
          <w:rFonts w:hint="eastAsia" w:ascii="宋体" w:hAnsi="宋体" w:eastAsia="宋体" w:cs="宋体"/>
          <w:kern w:val="2"/>
          <w:sz w:val="28"/>
          <w:szCs w:val="28"/>
          <w:lang w:val="en-US" w:eastAsia="zh-CN" w:bidi="ar"/>
        </w:rPr>
        <w:t>一、财政拨款收入：指中央财政当年拨付的资金。</w:t>
      </w:r>
    </w:p>
    <w:p>
      <w:pPr>
        <w:keepNext w:val="0"/>
        <w:keepLines w:val="0"/>
        <w:widowControl w:val="0"/>
        <w:suppressLineNumbers w:val="0"/>
        <w:spacing w:before="0" w:beforeAutospacing="0" w:after="0" w:afterAutospacing="0"/>
        <w:ind w:left="0" w:right="0" w:firstLine="700" w:firstLineChars="250"/>
        <w:jc w:val="both"/>
        <w:rPr>
          <w:rFonts w:hint="eastAsia" w:ascii="宋体" w:hAnsi="宋体" w:eastAsia="宋体" w:cs="Times New Roman"/>
          <w:kern w:val="2"/>
          <w:sz w:val="28"/>
          <w:szCs w:val="28"/>
        </w:rPr>
      </w:pPr>
      <w:r>
        <w:rPr>
          <w:rFonts w:hint="eastAsia" w:ascii="宋体" w:hAnsi="宋体" w:eastAsia="宋体" w:cs="宋体"/>
          <w:kern w:val="2"/>
          <w:sz w:val="28"/>
          <w:szCs w:val="28"/>
          <w:lang w:val="en-US" w:eastAsia="zh-CN" w:bidi="ar"/>
        </w:rPr>
        <w:t>二、其他收入：指除“财政拨款收入”、“事业收入”、“经营收入”等以外的收入。主要是按规定动用的售房收入、存款利息收入等。</w:t>
      </w:r>
    </w:p>
    <w:p>
      <w:pPr>
        <w:keepNext w:val="0"/>
        <w:keepLines w:val="0"/>
        <w:widowControl w:val="0"/>
        <w:suppressLineNumbers w:val="0"/>
        <w:spacing w:before="0" w:beforeAutospacing="0" w:after="0" w:afterAutospacing="0"/>
        <w:ind w:left="0" w:right="0" w:firstLine="700" w:firstLineChars="250"/>
        <w:jc w:val="both"/>
        <w:rPr>
          <w:rFonts w:hint="eastAsia" w:ascii="宋体" w:hAnsi="宋体" w:eastAsia="宋体" w:cs="Times New Roman"/>
          <w:kern w:val="2"/>
          <w:sz w:val="28"/>
          <w:szCs w:val="28"/>
        </w:rPr>
      </w:pPr>
      <w:r>
        <w:rPr>
          <w:rFonts w:hint="eastAsia" w:ascii="宋体" w:hAnsi="宋体" w:eastAsia="宋体" w:cs="宋体"/>
          <w:kern w:val="2"/>
          <w:sz w:val="28"/>
          <w:szCs w:val="28"/>
          <w:lang w:val="en-US" w:eastAsia="zh-CN" w:bidi="ar"/>
        </w:rPr>
        <w:t>三、基本支出：指为保障机构正常运转、完成日常工作任务而发生的人员支出和公用支出。</w:t>
      </w:r>
    </w:p>
    <w:p>
      <w:pPr>
        <w:keepNext w:val="0"/>
        <w:keepLines w:val="0"/>
        <w:widowControl w:val="0"/>
        <w:suppressLineNumbers w:val="0"/>
        <w:spacing w:before="0" w:beforeAutospacing="0" w:after="0" w:afterAutospacing="0"/>
        <w:ind w:left="0" w:right="0" w:firstLine="700" w:firstLineChars="250"/>
        <w:jc w:val="both"/>
        <w:rPr>
          <w:rFonts w:hint="eastAsia" w:ascii="宋体" w:hAnsi="宋体" w:eastAsia="宋体" w:cs="Times New Roman"/>
          <w:kern w:val="2"/>
          <w:sz w:val="28"/>
          <w:szCs w:val="28"/>
        </w:rPr>
      </w:pPr>
      <w:r>
        <w:rPr>
          <w:rFonts w:hint="eastAsia" w:ascii="宋体" w:hAnsi="宋体" w:eastAsia="宋体" w:cs="宋体"/>
          <w:kern w:val="2"/>
          <w:sz w:val="28"/>
          <w:szCs w:val="28"/>
          <w:lang w:val="en-US" w:eastAsia="zh-CN" w:bidi="ar"/>
        </w:rPr>
        <w:t>四、项目支出：指在基本支出之外为完成特定行政任务和事业发展目标所发生的支出。</w:t>
      </w:r>
    </w:p>
    <w:p>
      <w:pPr>
        <w:keepNext w:val="0"/>
        <w:keepLines w:val="0"/>
        <w:widowControl w:val="0"/>
        <w:suppressLineNumbers w:val="0"/>
        <w:spacing w:before="0" w:beforeAutospacing="0" w:after="0" w:afterAutospacing="0"/>
        <w:ind w:left="0" w:right="0" w:firstLine="700" w:firstLineChars="250"/>
        <w:jc w:val="both"/>
        <w:rPr>
          <w:rFonts w:hint="eastAsia" w:ascii="宋体" w:hAnsi="宋体" w:eastAsia="宋体" w:cs="Times New Roman"/>
          <w:kern w:val="2"/>
          <w:sz w:val="28"/>
          <w:szCs w:val="28"/>
        </w:rPr>
      </w:pPr>
      <w:r>
        <w:rPr>
          <w:rFonts w:hint="eastAsia" w:ascii="宋体" w:hAnsi="宋体" w:eastAsia="宋体" w:cs="宋体"/>
          <w:kern w:val="2"/>
          <w:sz w:val="28"/>
          <w:szCs w:val="28"/>
          <w:lang w:val="en-US" w:eastAsia="zh-CN" w:bidi="ar"/>
        </w:rPr>
        <w:t>五、“三公”经费：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桥过路费、保险费、安全奖励费用等支出；公务接待费反映单位按规定开支的各类公务接待（含外宾接待）支出。</w:t>
      </w:r>
    </w:p>
    <w:p>
      <w:pPr>
        <w:keepNext w:val="0"/>
        <w:keepLines w:val="0"/>
        <w:widowControl w:val="0"/>
        <w:suppressLineNumbers w:val="0"/>
        <w:spacing w:before="0" w:beforeAutospacing="0" w:after="0" w:afterAutospacing="0"/>
        <w:ind w:left="0" w:right="0" w:firstLine="700" w:firstLineChars="250"/>
        <w:jc w:val="both"/>
        <w:rPr>
          <w:rFonts w:hint="default" w:ascii="Calibri" w:hAnsi="Calibri" w:eastAsia="宋体" w:cs="Times New Roman"/>
          <w:kern w:val="2"/>
          <w:sz w:val="72"/>
          <w:szCs w:val="72"/>
        </w:rPr>
      </w:pPr>
      <w:r>
        <w:rPr>
          <w:rFonts w:hint="eastAsia" w:ascii="宋体" w:hAnsi="宋体" w:eastAsia="宋体" w:cs="宋体"/>
          <w:kern w:val="2"/>
          <w:sz w:val="28"/>
          <w:szCs w:val="28"/>
          <w:lang w:val="en-US" w:eastAsia="zh-CN" w:bidi="ar"/>
        </w:rPr>
        <w:t>六、机关运行经费：为保障行政单位（含参照公务员法管理的的事业单位）运行用于购买货物和服务的各项资金，包括办公费、印刷费、邮电费、差旅费、会议费、福利费、日常维修费、专用材料费、一般设备购置费、水电费、取暖费、公务用车运行维护费以及其他费用。</w:t>
      </w:r>
    </w:p>
    <w:p>
      <w:pPr>
        <w:pStyle w:val="11"/>
        <w:jc w:val="center"/>
        <w:rPr>
          <w:rFonts w:hint="eastAsia"/>
          <w:sz w:val="72"/>
          <w:szCs w:val="72"/>
        </w:rPr>
      </w:pPr>
    </w:p>
    <w:p>
      <w:pPr>
        <w:pStyle w:val="11"/>
        <w:jc w:val="center"/>
        <w:rPr>
          <w:rFonts w:hint="eastAsia"/>
          <w:sz w:val="72"/>
          <w:szCs w:val="72"/>
        </w:rPr>
      </w:pPr>
    </w:p>
    <w:p>
      <w:pPr>
        <w:pStyle w:val="11"/>
        <w:jc w:val="both"/>
        <w:rPr>
          <w:rFonts w:hint="eastAsia"/>
          <w:sz w:val="72"/>
          <w:szCs w:val="72"/>
        </w:rPr>
      </w:pPr>
    </w:p>
    <w:p>
      <w:pPr>
        <w:pStyle w:val="11"/>
        <w:jc w:val="center"/>
        <w:rPr>
          <w:rFonts w:hint="eastAsia"/>
          <w:sz w:val="72"/>
          <w:szCs w:val="72"/>
        </w:rPr>
      </w:pPr>
    </w:p>
    <w:p>
      <w:pPr>
        <w:pStyle w:val="11"/>
        <w:jc w:val="center"/>
        <w:rPr>
          <w:rFonts w:hint="eastAsia"/>
          <w:sz w:val="72"/>
          <w:szCs w:val="72"/>
        </w:rPr>
      </w:pPr>
    </w:p>
    <w:p>
      <w:pPr>
        <w:pStyle w:val="11"/>
        <w:jc w:val="both"/>
        <w:rPr>
          <w:rFonts w:hint="eastAsia"/>
          <w:sz w:val="72"/>
          <w:szCs w:val="72"/>
        </w:rPr>
      </w:pPr>
      <w:bookmarkStart w:id="3" w:name="_GoBack"/>
      <w:bookmarkEnd w:id="3"/>
    </w:p>
    <w:p>
      <w:pPr>
        <w:pStyle w:val="11"/>
        <w:jc w:val="center"/>
        <w:rPr>
          <w:rFonts w:hint="eastAsia"/>
          <w:sz w:val="72"/>
          <w:szCs w:val="72"/>
        </w:rPr>
      </w:pPr>
    </w:p>
    <w:p>
      <w:pPr>
        <w:pStyle w:val="11"/>
        <w:jc w:val="center"/>
        <w:rPr>
          <w:rFonts w:hint="eastAsia"/>
          <w:sz w:val="72"/>
          <w:szCs w:val="72"/>
        </w:rPr>
      </w:pPr>
    </w:p>
    <w:p>
      <w:pPr>
        <w:pStyle w:val="11"/>
        <w:jc w:val="center"/>
        <w:rPr>
          <w:rFonts w:hint="eastAsia"/>
          <w:sz w:val="72"/>
          <w:szCs w:val="72"/>
        </w:rPr>
      </w:pPr>
    </w:p>
    <w:p>
      <w:pPr>
        <w:pStyle w:val="11"/>
        <w:jc w:val="center"/>
        <w:rPr>
          <w:rFonts w:hint="eastAsia"/>
          <w:sz w:val="72"/>
          <w:szCs w:val="72"/>
        </w:rPr>
      </w:pPr>
    </w:p>
    <w:p>
      <w:pPr>
        <w:pStyle w:val="11"/>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2021年度部门整体支出绩效评价报告</w:t>
      </w: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A76DAC1-3EAE-4C35-B065-58A1886A9EC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7D4417A-BD74-4A53-B03A-261C2180F584}"/>
  </w:font>
  <w:font w:name="方正黑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4A8BE296-5CF0-4DC2-920C-D634BD980C98}"/>
  </w:font>
  <w:font w:name="微软雅黑">
    <w:panose1 w:val="020B0503020204020204"/>
    <w:charset w:val="86"/>
    <w:family w:val="swiss"/>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embedRegular r:id="rId4" w:fontKey="{15DA1B97-03E8-44E2-9A0E-EFB2FDCA2409}"/>
  </w:font>
  <w:font w:name="方正小标宋_GBK">
    <w:panose1 w:val="02000000000000000000"/>
    <w:charset w:val="86"/>
    <w:family w:val="script"/>
    <w:pitch w:val="default"/>
    <w:sig w:usb0="00000001" w:usb1="080E0000" w:usb2="00000000" w:usb3="00000000" w:csb0="00040000" w:csb1="00000000"/>
    <w:embedRegular r:id="rId5" w:fontKey="{9590BE11-01CB-479C-A83C-0E37A6FBA62F}"/>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jkyMjhkNjc2ZDIwYTA3OTQxYWFjMjEwOTM2NjBiNDYifQ=="/>
  </w:docVars>
  <w:rsids>
    <w:rsidRoot w:val="004506F9"/>
    <w:rsid w:val="0002229B"/>
    <w:rsid w:val="00025E62"/>
    <w:rsid w:val="000273BD"/>
    <w:rsid w:val="000415B7"/>
    <w:rsid w:val="00041E3F"/>
    <w:rsid w:val="00055DAA"/>
    <w:rsid w:val="00061F7B"/>
    <w:rsid w:val="000658A3"/>
    <w:rsid w:val="00074155"/>
    <w:rsid w:val="000873EF"/>
    <w:rsid w:val="000A3F69"/>
    <w:rsid w:val="000C53BE"/>
    <w:rsid w:val="00103957"/>
    <w:rsid w:val="0010502C"/>
    <w:rsid w:val="001144D0"/>
    <w:rsid w:val="00124A1F"/>
    <w:rsid w:val="00152C6D"/>
    <w:rsid w:val="00162D39"/>
    <w:rsid w:val="001678BD"/>
    <w:rsid w:val="00182373"/>
    <w:rsid w:val="00197855"/>
    <w:rsid w:val="001A67DB"/>
    <w:rsid w:val="001C3C29"/>
    <w:rsid w:val="001C5183"/>
    <w:rsid w:val="001D51E5"/>
    <w:rsid w:val="001E080D"/>
    <w:rsid w:val="001E53D0"/>
    <w:rsid w:val="001F0C3B"/>
    <w:rsid w:val="00202C14"/>
    <w:rsid w:val="00202C82"/>
    <w:rsid w:val="00214427"/>
    <w:rsid w:val="00226CB7"/>
    <w:rsid w:val="00243749"/>
    <w:rsid w:val="00264552"/>
    <w:rsid w:val="00264EF9"/>
    <w:rsid w:val="00265724"/>
    <w:rsid w:val="0027426B"/>
    <w:rsid w:val="00285A50"/>
    <w:rsid w:val="0028705D"/>
    <w:rsid w:val="00293840"/>
    <w:rsid w:val="002E0A30"/>
    <w:rsid w:val="003130C4"/>
    <w:rsid w:val="00316C4B"/>
    <w:rsid w:val="00316E3B"/>
    <w:rsid w:val="0032192B"/>
    <w:rsid w:val="003479BD"/>
    <w:rsid w:val="0037197D"/>
    <w:rsid w:val="003768D5"/>
    <w:rsid w:val="003B2614"/>
    <w:rsid w:val="003C0D22"/>
    <w:rsid w:val="003C4197"/>
    <w:rsid w:val="003C47E6"/>
    <w:rsid w:val="003C4FC2"/>
    <w:rsid w:val="003E2331"/>
    <w:rsid w:val="00416E61"/>
    <w:rsid w:val="0042790C"/>
    <w:rsid w:val="004506F9"/>
    <w:rsid w:val="004717A2"/>
    <w:rsid w:val="004726B0"/>
    <w:rsid w:val="00473DF3"/>
    <w:rsid w:val="00487911"/>
    <w:rsid w:val="00491741"/>
    <w:rsid w:val="004B0CEE"/>
    <w:rsid w:val="00500E5F"/>
    <w:rsid w:val="005122EF"/>
    <w:rsid w:val="0051441A"/>
    <w:rsid w:val="00517C33"/>
    <w:rsid w:val="00517D5F"/>
    <w:rsid w:val="00521AF2"/>
    <w:rsid w:val="00523644"/>
    <w:rsid w:val="00524C81"/>
    <w:rsid w:val="0054069E"/>
    <w:rsid w:val="00544866"/>
    <w:rsid w:val="005767CC"/>
    <w:rsid w:val="00590D9F"/>
    <w:rsid w:val="00595D26"/>
    <w:rsid w:val="005A74E6"/>
    <w:rsid w:val="005B404E"/>
    <w:rsid w:val="005D4D55"/>
    <w:rsid w:val="005D7FDB"/>
    <w:rsid w:val="005E2CFB"/>
    <w:rsid w:val="005F2103"/>
    <w:rsid w:val="005F3D1C"/>
    <w:rsid w:val="0062378F"/>
    <w:rsid w:val="00641842"/>
    <w:rsid w:val="00651EEC"/>
    <w:rsid w:val="00680F43"/>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5539B"/>
    <w:rsid w:val="00857FA2"/>
    <w:rsid w:val="0086638C"/>
    <w:rsid w:val="00875FE0"/>
    <w:rsid w:val="008912B5"/>
    <w:rsid w:val="008A3B43"/>
    <w:rsid w:val="008A3E8D"/>
    <w:rsid w:val="009237C4"/>
    <w:rsid w:val="00944C48"/>
    <w:rsid w:val="00945A98"/>
    <w:rsid w:val="00950252"/>
    <w:rsid w:val="00967F5D"/>
    <w:rsid w:val="009A0F95"/>
    <w:rsid w:val="009B3ADF"/>
    <w:rsid w:val="009C3B52"/>
    <w:rsid w:val="009E6817"/>
    <w:rsid w:val="009E6E9A"/>
    <w:rsid w:val="00A01D2B"/>
    <w:rsid w:val="00A42218"/>
    <w:rsid w:val="00A70249"/>
    <w:rsid w:val="00A70B02"/>
    <w:rsid w:val="00A71D9F"/>
    <w:rsid w:val="00A92E9F"/>
    <w:rsid w:val="00AA7443"/>
    <w:rsid w:val="00B33BEA"/>
    <w:rsid w:val="00B57C9F"/>
    <w:rsid w:val="00B63572"/>
    <w:rsid w:val="00B845B3"/>
    <w:rsid w:val="00B85D8B"/>
    <w:rsid w:val="00BB4A40"/>
    <w:rsid w:val="00BD6C3E"/>
    <w:rsid w:val="00BE3674"/>
    <w:rsid w:val="00C10681"/>
    <w:rsid w:val="00C3049A"/>
    <w:rsid w:val="00C31B1E"/>
    <w:rsid w:val="00C61444"/>
    <w:rsid w:val="00C77645"/>
    <w:rsid w:val="00CE04C3"/>
    <w:rsid w:val="00CE76A0"/>
    <w:rsid w:val="00D05088"/>
    <w:rsid w:val="00D148C6"/>
    <w:rsid w:val="00D17A8A"/>
    <w:rsid w:val="00D415BA"/>
    <w:rsid w:val="00D5102B"/>
    <w:rsid w:val="00D63780"/>
    <w:rsid w:val="00D644EE"/>
    <w:rsid w:val="00D75489"/>
    <w:rsid w:val="00DC5A96"/>
    <w:rsid w:val="00DD06FF"/>
    <w:rsid w:val="00DD5FE9"/>
    <w:rsid w:val="00DF6B54"/>
    <w:rsid w:val="00E00C7A"/>
    <w:rsid w:val="00E209CF"/>
    <w:rsid w:val="00E37D6C"/>
    <w:rsid w:val="00E55B68"/>
    <w:rsid w:val="00E67BE6"/>
    <w:rsid w:val="00E8683C"/>
    <w:rsid w:val="00EA2B72"/>
    <w:rsid w:val="00EA6F0F"/>
    <w:rsid w:val="00F03B52"/>
    <w:rsid w:val="00F74360"/>
    <w:rsid w:val="00FB462F"/>
    <w:rsid w:val="00FE16FA"/>
    <w:rsid w:val="00FE328A"/>
    <w:rsid w:val="00FE6269"/>
    <w:rsid w:val="00FF5CD6"/>
    <w:rsid w:val="1A656A9B"/>
    <w:rsid w:val="3A78128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3"/>
    <w:semiHidden/>
    <w:unhideWhenUsed/>
    <w:qFormat/>
    <w:uiPriority w:val="99"/>
    <w:rPr>
      <w:sz w:val="18"/>
      <w:szCs w:val="18"/>
    </w:rPr>
  </w:style>
  <w:style w:type="paragraph" w:styleId="4">
    <w:name w:val="footer"/>
    <w:basedOn w:val="1"/>
    <w:link w:val="10"/>
    <w:unhideWhenUsed/>
    <w:uiPriority w:val="99"/>
    <w:pPr>
      <w:tabs>
        <w:tab w:val="center" w:pos="4153"/>
        <w:tab w:val="right" w:pos="8306"/>
      </w:tabs>
      <w:snapToGrid w:val="0"/>
      <w:jc w:val="left"/>
    </w:pPr>
    <w:rPr>
      <w:sz w:val="18"/>
      <w:szCs w:val="18"/>
    </w:rPr>
  </w:style>
  <w:style w:type="paragraph" w:styleId="5">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character" w:styleId="8">
    <w:name w:val="annotation reference"/>
    <w:basedOn w:val="7"/>
    <w:semiHidden/>
    <w:unhideWhenUsed/>
    <w:uiPriority w:val="99"/>
    <w:rPr>
      <w:sz w:val="21"/>
      <w:szCs w:val="21"/>
    </w:rPr>
  </w:style>
  <w:style w:type="character" w:customStyle="1" w:styleId="9">
    <w:name w:val="页眉 Char"/>
    <w:basedOn w:val="7"/>
    <w:link w:val="5"/>
    <w:qFormat/>
    <w:uiPriority w:val="99"/>
    <w:rPr>
      <w:sz w:val="18"/>
      <w:szCs w:val="18"/>
    </w:rPr>
  </w:style>
  <w:style w:type="character" w:customStyle="1" w:styleId="10">
    <w:name w:val="页脚 Char"/>
    <w:basedOn w:val="7"/>
    <w:link w:val="4"/>
    <w:qFormat/>
    <w:uiPriority w:val="99"/>
    <w:rPr>
      <w:sz w:val="18"/>
      <w:szCs w:val="18"/>
    </w:rPr>
  </w:style>
  <w:style w:type="paragraph" w:customStyle="1" w:styleId="11">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2">
    <w:name w:val="List Paragraph"/>
    <w:basedOn w:val="1"/>
    <w:qFormat/>
    <w:uiPriority w:val="34"/>
    <w:pPr>
      <w:ind w:firstLine="420" w:firstLineChars="200"/>
    </w:pPr>
  </w:style>
  <w:style w:type="character" w:customStyle="1" w:styleId="13">
    <w:name w:val="批注框文本 Char"/>
    <w:basedOn w:val="7"/>
    <w:link w:val="3"/>
    <w:semiHidden/>
    <w:uiPriority w:val="99"/>
    <w:rPr>
      <w:sz w:val="18"/>
      <w:szCs w:val="18"/>
    </w:rPr>
  </w:style>
  <w:style w:type="character" w:customStyle="1" w:styleId="14">
    <w:name w:val="10"/>
    <w:basedOn w:val="7"/>
    <w:uiPriority w:val="0"/>
    <w:rPr>
      <w:rFonts w:hint="default" w:ascii="Times New Roman" w:hAnsi="Times New Roman" w:cs="Times New Roman"/>
    </w:rPr>
  </w:style>
  <w:style w:type="character" w:customStyle="1" w:styleId="15">
    <w:name w:val="15"/>
    <w:basedOn w:val="7"/>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4021</Words>
  <Characters>5075</Characters>
  <Lines>1</Lines>
  <Paragraphs>1</Paragraphs>
  <TotalTime>4</TotalTime>
  <ScaleCrop>false</ScaleCrop>
  <LinksUpToDate>false</LinksUpToDate>
  <CharactersWithSpaces>5350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2022-10-08T07:53:00Z</dcterms:created>
  <dc:creator>李航 null</dc:creator>
  <cp:lastModifiedBy>栖</cp:lastModifiedBy>
  <cp:lastPrinted>2022-07-27T12:55:00Z</cp:lastPrinted>
  <dcterms:modified xsi:type="dcterms:W3CDTF">2022-10-11T07:27:53Z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327EC4E6FDDC43B89BEC7C965A7025C6</vt:lpwstr>
  </property>
</Properties>
</file>