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2021年度</w:t>
      </w:r>
    </w:p>
    <w:p>
      <w:pPr>
        <w:pStyle w:val="10"/>
        <w:jc w:val="center"/>
        <w:rPr>
          <w:sz w:val="84"/>
          <w:szCs w:val="84"/>
        </w:rPr>
      </w:pPr>
      <w:r>
        <w:rPr>
          <w:rFonts w:hint="eastAsia"/>
          <w:sz w:val="84"/>
          <w:szCs w:val="84"/>
          <w:lang w:eastAsia="zh-CN"/>
        </w:rPr>
        <w:t>湘乡一职</w:t>
      </w: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center"/>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湘乡一职</w:t>
      </w:r>
      <w:r>
        <w:rPr>
          <w:rFonts w:hint="eastAsia"/>
          <w:b/>
          <w:sz w:val="28"/>
          <w:szCs w:val="28"/>
        </w:rPr>
        <w:t>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lang w:eastAsia="zh-CN"/>
        </w:rPr>
        <w:t>湘乡一职</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firstLine="1120" w:firstLineChars="350"/>
        <w:jc w:val="left"/>
        <w:rPr>
          <w:rFonts w:hint="eastAsia" w:ascii="仿宋" w:hAnsi="仿宋" w:eastAsia="仿宋"/>
          <w:sz w:val="32"/>
          <w:szCs w:val="24"/>
        </w:rPr>
      </w:pPr>
      <w:r>
        <w:rPr>
          <w:rFonts w:hint="eastAsia" w:eastAsia="仿宋_GB2312"/>
          <w:sz w:val="32"/>
          <w:szCs w:val="24"/>
          <w:lang w:val="en-US" w:eastAsia="zh-CN"/>
        </w:rPr>
        <w:t>开展中等职业技术教育，促进职业教育事业发展，按照国家的教育方针和职业教育法实施政治思想、职业道德、职业知识、职业技能中等职业教育</w:t>
      </w:r>
      <w:r>
        <w:rPr>
          <w:rFonts w:hint="eastAsia" w:ascii="仿宋" w:hAnsi="仿宋" w:eastAsia="仿宋"/>
          <w:sz w:val="32"/>
          <w:szCs w:val="24"/>
        </w:rPr>
        <w:t>。</w:t>
      </w:r>
    </w:p>
    <w:p>
      <w:pPr>
        <w:ind w:firstLine="1120" w:firstLineChars="350"/>
        <w:jc w:val="lef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ascii="仿宋" w:hAnsi="仿宋" w:eastAsia="仿宋"/>
          <w:sz w:val="32"/>
          <w:szCs w:val="24"/>
        </w:rPr>
        <w:t>202</w:t>
      </w:r>
      <w:r>
        <w:rPr>
          <w:rFonts w:hint="eastAsia" w:ascii="仿宋" w:hAnsi="仿宋" w:eastAsia="仿宋"/>
          <w:sz w:val="32"/>
          <w:szCs w:val="24"/>
          <w:lang w:val="en-US" w:eastAsia="zh-CN"/>
        </w:rPr>
        <w:t>1</w:t>
      </w:r>
      <w:r>
        <w:rPr>
          <w:rFonts w:hint="eastAsia" w:ascii="仿宋" w:hAnsi="仿宋" w:eastAsia="仿宋"/>
          <w:sz w:val="32"/>
          <w:szCs w:val="24"/>
        </w:rPr>
        <w:t>年本单位</w:t>
      </w:r>
      <w:r>
        <w:rPr>
          <w:rFonts w:hint="eastAsia" w:ascii="仿宋" w:hAnsi="仿宋" w:eastAsia="仿宋"/>
          <w:sz w:val="32"/>
          <w:szCs w:val="24"/>
          <w:lang w:eastAsia="zh-CN"/>
        </w:rPr>
        <w:t>由</w:t>
      </w:r>
      <w:r>
        <w:rPr>
          <w:rFonts w:hint="eastAsia" w:eastAsia="仿宋_GB2312"/>
          <w:sz w:val="32"/>
          <w:szCs w:val="24"/>
          <w:lang w:val="en-US" w:eastAsia="zh-CN"/>
        </w:rPr>
        <w:t>办公室、总务处、教务处、学生处、电大培训部、电子汽修部、信息服务部</w:t>
      </w:r>
      <w:r>
        <w:rPr>
          <w:rFonts w:hint="eastAsia" w:ascii="仿宋" w:hAnsi="仿宋" w:eastAsia="仿宋"/>
          <w:sz w:val="32"/>
          <w:szCs w:val="24"/>
        </w:rPr>
        <w:t>组成。</w:t>
      </w:r>
    </w:p>
    <w:p>
      <w:pPr>
        <w:widowControl/>
        <w:spacing w:line="600" w:lineRule="exact"/>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湘乡一职</w:t>
      </w:r>
      <w:r>
        <w:rPr>
          <w:rFonts w:asciiTheme="minorEastAsia" w:hAnsiTheme="minorEastAsia"/>
          <w:bCs/>
          <w:kern w:val="0"/>
          <w:sz w:val="32"/>
          <w:szCs w:val="32"/>
        </w:rPr>
        <w:t>20</w:t>
      </w:r>
      <w:r>
        <w:rPr>
          <w:rFonts w:hint="eastAsia" w:asciiTheme="minorEastAsia" w:hAnsiTheme="minorEastAsia"/>
          <w:bCs/>
          <w:kern w:val="0"/>
          <w:sz w:val="32"/>
          <w:szCs w:val="32"/>
        </w:rPr>
        <w:t>21年部门决算汇总公开单位构成包括：</w:t>
      </w:r>
      <w:r>
        <w:rPr>
          <w:rFonts w:hint="eastAsia" w:asciiTheme="minorEastAsia" w:hAnsiTheme="minorEastAsia"/>
          <w:bCs/>
          <w:kern w:val="0"/>
          <w:sz w:val="32"/>
          <w:szCs w:val="32"/>
          <w:lang w:eastAsia="zh-CN"/>
        </w:rPr>
        <w:t>湘乡一职</w:t>
      </w:r>
      <w:r>
        <w:rPr>
          <w:rFonts w:hint="eastAsia" w:asciiTheme="minorEastAsia" w:hAnsiTheme="minorEastAsia"/>
          <w:bCs/>
          <w:kern w:val="0"/>
          <w:sz w:val="32"/>
          <w:szCs w:val="32"/>
        </w:rPr>
        <w:t>本级</w:t>
      </w:r>
      <w:r>
        <w:rPr>
          <w:rFonts w:hint="eastAsia" w:asciiTheme="minorEastAsia" w:hAnsiTheme="minorEastAsia"/>
          <w:bCs/>
          <w:kern w:val="0"/>
          <w:sz w:val="32"/>
          <w:szCs w:val="32"/>
          <w:lang w:eastAsia="zh-CN"/>
        </w:rPr>
        <w:t>。</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7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7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1,430.48</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704.04</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3,079.98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944.65</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3,079.16</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3,229.98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153.40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3,232.56</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3,232.56</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697" w:type="dxa"/>
        <w:tblInd w:w="0" w:type="dxa"/>
        <w:tblLayout w:type="fixed"/>
        <w:tblCellMar>
          <w:top w:w="0" w:type="dxa"/>
          <w:left w:w="0" w:type="dxa"/>
          <w:bottom w:w="0" w:type="dxa"/>
          <w:right w:w="0" w:type="dxa"/>
        </w:tblCellMar>
      </w:tblPr>
      <w:tblGrid>
        <w:gridCol w:w="401"/>
        <w:gridCol w:w="399"/>
        <w:gridCol w:w="3142"/>
        <w:gridCol w:w="1536"/>
        <w:gridCol w:w="1536"/>
        <w:gridCol w:w="1536"/>
        <w:gridCol w:w="1536"/>
        <w:gridCol w:w="1536"/>
        <w:gridCol w:w="1536"/>
        <w:gridCol w:w="1539"/>
      </w:tblGrid>
      <w:tr>
        <w:trPr>
          <w:trHeight w:val="435" w:hRule="atLeast"/>
        </w:trPr>
        <w:tc>
          <w:tcPr>
            <w:tcW w:w="14697"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40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39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314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8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314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color w:val="000000"/>
                <w:sz w:val="20"/>
                <w:szCs w:val="20"/>
                <w:lang w:eastAsia="zh-CN"/>
              </w:rPr>
            </w:pP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53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394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5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536"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5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5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5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5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53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8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3142"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14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394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5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5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5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5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5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5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53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394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3,079.16</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1,430.48</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704.04</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944.65</w:t>
            </w:r>
          </w:p>
        </w:tc>
      </w:tr>
      <w:tr>
        <w:tblPrEx>
          <w:tblCellMar>
            <w:top w:w="0" w:type="dxa"/>
            <w:left w:w="0" w:type="dxa"/>
            <w:bottom w:w="0" w:type="dxa"/>
            <w:right w:w="0" w:type="dxa"/>
          </w:tblCellMar>
        </w:tblPrEx>
        <w:trPr>
          <w:trHeight w:val="450" w:hRule="atLeast"/>
        </w:trPr>
        <w:tc>
          <w:tcPr>
            <w:tcW w:w="8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w:t>
            </w:r>
          </w:p>
        </w:tc>
        <w:tc>
          <w:tcPr>
            <w:tcW w:w="31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教育支出</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2,929.16</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1,280.48</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704.04</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944.65</w:t>
            </w:r>
          </w:p>
        </w:tc>
      </w:tr>
      <w:tr>
        <w:tblPrEx>
          <w:tblCellMar>
            <w:top w:w="0" w:type="dxa"/>
            <w:left w:w="0" w:type="dxa"/>
            <w:bottom w:w="0" w:type="dxa"/>
            <w:right w:w="0" w:type="dxa"/>
          </w:tblCellMar>
        </w:tblPrEx>
        <w:trPr>
          <w:trHeight w:val="450" w:hRule="atLeast"/>
        </w:trPr>
        <w:tc>
          <w:tcPr>
            <w:tcW w:w="8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20503</w:t>
            </w:r>
          </w:p>
        </w:tc>
        <w:tc>
          <w:tcPr>
            <w:tcW w:w="31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职业教育</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2,764.82</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1,116.13</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704.04</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944.65</w:t>
            </w:r>
          </w:p>
        </w:tc>
      </w:tr>
      <w:tr>
        <w:tblPrEx>
          <w:tblCellMar>
            <w:top w:w="0" w:type="dxa"/>
            <w:left w:w="0" w:type="dxa"/>
            <w:bottom w:w="0" w:type="dxa"/>
            <w:right w:w="0" w:type="dxa"/>
          </w:tblCellMar>
        </w:tblPrEx>
        <w:trPr>
          <w:trHeight w:val="450" w:hRule="atLeast"/>
        </w:trPr>
        <w:tc>
          <w:tcPr>
            <w:tcW w:w="8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2050302</w:t>
            </w:r>
          </w:p>
        </w:tc>
        <w:tc>
          <w:tcPr>
            <w:tcW w:w="31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中等职业教育</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2,764.82</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1,116.13</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704.04</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944.65</w:t>
            </w:r>
          </w:p>
        </w:tc>
      </w:tr>
      <w:tr>
        <w:tblPrEx>
          <w:tblCellMar>
            <w:top w:w="0" w:type="dxa"/>
            <w:left w:w="0" w:type="dxa"/>
            <w:bottom w:w="0" w:type="dxa"/>
            <w:right w:w="0" w:type="dxa"/>
          </w:tblCellMar>
        </w:tblPrEx>
        <w:trPr>
          <w:trHeight w:val="450" w:hRule="atLeast"/>
        </w:trPr>
        <w:tc>
          <w:tcPr>
            <w:tcW w:w="8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20599</w:t>
            </w:r>
          </w:p>
        </w:tc>
        <w:tc>
          <w:tcPr>
            <w:tcW w:w="31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其他教育支出</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164.34</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164.34</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2059999</w:t>
            </w:r>
          </w:p>
        </w:tc>
        <w:tc>
          <w:tcPr>
            <w:tcW w:w="31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其他教育支出</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164.34</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164.34</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207</w:t>
            </w:r>
          </w:p>
        </w:tc>
        <w:tc>
          <w:tcPr>
            <w:tcW w:w="31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150.00</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150.00</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20703</w:t>
            </w:r>
          </w:p>
        </w:tc>
        <w:tc>
          <w:tcPr>
            <w:tcW w:w="31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体育</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50.00</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50.00</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2070399</w:t>
            </w:r>
          </w:p>
        </w:tc>
        <w:tc>
          <w:tcPr>
            <w:tcW w:w="31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其他体育支出</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50.00</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50.00</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20799</w:t>
            </w:r>
          </w:p>
        </w:tc>
        <w:tc>
          <w:tcPr>
            <w:tcW w:w="31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100.00</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100.00</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2079999</w:t>
            </w:r>
          </w:p>
        </w:tc>
        <w:tc>
          <w:tcPr>
            <w:tcW w:w="31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100.00</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100.00</w:t>
            </w: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3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615" w:hRule="atLeast"/>
        </w:trPr>
        <w:tc>
          <w:tcPr>
            <w:tcW w:w="14697"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183" w:type="dxa"/>
        <w:tblInd w:w="93" w:type="dxa"/>
        <w:tblLayout w:type="fixed"/>
        <w:tblCellMar>
          <w:top w:w="0" w:type="dxa"/>
          <w:left w:w="108" w:type="dxa"/>
          <w:bottom w:w="0" w:type="dxa"/>
          <w:right w:w="108" w:type="dxa"/>
        </w:tblCellMar>
      </w:tblPr>
      <w:tblGrid>
        <w:gridCol w:w="1042"/>
        <w:gridCol w:w="222"/>
        <w:gridCol w:w="3443"/>
        <w:gridCol w:w="1412"/>
        <w:gridCol w:w="1412"/>
        <w:gridCol w:w="1412"/>
        <w:gridCol w:w="1412"/>
        <w:gridCol w:w="1412"/>
        <w:gridCol w:w="1416"/>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2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344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344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nil"/>
              <w:right w:val="nil"/>
            </w:tcBorders>
            <w:shd w:val="clear" w:color="000000" w:fill="FFFFFF"/>
            <w:noWrap/>
            <w:vAlign w:val="center"/>
          </w:tcPr>
          <w:p>
            <w:pPr>
              <w:widowControl/>
              <w:jc w:val="center"/>
              <w:rPr>
                <w:rFonts w:hint="eastAsia" w:ascii="宋体" w:hAnsi="宋体" w:eastAsia="宋体" w:cs="宋体"/>
                <w:color w:val="000000"/>
                <w:kern w:val="0"/>
                <w:sz w:val="20"/>
                <w:szCs w:val="20"/>
                <w:lang w:eastAsia="zh-CN"/>
              </w:rPr>
            </w:pPr>
          </w:p>
        </w:tc>
        <w:tc>
          <w:tcPr>
            <w:tcW w:w="141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4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470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4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4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4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4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4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41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44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4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44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470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4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4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4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41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470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3,229.98</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2,490.98</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739.00</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w:t>
            </w:r>
          </w:p>
        </w:tc>
        <w:tc>
          <w:tcPr>
            <w:tcW w:w="344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教育支出</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3,079.98</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2,490.98</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589.00</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20503</w:t>
            </w:r>
          </w:p>
        </w:tc>
        <w:tc>
          <w:tcPr>
            <w:tcW w:w="344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职业教育</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2,915.64</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2,444.67</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470.97</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2050302</w:t>
            </w:r>
          </w:p>
        </w:tc>
        <w:tc>
          <w:tcPr>
            <w:tcW w:w="344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中等职业教育</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2,915.64</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2,444.67</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470.97</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20599</w:t>
            </w:r>
          </w:p>
        </w:tc>
        <w:tc>
          <w:tcPr>
            <w:tcW w:w="344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其他教育支出</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164.34</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46.31</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118.04</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2059999</w:t>
            </w:r>
          </w:p>
        </w:tc>
        <w:tc>
          <w:tcPr>
            <w:tcW w:w="344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其他教育支出</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164.34</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46.31</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118.04</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w:t>
            </w:r>
          </w:p>
        </w:tc>
        <w:tc>
          <w:tcPr>
            <w:tcW w:w="344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150.00</w:t>
            </w:r>
          </w:p>
        </w:tc>
        <w:tc>
          <w:tcPr>
            <w:tcW w:w="14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150.00</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20703</w:t>
            </w:r>
          </w:p>
        </w:tc>
        <w:tc>
          <w:tcPr>
            <w:tcW w:w="344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体育</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50.00</w:t>
            </w:r>
          </w:p>
        </w:tc>
        <w:tc>
          <w:tcPr>
            <w:tcW w:w="14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50.00</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2070399</w:t>
            </w:r>
          </w:p>
        </w:tc>
        <w:tc>
          <w:tcPr>
            <w:tcW w:w="344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其他体育支出</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50.00</w:t>
            </w:r>
          </w:p>
        </w:tc>
        <w:tc>
          <w:tcPr>
            <w:tcW w:w="14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50.00</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20799</w:t>
            </w:r>
          </w:p>
        </w:tc>
        <w:tc>
          <w:tcPr>
            <w:tcW w:w="344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100.00</w:t>
            </w:r>
          </w:p>
        </w:tc>
        <w:tc>
          <w:tcPr>
            <w:tcW w:w="14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100.00</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2079999</w:t>
            </w:r>
          </w:p>
        </w:tc>
        <w:tc>
          <w:tcPr>
            <w:tcW w:w="344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100.00</w:t>
            </w:r>
          </w:p>
        </w:tc>
        <w:tc>
          <w:tcPr>
            <w:tcW w:w="141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4"/>
                <w:szCs w:val="24"/>
              </w:rPr>
            </w:pPr>
          </w:p>
        </w:tc>
        <w:tc>
          <w:tcPr>
            <w:tcW w:w="14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100.00</w:t>
            </w: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41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fixed"/>
        <w:tblCellMar>
          <w:top w:w="0" w:type="dxa"/>
          <w:left w:w="108" w:type="dxa"/>
          <w:bottom w:w="0" w:type="dxa"/>
          <w:right w:w="108" w:type="dxa"/>
        </w:tblCellMar>
      </w:tblPr>
      <w:tblGrid>
        <w:gridCol w:w="3957"/>
        <w:gridCol w:w="570"/>
        <w:gridCol w:w="1200"/>
        <w:gridCol w:w="3015"/>
        <w:gridCol w:w="417"/>
        <w:gridCol w:w="435"/>
        <w:gridCol w:w="1571"/>
        <w:gridCol w:w="1392"/>
        <w:gridCol w:w="1392"/>
        <w:gridCol w:w="1572"/>
      </w:tblGrid>
      <w:tr>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9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20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3432"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1"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957"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7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20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3432"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1"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72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794"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0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0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1,430.48</w:t>
            </w:r>
          </w:p>
        </w:tc>
        <w:tc>
          <w:tcPr>
            <w:tcW w:w="30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0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0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0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0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1,280.48</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1,280.48</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0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1"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01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150.00</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301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1,430.48</w:t>
            </w:r>
          </w:p>
        </w:tc>
        <w:tc>
          <w:tcPr>
            <w:tcW w:w="30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1,430.48</w:t>
            </w:r>
          </w:p>
        </w:tc>
        <w:tc>
          <w:tcPr>
            <w:tcW w:w="139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1,430.48</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419"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0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301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01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5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01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5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957"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5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2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1,430.48</w:t>
            </w:r>
          </w:p>
        </w:tc>
        <w:tc>
          <w:tcPr>
            <w:tcW w:w="30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5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1,430.48</w:t>
            </w:r>
          </w:p>
        </w:tc>
        <w:tc>
          <w:tcPr>
            <w:tcW w:w="139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1,430.48</w:t>
            </w:r>
          </w:p>
        </w:tc>
        <w:tc>
          <w:tcPr>
            <w:tcW w:w="13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c>
          <w:tcPr>
            <w:tcW w:w="157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1,430.48</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1,162.44</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268.04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教育支出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1,280.48</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1,162.44</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118.04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职业教育</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1,116.13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1,116.13</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2050302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中等职业教育</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1,116.13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1,116.13</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其他教育支出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164.34</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46.31</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118.04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2059999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其他教育支出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164.34</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46.31</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118.04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150.00</w:t>
            </w:r>
          </w:p>
        </w:tc>
        <w:tc>
          <w:tcPr>
            <w:tcW w:w="3492"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体育</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50.00</w:t>
            </w:r>
          </w:p>
        </w:tc>
        <w:tc>
          <w:tcPr>
            <w:tcW w:w="3492"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2070399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其他体育支出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50.00</w:t>
            </w:r>
          </w:p>
        </w:tc>
        <w:tc>
          <w:tcPr>
            <w:tcW w:w="3492"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100.00</w:t>
            </w:r>
          </w:p>
        </w:tc>
        <w:tc>
          <w:tcPr>
            <w:tcW w:w="3492" w:type="dxa"/>
            <w:tcBorders>
              <w:top w:val="nil"/>
              <w:left w:val="nil"/>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2079999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100.00</w:t>
            </w:r>
          </w:p>
        </w:tc>
        <w:tc>
          <w:tcPr>
            <w:tcW w:w="3492" w:type="dxa"/>
            <w:tcBorders>
              <w:top w:val="nil"/>
              <w:left w:val="nil"/>
              <w:bottom w:val="single" w:color="auto" w:sz="8" w:space="0"/>
              <w:right w:val="single" w:color="auto" w:sz="4" w:space="0"/>
            </w:tcBorders>
            <w:shd w:val="clear" w:color="auto" w:fill="auto"/>
            <w:vAlign w:val="center"/>
          </w:tcPr>
          <w:p>
            <w:pPr>
              <w:jc w:val="righ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fixed"/>
        <w:tblCellMar>
          <w:top w:w="0" w:type="dxa"/>
          <w:left w:w="108" w:type="dxa"/>
          <w:bottom w:w="0" w:type="dxa"/>
          <w:right w:w="108" w:type="dxa"/>
        </w:tblCellMar>
      </w:tblPr>
      <w:tblGrid>
        <w:gridCol w:w="1020"/>
        <w:gridCol w:w="3495"/>
        <w:gridCol w:w="1285"/>
        <w:gridCol w:w="1071"/>
        <w:gridCol w:w="2316"/>
        <w:gridCol w:w="698"/>
        <w:gridCol w:w="948"/>
        <w:gridCol w:w="4062"/>
        <w:gridCol w:w="719"/>
      </w:tblGrid>
      <w:tr>
        <w:tblPrEx>
          <w:tblCellMar>
            <w:top w:w="0" w:type="dxa"/>
            <w:left w:w="108" w:type="dxa"/>
            <w:bottom w:w="0" w:type="dxa"/>
            <w:right w:w="108" w:type="dxa"/>
          </w:tblCellMar>
        </w:tblPrEx>
        <w:trPr>
          <w:trHeight w:val="113" w:hRule="atLeast"/>
        </w:trPr>
        <w:tc>
          <w:tcPr>
            <w:tcW w:w="1561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4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2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7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4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0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7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1,100.46</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33.90</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518.87</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1.94</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28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1.69</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22.98</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7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10.00</w:t>
            </w: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28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49.54</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3.46</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208.41</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10.64</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7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10.00</w:t>
            </w: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26.26</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0.20</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90.91</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28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15.98</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1.24</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166.20</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28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0.15</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1.31</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18.08</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9.27</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0.73</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2.04</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0.06</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28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0.93</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4.57</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0.65</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28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8.62</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28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1.52</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3.82</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28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28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28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0.42</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0.03</w:t>
            </w: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9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0.02</w:t>
            </w: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349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8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9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94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406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71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51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2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1,118.54</w:t>
            </w:r>
          </w:p>
        </w:tc>
        <w:tc>
          <w:tcPr>
            <w:tcW w:w="9095"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7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43.90</w:t>
            </w:r>
          </w:p>
        </w:tc>
      </w:tr>
      <w:tr>
        <w:tblPrEx>
          <w:tblCellMar>
            <w:top w:w="0" w:type="dxa"/>
            <w:left w:w="108" w:type="dxa"/>
            <w:bottom w:w="0" w:type="dxa"/>
            <w:right w:w="108" w:type="dxa"/>
          </w:tblCellMar>
        </w:tblPrEx>
        <w:trPr>
          <w:trHeight w:val="284" w:hRule="exact"/>
        </w:trPr>
        <w:tc>
          <w:tcPr>
            <w:tcW w:w="1561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0.06</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0.06</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0.06</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0.06</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本表无数据</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1225" w:type="dxa"/>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1225" w:type="dxa"/>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本表无数据</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rPr>
          <w:rFonts w:hint="eastAsia" w:asciiTheme="minorEastAsia" w:hAnsiTheme="minorEastAsia" w:eastAsiaTheme="minorEastAsia"/>
          <w:sz w:val="32"/>
          <w:szCs w:val="32"/>
        </w:rPr>
      </w:pPr>
      <w:r>
        <w:rPr>
          <w:rFonts w:hint="eastAsia" w:cs="黑体" w:asciiTheme="minorEastAsia" w:hAnsiTheme="minorEastAsia" w:eastAsiaTheme="minorEastAsia"/>
          <w:color w:val="000000"/>
          <w:kern w:val="0"/>
          <w:sz w:val="32"/>
          <w:szCs w:val="32"/>
          <w:lang w:val="en-US" w:eastAsia="zh-CN" w:bidi="ar-SA"/>
        </w:rPr>
        <w:t>202</w:t>
      </w:r>
      <w:r>
        <w:rPr>
          <w:rFonts w:hint="eastAsia" w:cs="黑体" w:asciiTheme="minorEastAsia" w:hAnsiTheme="minorEastAsia" w:eastAsiaTheme="minorEastAsia"/>
          <w:color w:val="auto"/>
          <w:kern w:val="0"/>
          <w:sz w:val="32"/>
          <w:szCs w:val="32"/>
          <w:lang w:val="en-US" w:eastAsia="zh-CN" w:bidi="ar-SA"/>
        </w:rPr>
        <w:t>1年度收、支总计6309.14万元，与2020年相比，减少了409.95万元，减少了6.5%;主要是因为上级财政部对地方的财政拨款进行调减</w:t>
      </w:r>
      <w:r>
        <w:rPr>
          <w:rFonts w:hint="eastAsia" w:cs="黑体" w:asciiTheme="minorEastAsia" w:hAnsiTheme="minorEastAsia"/>
          <w:color w:val="auto"/>
          <w:kern w:val="0"/>
          <w:sz w:val="32"/>
          <w:szCs w:val="32"/>
          <w:lang w:val="en-US" w:eastAsia="zh-CN" w:bidi="ar-SA"/>
        </w:rPr>
        <w:t>，</w:t>
      </w:r>
      <w:r>
        <w:rPr>
          <w:rFonts w:hint="eastAsia" w:asciiTheme="minorEastAsia" w:hAnsiTheme="minorEastAsia" w:eastAsiaTheme="minorEastAsia"/>
          <w:color w:val="auto"/>
          <w:sz w:val="32"/>
          <w:szCs w:val="32"/>
        </w:rPr>
        <w:t>故我单位的收入</w:t>
      </w:r>
      <w:r>
        <w:rPr>
          <w:rFonts w:hint="eastAsia" w:asciiTheme="minorEastAsia" w:hAnsiTheme="minorEastAsia" w:eastAsiaTheme="minorEastAsia"/>
          <w:color w:val="auto"/>
          <w:sz w:val="32"/>
          <w:szCs w:val="32"/>
          <w:lang w:eastAsia="zh-CN"/>
        </w:rPr>
        <w:t>支出</w:t>
      </w:r>
      <w:r>
        <w:rPr>
          <w:rFonts w:hint="eastAsia" w:asciiTheme="minorEastAsia" w:hAnsiTheme="minorEastAsia" w:eastAsiaTheme="minorEastAsia"/>
          <w:color w:val="auto"/>
          <w:sz w:val="32"/>
          <w:szCs w:val="32"/>
        </w:rPr>
        <w:t>相应减少。</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hint="eastAsia" w:ascii="宋体" w:hAnsi="宋体"/>
          <w:sz w:val="32"/>
          <w:szCs w:val="32"/>
        </w:rPr>
        <w:t>3079.16</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1430.48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46.45</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704.04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22.86</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944.65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30.68</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w:t>
      </w:r>
      <w:r>
        <w:rPr>
          <w:rFonts w:hint="eastAsia" w:asciiTheme="minorEastAsia" w:hAnsiTheme="minorEastAsia" w:eastAsiaTheme="minorEastAsia"/>
          <w:sz w:val="32"/>
          <w:szCs w:val="32"/>
          <w:lang w:val="en-US" w:eastAsia="zh-CN"/>
        </w:rPr>
        <w:t>3229.98</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2490.98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77.12</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739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22.88</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2021年度财政拨款收、支总计</w:t>
      </w:r>
      <w:r>
        <w:rPr>
          <w:rFonts w:hint="eastAsia" w:asciiTheme="minorEastAsia" w:hAnsiTheme="minorEastAsia" w:eastAsiaTheme="minorEastAsia"/>
          <w:sz w:val="32"/>
          <w:szCs w:val="32"/>
          <w:lang w:val="en-US" w:eastAsia="zh-CN"/>
        </w:rPr>
        <w:t>2860.9</w:t>
      </w:r>
      <w:r>
        <w:rPr>
          <w:rFonts w:hint="eastAsia" w:asciiTheme="minorEastAsia" w:hAnsiTheme="minorEastAsia" w:eastAsiaTheme="minorEastAsia"/>
          <w:color w:val="auto"/>
          <w:sz w:val="32"/>
          <w:szCs w:val="32"/>
          <w:lang w:val="en-US" w:eastAsia="zh-CN"/>
        </w:rPr>
        <w:t>6万元</w:t>
      </w:r>
      <w:r>
        <w:rPr>
          <w:rFonts w:hint="eastAsia" w:asciiTheme="minorEastAsia" w:hAnsiTheme="minorEastAsia" w:eastAsiaTheme="minorEastAsia"/>
          <w:color w:val="auto"/>
          <w:sz w:val="32"/>
          <w:szCs w:val="32"/>
        </w:rPr>
        <w:t>，与上年相比，减少</w:t>
      </w:r>
      <w:r>
        <w:rPr>
          <w:rFonts w:hint="eastAsia" w:asciiTheme="minorEastAsia" w:hAnsiTheme="minorEastAsia" w:eastAsiaTheme="minorEastAsia"/>
          <w:color w:val="auto"/>
          <w:sz w:val="32"/>
          <w:szCs w:val="32"/>
          <w:lang w:val="en-US" w:eastAsia="zh-CN"/>
        </w:rPr>
        <w:t>1206.82</w:t>
      </w:r>
      <w:r>
        <w:rPr>
          <w:rFonts w:hint="eastAsia" w:asciiTheme="minorEastAsia" w:hAnsiTheme="minorEastAsia" w:eastAsiaTheme="minorEastAsia"/>
          <w:color w:val="auto"/>
          <w:sz w:val="32"/>
          <w:szCs w:val="32"/>
        </w:rPr>
        <w:t>万元,减少</w:t>
      </w:r>
      <w:r>
        <w:rPr>
          <w:rFonts w:hint="eastAsia" w:asciiTheme="minorEastAsia" w:hAnsiTheme="minorEastAsia" w:eastAsiaTheme="minorEastAsia"/>
          <w:color w:val="auto"/>
          <w:sz w:val="32"/>
          <w:szCs w:val="32"/>
          <w:lang w:val="en-US" w:eastAsia="zh-CN"/>
        </w:rPr>
        <w:t>29.66</w:t>
      </w:r>
      <w:r>
        <w:rPr>
          <w:rFonts w:hint="eastAsia" w:asciiTheme="minorEastAsia" w:hAnsiTheme="minorEastAsia" w:eastAsiaTheme="minorEastAsia"/>
          <w:color w:val="auto"/>
          <w:sz w:val="32"/>
          <w:szCs w:val="32"/>
        </w:rPr>
        <w:t>%，主要是</w:t>
      </w:r>
      <w:r>
        <w:rPr>
          <w:rFonts w:hint="eastAsia" w:asciiTheme="minorEastAsia" w:hAnsiTheme="minorEastAsia" w:eastAsiaTheme="minorEastAsia"/>
          <w:color w:val="auto"/>
          <w:sz w:val="32"/>
          <w:szCs w:val="32"/>
          <w:lang w:eastAsia="zh-CN"/>
        </w:rPr>
        <w:t>因为</w:t>
      </w:r>
      <w:r>
        <w:rPr>
          <w:rFonts w:hint="eastAsia" w:asciiTheme="minorEastAsia" w:hAnsiTheme="minorEastAsia" w:eastAsiaTheme="minorEastAsia"/>
          <w:color w:val="auto"/>
          <w:sz w:val="32"/>
          <w:szCs w:val="32"/>
        </w:rPr>
        <w:t>上级财政部</w:t>
      </w:r>
      <w:r>
        <w:rPr>
          <w:rFonts w:hint="eastAsia" w:asciiTheme="minorEastAsia" w:hAnsiTheme="minorEastAsia" w:eastAsiaTheme="minorEastAsia"/>
          <w:sz w:val="32"/>
          <w:szCs w:val="32"/>
        </w:rPr>
        <w:t>对地方的财政拨款进行调减，故我单位的收入</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rPr>
        <w:t>相应减少。</w:t>
      </w:r>
    </w:p>
    <w:p>
      <w:pPr>
        <w:pStyle w:val="10"/>
        <w:ind w:firstLine="64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1430.48</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44.28</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773</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54.03</w:t>
      </w:r>
      <w:r>
        <w:rPr>
          <w:rFonts w:hint="eastAsia" w:asciiTheme="minorEastAsia" w:hAnsiTheme="minorEastAsia" w:eastAsiaTheme="minorEastAsia"/>
          <w:sz w:val="32"/>
          <w:szCs w:val="32"/>
        </w:rPr>
        <w:t>%，主要原因是上级财政部对地方的财政拨款进行调减，故我单位的</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rPr>
        <w:t>相应减少。</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default" w:eastAsia="宋体" w:asciiTheme="minorEastAsia" w:hAnsiTheme="minorEastAsia"/>
          <w:sz w:val="32"/>
          <w:szCs w:val="32"/>
          <w:lang w:val="en-US" w:eastAsia="zh-CN"/>
        </w:rPr>
      </w:pPr>
      <w:r>
        <w:rPr>
          <w:rFonts w:hint="eastAsia" w:asciiTheme="minorEastAsia" w:hAnsiTheme="minorEastAsia" w:eastAsiaTheme="minorEastAsia"/>
          <w:sz w:val="32"/>
          <w:szCs w:val="32"/>
        </w:rPr>
        <w:t>2021年度财政拨款支出支出</w:t>
      </w:r>
      <w:r>
        <w:rPr>
          <w:rFonts w:hint="eastAsia" w:asciiTheme="minorEastAsia" w:hAnsiTheme="minorEastAsia" w:eastAsiaTheme="minorEastAsia"/>
          <w:sz w:val="32"/>
          <w:szCs w:val="32"/>
          <w:lang w:val="en-US" w:eastAsia="zh-CN"/>
        </w:rPr>
        <w:t>1430.48</w:t>
      </w:r>
      <w:r>
        <w:rPr>
          <w:rFonts w:hint="eastAsia" w:asciiTheme="minorEastAsia" w:hAnsiTheme="minorEastAsia" w:eastAsiaTheme="minorEastAsia"/>
          <w:sz w:val="32"/>
          <w:szCs w:val="32"/>
        </w:rPr>
        <w:t>万元，主要用于以下方面：</w:t>
      </w:r>
      <w:r>
        <w:rPr>
          <w:rFonts w:hint="eastAsia" w:ascii="宋体" w:hAnsi="宋体" w:eastAsia="宋体"/>
          <w:color w:val="auto"/>
          <w:sz w:val="32"/>
          <w:szCs w:val="32"/>
        </w:rPr>
        <w:t>教育支出</w:t>
      </w:r>
      <w:r>
        <w:rPr>
          <w:rFonts w:hint="eastAsia" w:ascii="宋体" w:hAnsi="宋体" w:eastAsia="宋体"/>
          <w:color w:val="auto"/>
          <w:sz w:val="32"/>
          <w:szCs w:val="32"/>
          <w:lang w:val="en-US" w:eastAsia="zh-CN"/>
        </w:rPr>
        <w:t>(</w:t>
      </w:r>
      <w:r>
        <w:rPr>
          <w:rFonts w:hint="eastAsia" w:ascii="宋体" w:hAnsi="宋体" w:eastAsia="宋体"/>
          <w:color w:val="auto"/>
          <w:sz w:val="32"/>
          <w:szCs w:val="32"/>
        </w:rPr>
        <w:t>类</w:t>
      </w:r>
      <w:r>
        <w:rPr>
          <w:rFonts w:hint="eastAsia" w:ascii="宋体" w:hAnsi="宋体" w:eastAsia="宋体"/>
          <w:color w:val="auto"/>
          <w:sz w:val="32"/>
          <w:szCs w:val="32"/>
          <w:lang w:val="en-US" w:eastAsia="zh-CN"/>
        </w:rPr>
        <w:t>)</w:t>
      </w:r>
      <w:r>
        <w:rPr>
          <w:rFonts w:hint="eastAsia" w:ascii="宋体" w:hAnsi="宋体" w:eastAsia="宋体"/>
          <w:color w:val="auto"/>
          <w:sz w:val="32"/>
          <w:szCs w:val="32"/>
        </w:rPr>
        <w:t>职业教育（款）</w:t>
      </w:r>
      <w:r>
        <w:rPr>
          <w:rFonts w:hint="eastAsia" w:ascii="宋体" w:hAnsi="宋体" w:eastAsia="宋体"/>
          <w:color w:val="auto"/>
          <w:sz w:val="32"/>
          <w:szCs w:val="32"/>
          <w:lang w:eastAsia="zh-CN"/>
        </w:rPr>
        <w:t>中等职业</w:t>
      </w:r>
      <w:r>
        <w:rPr>
          <w:rFonts w:hint="eastAsia" w:ascii="宋体" w:hAnsi="宋体" w:eastAsia="宋体"/>
          <w:color w:val="auto"/>
          <w:sz w:val="32"/>
          <w:szCs w:val="32"/>
        </w:rPr>
        <w:t>教育（项）</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1116.13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78.02</w:t>
      </w:r>
      <w:r>
        <w:rPr>
          <w:rFonts w:hint="eastAsia" w:asciiTheme="minorEastAsia" w:hAnsiTheme="minorEastAsia" w:eastAsiaTheme="minorEastAsia"/>
          <w:sz w:val="32"/>
          <w:szCs w:val="32"/>
        </w:rPr>
        <w:t>%;</w:t>
      </w:r>
      <w:r>
        <w:rPr>
          <w:rFonts w:hint="eastAsia" w:ascii="宋体" w:hAnsi="宋体" w:eastAsia="宋体"/>
          <w:color w:val="auto"/>
          <w:sz w:val="32"/>
          <w:szCs w:val="32"/>
        </w:rPr>
        <w:t>教育支出</w:t>
      </w:r>
      <w:r>
        <w:rPr>
          <w:rFonts w:hint="eastAsia" w:ascii="宋体" w:hAnsi="宋体" w:eastAsia="宋体"/>
          <w:color w:val="auto"/>
          <w:sz w:val="32"/>
          <w:szCs w:val="32"/>
          <w:lang w:val="en-US" w:eastAsia="zh-CN"/>
        </w:rPr>
        <w:t>(</w:t>
      </w:r>
      <w:r>
        <w:rPr>
          <w:rFonts w:hint="eastAsia" w:ascii="宋体" w:hAnsi="宋体" w:eastAsia="宋体"/>
          <w:color w:val="auto"/>
          <w:sz w:val="32"/>
          <w:szCs w:val="32"/>
        </w:rPr>
        <w:t>类</w:t>
      </w:r>
      <w:r>
        <w:rPr>
          <w:rFonts w:hint="eastAsia" w:ascii="宋体" w:hAnsi="宋体" w:eastAsia="宋体"/>
          <w:color w:val="auto"/>
          <w:sz w:val="32"/>
          <w:szCs w:val="32"/>
          <w:lang w:val="en-US" w:eastAsia="zh-CN"/>
        </w:rPr>
        <w:t>)</w:t>
      </w:r>
      <w:r>
        <w:rPr>
          <w:rFonts w:hint="eastAsia" w:ascii="宋体" w:hAnsi="宋体" w:eastAsia="宋体"/>
          <w:color w:val="auto"/>
          <w:sz w:val="32"/>
          <w:szCs w:val="32"/>
          <w:lang w:eastAsia="zh-CN"/>
        </w:rPr>
        <w:t>其他教育支出</w:t>
      </w:r>
      <w:r>
        <w:rPr>
          <w:rFonts w:hint="eastAsia" w:ascii="宋体" w:hAnsi="宋体" w:eastAsia="宋体"/>
          <w:color w:val="auto"/>
          <w:sz w:val="32"/>
          <w:szCs w:val="32"/>
        </w:rPr>
        <w:t>（款）</w:t>
      </w:r>
      <w:r>
        <w:rPr>
          <w:rFonts w:hint="eastAsia" w:ascii="宋体" w:hAnsi="宋体" w:eastAsia="宋体"/>
          <w:color w:val="auto"/>
          <w:sz w:val="32"/>
          <w:szCs w:val="32"/>
          <w:lang w:val="en-US" w:eastAsia="zh-CN"/>
        </w:rPr>
        <w:t>其他教育支出</w:t>
      </w:r>
      <w:r>
        <w:rPr>
          <w:rFonts w:hint="eastAsia" w:ascii="宋体" w:hAnsi="宋体" w:eastAsia="宋体"/>
          <w:color w:val="auto"/>
          <w:sz w:val="32"/>
          <w:szCs w:val="32"/>
        </w:rPr>
        <w:t>（项）</w:t>
      </w:r>
      <w:r>
        <w:rPr>
          <w:rFonts w:hint="eastAsia" w:ascii="宋体" w:hAnsi="宋体" w:eastAsia="宋体"/>
          <w:color w:val="auto"/>
          <w:sz w:val="32"/>
          <w:szCs w:val="32"/>
          <w:lang w:eastAsia="zh-CN"/>
        </w:rPr>
        <w:t>支出</w:t>
      </w:r>
      <w:r>
        <w:rPr>
          <w:rFonts w:hint="eastAsia" w:ascii="宋体" w:hAnsi="宋体" w:eastAsia="宋体"/>
          <w:color w:val="auto"/>
          <w:sz w:val="32"/>
          <w:szCs w:val="32"/>
          <w:lang w:val="en-US" w:eastAsia="zh-CN"/>
        </w:rPr>
        <w:t>164.34万元，占11.49%；文化旅游体育与传媒支出</w:t>
      </w:r>
      <w:r>
        <w:rPr>
          <w:rFonts w:hint="eastAsia" w:ascii="宋体" w:hAnsi="宋体" w:eastAsia="宋体"/>
          <w:color w:val="auto"/>
          <w:sz w:val="32"/>
          <w:szCs w:val="32"/>
        </w:rPr>
        <w:t>（类）</w:t>
      </w:r>
      <w:r>
        <w:rPr>
          <w:rFonts w:hint="eastAsia" w:ascii="宋体" w:hAnsi="宋体" w:eastAsia="宋体"/>
          <w:color w:val="auto"/>
          <w:sz w:val="32"/>
          <w:szCs w:val="32"/>
          <w:lang w:val="en-US" w:eastAsia="zh-CN"/>
        </w:rPr>
        <w:t>体育</w:t>
      </w:r>
      <w:r>
        <w:rPr>
          <w:rFonts w:hint="eastAsia" w:ascii="宋体" w:hAnsi="宋体" w:eastAsia="宋体"/>
          <w:color w:val="auto"/>
          <w:sz w:val="32"/>
          <w:szCs w:val="32"/>
        </w:rPr>
        <w:t>（款）</w:t>
      </w:r>
      <w:r>
        <w:rPr>
          <w:rFonts w:hint="eastAsia" w:ascii="宋体" w:hAnsi="宋体" w:eastAsia="宋体"/>
          <w:color w:val="auto"/>
          <w:sz w:val="32"/>
          <w:szCs w:val="32"/>
          <w:lang w:val="en-US" w:eastAsia="zh-CN"/>
        </w:rPr>
        <w:t>其他体育支出</w:t>
      </w:r>
      <w:r>
        <w:rPr>
          <w:rFonts w:hint="eastAsia" w:ascii="宋体" w:hAnsi="宋体" w:eastAsia="宋体"/>
          <w:color w:val="auto"/>
          <w:sz w:val="32"/>
          <w:szCs w:val="32"/>
        </w:rPr>
        <w:t>（项）</w:t>
      </w:r>
      <w:r>
        <w:rPr>
          <w:rFonts w:hint="eastAsia" w:ascii="宋体" w:hAnsi="宋体" w:eastAsia="宋体"/>
          <w:color w:val="auto"/>
          <w:sz w:val="32"/>
          <w:szCs w:val="32"/>
          <w:lang w:eastAsia="zh-CN"/>
        </w:rPr>
        <w:t>支出</w:t>
      </w:r>
      <w:r>
        <w:rPr>
          <w:rFonts w:hint="eastAsia" w:ascii="宋体" w:hAnsi="宋体" w:eastAsia="宋体"/>
          <w:color w:val="auto"/>
          <w:sz w:val="32"/>
          <w:szCs w:val="32"/>
          <w:lang w:val="en-US" w:eastAsia="zh-CN"/>
        </w:rPr>
        <w:t>50万元，占3.49%；文化旅游体育与传媒支出</w:t>
      </w:r>
      <w:r>
        <w:rPr>
          <w:rFonts w:hint="eastAsia" w:ascii="宋体" w:hAnsi="宋体" w:eastAsia="宋体"/>
          <w:color w:val="auto"/>
          <w:sz w:val="32"/>
          <w:szCs w:val="32"/>
        </w:rPr>
        <w:t>（类）</w:t>
      </w:r>
      <w:r>
        <w:rPr>
          <w:rFonts w:hint="eastAsia" w:ascii="宋体" w:hAnsi="宋体" w:eastAsia="宋体"/>
          <w:color w:val="auto"/>
          <w:sz w:val="32"/>
          <w:szCs w:val="32"/>
          <w:lang w:val="en-US" w:eastAsia="zh-CN"/>
        </w:rPr>
        <w:t>其他文化旅游体育与传媒支出（款） 其他文化旅游体育与传媒支出（项）支出100万元，占6.99%。</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sz w:val="32"/>
          <w:szCs w:val="32"/>
          <w:lang w:val="en-US" w:eastAsia="zh-CN"/>
        </w:rPr>
        <w:t>1914.35</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1430.48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74.72</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w:t>
      </w:r>
      <w:r>
        <w:rPr>
          <w:rFonts w:hint="eastAsia" w:ascii="宋体" w:hAnsi="宋体" w:eastAsia="宋体"/>
          <w:color w:val="auto"/>
          <w:sz w:val="32"/>
          <w:szCs w:val="32"/>
        </w:rPr>
        <w:t>教育支出</w:t>
      </w:r>
      <w:r>
        <w:rPr>
          <w:rFonts w:hint="eastAsia" w:ascii="宋体" w:hAnsi="宋体" w:eastAsia="宋体"/>
          <w:color w:val="auto"/>
          <w:sz w:val="32"/>
          <w:szCs w:val="32"/>
          <w:lang w:val="en-US" w:eastAsia="zh-CN"/>
        </w:rPr>
        <w:t>(</w:t>
      </w:r>
      <w:r>
        <w:rPr>
          <w:rFonts w:hint="eastAsia" w:ascii="宋体" w:hAnsi="宋体" w:eastAsia="宋体"/>
          <w:color w:val="auto"/>
          <w:sz w:val="32"/>
          <w:szCs w:val="32"/>
        </w:rPr>
        <w:t>类</w:t>
      </w:r>
      <w:r>
        <w:rPr>
          <w:rFonts w:hint="eastAsia" w:ascii="宋体" w:hAnsi="宋体" w:eastAsia="宋体"/>
          <w:color w:val="auto"/>
          <w:sz w:val="32"/>
          <w:szCs w:val="32"/>
          <w:lang w:val="en-US" w:eastAsia="zh-CN"/>
        </w:rPr>
        <w:t>)</w:t>
      </w:r>
      <w:r>
        <w:rPr>
          <w:rFonts w:hint="eastAsia" w:ascii="宋体" w:hAnsi="宋体" w:eastAsia="宋体"/>
          <w:color w:val="auto"/>
          <w:sz w:val="32"/>
          <w:szCs w:val="32"/>
        </w:rPr>
        <w:t>职业教育（款）</w:t>
      </w:r>
      <w:r>
        <w:rPr>
          <w:rFonts w:hint="eastAsia" w:ascii="宋体" w:hAnsi="宋体" w:eastAsia="宋体"/>
          <w:color w:val="auto"/>
          <w:sz w:val="32"/>
          <w:szCs w:val="32"/>
          <w:lang w:eastAsia="zh-CN"/>
        </w:rPr>
        <w:t>中等职业</w:t>
      </w:r>
      <w:r>
        <w:rPr>
          <w:rFonts w:hint="eastAsia" w:ascii="宋体" w:hAnsi="宋体" w:eastAsia="宋体"/>
          <w:color w:val="auto"/>
          <w:sz w:val="32"/>
          <w:szCs w:val="32"/>
        </w:rPr>
        <w:t>教育（项）</w:t>
      </w:r>
    </w:p>
    <w:p>
      <w:pPr>
        <w:pStyle w:val="10"/>
        <w:ind w:firstLine="800" w:firstLineChars="250"/>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1268.64</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sz w:val="32"/>
          <w:szCs w:val="32"/>
          <w:lang w:val="en-US" w:eastAsia="zh-CN"/>
        </w:rPr>
        <w:t>1116.13</w:t>
      </w:r>
      <w:r>
        <w:rPr>
          <w:rFonts w:hint="eastAsia" w:asciiTheme="minorEastAsia" w:hAnsiTheme="minorEastAsia" w:eastAsiaTheme="minorEastAsia"/>
          <w:sz w:val="32"/>
          <w:szCs w:val="32"/>
        </w:rPr>
        <w:t>万元</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87.98</w:t>
      </w:r>
      <w:r>
        <w:rPr>
          <w:rFonts w:hint="eastAsia" w:asciiTheme="minorEastAsia" w:hAnsiTheme="minorEastAsia" w:eastAsiaTheme="minorEastAsia"/>
          <w:color w:val="auto"/>
          <w:sz w:val="32"/>
          <w:szCs w:val="32"/>
        </w:rPr>
        <w:t>%，决算数小于年初预算数的主要原因是：</w:t>
      </w:r>
      <w:r>
        <w:rPr>
          <w:rFonts w:hint="eastAsia" w:asciiTheme="minorEastAsia" w:hAnsiTheme="minorEastAsia" w:eastAsiaTheme="minorEastAsia"/>
          <w:color w:val="auto"/>
          <w:sz w:val="32"/>
          <w:szCs w:val="32"/>
          <w:lang w:val="en-US" w:eastAsia="zh-CN"/>
        </w:rPr>
        <w:t>(1)收入和支出未严格按功能科目代码归置,（2)财政资金调度困难，预算未执行到位.</w:t>
      </w:r>
    </w:p>
    <w:p>
      <w:pPr>
        <w:pStyle w:val="10"/>
        <w:numPr>
          <w:ilvl w:val="0"/>
          <w:numId w:val="2"/>
        </w:numPr>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教育支出</w:t>
      </w:r>
      <w:r>
        <w:rPr>
          <w:rFonts w:hint="eastAsia" w:asciiTheme="minorEastAsia" w:hAnsiTheme="minorEastAsia" w:eastAsiaTheme="minorEastAsia"/>
          <w:color w:val="auto"/>
          <w:sz w:val="32"/>
          <w:szCs w:val="32"/>
          <w:lang w:val="en-US" w:eastAsia="zh-CN"/>
        </w:rPr>
        <w:t>(</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val="en-US" w:eastAsia="zh-CN"/>
        </w:rPr>
        <w:t>)</w:t>
      </w:r>
      <w:r>
        <w:rPr>
          <w:rFonts w:hint="eastAsia" w:asciiTheme="minorEastAsia" w:hAnsiTheme="minorEastAsia" w:eastAsiaTheme="minorEastAsia"/>
          <w:color w:val="auto"/>
          <w:sz w:val="32"/>
          <w:szCs w:val="32"/>
          <w:lang w:eastAsia="zh-CN"/>
        </w:rPr>
        <w:t>其他教育支出</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val="en-US" w:eastAsia="zh-CN"/>
        </w:rPr>
        <w:t>其他教育支出</w:t>
      </w:r>
      <w:r>
        <w:rPr>
          <w:rFonts w:hint="eastAsia" w:asciiTheme="minorEastAsia" w:hAnsiTheme="minorEastAsia" w:eastAsiaTheme="minorEastAsia"/>
          <w:color w:val="auto"/>
          <w:sz w:val="32"/>
          <w:szCs w:val="32"/>
        </w:rPr>
        <w:t>（项）</w:t>
      </w:r>
    </w:p>
    <w:p>
      <w:pPr>
        <w:pStyle w:val="10"/>
        <w:ind w:firstLine="800" w:firstLineChars="250"/>
      </w:pPr>
      <w:r>
        <w:rPr>
          <w:rFonts w:hint="eastAsia" w:asciiTheme="minorEastAsia" w:hAnsiTheme="minorEastAsia" w:eastAsiaTheme="minorEastAsia"/>
          <w:color w:val="auto"/>
          <w:sz w:val="32"/>
          <w:szCs w:val="32"/>
          <w:lang w:val="en-US" w:eastAsia="zh-CN"/>
        </w:rPr>
        <w:t xml:space="preserve"> </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330.15</w:t>
      </w:r>
      <w:r>
        <w:rPr>
          <w:rFonts w:hint="eastAsia" w:asciiTheme="minorEastAsia" w:hAnsiTheme="minorEastAsia" w:eastAsiaTheme="minorEastAsia"/>
          <w:color w:val="auto"/>
          <w:sz w:val="32"/>
          <w:szCs w:val="32"/>
        </w:rPr>
        <w:t>万元，支出决算为</w:t>
      </w:r>
      <w:r>
        <w:rPr>
          <w:rFonts w:hint="eastAsia" w:ascii="宋体" w:hAnsi="宋体" w:eastAsia="宋体"/>
          <w:color w:val="auto"/>
          <w:sz w:val="32"/>
          <w:szCs w:val="32"/>
          <w:lang w:val="en-US" w:eastAsia="zh-CN"/>
        </w:rPr>
        <w:t>164.34</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49.78</w:t>
      </w:r>
      <w:r>
        <w:rPr>
          <w:rFonts w:hint="eastAsia" w:asciiTheme="minorEastAsia" w:hAnsiTheme="minorEastAsia" w:eastAsiaTheme="minorEastAsia"/>
          <w:color w:val="auto"/>
          <w:sz w:val="32"/>
          <w:szCs w:val="32"/>
        </w:rPr>
        <w:t>%，决算数小于年初预算数的主要原因是：</w:t>
      </w:r>
      <w:r>
        <w:rPr>
          <w:rFonts w:hint="eastAsia" w:asciiTheme="minorEastAsia" w:hAnsiTheme="minorEastAsia" w:eastAsiaTheme="minorEastAsia"/>
          <w:color w:val="auto"/>
          <w:sz w:val="32"/>
          <w:szCs w:val="32"/>
          <w:lang w:val="en-US" w:eastAsia="zh-CN"/>
        </w:rPr>
        <w:t>(1)收入和支出未严格按功能科目代码归置,（2)财政资金调度困难，预算未执行到位.</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社会保障和就业支出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eastAsia="zh-CN"/>
        </w:rPr>
        <w:t>其他社会保障和就业支出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其他社会保障和就业支出</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142.08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%，决算数大于（小于）年初预算数的主要原因是：预决算口径不一致，</w:t>
      </w:r>
      <w:r>
        <w:rPr>
          <w:rFonts w:hint="eastAsia" w:asciiTheme="minorEastAsia" w:hAnsiTheme="minorEastAsia" w:eastAsiaTheme="minorEastAsia"/>
          <w:sz w:val="32"/>
          <w:szCs w:val="32"/>
          <w:lang w:val="en-US" w:eastAsia="zh-CN"/>
        </w:rPr>
        <w:t>教育系统</w:t>
      </w:r>
      <w:r>
        <w:rPr>
          <w:rFonts w:hint="eastAsia" w:asciiTheme="minorEastAsia" w:hAnsiTheme="minorEastAsia" w:eastAsiaTheme="minorEastAsia"/>
          <w:sz w:val="32"/>
          <w:szCs w:val="32"/>
        </w:rPr>
        <w:t>年终决算为与财政整体指标量核对，对部分指标进行了调整。</w:t>
      </w:r>
    </w:p>
    <w:p>
      <w:pPr>
        <w:pStyle w:val="10"/>
        <w:ind w:firstLine="800" w:firstLineChars="250"/>
        <w:rPr>
          <w:rFonts w:hint="eastAsia" w:eastAsia="宋体" w:asciiTheme="minorEastAsia" w:hAnsiTheme="minorEastAsia"/>
          <w:color w:val="FF0000"/>
          <w:sz w:val="32"/>
          <w:szCs w:val="32"/>
          <w:lang w:val="en-US" w:eastAsia="zh-CN"/>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4、</w:t>
      </w:r>
      <w:r>
        <w:rPr>
          <w:rFonts w:hint="eastAsia" w:ascii="宋体" w:hAnsi="宋体" w:eastAsia="宋体"/>
          <w:color w:val="auto"/>
          <w:sz w:val="32"/>
          <w:szCs w:val="32"/>
          <w:lang w:val="en-US" w:eastAsia="zh-CN"/>
        </w:rPr>
        <w:t>文化旅游体育与传媒支出</w:t>
      </w:r>
      <w:r>
        <w:rPr>
          <w:rFonts w:hint="eastAsia" w:ascii="宋体" w:hAnsi="宋体" w:eastAsia="宋体"/>
          <w:color w:val="auto"/>
          <w:sz w:val="32"/>
          <w:szCs w:val="32"/>
        </w:rPr>
        <w:t>（类）</w:t>
      </w:r>
      <w:r>
        <w:rPr>
          <w:rFonts w:hint="eastAsia" w:ascii="宋体" w:hAnsi="宋体" w:eastAsia="宋体"/>
          <w:color w:val="auto"/>
          <w:sz w:val="32"/>
          <w:szCs w:val="32"/>
          <w:lang w:val="en-US" w:eastAsia="zh-CN"/>
        </w:rPr>
        <w:t>体育</w:t>
      </w:r>
      <w:r>
        <w:rPr>
          <w:rFonts w:hint="eastAsia" w:ascii="宋体" w:hAnsi="宋体" w:eastAsia="宋体"/>
          <w:color w:val="auto"/>
          <w:sz w:val="32"/>
          <w:szCs w:val="32"/>
        </w:rPr>
        <w:t>（款）</w:t>
      </w:r>
      <w:r>
        <w:rPr>
          <w:rFonts w:hint="eastAsia" w:ascii="宋体" w:hAnsi="宋体" w:eastAsia="宋体"/>
          <w:color w:val="auto"/>
          <w:sz w:val="32"/>
          <w:szCs w:val="32"/>
          <w:lang w:val="en-US" w:eastAsia="zh-CN"/>
        </w:rPr>
        <w:t>其他体育支出</w:t>
      </w:r>
      <w:r>
        <w:rPr>
          <w:rFonts w:hint="eastAsia" w:ascii="宋体" w:hAnsi="宋体" w:eastAsia="宋体"/>
          <w:color w:val="auto"/>
          <w:sz w:val="32"/>
          <w:szCs w:val="32"/>
        </w:rPr>
        <w:t>（项）</w:t>
      </w:r>
      <w:r>
        <w:rPr>
          <w:rFonts w:hint="eastAsia" w:ascii="宋体" w:hAnsi="宋体" w:eastAsia="宋体"/>
          <w:color w:val="auto"/>
          <w:sz w:val="32"/>
          <w:szCs w:val="32"/>
          <w:lang w:eastAsia="zh-CN"/>
        </w:rPr>
        <w:t>。</w:t>
      </w:r>
    </w:p>
    <w:p>
      <w:pPr>
        <w:pStyle w:val="10"/>
        <w:ind w:firstLine="800" w:firstLineChars="25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50</w:t>
      </w:r>
      <w:r>
        <w:rPr>
          <w:rFonts w:hint="eastAsia" w:asciiTheme="minorEastAsia" w:hAnsiTheme="minorEastAsia" w:eastAsiaTheme="minorEastAsia"/>
          <w:color w:val="auto"/>
          <w:sz w:val="32"/>
          <w:szCs w:val="32"/>
        </w:rPr>
        <w:t>万元，决算数大于（小于）年初预算数的主要原因是：</w:t>
      </w:r>
      <w:r>
        <w:rPr>
          <w:rFonts w:hint="eastAsia" w:asciiTheme="minorEastAsia" w:hAnsiTheme="minorEastAsia" w:eastAsiaTheme="minorEastAsia"/>
          <w:color w:val="auto"/>
          <w:sz w:val="32"/>
          <w:szCs w:val="32"/>
          <w:lang w:val="en-US" w:eastAsia="zh-CN"/>
        </w:rPr>
        <w:t>上级专项追加.</w:t>
      </w:r>
    </w:p>
    <w:p>
      <w:pPr>
        <w:pStyle w:val="10"/>
        <w:numPr>
          <w:ilvl w:val="0"/>
          <w:numId w:val="0"/>
        </w:numPr>
        <w:ind w:firstLine="640" w:firstLineChars="200"/>
        <w:rPr>
          <w:rFonts w:hint="default" w:ascii="宋体" w:hAnsi="宋体" w:eastAsia="宋体"/>
          <w:color w:val="auto"/>
          <w:sz w:val="32"/>
          <w:szCs w:val="32"/>
          <w:lang w:val="en-US" w:eastAsia="zh-CN"/>
        </w:rPr>
      </w:pPr>
      <w:r>
        <w:rPr>
          <w:rFonts w:hint="eastAsia" w:ascii="宋体" w:hAnsi="宋体" w:eastAsia="宋体"/>
          <w:color w:val="auto"/>
          <w:sz w:val="32"/>
          <w:szCs w:val="32"/>
          <w:lang w:val="en-US" w:eastAsia="zh-CN"/>
        </w:rPr>
        <w:t>5、文化旅游体育与传媒支出</w:t>
      </w:r>
      <w:r>
        <w:rPr>
          <w:rFonts w:hint="eastAsia" w:ascii="宋体" w:hAnsi="宋体" w:eastAsia="宋体"/>
          <w:color w:val="auto"/>
          <w:sz w:val="32"/>
          <w:szCs w:val="32"/>
        </w:rPr>
        <w:t>（类）</w:t>
      </w:r>
      <w:r>
        <w:rPr>
          <w:rFonts w:hint="eastAsia" w:ascii="宋体" w:hAnsi="宋体" w:eastAsia="宋体"/>
          <w:color w:val="auto"/>
          <w:sz w:val="32"/>
          <w:szCs w:val="32"/>
          <w:lang w:val="en-US" w:eastAsia="zh-CN"/>
        </w:rPr>
        <w:t>其他文化旅游体育与传媒支出（款） 其他文化旅游体育与传媒支出（项）。</w:t>
      </w:r>
    </w:p>
    <w:p>
      <w:pPr>
        <w:pStyle w:val="10"/>
        <w:ind w:firstLine="800" w:firstLineChars="25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万元，决算数大于（小于）年初预算数的主要原因是：</w:t>
      </w:r>
      <w:r>
        <w:rPr>
          <w:rFonts w:hint="eastAsia" w:asciiTheme="minorEastAsia" w:hAnsiTheme="minorEastAsia" w:eastAsiaTheme="minorEastAsia"/>
          <w:color w:val="auto"/>
          <w:sz w:val="32"/>
          <w:szCs w:val="32"/>
          <w:lang w:val="en-US" w:eastAsia="zh-CN"/>
        </w:rPr>
        <w:t>上级专项追加.</w:t>
      </w:r>
    </w:p>
    <w:p>
      <w:pPr>
        <w:pStyle w:val="10"/>
        <w:numPr>
          <w:ilvl w:val="0"/>
          <w:numId w:val="0"/>
        </w:numPr>
        <w:ind w:firstLine="640" w:firstLineChars="200"/>
        <w:rPr>
          <w:rFonts w:hint="eastAsia" w:ascii="宋体" w:hAnsi="宋体" w:eastAsia="宋体"/>
          <w:color w:val="auto"/>
          <w:sz w:val="32"/>
          <w:szCs w:val="32"/>
        </w:rPr>
      </w:pPr>
      <w:r>
        <w:rPr>
          <w:rFonts w:hint="eastAsia" w:ascii="宋体" w:hAnsi="宋体" w:eastAsia="宋体"/>
          <w:color w:val="auto"/>
          <w:sz w:val="32"/>
          <w:szCs w:val="32"/>
          <w:lang w:val="en-US" w:eastAsia="zh-CN"/>
        </w:rPr>
        <w:t>6、</w:t>
      </w:r>
      <w:r>
        <w:rPr>
          <w:rFonts w:hint="eastAsia" w:ascii="宋体" w:hAnsi="宋体" w:eastAsia="宋体"/>
          <w:color w:val="auto"/>
          <w:sz w:val="32"/>
          <w:szCs w:val="32"/>
        </w:rPr>
        <w:t>卫生健康支出（类）财政对基本医疗保险基金的补助（款）财政对职工基本医疗保险基金的补助（项）</w:t>
      </w:r>
    </w:p>
    <w:p>
      <w:pPr>
        <w:pStyle w:val="10"/>
        <w:numPr>
          <w:ilvl w:val="0"/>
          <w:numId w:val="0"/>
        </w:numPr>
        <w:ind w:firstLine="960" w:firstLineChars="300"/>
        <w:rPr>
          <w:rFonts w:hint="eastAsia" w:ascii="宋体" w:hAnsi="宋体" w:eastAsia="宋体"/>
          <w:color w:val="auto"/>
          <w:sz w:val="32"/>
          <w:szCs w:val="32"/>
        </w:rPr>
      </w:pPr>
      <w:r>
        <w:rPr>
          <w:rFonts w:hint="eastAsia" w:ascii="宋体" w:hAnsi="宋体" w:eastAsia="宋体"/>
          <w:color w:val="auto"/>
          <w:sz w:val="32"/>
          <w:szCs w:val="32"/>
        </w:rPr>
        <w:t>年初预算为</w:t>
      </w:r>
      <w:r>
        <w:rPr>
          <w:rFonts w:hint="eastAsia" w:ascii="宋体" w:hAnsi="宋体" w:eastAsia="宋体"/>
          <w:color w:val="auto"/>
          <w:sz w:val="32"/>
          <w:szCs w:val="32"/>
          <w:lang w:val="en-US" w:eastAsia="zh-CN"/>
        </w:rPr>
        <w:t>68.23</w:t>
      </w:r>
      <w:r>
        <w:rPr>
          <w:rFonts w:hint="eastAsia" w:ascii="宋体" w:hAnsi="宋体" w:eastAsia="宋体"/>
          <w:color w:val="auto"/>
          <w:sz w:val="32"/>
          <w:szCs w:val="32"/>
        </w:rPr>
        <w:t>万元，支出决算为</w:t>
      </w:r>
      <w:r>
        <w:rPr>
          <w:rFonts w:hint="eastAsia" w:ascii="宋体" w:hAnsi="宋体" w:eastAsia="宋体"/>
          <w:color w:val="auto"/>
          <w:sz w:val="32"/>
          <w:szCs w:val="32"/>
          <w:lang w:val="en-US" w:eastAsia="zh-CN"/>
        </w:rPr>
        <w:t>0</w:t>
      </w:r>
      <w:r>
        <w:rPr>
          <w:rFonts w:hint="eastAsia" w:ascii="宋体" w:hAnsi="宋体" w:eastAsia="宋体"/>
          <w:color w:val="auto"/>
          <w:sz w:val="32"/>
          <w:szCs w:val="32"/>
        </w:rPr>
        <w:t>万元</w:t>
      </w:r>
      <w:r>
        <w:rPr>
          <w:rFonts w:ascii="宋体" w:hAnsi="宋体" w:eastAsia="宋体"/>
          <w:color w:val="auto"/>
          <w:sz w:val="32"/>
          <w:szCs w:val="32"/>
        </w:rPr>
        <w:t>.</w:t>
      </w:r>
      <w:r>
        <w:rPr>
          <w:rFonts w:hint="eastAsia" w:ascii="宋体" w:hAnsi="宋体" w:eastAsia="宋体"/>
          <w:color w:val="auto"/>
          <w:sz w:val="32"/>
          <w:szCs w:val="32"/>
        </w:rPr>
        <w:t>完成年初预算数的</w:t>
      </w:r>
      <w:r>
        <w:rPr>
          <w:rFonts w:ascii="宋体" w:hAnsi="宋体" w:eastAsia="宋体"/>
          <w:color w:val="auto"/>
          <w:sz w:val="32"/>
          <w:szCs w:val="32"/>
        </w:rPr>
        <w:t>0%</w:t>
      </w:r>
      <w:r>
        <w:rPr>
          <w:rFonts w:hint="eastAsia" w:ascii="宋体" w:hAnsi="宋体" w:eastAsia="宋体"/>
          <w:color w:val="auto"/>
          <w:sz w:val="32"/>
          <w:szCs w:val="32"/>
        </w:rPr>
        <w:t>。决算数</w:t>
      </w:r>
      <w:r>
        <w:rPr>
          <w:rFonts w:hint="eastAsia" w:ascii="宋体" w:hAnsi="宋体" w:eastAsia="宋体"/>
          <w:color w:val="auto"/>
          <w:sz w:val="32"/>
          <w:szCs w:val="32"/>
          <w:lang w:eastAsia="zh-CN"/>
        </w:rPr>
        <w:t>小于</w:t>
      </w:r>
      <w:r>
        <w:rPr>
          <w:rFonts w:hint="eastAsia" w:ascii="宋体" w:hAnsi="宋体" w:eastAsia="宋体"/>
          <w:color w:val="auto"/>
          <w:sz w:val="32"/>
          <w:szCs w:val="32"/>
        </w:rPr>
        <w:t>年初预算数的主要原因：</w:t>
      </w:r>
      <w:r>
        <w:rPr>
          <w:rFonts w:hint="eastAsia" w:asciiTheme="minorEastAsia" w:hAnsiTheme="minorEastAsia" w:eastAsiaTheme="minorEastAsia"/>
          <w:sz w:val="32"/>
          <w:szCs w:val="32"/>
        </w:rPr>
        <w:t>预决算口径不一致，</w:t>
      </w:r>
      <w:r>
        <w:rPr>
          <w:rFonts w:hint="eastAsia" w:asciiTheme="minorEastAsia" w:hAnsiTheme="minorEastAsia" w:eastAsiaTheme="minorEastAsia"/>
          <w:sz w:val="32"/>
          <w:szCs w:val="32"/>
          <w:lang w:val="en-US" w:eastAsia="zh-CN"/>
        </w:rPr>
        <w:t>教育系统</w:t>
      </w:r>
      <w:r>
        <w:rPr>
          <w:rFonts w:hint="eastAsia" w:asciiTheme="minorEastAsia" w:hAnsiTheme="minorEastAsia" w:eastAsiaTheme="minorEastAsia"/>
          <w:sz w:val="32"/>
          <w:szCs w:val="32"/>
        </w:rPr>
        <w:t>年终决算为与财政整体指标量核对，对部分指标进行了调整。</w:t>
      </w:r>
    </w:p>
    <w:p>
      <w:pPr>
        <w:pStyle w:val="10"/>
        <w:numPr>
          <w:ilvl w:val="0"/>
          <w:numId w:val="0"/>
        </w:numPr>
        <w:ind w:firstLine="640" w:firstLineChars="200"/>
        <w:rPr>
          <w:rFonts w:hint="eastAsia" w:ascii="宋体" w:hAnsi="宋体" w:eastAsia="宋体"/>
          <w:color w:val="auto"/>
          <w:sz w:val="32"/>
          <w:szCs w:val="32"/>
          <w:lang w:val="en-US" w:eastAsia="zh-CN"/>
        </w:rPr>
      </w:pPr>
      <w:r>
        <w:rPr>
          <w:rFonts w:hint="eastAsia" w:ascii="宋体" w:hAnsi="宋体" w:eastAsia="宋体"/>
          <w:color w:val="auto"/>
          <w:sz w:val="32"/>
          <w:szCs w:val="32"/>
          <w:lang w:val="en-US" w:eastAsia="zh-CN"/>
        </w:rPr>
        <w:t>7、住房保障支出</w:t>
      </w:r>
      <w:r>
        <w:rPr>
          <w:rFonts w:hint="eastAsia" w:ascii="宋体" w:hAnsi="宋体" w:eastAsia="宋体"/>
          <w:color w:val="auto"/>
          <w:sz w:val="32"/>
          <w:szCs w:val="32"/>
        </w:rPr>
        <w:t>（类）</w:t>
      </w:r>
      <w:r>
        <w:rPr>
          <w:rFonts w:hint="eastAsia" w:ascii="宋体" w:hAnsi="宋体" w:eastAsia="宋体"/>
          <w:color w:val="auto"/>
          <w:sz w:val="32"/>
          <w:szCs w:val="32"/>
          <w:lang w:eastAsia="zh-CN"/>
        </w:rPr>
        <w:t>住房改革支出</w:t>
      </w:r>
      <w:r>
        <w:rPr>
          <w:rFonts w:hint="eastAsia" w:ascii="宋体" w:hAnsi="宋体" w:eastAsia="宋体"/>
          <w:color w:val="auto"/>
          <w:sz w:val="32"/>
          <w:szCs w:val="32"/>
        </w:rPr>
        <w:t>（款）</w:t>
      </w:r>
      <w:r>
        <w:rPr>
          <w:rFonts w:hint="eastAsia" w:ascii="宋体" w:hAnsi="宋体" w:eastAsia="宋体"/>
          <w:color w:val="auto"/>
          <w:sz w:val="32"/>
          <w:szCs w:val="32"/>
          <w:lang w:eastAsia="zh-CN"/>
        </w:rPr>
        <w:t>住房公积金</w:t>
      </w:r>
      <w:r>
        <w:rPr>
          <w:rFonts w:hint="eastAsia" w:ascii="宋体" w:hAnsi="宋体" w:eastAsia="宋体"/>
          <w:color w:val="auto"/>
          <w:sz w:val="32"/>
          <w:szCs w:val="32"/>
        </w:rPr>
        <w:t>（项）</w:t>
      </w:r>
    </w:p>
    <w:p>
      <w:pPr>
        <w:pStyle w:val="10"/>
        <w:numPr>
          <w:ilvl w:val="0"/>
          <w:numId w:val="0"/>
        </w:numPr>
        <w:ind w:firstLine="960" w:firstLineChars="300"/>
        <w:rPr>
          <w:rFonts w:hint="eastAsia" w:ascii="宋体" w:hAnsi="宋体" w:eastAsia="宋体"/>
          <w:strike/>
          <w:dstrike w:val="0"/>
          <w:color w:val="auto"/>
          <w:sz w:val="32"/>
          <w:szCs w:val="32"/>
        </w:rPr>
      </w:pPr>
      <w:r>
        <w:rPr>
          <w:rFonts w:hint="eastAsia" w:ascii="宋体" w:hAnsi="宋体" w:eastAsia="宋体"/>
          <w:color w:val="auto"/>
          <w:sz w:val="32"/>
          <w:szCs w:val="32"/>
        </w:rPr>
        <w:t>年初预算为</w:t>
      </w:r>
      <w:r>
        <w:rPr>
          <w:rFonts w:hint="eastAsia" w:ascii="宋体" w:hAnsi="宋体" w:eastAsia="宋体"/>
          <w:color w:val="auto"/>
          <w:sz w:val="32"/>
          <w:szCs w:val="32"/>
          <w:lang w:val="en-US" w:eastAsia="zh-CN"/>
        </w:rPr>
        <w:t>105</w:t>
      </w:r>
      <w:r>
        <w:rPr>
          <w:rFonts w:hint="eastAsia" w:ascii="宋体" w:hAnsi="宋体" w:eastAsia="宋体"/>
          <w:color w:val="auto"/>
          <w:sz w:val="32"/>
          <w:szCs w:val="32"/>
        </w:rPr>
        <w:t>万元，支出决算为</w:t>
      </w:r>
      <w:r>
        <w:rPr>
          <w:rFonts w:hint="eastAsia" w:ascii="宋体" w:hAnsi="宋体" w:eastAsia="宋体"/>
          <w:color w:val="auto"/>
          <w:sz w:val="32"/>
          <w:szCs w:val="32"/>
          <w:lang w:val="en-US" w:eastAsia="zh-CN"/>
        </w:rPr>
        <w:t>0</w:t>
      </w:r>
      <w:r>
        <w:rPr>
          <w:rFonts w:hint="eastAsia" w:ascii="宋体" w:hAnsi="宋体" w:eastAsia="宋体"/>
          <w:color w:val="auto"/>
          <w:sz w:val="32"/>
          <w:szCs w:val="32"/>
        </w:rPr>
        <w:t>万元</w:t>
      </w:r>
      <w:r>
        <w:rPr>
          <w:rFonts w:ascii="宋体" w:hAnsi="宋体" w:eastAsia="宋体"/>
          <w:color w:val="auto"/>
          <w:sz w:val="32"/>
          <w:szCs w:val="32"/>
        </w:rPr>
        <w:t>.</w:t>
      </w:r>
      <w:r>
        <w:rPr>
          <w:rFonts w:hint="eastAsia" w:ascii="宋体" w:hAnsi="宋体" w:eastAsia="宋体"/>
          <w:color w:val="auto"/>
          <w:sz w:val="32"/>
          <w:szCs w:val="32"/>
        </w:rPr>
        <w:t>完成年初预算数的</w:t>
      </w:r>
      <w:r>
        <w:rPr>
          <w:rFonts w:ascii="宋体" w:hAnsi="宋体" w:eastAsia="宋体"/>
          <w:color w:val="auto"/>
          <w:sz w:val="32"/>
          <w:szCs w:val="32"/>
        </w:rPr>
        <w:t>0%</w:t>
      </w:r>
      <w:r>
        <w:rPr>
          <w:rFonts w:hint="eastAsia" w:ascii="宋体" w:hAnsi="宋体" w:eastAsia="宋体"/>
          <w:color w:val="auto"/>
          <w:sz w:val="32"/>
          <w:szCs w:val="32"/>
        </w:rPr>
        <w:t>。决算数</w:t>
      </w:r>
      <w:r>
        <w:rPr>
          <w:rFonts w:hint="eastAsia" w:ascii="宋体" w:hAnsi="宋体" w:eastAsia="宋体"/>
          <w:color w:val="auto"/>
          <w:sz w:val="32"/>
          <w:szCs w:val="32"/>
          <w:lang w:eastAsia="zh-CN"/>
        </w:rPr>
        <w:t>小于</w:t>
      </w:r>
      <w:r>
        <w:rPr>
          <w:rFonts w:hint="eastAsia" w:ascii="宋体" w:hAnsi="宋体" w:eastAsia="宋体"/>
          <w:color w:val="auto"/>
          <w:sz w:val="32"/>
          <w:szCs w:val="32"/>
        </w:rPr>
        <w:t>年初预算数的主要原因：</w:t>
      </w:r>
      <w:r>
        <w:rPr>
          <w:rFonts w:hint="eastAsia" w:asciiTheme="minorEastAsia" w:hAnsiTheme="minorEastAsia" w:eastAsiaTheme="minorEastAsia"/>
          <w:sz w:val="32"/>
          <w:szCs w:val="32"/>
        </w:rPr>
        <w:t>预决算口径不一致，</w:t>
      </w:r>
      <w:r>
        <w:rPr>
          <w:rFonts w:hint="eastAsia" w:asciiTheme="minorEastAsia" w:hAnsiTheme="minorEastAsia" w:eastAsiaTheme="minorEastAsia"/>
          <w:sz w:val="32"/>
          <w:szCs w:val="32"/>
          <w:lang w:val="en-US" w:eastAsia="zh-CN"/>
        </w:rPr>
        <w:t>教育系统</w:t>
      </w:r>
      <w:r>
        <w:rPr>
          <w:rFonts w:hint="eastAsia" w:asciiTheme="minorEastAsia" w:hAnsiTheme="minorEastAsia" w:eastAsiaTheme="minorEastAsia"/>
          <w:sz w:val="32"/>
          <w:szCs w:val="32"/>
        </w:rPr>
        <w:t>年终决算为与财政整体指标量核对，对部分指标进行了调整。</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1430.48</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1118.54</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78.19</w:t>
      </w:r>
      <w:r>
        <w:rPr>
          <w:rFonts w:hint="eastAsia" w:asciiTheme="minorEastAsia" w:hAnsiTheme="minorEastAsia" w:eastAsiaTheme="minorEastAsia"/>
          <w:sz w:val="32"/>
          <w:szCs w:val="32"/>
        </w:rPr>
        <w:t>%,主要包括基本工资、奖金、绩效工资、社会事业单位基本养老保险缴费、职业年金缴费、职工基本医疗保险缴费、 其他社会保障缴费、住房公积金、其他工资福利支出、离休费、退休费、抚恤金、生活补助、助学金、其他对个人和家庭的补助；公用经费</w:t>
      </w:r>
      <w:r>
        <w:rPr>
          <w:rFonts w:hint="eastAsia" w:asciiTheme="minorEastAsia" w:hAnsiTheme="minorEastAsia" w:eastAsiaTheme="minorEastAsia"/>
          <w:sz w:val="32"/>
          <w:szCs w:val="32"/>
          <w:lang w:val="en-US" w:eastAsia="zh-CN"/>
        </w:rPr>
        <w:t>43.9</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21.81</w:t>
      </w:r>
      <w:r>
        <w:rPr>
          <w:rFonts w:hint="eastAsia" w:asciiTheme="minorEastAsia" w:hAnsiTheme="minorEastAsia" w:eastAsiaTheme="minorEastAsia"/>
          <w:sz w:val="32"/>
          <w:szCs w:val="32"/>
        </w:rPr>
        <w:t>%，主要包括办公费、印刷费、</w:t>
      </w:r>
      <w:r>
        <w:rPr>
          <w:rFonts w:hint="eastAsia" w:asciiTheme="minorEastAsia" w:hAnsiTheme="minorEastAsia" w:eastAsiaTheme="minorEastAsia"/>
          <w:sz w:val="32"/>
          <w:szCs w:val="32"/>
          <w:lang w:eastAsia="zh-CN"/>
        </w:rPr>
        <w:t>水费、电费、邮电费、差旅费、维修（护）费、专用材料费、劳务费、工会经费、其他交通费用、税金附加费用、专用设备购置</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2021年度“三公”经费财政拨款支出预算为</w:t>
      </w:r>
      <w:r>
        <w:rPr>
          <w:rFonts w:hint="eastAsia" w:asciiTheme="minorEastAsia" w:hAnsiTheme="minorEastAsia" w:eastAsiaTheme="minorEastAsia"/>
          <w:sz w:val="32"/>
          <w:szCs w:val="32"/>
          <w:lang w:val="en-US" w:eastAsia="zh-CN"/>
        </w:rPr>
        <w:t>0.06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0.06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0.06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0.06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2.31</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97.46</w:t>
      </w:r>
      <w:r>
        <w:rPr>
          <w:rFonts w:hint="eastAsia" w:asciiTheme="minorEastAsia" w:hAnsiTheme="minorEastAsia" w:eastAsiaTheme="minorEastAsia"/>
          <w:sz w:val="32"/>
          <w:szCs w:val="32"/>
        </w:rPr>
        <w:t>%,减少的</w:t>
      </w:r>
      <w:r>
        <w:rPr>
          <w:rFonts w:hint="eastAsia" w:asciiTheme="minorEastAsia" w:hAnsiTheme="minorEastAsia" w:eastAsiaTheme="minorEastAsia"/>
          <w:sz w:val="32"/>
          <w:szCs w:val="32"/>
          <w:lang w:eastAsia="zh-CN"/>
        </w:rPr>
        <w:t>主</w:t>
      </w:r>
      <w:r>
        <w:rPr>
          <w:rFonts w:hint="eastAsia" w:asciiTheme="minorEastAsia" w:hAnsiTheme="minorEastAsia" w:eastAsiaTheme="minorEastAsia"/>
          <w:sz w:val="32"/>
          <w:szCs w:val="32"/>
        </w:rPr>
        <w:t>要原因是上级财政部响应和贯彻中央过“紧日子”的有关要求，厉行节约。</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0.06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0.6</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eastAsia="zh-CN"/>
        </w:rPr>
        <w:t>校企合作单位员工来校</w:t>
      </w:r>
      <w:r>
        <w:rPr>
          <w:rFonts w:hint="eastAsia" w:asciiTheme="minorEastAsia" w:hAnsiTheme="minorEastAsia" w:eastAsiaTheme="minorEastAsia"/>
          <w:sz w:val="32"/>
          <w:szCs w:val="32"/>
        </w:rPr>
        <w:t>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0</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color w:val="000000" w:themeColor="text1"/>
          <w:sz w:val="32"/>
          <w:szCs w:val="32"/>
          <w:lang w:eastAsia="zh-CN"/>
          <w14:textFill>
            <w14:solidFill>
              <w14:schemeClr w14:val="tx1"/>
            </w14:solidFill>
          </w14:textFill>
        </w:rPr>
        <w:t>，</w:t>
      </w:r>
      <w:r>
        <w:rPr>
          <w:rFonts w:hint="eastAsia" w:asciiTheme="minorEastAsia" w:hAnsiTheme="minorEastAsia"/>
          <w:sz w:val="32"/>
          <w:szCs w:val="32"/>
        </w:rPr>
        <w:t>公务用车运行维护费万元，截止2021年12月31日，我单位开支财政拨款的公务用车保有量为</w:t>
      </w:r>
      <w:r>
        <w:rPr>
          <w:rFonts w:hint="eastAsia" w:asciiTheme="minorEastAsia" w:hAnsiTheme="minorEastAsia"/>
          <w:sz w:val="32"/>
          <w:szCs w:val="32"/>
          <w:lang w:val="en-US" w:eastAsia="zh-CN"/>
        </w:rPr>
        <w:t>0</w:t>
      </w:r>
      <w:r>
        <w:rPr>
          <w:rFonts w:hint="eastAsia" w:asciiTheme="minorEastAsia" w:hAnsiTheme="minorEastAsia"/>
          <w:sz w:val="32"/>
          <w:szCs w:val="32"/>
        </w:rPr>
        <w:t>辆。</w:t>
      </w:r>
    </w:p>
    <w:p>
      <w:pPr>
        <w:pStyle w:val="10"/>
        <w:rPr>
          <w:rFonts w:hAnsi="黑体"/>
          <w:b/>
          <w:sz w:val="32"/>
          <w:szCs w:val="32"/>
        </w:rPr>
      </w:pPr>
      <w:r>
        <w:rPr>
          <w:rFonts w:hint="eastAsia" w:hAnsi="黑体"/>
          <w:b/>
          <w:sz w:val="32"/>
          <w:szCs w:val="32"/>
        </w:rPr>
        <w:t>八、政府性基金预算收入支出决算情况</w:t>
      </w:r>
    </w:p>
    <w:p>
      <w:pPr>
        <w:pStyle w:val="10"/>
        <w:ind w:firstLine="640" w:firstLineChars="200"/>
        <w:rPr>
          <w:rFonts w:hint="eastAsia" w:eastAsia="宋体" w:asciiTheme="minorEastAsia" w:hAnsiTheme="minorEastAsia"/>
          <w:sz w:val="32"/>
          <w:szCs w:val="32"/>
          <w:lang w:eastAsia="zh-CN"/>
        </w:rPr>
      </w:pPr>
      <w:r>
        <w:rPr>
          <w:rFonts w:hint="eastAsia" w:asciiTheme="minorEastAsia" w:hAnsiTheme="minorEastAsia" w:eastAsiaTheme="minorEastAsia"/>
          <w:sz w:val="32"/>
          <w:szCs w:val="32"/>
        </w:rPr>
        <w:t>2021年度</w:t>
      </w:r>
      <w:r>
        <w:rPr>
          <w:rFonts w:hint="eastAsia" w:ascii="宋体" w:hAnsi="宋体" w:eastAsia="宋体"/>
          <w:color w:val="auto"/>
          <w:sz w:val="32"/>
          <w:szCs w:val="32"/>
        </w:rPr>
        <w:t>本单位无政府性基金收支</w:t>
      </w:r>
      <w:r>
        <w:rPr>
          <w:rFonts w:hint="eastAsia" w:ascii="宋体" w:hAnsi="宋体" w:eastAsia="宋体"/>
          <w:color w:val="auto"/>
          <w:sz w:val="32"/>
          <w:szCs w:val="32"/>
          <w:lang w:eastAsia="zh-CN"/>
        </w:rPr>
        <w:t>。</w:t>
      </w:r>
    </w:p>
    <w:p>
      <w:pPr>
        <w:pStyle w:val="10"/>
        <w:rPr>
          <w:rFonts w:hAnsi="黑体"/>
          <w:b/>
          <w:sz w:val="32"/>
          <w:szCs w:val="32"/>
        </w:rPr>
      </w:pPr>
      <w:r>
        <w:rPr>
          <w:rFonts w:hint="eastAsia" w:hAnsi="黑体"/>
          <w:b/>
          <w:sz w:val="32"/>
          <w:szCs w:val="32"/>
        </w:rPr>
        <w:t>九、机关运行经费支出说明</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本部门2021年度机关运行经费支出</w:t>
      </w:r>
      <w:r>
        <w:rPr>
          <w:rFonts w:hint="eastAsia" w:asciiTheme="minorEastAsia" w:hAnsiTheme="minorEastAsia" w:eastAsiaTheme="minorEastAsia"/>
          <w:sz w:val="32"/>
          <w:szCs w:val="32"/>
          <w:lang w:val="en-US" w:eastAsia="zh-CN"/>
        </w:rPr>
        <w:t>43.9</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比上年决算数</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197.8</w:t>
      </w:r>
      <w:r>
        <w:rPr>
          <w:rFonts w:hint="eastAsia" w:asciiTheme="minorEastAsia" w:hAnsiTheme="minorEastAsia" w:eastAsiaTheme="minorEastAsia"/>
          <w:sz w:val="32"/>
          <w:szCs w:val="32"/>
        </w:rPr>
        <w:t xml:space="preserve"> 万元</w:t>
      </w:r>
      <w:r>
        <w:rPr>
          <w:rFonts w:hint="eastAsia" w:asciiTheme="minorEastAsia" w:hAnsiTheme="minorEastAsia" w:eastAsiaTheme="minorEastAsia"/>
          <w:sz w:val="32"/>
          <w:szCs w:val="32"/>
          <w:lang w:val="en-US" w:eastAsia="zh-CN"/>
        </w:rPr>
        <w:t>,</w:t>
      </w:r>
      <w:r>
        <w:rPr>
          <w:rFonts w:hint="default" w:asciiTheme="minorEastAsia" w:hAnsiTheme="minorEastAsia" w:eastAsiaTheme="minorEastAsia"/>
          <w:sz w:val="32"/>
          <w:szCs w:val="32"/>
          <w:lang w:val="en-US" w:eastAsia="zh-CN"/>
        </w:rPr>
        <w:t>降低</w:t>
      </w:r>
      <w:r>
        <w:rPr>
          <w:rFonts w:hint="eastAsia" w:asciiTheme="minorEastAsia" w:hAnsiTheme="minorEastAsia" w:eastAsiaTheme="minorEastAsia"/>
          <w:sz w:val="32"/>
          <w:szCs w:val="32"/>
          <w:lang w:val="en-US" w:eastAsia="zh-CN"/>
        </w:rPr>
        <w:t>81.83</w:t>
      </w:r>
      <w:r>
        <w:rPr>
          <w:rFonts w:hint="default" w:asciiTheme="minorEastAsia" w:hAnsiTheme="minorEastAsia" w:eastAsiaTheme="minorEastAsia"/>
          <w:sz w:val="32"/>
          <w:szCs w:val="32"/>
          <w:lang w:val="en-US" w:eastAsia="zh-CN"/>
        </w:rPr>
        <w:t>%</w:t>
      </w:r>
      <w:r>
        <w:rPr>
          <w:rFonts w:hint="eastAsia" w:asciiTheme="minorEastAsia" w:hAnsiTheme="minorEastAsia" w:eastAsiaTheme="minorEastAsia"/>
          <w:sz w:val="32"/>
          <w:szCs w:val="32"/>
          <w:lang w:val="en-US" w:eastAsia="zh-CN"/>
        </w:rPr>
        <w:t>。</w:t>
      </w:r>
      <w:r>
        <w:rPr>
          <w:rFonts w:hint="eastAsia" w:asciiTheme="minorEastAsia" w:hAnsiTheme="minorEastAsia" w:eastAsiaTheme="minorEastAsia"/>
          <w:sz w:val="32"/>
          <w:szCs w:val="32"/>
        </w:rPr>
        <w:t>主要原因是：响应和贯彻中央过“紧日子”的有关要求，厉行节约，</w:t>
      </w:r>
      <w:r>
        <w:rPr>
          <w:rFonts w:hint="eastAsia" w:asciiTheme="minorEastAsia" w:hAnsiTheme="minorEastAsia" w:eastAsiaTheme="minorEastAsia"/>
          <w:sz w:val="32"/>
          <w:szCs w:val="32"/>
          <w:lang w:eastAsia="zh-CN"/>
        </w:rPr>
        <w:t>减少了机关运行经费支出</w:t>
      </w:r>
      <w:r>
        <w:rPr>
          <w:rFonts w:hint="eastAsia" w:asciiTheme="minorEastAsia" w:hAnsiTheme="minorEastAsia" w:eastAsiaTheme="minorEastAsia"/>
          <w:sz w:val="32"/>
          <w:szCs w:val="32"/>
        </w:rPr>
        <w:t>。</w:t>
      </w:r>
      <w:bookmarkStart w:id="3" w:name="_GoBack"/>
      <w:bookmarkEnd w:id="3"/>
    </w:p>
    <w:p>
      <w:pPr>
        <w:pStyle w:val="10"/>
        <w:rPr>
          <w:rFonts w:hAnsi="黑体"/>
          <w:b/>
          <w:sz w:val="32"/>
          <w:szCs w:val="32"/>
        </w:rPr>
      </w:pPr>
      <w:r>
        <w:rPr>
          <w:rFonts w:hint="eastAsia" w:hAnsi="黑体"/>
          <w:b/>
          <w:sz w:val="32"/>
          <w:szCs w:val="32"/>
        </w:rPr>
        <w:t>十、一般性支出情况说明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万元；开支培训费</w:t>
      </w:r>
      <w:r>
        <w:rPr>
          <w:rFonts w:hint="eastAsia" w:asciiTheme="minorEastAsia" w:hAnsiTheme="minorEastAsia" w:eastAsiaTheme="minorEastAsia"/>
          <w:sz w:val="32"/>
          <w:szCs w:val="32"/>
          <w:lang w:val="en-US" w:eastAsia="zh-CN"/>
        </w:rPr>
        <w:t>0.73</w:t>
      </w:r>
      <w:r>
        <w:rPr>
          <w:rFonts w:hint="eastAsia" w:asciiTheme="minorEastAsia" w:hAnsiTheme="minorEastAsia" w:eastAsiaTheme="minorEastAsia"/>
          <w:sz w:val="32"/>
          <w:szCs w:val="32"/>
        </w:rPr>
        <w:t>万元，用于</w:t>
      </w:r>
      <w:r>
        <w:rPr>
          <w:rFonts w:hint="eastAsia" w:asciiTheme="minorEastAsia" w:hAnsiTheme="minorEastAsia" w:eastAsiaTheme="minorEastAsia"/>
          <w:sz w:val="32"/>
          <w:szCs w:val="32"/>
          <w:lang w:eastAsia="zh-CN"/>
        </w:rPr>
        <w:t>我校教师培训费用。</w:t>
      </w:r>
      <w:r>
        <w:rPr>
          <w:rFonts w:hint="eastAsia" w:asciiTheme="minorEastAsia" w:hAnsiTheme="minorEastAsia" w:eastAsiaTheme="minorEastAsia"/>
          <w:sz w:val="32"/>
          <w:szCs w:val="32"/>
        </w:rPr>
        <w:t>人数</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eastAsia="zh-CN"/>
        </w:rPr>
        <w:t>湖南省职业技能等级认定考评员培训</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十一、政府采购支出说明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rPr>
          <w:rFonts w:hAnsi="黑体"/>
          <w:b/>
          <w:sz w:val="32"/>
          <w:szCs w:val="32"/>
        </w:rPr>
      </w:pPr>
      <w:r>
        <w:rPr>
          <w:rFonts w:hint="eastAsia" w:hAnsi="黑体"/>
          <w:b/>
          <w:sz w:val="32"/>
          <w:szCs w:val="32"/>
        </w:rPr>
        <w:t>十二、国有资产占用情况说明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0"/>
        <w:rPr>
          <w:rFonts w:hint="eastAsia" w:hAnsi="黑体"/>
          <w:b/>
          <w:sz w:val="32"/>
          <w:szCs w:val="32"/>
        </w:rPr>
      </w:pPr>
      <w:r>
        <w:rPr>
          <w:rFonts w:hint="eastAsia" w:hAnsi="黑体"/>
          <w:b/>
          <w:sz w:val="32"/>
          <w:szCs w:val="32"/>
        </w:rPr>
        <w:t>十三、2021年度预算绩效情况说明</w:t>
      </w:r>
    </w:p>
    <w:p>
      <w:pPr>
        <w:pStyle w:val="10"/>
        <w:ind w:firstLine="640" w:firstLineChars="200"/>
        <w:rPr>
          <w:sz w:val="72"/>
          <w:szCs w:val="72"/>
        </w:rPr>
      </w:pPr>
      <w:r>
        <w:rPr>
          <w:rFonts w:hint="eastAsia" w:cs="黑体" w:asciiTheme="minorEastAsia" w:hAnsiTheme="minorEastAsia"/>
          <w:b/>
          <w:color w:val="000000"/>
          <w:kern w:val="0"/>
          <w:sz w:val="32"/>
          <w:szCs w:val="32"/>
        </w:rPr>
        <w:t>（1）</w:t>
      </w:r>
      <w:r>
        <w:rPr>
          <w:rFonts w:hint="eastAsia" w:cs="黑体" w:asciiTheme="minorEastAsia" w:hAnsiTheme="minorEastAsia"/>
          <w:b/>
          <w:color w:val="000000"/>
          <w:kern w:val="0"/>
          <w:sz w:val="32"/>
          <w:szCs w:val="32"/>
          <w:lang w:val="en-US" w:eastAsia="zh-CN"/>
        </w:rPr>
        <w:t>本单位2021年未开展</w:t>
      </w:r>
      <w:r>
        <w:rPr>
          <w:rFonts w:hint="eastAsia" w:cs="黑体" w:asciiTheme="minorEastAsia" w:hAnsiTheme="minorEastAsia"/>
          <w:b/>
          <w:color w:val="000000"/>
          <w:kern w:val="0"/>
          <w:sz w:val="32"/>
          <w:szCs w:val="32"/>
        </w:rPr>
        <w:t>绩效管理评价工作</w:t>
      </w:r>
      <w:r>
        <w:rPr>
          <w:rFonts w:hint="eastAsia" w:cs="黑体" w:asciiTheme="minorEastAsia" w:hAnsiTheme="minorEastAsia"/>
          <w:color w:val="000000"/>
          <w:kern w:val="0"/>
          <w:sz w:val="32"/>
          <w:szCs w:val="32"/>
        </w:rPr>
        <w:t>。</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spacing w:line="600" w:lineRule="exact"/>
        <w:ind w:firstLine="660"/>
        <w:rPr>
          <w:rFonts w:eastAsia="Times New Roman"/>
          <w:sz w:val="32"/>
          <w:szCs w:val="32"/>
        </w:rPr>
      </w:pPr>
      <w:r>
        <w:rPr>
          <w:rFonts w:eastAsia="Times New Roman"/>
          <w:sz w:val="32"/>
          <w:szCs w:val="32"/>
        </w:rPr>
        <w:t>1</w:t>
      </w:r>
      <w:r>
        <w:rPr>
          <w:rFonts w:hint="eastAsia" w:ascii="宋体" w:hAnsi="宋体" w:cs="宋体"/>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p>
      <w:pPr>
        <w:ind w:firstLine="640" w:firstLineChars="200"/>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t>………</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7F46C73-B8A5-4909-A33B-50702B10B7D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E238B863-6EAB-496C-9775-CC1A7B6B597C}"/>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embedRegular r:id="rId3" w:fontKey="{6D1A0D4F-C2CF-4AA4-AE5A-6D1CFCF03095}"/>
  </w:font>
  <w:font w:name="方正小标宋_GBK">
    <w:panose1 w:val="02000000000000000000"/>
    <w:charset w:val="86"/>
    <w:family w:val="script"/>
    <w:pitch w:val="default"/>
    <w:sig w:usb0="00000001" w:usb1="080E0000" w:usb2="00000000" w:usb3="00000000" w:csb0="00040000" w:csb1="00000000"/>
    <w:embedRegular r:id="rId4" w:fontKey="{9DBEB9D4-D60F-401B-A452-AF022B2B9473}"/>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A6CAB8"/>
    <w:multiLevelType w:val="singleLevel"/>
    <w:tmpl w:val="B8A6CAB8"/>
    <w:lvl w:ilvl="0" w:tentative="0">
      <w:start w:val="2"/>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MjhkNjc2ZDIwYTA3OTQxYWFjMjEwOTM2NjBiNDY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79345A6"/>
    <w:rsid w:val="108A205B"/>
    <w:rsid w:val="1A7A308B"/>
    <w:rsid w:val="29D20CC0"/>
    <w:rsid w:val="4DCB2BD4"/>
    <w:rsid w:val="591D5619"/>
    <w:rsid w:val="5BCA202C"/>
    <w:rsid w:val="61215F3B"/>
    <w:rsid w:val="6ACC607B"/>
    <w:rsid w:val="76591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 w:type="paragraph" w:customStyle="1" w:styleId="13">
    <w:name w:val="样式2"/>
    <w:basedOn w:val="1"/>
    <w:unhideWhenUsed/>
    <w:qFormat/>
    <w:uiPriority w:val="0"/>
    <w:pPr>
      <w:spacing w:line="560" w:lineRule="exact"/>
      <w:ind w:firstLine="720" w:firstLineChars="200"/>
    </w:pPr>
    <w:rPr>
      <w:rFonts w:hint="default" w:eastAsia="仿宋_GB231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5920</Words>
  <Characters>7544</Characters>
  <Lines>69</Lines>
  <Paragraphs>19</Paragraphs>
  <TotalTime>6</TotalTime>
  <ScaleCrop>false</ScaleCrop>
  <LinksUpToDate>false</LinksUpToDate>
  <CharactersWithSpaces>8477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栖</cp:lastModifiedBy>
  <cp:lastPrinted>2022-07-27T12:55:00Z</cp:lastPrinted>
  <dcterms:modified xsi:type="dcterms:W3CDTF">2022-10-13T08:32:47Z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FBA8703CE1E94A578C4E157587414A24</vt:lpwstr>
  </property>
</Properties>
</file>