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2021年度</w:t>
      </w:r>
    </w:p>
    <w:p>
      <w:pPr>
        <w:pStyle w:val="10"/>
        <w:jc w:val="center"/>
        <w:rPr>
          <w:sz w:val="84"/>
          <w:szCs w:val="84"/>
        </w:rPr>
      </w:pPr>
      <w:r>
        <w:rPr>
          <w:rFonts w:hint="eastAsia"/>
          <w:sz w:val="84"/>
          <w:szCs w:val="84"/>
          <w:lang w:eastAsia="zh-CN"/>
        </w:rPr>
        <w:t>育塅中心学校</w:t>
      </w:r>
      <w:r>
        <w:rPr>
          <w:rFonts w:hint="eastAsia"/>
          <w:sz w:val="84"/>
          <w:szCs w:val="84"/>
        </w:rPr>
        <w:t>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sz w:val="32"/>
          <w:szCs w:val="32"/>
        </w:rPr>
      </w:pPr>
    </w:p>
    <w:p>
      <w:pPr>
        <w:pStyle w:val="10"/>
        <w:spacing w:line="540" w:lineRule="exact"/>
        <w:jc w:val="center"/>
        <w:rPr>
          <w:sz w:val="56"/>
          <w:szCs w:val="56"/>
        </w:rPr>
      </w:pPr>
    </w:p>
    <w:p>
      <w:pPr>
        <w:pStyle w:val="10"/>
        <w:spacing w:line="500" w:lineRule="exact"/>
        <w:jc w:val="center"/>
        <w:rPr>
          <w:b/>
          <w:sz w:val="36"/>
          <w:szCs w:val="28"/>
        </w:rPr>
      </w:pPr>
    </w:p>
    <w:p>
      <w:pPr>
        <w:pStyle w:val="10"/>
        <w:spacing w:line="500" w:lineRule="exact"/>
        <w:jc w:val="center"/>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第一部分XX单位概况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育塅中心学校</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hint="eastAsia" w:asciiTheme="minorEastAsia" w:hAnsiTheme="minorEastAsia"/>
          <w:sz w:val="32"/>
          <w:szCs w:val="32"/>
        </w:rPr>
      </w:pPr>
      <w:r>
        <w:rPr>
          <w:rFonts w:hint="eastAsia" w:asciiTheme="minorEastAsia" w:hAnsiTheme="minorEastAsia"/>
          <w:sz w:val="32"/>
          <w:szCs w:val="32"/>
        </w:rPr>
        <w:t>（一）实施初中、小学义务教育，促进基础教育发展。初中、小学学历教育及相关社会服务。</w:t>
      </w:r>
    </w:p>
    <w:p>
      <w:pPr>
        <w:widowControl/>
        <w:spacing w:line="600" w:lineRule="exact"/>
        <w:ind w:firstLine="640" w:firstLineChars="200"/>
        <w:rPr>
          <w:rFonts w:hint="eastAsia" w:asciiTheme="minorEastAsia" w:hAnsiTheme="minorEastAsia"/>
          <w:sz w:val="32"/>
          <w:szCs w:val="32"/>
        </w:rPr>
      </w:pPr>
      <w:r>
        <w:rPr>
          <w:rFonts w:hint="eastAsia" w:asciiTheme="minorEastAsia" w:hAnsiTheme="minorEastAsia"/>
          <w:sz w:val="32"/>
          <w:szCs w:val="32"/>
        </w:rPr>
        <w:t>（二）宣传贯彻执行党和国家的教育方针、政策法规等，坚持依法治教、依法治学。</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eastAsia="zh-CN"/>
        </w:rPr>
        <w:t>育塅</w:t>
      </w:r>
      <w:r>
        <w:rPr>
          <w:rFonts w:hint="eastAsia" w:asciiTheme="minorEastAsia" w:hAnsiTheme="minorEastAsia"/>
          <w:bCs/>
          <w:kern w:val="0"/>
          <w:sz w:val="32"/>
          <w:szCs w:val="32"/>
        </w:rPr>
        <w:t>中心学校单位内设机构包括：校长室、教导处、总务室、办公室。</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育塅</w:t>
      </w:r>
      <w:r>
        <w:rPr>
          <w:rFonts w:hint="eastAsia" w:asciiTheme="minorEastAsia" w:hAnsiTheme="minorEastAsia"/>
          <w:bCs/>
          <w:kern w:val="0"/>
          <w:sz w:val="32"/>
          <w:szCs w:val="32"/>
        </w:rPr>
        <w:t>中心学校单位20</w:t>
      </w:r>
      <w:r>
        <w:rPr>
          <w:rFonts w:hint="eastAsia" w:asciiTheme="minorEastAsia" w:hAnsiTheme="minorEastAsia"/>
          <w:bCs/>
          <w:kern w:val="0"/>
          <w:sz w:val="32"/>
          <w:szCs w:val="32"/>
          <w:lang w:val="en-US" w:eastAsia="zh-CN"/>
        </w:rPr>
        <w:t>21</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育塅</w:t>
      </w:r>
      <w:r>
        <w:rPr>
          <w:rFonts w:hint="eastAsia" w:asciiTheme="minorEastAsia" w:hAnsiTheme="minorEastAsia"/>
          <w:bCs/>
          <w:kern w:val="0"/>
          <w:sz w:val="32"/>
          <w:szCs w:val="32"/>
        </w:rPr>
        <w:t>中心学校单位本级以及下辖中学</w:t>
      </w:r>
      <w:r>
        <w:rPr>
          <w:rFonts w:hint="eastAsia" w:asciiTheme="minorEastAsia" w:hAnsiTheme="minorEastAsia"/>
          <w:bCs/>
          <w:kern w:val="0"/>
          <w:sz w:val="32"/>
          <w:szCs w:val="32"/>
          <w:lang w:eastAsia="zh-CN"/>
        </w:rPr>
        <w:t>一</w:t>
      </w:r>
      <w:r>
        <w:rPr>
          <w:rFonts w:hint="eastAsia" w:asciiTheme="minorEastAsia" w:hAnsiTheme="minorEastAsia"/>
          <w:bCs/>
          <w:kern w:val="0"/>
          <w:sz w:val="32"/>
          <w:szCs w:val="32"/>
        </w:rPr>
        <w:t>所，九年一贯制学校一所，小学</w:t>
      </w:r>
      <w:r>
        <w:rPr>
          <w:rFonts w:hint="eastAsia" w:asciiTheme="minorEastAsia" w:hAnsiTheme="minorEastAsia"/>
          <w:bCs/>
          <w:kern w:val="0"/>
          <w:sz w:val="32"/>
          <w:szCs w:val="32"/>
          <w:lang w:eastAsia="zh-CN"/>
        </w:rPr>
        <w:t>六</w:t>
      </w:r>
      <w:r>
        <w:rPr>
          <w:rFonts w:hint="eastAsia" w:asciiTheme="minorEastAsia" w:hAnsiTheme="minorEastAsia"/>
          <w:bCs/>
          <w:kern w:val="0"/>
          <w:sz w:val="32"/>
          <w:szCs w:val="32"/>
        </w:rPr>
        <w:t>所</w:t>
      </w:r>
      <w:r>
        <w:rPr>
          <w:rFonts w:hint="eastAsia" w:asciiTheme="minorEastAsia" w:hAnsiTheme="minorEastAsia"/>
          <w:bCs/>
          <w:kern w:val="0"/>
          <w:sz w:val="32"/>
          <w:szCs w:val="32"/>
          <w:lang w:eastAsia="zh-CN"/>
        </w:rPr>
        <w:t>，公办幼儿园一所</w:t>
      </w:r>
      <w:r>
        <w:rPr>
          <w:rFonts w:hint="eastAsia" w:asciiTheme="minorEastAsia" w:hAnsiTheme="minorEastAsia"/>
          <w:bCs/>
          <w:kern w:val="0"/>
          <w:sz w:val="32"/>
          <w:szCs w:val="32"/>
        </w:rPr>
        <w:t>。</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初级中学：</w:t>
      </w:r>
      <w:r>
        <w:rPr>
          <w:rFonts w:hint="eastAsia" w:asciiTheme="minorEastAsia" w:hAnsiTheme="minorEastAsia"/>
          <w:bCs/>
          <w:kern w:val="0"/>
          <w:sz w:val="32"/>
          <w:szCs w:val="32"/>
          <w:lang w:eastAsia="zh-CN"/>
        </w:rPr>
        <w:t>花坪</w:t>
      </w:r>
      <w:r>
        <w:rPr>
          <w:rFonts w:hint="eastAsia" w:asciiTheme="minorEastAsia" w:hAnsiTheme="minorEastAsia"/>
          <w:bCs/>
          <w:kern w:val="0"/>
          <w:sz w:val="32"/>
          <w:szCs w:val="32"/>
        </w:rPr>
        <w:t>中学</w:t>
      </w:r>
      <w:r>
        <w:rPr>
          <w:rFonts w:hint="eastAsia" w:asciiTheme="minorEastAsia" w:hAnsiTheme="minorEastAsia"/>
          <w:bCs/>
          <w:kern w:val="0"/>
          <w:sz w:val="32"/>
          <w:szCs w:val="32"/>
          <w:lang w:eastAsia="zh-CN"/>
        </w:rPr>
        <w:t>。</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九年一贯制学校：</w:t>
      </w:r>
      <w:r>
        <w:rPr>
          <w:rFonts w:hint="eastAsia" w:asciiTheme="minorEastAsia" w:hAnsiTheme="minorEastAsia"/>
          <w:bCs/>
          <w:kern w:val="0"/>
          <w:sz w:val="32"/>
          <w:szCs w:val="32"/>
          <w:lang w:eastAsia="zh-CN"/>
        </w:rPr>
        <w:t>育红学校</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rPr>
        <w:t>小学：</w:t>
      </w:r>
      <w:r>
        <w:rPr>
          <w:rFonts w:hint="eastAsia" w:asciiTheme="minorEastAsia" w:hAnsiTheme="minorEastAsia"/>
          <w:bCs/>
          <w:kern w:val="0"/>
          <w:sz w:val="32"/>
          <w:szCs w:val="32"/>
          <w:lang w:eastAsia="zh-CN"/>
        </w:rPr>
        <w:t>育塅示范学校、育塅中心小学、育塅乡长仑学校、育塅乡上山学校、育塅乡大桥学校、育塅乡石泉学校。</w:t>
      </w:r>
    </w:p>
    <w:p>
      <w:pPr>
        <w:widowControl/>
        <w:spacing w:line="600" w:lineRule="exact"/>
        <w:ind w:firstLine="640" w:firstLineChars="200"/>
        <w:rPr>
          <w:rFonts w:hint="default" w:asciiTheme="minorEastAsia" w:hAnsiTheme="minorEastAsia"/>
          <w:bCs/>
          <w:kern w:val="0"/>
          <w:sz w:val="32"/>
          <w:szCs w:val="32"/>
          <w:lang w:val="en-US" w:eastAsia="zh-CN"/>
        </w:rPr>
      </w:pPr>
      <w:r>
        <w:rPr>
          <w:rFonts w:hint="eastAsia" w:asciiTheme="minorEastAsia" w:hAnsiTheme="minorEastAsia"/>
          <w:bCs/>
          <w:kern w:val="0"/>
          <w:sz w:val="32"/>
          <w:szCs w:val="32"/>
          <w:lang w:eastAsia="zh-CN"/>
        </w:rPr>
        <w:t>公办幼儿园：育塅乡中心幼儿园。</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eastAsia="zh-CN"/>
              </w:rPr>
              <w:t>湘乡市育塅中心学校</w:t>
            </w:r>
          </w:p>
        </w:tc>
        <w:tc>
          <w:tcPr>
            <w:tcW w:w="697" w:type="dxa"/>
            <w:gridSpan w:val="2"/>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577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657"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eastAsia="zh-CN"/>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2451.24</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3446.15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994.91</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lang w:eastAsia="zh-CN"/>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3446.15</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rPr>
            </w:pPr>
            <w:r>
              <w:rPr>
                <w:rFonts w:hint="eastAsia" w:ascii="宋体" w:hAnsi="宋体" w:eastAsia="宋体" w:cs="宋体"/>
                <w:kern w:val="0"/>
                <w:sz w:val="22"/>
                <w:lang w:val="en-US" w:eastAsia="zh-CN"/>
              </w:rPr>
              <w:t>3446.15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3446.15</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rPr>
            </w:pPr>
            <w:r>
              <w:rPr>
                <w:rFonts w:hint="eastAsia" w:ascii="宋体" w:hAnsi="宋体" w:eastAsia="宋体" w:cs="宋体"/>
                <w:kern w:val="0"/>
                <w:sz w:val="22"/>
                <w:lang w:val="en-US" w:eastAsia="zh-CN"/>
              </w:rPr>
              <w:t>3446.15</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3900" w:type="dxa"/>
        <w:tblInd w:w="0" w:type="dxa"/>
        <w:tblLayout w:type="autofit"/>
        <w:tblCellMar>
          <w:top w:w="0" w:type="dxa"/>
          <w:left w:w="0" w:type="dxa"/>
          <w:bottom w:w="0" w:type="dxa"/>
          <w:right w:w="0" w:type="dxa"/>
        </w:tblCellMar>
      </w:tblPr>
      <w:tblGrid>
        <w:gridCol w:w="465"/>
        <w:gridCol w:w="405"/>
        <w:gridCol w:w="1920"/>
        <w:gridCol w:w="1737"/>
        <w:gridCol w:w="1737"/>
        <w:gridCol w:w="1618"/>
        <w:gridCol w:w="1618"/>
        <w:gridCol w:w="1618"/>
        <w:gridCol w:w="1618"/>
        <w:gridCol w:w="1964"/>
      </w:tblGrid>
      <w:tr>
        <w:tblPrEx>
          <w:tblCellMar>
            <w:top w:w="0" w:type="dxa"/>
            <w:left w:w="0" w:type="dxa"/>
            <w:bottom w:w="0" w:type="dxa"/>
            <w:right w:w="0" w:type="dxa"/>
          </w:tblCellMar>
        </w:tblPrEx>
        <w:trPr>
          <w:trHeight w:val="435" w:hRule="atLeast"/>
        </w:trPr>
        <w:tc>
          <w:tcPr>
            <w:tcW w:w="1390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lang w:eastAsia="zh-CN"/>
              </w:rPr>
              <w:t>湘乡市育塅中心学校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宋体" w:hAnsi="宋体" w:eastAsia="宋体" w:cs="宋体"/>
                <w:color w:val="000000"/>
                <w:sz w:val="20"/>
                <w:szCs w:val="20"/>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4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3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3446.15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2451.24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994.91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教育支出</w:t>
            </w:r>
          </w:p>
        </w:tc>
        <w:tc>
          <w:tcPr>
            <w:tcW w:w="17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cs="宋体" w:eastAsiaTheme="minorEastAsia"/>
                <w:sz w:val="24"/>
                <w:szCs w:val="24"/>
                <w:lang w:eastAsia="zh-CN"/>
              </w:rPr>
            </w:pPr>
            <w:r>
              <w:rPr>
                <w:rFonts w:hint="eastAsia"/>
                <w:lang w:val="en-US" w:eastAsia="zh-CN"/>
              </w:rPr>
              <w:t>3446.15</w:t>
            </w:r>
          </w:p>
        </w:tc>
        <w:tc>
          <w:tcPr>
            <w:tcW w:w="17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cs="宋体" w:eastAsiaTheme="minorEastAsia"/>
                <w:sz w:val="24"/>
                <w:szCs w:val="24"/>
                <w:lang w:eastAsia="zh-CN"/>
              </w:rPr>
            </w:pPr>
            <w:r>
              <w:rPr>
                <w:rFonts w:hint="eastAsia"/>
                <w:lang w:val="en-US" w:eastAsia="zh-CN"/>
              </w:rPr>
              <w:t>2451.24</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9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cs="宋体" w:eastAsiaTheme="minorEastAsia"/>
                <w:sz w:val="24"/>
                <w:szCs w:val="24"/>
                <w:lang w:eastAsia="zh-CN"/>
              </w:rPr>
            </w:pPr>
            <w:r>
              <w:rPr>
                <w:rFonts w:hint="eastAsia"/>
                <w:lang w:val="en-US" w:eastAsia="zh-CN"/>
              </w:rPr>
              <w:t>994.91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24"/>
                <w:szCs w:val="24"/>
                <w:lang w:val="en-US" w:eastAsia="zh-CN"/>
              </w:rPr>
            </w:pPr>
            <w:r>
              <w:rPr>
                <w:rFonts w:hint="eastAsia"/>
                <w:lang w:val="en-US" w:eastAsia="zh-CN"/>
              </w:rPr>
              <w:t>20502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普通教育</w:t>
            </w:r>
          </w:p>
        </w:tc>
        <w:tc>
          <w:tcPr>
            <w:tcW w:w="17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华文中宋" w:hAnsi="华文中宋" w:eastAsia="宋体" w:cs="宋体"/>
                <w:sz w:val="21"/>
                <w:szCs w:val="21"/>
                <w:lang w:val="en-US" w:eastAsia="zh-CN"/>
              </w:rPr>
            </w:pPr>
            <w:r>
              <w:rPr>
                <w:rFonts w:hint="eastAsia"/>
                <w:lang w:val="en-US" w:eastAsia="zh-CN"/>
              </w:rPr>
              <w:t>3446.15</w:t>
            </w:r>
          </w:p>
        </w:tc>
        <w:tc>
          <w:tcPr>
            <w:tcW w:w="173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cs="宋体" w:eastAsiaTheme="minorEastAsia"/>
                <w:sz w:val="24"/>
                <w:szCs w:val="24"/>
                <w:lang w:eastAsia="zh-CN"/>
              </w:rPr>
            </w:pPr>
            <w:r>
              <w:rPr>
                <w:rFonts w:hint="eastAsia"/>
                <w:lang w:val="en-US" w:eastAsia="zh-CN"/>
              </w:rPr>
              <w:t>2451.24</w:t>
            </w: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38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19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cs="宋体" w:eastAsiaTheme="minorEastAsia"/>
                <w:sz w:val="24"/>
                <w:szCs w:val="24"/>
                <w:lang w:eastAsia="zh-CN"/>
              </w:rPr>
            </w:pPr>
            <w:r>
              <w:rPr>
                <w:rFonts w:hint="eastAsia"/>
                <w:lang w:val="en-US" w:eastAsia="zh-CN"/>
              </w:rPr>
              <w:t>994.91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2050201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144.50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144.50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3099.45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2104.54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994.91</w:t>
            </w: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2050203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24"/>
                <w:szCs w:val="24"/>
                <w:lang w:eastAsia="zh-CN"/>
              </w:rPr>
            </w:pPr>
            <w:r>
              <w:rPr>
                <w:rFonts w:hint="eastAsia"/>
                <w:lang w:eastAsia="zh-CN"/>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202.20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center"/>
              <w:rPr>
                <w:rFonts w:hint="default" w:ascii="宋体" w:hAnsi="宋体" w:cs="宋体" w:eastAsiaTheme="minorEastAsia"/>
                <w:sz w:val="24"/>
                <w:szCs w:val="24"/>
                <w:lang w:val="en-US" w:eastAsia="zh-CN"/>
              </w:rPr>
            </w:pPr>
            <w:r>
              <w:rPr>
                <w:rFonts w:hint="eastAsia"/>
                <w:lang w:val="en-US" w:eastAsia="zh-CN"/>
              </w:rPr>
              <w:t>202.20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lang w:eastAsia="zh-CN"/>
              </w:rPr>
            </w:pPr>
          </w:p>
        </w:tc>
      </w:tr>
      <w:tr>
        <w:tblPrEx>
          <w:tblCellMar>
            <w:top w:w="0" w:type="dxa"/>
            <w:left w:w="0" w:type="dxa"/>
            <w:bottom w:w="0" w:type="dxa"/>
            <w:right w:w="0" w:type="dxa"/>
          </w:tblCellMar>
        </w:tblPrEx>
        <w:trPr>
          <w:trHeight w:val="615" w:hRule="atLeast"/>
        </w:trPr>
        <w:tc>
          <w:tcPr>
            <w:tcW w:w="139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3183" w:type="dxa"/>
        <w:tblInd w:w="93" w:type="dxa"/>
        <w:tblLayout w:type="autofit"/>
        <w:tblCellMar>
          <w:top w:w="0" w:type="dxa"/>
          <w:left w:w="108" w:type="dxa"/>
          <w:bottom w:w="0" w:type="dxa"/>
          <w:right w:w="108" w:type="dxa"/>
        </w:tblCellMar>
      </w:tblPr>
      <w:tblGrid>
        <w:gridCol w:w="1042"/>
        <w:gridCol w:w="222"/>
        <w:gridCol w:w="1249"/>
        <w:gridCol w:w="1646"/>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24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4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22"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895" w:type="dxa"/>
            <w:gridSpan w:val="2"/>
            <w:tcBorders>
              <w:top w:val="nil"/>
              <w:left w:val="nil"/>
              <w:bottom w:val="nil"/>
              <w:right w:val="nil"/>
            </w:tcBorders>
            <w:shd w:val="clear" w:color="000000" w:fill="FFFFFF"/>
            <w:noWrap/>
            <w:vAlign w:val="center"/>
          </w:tcPr>
          <w:p>
            <w:pPr>
              <w:widowControl/>
              <w:jc w:val="both"/>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湘乡市育塅中心学校</w:t>
            </w: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center"/>
              <w:rPr>
                <w:rFonts w:hint="eastAsia" w:ascii="宋体" w:hAnsi="宋体" w:eastAsia="宋体" w:cs="宋体"/>
                <w:color w:val="000000"/>
                <w:kern w:val="0"/>
                <w:sz w:val="20"/>
                <w:szCs w:val="20"/>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64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249"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4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64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51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lang w:val="en-US" w:eastAsia="zh-CN"/>
              </w:rPr>
              <w:t>3446.15</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eastAsiaTheme="minorEastAsia"/>
                <w:kern w:val="0"/>
                <w:sz w:val="24"/>
                <w:szCs w:val="24"/>
                <w:lang w:val="en-US" w:eastAsia="zh-CN"/>
              </w:rPr>
            </w:pPr>
            <w:r>
              <w:rPr>
                <w:rFonts w:hint="eastAsia"/>
                <w:lang w:val="en-US" w:eastAsia="zh-CN"/>
              </w:rPr>
              <w:t>3315.88</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eastAsia="宋体"/>
                <w:lang w:val="en-US" w:eastAsia="zh-CN"/>
              </w:rPr>
              <w:t>130.28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lang w:val="en-US" w:eastAsia="zh-CN"/>
              </w:rPr>
              <w:t>205</w:t>
            </w:r>
          </w:p>
        </w:tc>
        <w:tc>
          <w:tcPr>
            <w:tcW w:w="1249" w:type="dxa"/>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0"/>
                <w:sz w:val="24"/>
                <w:szCs w:val="24"/>
                <w:lang w:eastAsia="zh-CN"/>
              </w:rPr>
            </w:pPr>
            <w:r>
              <w:rPr>
                <w:rFonts w:hint="eastAsia"/>
                <w:lang w:eastAsia="zh-CN"/>
              </w:rPr>
              <w:t>教育支出</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cs="宋体" w:eastAsiaTheme="minorEastAsia"/>
                <w:kern w:val="0"/>
                <w:sz w:val="24"/>
                <w:szCs w:val="24"/>
                <w:lang w:eastAsia="zh-CN"/>
              </w:rPr>
            </w:pPr>
            <w:r>
              <w:rPr>
                <w:rFonts w:hint="eastAsia"/>
                <w:lang w:val="en-US" w:eastAsia="zh-CN"/>
              </w:rPr>
              <w:t>3446.15</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rPr>
            </w:pPr>
            <w:r>
              <w:rPr>
                <w:rFonts w:hint="eastAsia"/>
                <w:lang w:val="en-US" w:eastAsia="zh-CN"/>
              </w:rPr>
              <w:t>3315.88</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eastAsia="宋体"/>
                <w:lang w:val="en-US" w:eastAsia="zh-CN"/>
              </w:rPr>
              <w:t>130.28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lang w:val="en-US" w:eastAsia="zh-CN"/>
              </w:rPr>
              <w:t>20502</w:t>
            </w:r>
          </w:p>
        </w:tc>
        <w:tc>
          <w:tcPr>
            <w:tcW w:w="1249" w:type="dxa"/>
            <w:tcBorders>
              <w:top w:val="nil"/>
              <w:left w:val="nil"/>
              <w:bottom w:val="single" w:color="auto" w:sz="4" w:space="0"/>
              <w:right w:val="single" w:color="auto" w:sz="4" w:space="0"/>
            </w:tcBorders>
            <w:shd w:val="clear" w:color="000000" w:fill="FFFFFF"/>
            <w:noWrap/>
            <w:vAlign w:val="center"/>
          </w:tcPr>
          <w:p>
            <w:pPr>
              <w:rPr>
                <w:rFonts w:hint="eastAsia" w:ascii="宋体" w:hAnsi="宋体" w:cs="宋体" w:eastAsiaTheme="minorEastAsia"/>
                <w:kern w:val="0"/>
                <w:sz w:val="24"/>
                <w:szCs w:val="24"/>
                <w:lang w:eastAsia="zh-CN"/>
              </w:rPr>
            </w:pPr>
            <w:r>
              <w:rPr>
                <w:rFonts w:hint="eastAsia"/>
                <w:lang w:eastAsia="zh-CN"/>
              </w:rPr>
              <w:t>普通教育</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kern w:val="0"/>
                <w:sz w:val="24"/>
                <w:szCs w:val="24"/>
              </w:rPr>
            </w:pPr>
            <w:r>
              <w:rPr>
                <w:rFonts w:hint="eastAsia"/>
                <w:lang w:val="en-US" w:eastAsia="zh-CN"/>
              </w:rPr>
              <w:t>3446.15</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eastAsiaTheme="minorEastAsia"/>
                <w:kern w:val="0"/>
                <w:sz w:val="24"/>
                <w:szCs w:val="24"/>
                <w:lang w:eastAsia="zh-CN"/>
              </w:rPr>
            </w:pPr>
            <w:r>
              <w:rPr>
                <w:rFonts w:hint="eastAsia"/>
                <w:lang w:val="en-US" w:eastAsia="zh-CN"/>
              </w:rPr>
              <w:t>3315.88</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eastAsia="宋体"/>
                <w:lang w:val="en-US" w:eastAsia="zh-CN"/>
              </w:rPr>
              <w:t>130.28</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ascii="宋体" w:hAnsi="宋体" w:eastAsia="宋体" w:cs="宋体"/>
                <w:sz w:val="24"/>
                <w:szCs w:val="24"/>
                <w:lang w:val="en-US" w:eastAsia="zh-CN"/>
              </w:rPr>
              <w:t>2050201</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lang w:eastAsia="zh-CN"/>
              </w:rPr>
              <w:t>学前教育</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lang w:val="en-US" w:eastAsia="zh-CN"/>
              </w:rPr>
              <w:t>144.50</w:t>
            </w: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lang w:val="en-US" w:eastAsia="zh-CN"/>
              </w:rPr>
              <w:t>114.50</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30.00</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ascii="宋体" w:hAnsi="宋体" w:eastAsia="宋体" w:cs="宋体"/>
                <w:sz w:val="24"/>
                <w:szCs w:val="24"/>
                <w:lang w:val="en-US" w:eastAsia="zh-CN"/>
              </w:rPr>
              <w:t>2050202</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lang w:eastAsia="zh-CN"/>
              </w:rPr>
              <w:t>小学教育</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lang w:val="en-US" w:eastAsia="zh-CN"/>
              </w:rPr>
              <w:t>3099.45</w:t>
            </w: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ascii="宋体" w:hAnsi="宋体" w:cs="宋体"/>
                <w:kern w:val="0"/>
                <w:sz w:val="24"/>
                <w:szCs w:val="24"/>
                <w:lang w:val="en-US" w:eastAsia="zh-CN"/>
              </w:rPr>
              <w:t>3018.31</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81.14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ascii="宋体" w:hAnsi="宋体" w:eastAsia="宋体" w:cs="宋体"/>
                <w:sz w:val="24"/>
                <w:szCs w:val="24"/>
                <w:lang w:val="en-US" w:eastAsia="zh-CN"/>
              </w:rPr>
              <w:t>2050203</w:t>
            </w:r>
          </w:p>
        </w:tc>
        <w:tc>
          <w:tcPr>
            <w:tcW w:w="1249" w:type="dxa"/>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kern w:val="0"/>
                <w:sz w:val="24"/>
                <w:szCs w:val="24"/>
              </w:rPr>
            </w:pPr>
            <w:r>
              <w:rPr>
                <w:rFonts w:hint="eastAsia"/>
                <w:lang w:eastAsia="zh-CN"/>
              </w:rPr>
              <w:t>初中教育</w:t>
            </w:r>
          </w:p>
        </w:tc>
        <w:tc>
          <w:tcPr>
            <w:tcW w:w="1646"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lang w:val="en-US" w:eastAsia="zh-CN"/>
              </w:rPr>
              <w:t>202.20</w:t>
            </w:r>
          </w:p>
        </w:tc>
        <w:tc>
          <w:tcPr>
            <w:tcW w:w="1679" w:type="dxa"/>
            <w:tcBorders>
              <w:top w:val="nil"/>
              <w:left w:val="nil"/>
              <w:bottom w:val="single" w:color="auto" w:sz="4" w:space="0"/>
              <w:right w:val="single" w:color="auto" w:sz="4" w:space="0"/>
            </w:tcBorders>
            <w:shd w:val="clear" w:color="auto" w:fill="auto"/>
            <w:noWrap/>
            <w:vAlign w:val="center"/>
          </w:tcPr>
          <w:p>
            <w:pPr>
              <w:jc w:val="center"/>
              <w:rPr>
                <w:rFonts w:hint="default" w:ascii="宋体" w:hAnsi="宋体" w:cs="宋体" w:eastAsiaTheme="minorEastAsia"/>
                <w:kern w:val="0"/>
                <w:sz w:val="24"/>
                <w:szCs w:val="24"/>
                <w:lang w:val="en-US" w:eastAsia="zh-CN"/>
              </w:rPr>
            </w:pPr>
            <w:r>
              <w:rPr>
                <w:rFonts w:hint="eastAsia"/>
                <w:lang w:val="en-US" w:eastAsia="zh-CN"/>
              </w:rPr>
              <w:t>183.06</w:t>
            </w:r>
          </w:p>
        </w:tc>
        <w:tc>
          <w:tcPr>
            <w:tcW w:w="1679"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19.14</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p>
        </w:tc>
        <w:tc>
          <w:tcPr>
            <w:tcW w:w="1249"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4"/>
                <w:szCs w:val="24"/>
                <w:lang w:eastAsia="zh-CN"/>
              </w:rPr>
            </w:pPr>
          </w:p>
        </w:tc>
        <w:tc>
          <w:tcPr>
            <w:tcW w:w="1646"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湘乡市育塅中心学校</w:t>
            </w:r>
          </w:p>
        </w:tc>
        <w:tc>
          <w:tcPr>
            <w:tcW w:w="436"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078"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043" w:type="dxa"/>
            <w:gridSpan w:val="3"/>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435"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394" w:type="dxa"/>
            <w:tcBorders>
              <w:top w:val="nil"/>
              <w:left w:val="nil"/>
              <w:bottom w:val="nil"/>
              <w:right w:val="nil"/>
            </w:tcBorders>
            <w:shd w:val="clear" w:color="000000" w:fill="FFFFFF"/>
            <w:noWrap/>
            <w:vAlign w:val="center"/>
          </w:tcPr>
          <w:p>
            <w:pPr>
              <w:widowControl/>
              <w:jc w:val="right"/>
              <w:rPr>
                <w:rFonts w:hint="eastAsia" w:ascii="宋体" w:hAnsi="宋体" w:eastAsia="宋体" w:cs="宋体"/>
                <w:kern w:val="0"/>
                <w:sz w:val="24"/>
                <w:szCs w:val="24"/>
                <w:lang w:eastAsia="zh-CN"/>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2451.24</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2451.24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2451.24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2451.24</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2451.24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2451.24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eastAsia="zh-CN"/>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2451.24</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2451.24</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2451.24</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lang w:eastAsia="zh-CN"/>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湘乡市育塅中心学校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kern w:val="0"/>
                <w:szCs w:val="21"/>
                <w:lang w:val="en-US" w:eastAsia="zh-CN"/>
              </w:rPr>
            </w:pPr>
            <w:r>
              <w:rPr>
                <w:rFonts w:hint="eastAsia"/>
                <w:lang w:val="en-US" w:eastAsia="zh-CN"/>
              </w:rPr>
              <w:t>2451.24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cs="Times New Roman" w:eastAsiaTheme="minorEastAsia"/>
                <w:kern w:val="0"/>
                <w:szCs w:val="21"/>
                <w:lang w:val="en-US" w:eastAsia="zh-CN"/>
              </w:rPr>
            </w:pPr>
            <w:r>
              <w:rPr>
                <w:rFonts w:hint="eastAsia"/>
                <w:lang w:val="en-US" w:eastAsia="zh-CN"/>
              </w:rPr>
              <w:t>2320.97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eastAsia="仿宋_GB2312"/>
                <w:lang w:val="en-US" w:eastAsia="zh-CN"/>
              </w:rPr>
              <w:t>130.28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lang w:val="en-US" w:eastAsia="zh-CN"/>
              </w:rPr>
              <w:t>205</w:t>
            </w:r>
          </w:p>
        </w:tc>
        <w:tc>
          <w:tcPr>
            <w:tcW w:w="3527" w:type="dxa"/>
            <w:tcBorders>
              <w:top w:val="nil"/>
              <w:left w:val="nil"/>
              <w:bottom w:val="single" w:color="auto" w:sz="4" w:space="0"/>
              <w:right w:val="single" w:color="auto" w:sz="4" w:space="0"/>
            </w:tcBorders>
            <w:shd w:val="clear" w:color="auto" w:fill="auto"/>
            <w:vAlign w:val="center"/>
          </w:tcPr>
          <w:p>
            <w:pPr>
              <w:rPr>
                <w:rFonts w:hint="eastAsia" w:ascii="Times New Roman" w:hAnsi="Times New Roman" w:cs="Times New Roman" w:eastAsiaTheme="minorEastAsia"/>
                <w:kern w:val="0"/>
                <w:szCs w:val="21"/>
                <w:lang w:eastAsia="zh-CN"/>
              </w:rPr>
            </w:pPr>
            <w:r>
              <w:rPr>
                <w:rFonts w:hint="eastAsia"/>
                <w:lang w:eastAsia="zh-CN"/>
              </w:rPr>
              <w:t>教育支出</w:t>
            </w:r>
          </w:p>
        </w:tc>
        <w:tc>
          <w:tcPr>
            <w:tcW w:w="3000"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kern w:val="0"/>
                <w:szCs w:val="21"/>
                <w:lang w:eastAsia="zh-CN"/>
              </w:rPr>
            </w:pPr>
            <w:r>
              <w:rPr>
                <w:rFonts w:hint="eastAsia"/>
                <w:lang w:val="en-US" w:eastAsia="zh-CN"/>
              </w:rPr>
              <w:t>2451.24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lang w:val="en-US" w:eastAsia="zh-CN"/>
              </w:rPr>
              <w:t>2320.97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eastAsia="仿宋_GB2312"/>
                <w:lang w:val="en-US" w:eastAsia="zh-CN"/>
              </w:rPr>
              <w:t>130.28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lang w:val="en-US" w:eastAsia="zh-CN"/>
              </w:rPr>
              <w:t>20502</w:t>
            </w:r>
          </w:p>
        </w:tc>
        <w:tc>
          <w:tcPr>
            <w:tcW w:w="3527" w:type="dxa"/>
            <w:tcBorders>
              <w:top w:val="nil"/>
              <w:left w:val="nil"/>
              <w:bottom w:val="single" w:color="auto" w:sz="4" w:space="0"/>
              <w:right w:val="single" w:color="auto" w:sz="4" w:space="0"/>
            </w:tcBorders>
            <w:shd w:val="clear" w:color="auto" w:fill="auto"/>
            <w:vAlign w:val="center"/>
          </w:tcPr>
          <w:p>
            <w:pPr>
              <w:rPr>
                <w:rFonts w:hint="eastAsia" w:ascii="Times New Roman" w:hAnsi="Times New Roman" w:cs="Times New Roman" w:eastAsiaTheme="minorEastAsia"/>
                <w:kern w:val="0"/>
                <w:szCs w:val="21"/>
                <w:lang w:eastAsia="zh-CN"/>
              </w:rPr>
            </w:pPr>
            <w:r>
              <w:rPr>
                <w:rFonts w:hint="eastAsia"/>
                <w:lang w:eastAsia="zh-CN"/>
              </w:rPr>
              <w:t>普通教育</w:t>
            </w:r>
          </w:p>
        </w:tc>
        <w:tc>
          <w:tcPr>
            <w:tcW w:w="3000"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kern w:val="0"/>
                <w:szCs w:val="21"/>
                <w:lang w:eastAsia="zh-CN"/>
              </w:rPr>
            </w:pPr>
            <w:r>
              <w:rPr>
                <w:rFonts w:hint="eastAsia"/>
                <w:lang w:val="en-US" w:eastAsia="zh-CN"/>
              </w:rPr>
              <w:t>2451.24</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lang w:val="en-US" w:eastAsia="zh-CN"/>
              </w:rPr>
              <w:t>2320.97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eastAsia="仿宋_GB2312"/>
                <w:lang w:val="en-US" w:eastAsia="zh-CN"/>
              </w:rPr>
              <w:t>130.28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ascii="宋体" w:hAnsi="宋体" w:eastAsia="宋体" w:cs="宋体"/>
                <w:sz w:val="24"/>
                <w:szCs w:val="24"/>
                <w:lang w:val="en-US" w:eastAsia="zh-CN"/>
              </w:rPr>
              <w:t>2050201</w:t>
            </w:r>
          </w:p>
        </w:tc>
        <w:tc>
          <w:tcPr>
            <w:tcW w:w="3527" w:type="dxa"/>
            <w:tcBorders>
              <w:top w:val="nil"/>
              <w:left w:val="nil"/>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lang w:eastAsia="zh-CN"/>
              </w:rPr>
              <w:t>学前教育</w:t>
            </w:r>
          </w:p>
        </w:tc>
        <w:tc>
          <w:tcPr>
            <w:tcW w:w="3000"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kern w:val="0"/>
                <w:szCs w:val="21"/>
                <w:lang w:val="en-US" w:eastAsia="zh-CN"/>
              </w:rPr>
            </w:pPr>
            <w:r>
              <w:rPr>
                <w:rFonts w:hint="eastAsia"/>
                <w:lang w:val="en-US" w:eastAsia="zh-CN"/>
              </w:rPr>
              <w:t>144.50</w:t>
            </w:r>
          </w:p>
        </w:tc>
        <w:tc>
          <w:tcPr>
            <w:tcW w:w="3492"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kern w:val="0"/>
                <w:szCs w:val="21"/>
                <w:lang w:val="en-US" w:eastAsia="zh-CN"/>
              </w:rPr>
            </w:pPr>
            <w:r>
              <w:rPr>
                <w:rFonts w:hint="eastAsia"/>
                <w:lang w:val="en-US" w:eastAsia="zh-CN"/>
              </w:rPr>
              <w:t>114.50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ascii="宋体" w:hAnsi="宋体" w:eastAsia="宋体" w:cs="宋体"/>
                <w:sz w:val="24"/>
                <w:szCs w:val="24"/>
                <w:lang w:val="en-US" w:eastAsia="zh-CN"/>
              </w:rPr>
              <w:t>2050202</w:t>
            </w:r>
          </w:p>
        </w:tc>
        <w:tc>
          <w:tcPr>
            <w:tcW w:w="3527" w:type="dxa"/>
            <w:tcBorders>
              <w:top w:val="nil"/>
              <w:left w:val="nil"/>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lang w:eastAsia="zh-CN"/>
              </w:rPr>
              <w:t>小学教育</w:t>
            </w:r>
          </w:p>
        </w:tc>
        <w:tc>
          <w:tcPr>
            <w:tcW w:w="3000"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kern w:val="0"/>
                <w:szCs w:val="21"/>
                <w:lang w:val="en-US" w:eastAsia="zh-CN"/>
              </w:rPr>
            </w:pPr>
            <w:r>
              <w:rPr>
                <w:rFonts w:hint="eastAsia"/>
                <w:lang w:val="en-US" w:eastAsia="zh-CN"/>
              </w:rPr>
              <w:t>2014.54</w:t>
            </w:r>
          </w:p>
        </w:tc>
        <w:tc>
          <w:tcPr>
            <w:tcW w:w="3492"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仿宋_GB2312" w:cs="Times New Roman"/>
                <w:kern w:val="0"/>
                <w:szCs w:val="21"/>
                <w:lang w:val="en-US"/>
              </w:rPr>
            </w:pPr>
            <w:r>
              <w:rPr>
                <w:rFonts w:hint="eastAsia"/>
                <w:lang w:val="en-US" w:eastAsia="zh-CN"/>
              </w:rPr>
              <w:t>2023.40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宋体" w:cs="Times New Roman"/>
                <w:kern w:val="0"/>
                <w:szCs w:val="21"/>
                <w:lang w:val="en-US" w:eastAsia="zh-CN"/>
              </w:rPr>
            </w:pPr>
            <w:r>
              <w:rPr>
                <w:rFonts w:hint="eastAsia" w:ascii="宋体" w:hAnsi="宋体" w:eastAsia="宋体" w:cs="宋体"/>
                <w:kern w:val="0"/>
                <w:sz w:val="24"/>
                <w:szCs w:val="24"/>
                <w:lang w:val="en-US" w:eastAsia="zh-CN"/>
              </w:rPr>
              <w:t>81.14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ascii="宋体" w:hAnsi="宋体" w:eastAsia="宋体" w:cs="宋体"/>
                <w:sz w:val="24"/>
                <w:szCs w:val="24"/>
                <w:lang w:val="en-US" w:eastAsia="zh-CN"/>
              </w:rPr>
              <w:t>2050203</w:t>
            </w:r>
          </w:p>
        </w:tc>
        <w:tc>
          <w:tcPr>
            <w:tcW w:w="3527" w:type="dxa"/>
            <w:tcBorders>
              <w:top w:val="nil"/>
              <w:left w:val="nil"/>
              <w:bottom w:val="single" w:color="auto" w:sz="4" w:space="0"/>
              <w:right w:val="single" w:color="auto" w:sz="4" w:space="0"/>
            </w:tcBorders>
            <w:shd w:val="clear" w:color="auto" w:fill="auto"/>
            <w:vAlign w:val="center"/>
          </w:tcPr>
          <w:p>
            <w:pPr>
              <w:rPr>
                <w:rFonts w:ascii="Times New Roman" w:hAnsi="Times New Roman" w:eastAsia="仿宋_GB2312" w:cs="Times New Roman"/>
                <w:kern w:val="0"/>
                <w:szCs w:val="21"/>
              </w:rPr>
            </w:pPr>
            <w:r>
              <w:rPr>
                <w:rFonts w:hint="eastAsia"/>
                <w:lang w:eastAsia="zh-CN"/>
              </w:rPr>
              <w:t>初中教育</w:t>
            </w:r>
          </w:p>
        </w:tc>
        <w:tc>
          <w:tcPr>
            <w:tcW w:w="3000"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kern w:val="0"/>
                <w:szCs w:val="21"/>
                <w:lang w:val="en-US" w:eastAsia="zh-CN"/>
              </w:rPr>
            </w:pPr>
            <w:r>
              <w:rPr>
                <w:rFonts w:hint="eastAsia"/>
                <w:lang w:val="en-US" w:eastAsia="zh-CN"/>
              </w:rPr>
              <w:t>202.20</w:t>
            </w:r>
          </w:p>
        </w:tc>
        <w:tc>
          <w:tcPr>
            <w:tcW w:w="3492"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kern w:val="0"/>
                <w:szCs w:val="21"/>
                <w:lang w:val="en-US" w:eastAsia="zh-CN"/>
              </w:rPr>
            </w:pPr>
            <w:r>
              <w:rPr>
                <w:rFonts w:hint="eastAsia"/>
                <w:lang w:val="en-US" w:eastAsia="zh-CN"/>
              </w:rPr>
              <w:t>183.06</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19.14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492"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3000" w:type="dxa"/>
            <w:tcBorders>
              <w:top w:val="nil"/>
              <w:left w:val="nil"/>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15632" w:type="dxa"/>
        <w:tblInd w:w="0" w:type="dxa"/>
        <w:tblLayout w:type="fixed"/>
        <w:tblCellMar>
          <w:top w:w="0" w:type="dxa"/>
          <w:left w:w="108" w:type="dxa"/>
          <w:bottom w:w="0" w:type="dxa"/>
          <w:right w:w="108" w:type="dxa"/>
        </w:tblCellMar>
      </w:tblPr>
      <w:tblGrid>
        <w:gridCol w:w="1055"/>
        <w:gridCol w:w="3390"/>
        <w:gridCol w:w="1050"/>
        <w:gridCol w:w="1065"/>
        <w:gridCol w:w="2318"/>
        <w:gridCol w:w="937"/>
        <w:gridCol w:w="1140"/>
        <w:gridCol w:w="3859"/>
        <w:gridCol w:w="818"/>
      </w:tblGrid>
      <w:tr>
        <w:tblPrEx>
          <w:tblCellMar>
            <w:top w:w="0" w:type="dxa"/>
            <w:left w:w="108" w:type="dxa"/>
            <w:bottom w:w="0" w:type="dxa"/>
            <w:right w:w="108" w:type="dxa"/>
          </w:tblCellMar>
        </w:tblPrEx>
        <w:trPr>
          <w:trHeight w:val="113" w:hRule="atLeast"/>
        </w:trPr>
        <w:tc>
          <w:tcPr>
            <w:tcW w:w="15632"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湘乡市育塅中心学校</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2098.216</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167.40</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916.26</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47.81</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266.15</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16.42</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1.97</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2.60</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4.53</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331.40</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226.61</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9.58</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0.15</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120.39</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25.54</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7.81</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209.26</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22.70</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55.36</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0.05</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0.83</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0.87</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38.72</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5.97</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0.15</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21.26</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22.04</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2.83</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20"/>
                <w:lang w:val="en-US"/>
              </w:rPr>
            </w:pPr>
            <w:r>
              <w:rPr>
                <w:rFonts w:hint="eastAsia" w:ascii="宋体" w:hAnsi="宋体" w:eastAsia="宋体" w:cs="宋体"/>
                <w:i w:val="0"/>
                <w:iCs w:val="0"/>
                <w:color w:val="000000"/>
                <w:kern w:val="0"/>
                <w:sz w:val="22"/>
                <w:szCs w:val="22"/>
                <w:u w:val="none"/>
                <w:lang w:val="en-US" w:eastAsia="zh-CN" w:bidi="ar"/>
              </w:rPr>
              <w:t>16.49</w:t>
            </w: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105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339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10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2.58</w:t>
            </w:r>
          </w:p>
        </w:tc>
        <w:tc>
          <w:tcPr>
            <w:tcW w:w="11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3859"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18"/>
                <w:lang w:eastAsia="zh-CN"/>
              </w:rPr>
            </w:pP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eastAsia="zh-CN"/>
              </w:rPr>
            </w:pPr>
          </w:p>
        </w:tc>
      </w:tr>
      <w:tr>
        <w:tblPrEx>
          <w:tblCellMar>
            <w:top w:w="0" w:type="dxa"/>
            <w:left w:w="108" w:type="dxa"/>
            <w:bottom w:w="0" w:type="dxa"/>
            <w:right w:w="108" w:type="dxa"/>
          </w:tblCellMar>
        </w:tblPrEx>
        <w:trPr>
          <w:trHeight w:val="284" w:hRule="exact"/>
        </w:trPr>
        <w:tc>
          <w:tcPr>
            <w:tcW w:w="444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5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2153.560</w:t>
            </w:r>
          </w:p>
        </w:tc>
        <w:tc>
          <w:tcPr>
            <w:tcW w:w="9319"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1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167.400</w:t>
            </w:r>
          </w:p>
        </w:tc>
      </w:tr>
      <w:tr>
        <w:tblPrEx>
          <w:tblCellMar>
            <w:top w:w="0" w:type="dxa"/>
            <w:left w:w="108" w:type="dxa"/>
            <w:bottom w:w="0" w:type="dxa"/>
            <w:right w:w="108" w:type="dxa"/>
          </w:tblCellMar>
        </w:tblPrEx>
        <w:trPr>
          <w:trHeight w:val="284" w:hRule="exact"/>
        </w:trPr>
        <w:tc>
          <w:tcPr>
            <w:tcW w:w="15632"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湘乡市育塅中心学校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359"/>
        <w:gridCol w:w="1081"/>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359"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08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359"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081"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359"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081"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359"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1081"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湘乡市育塅中心学校</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本表无数据</w:t>
            </w: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imes New Roman" w:hAnsi="Times New Roman" w:eastAsia="仿宋_GB2312" w:cs="Times New Roman"/>
                <w:kern w:val="0"/>
                <w:szCs w:val="21"/>
                <w:lang w:eastAsia="zh-CN"/>
              </w:rPr>
            </w:pPr>
          </w:p>
        </w:tc>
        <w:tc>
          <w:tcPr>
            <w:tcW w:w="132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eastAsia="zh-CN"/>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1225" w:type="dxa"/>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nil"/>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p>
        </w:tc>
        <w:tc>
          <w:tcPr>
            <w:tcW w:w="3215" w:type="dxa"/>
            <w:gridSpan w:val="2"/>
            <w:tcBorders>
              <w:top w:val="nil"/>
              <w:left w:val="nil"/>
              <w:bottom w:val="nil"/>
              <w:right w:val="nil"/>
            </w:tcBorders>
            <w:shd w:val="clear" w:color="000000" w:fill="FFFFFF"/>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lang w:eastAsia="zh-CN"/>
              </w:rPr>
              <w:t>湘乡市育塅中心学校</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宋体" w:hAnsi="宋体" w:eastAsia="宋体" w:cs="宋体"/>
                <w:kern w:val="0"/>
                <w:sz w:val="20"/>
                <w:szCs w:val="20"/>
                <w:lang w:eastAsia="zh-CN"/>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387"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本表无数据</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eastAsia="zh-CN"/>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6892.30</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263.98</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8.29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其他收入（新增课后服务费）增加，但同时财政拨款收入、支出减少。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3446.15</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2451.24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71.13</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994.91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28.87</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3446.15</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3315.88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96.22</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130.28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3.78</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四、财政拨款收入支出决算总体情况说明</w:t>
      </w:r>
    </w:p>
    <w:p>
      <w:pPr>
        <w:pStyle w:val="1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2021年度财政拨款收、支总计</w:t>
      </w:r>
      <w:r>
        <w:rPr>
          <w:rFonts w:hint="eastAsia" w:asciiTheme="minorEastAsia" w:hAnsiTheme="minorEastAsia" w:eastAsiaTheme="minorEastAsia"/>
          <w:sz w:val="32"/>
          <w:szCs w:val="32"/>
          <w:lang w:val="en-US" w:eastAsia="zh-CN"/>
        </w:rPr>
        <w:t>4902.48</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355.48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12.67</w:t>
      </w:r>
      <w:r>
        <w:rPr>
          <w:rFonts w:hint="eastAsia" w:asciiTheme="minorEastAsia" w:hAnsiTheme="minorEastAsia" w:eastAsiaTheme="minorEastAsia"/>
          <w:sz w:val="32"/>
          <w:szCs w:val="32"/>
        </w:rPr>
        <w:t>%，主要是因为学校</w:t>
      </w:r>
      <w:r>
        <w:rPr>
          <w:rFonts w:hint="eastAsia" w:asciiTheme="minorEastAsia" w:hAnsiTheme="minorEastAsia" w:eastAsiaTheme="minorEastAsia"/>
          <w:sz w:val="32"/>
          <w:szCs w:val="32"/>
          <w:lang w:eastAsia="zh-CN"/>
        </w:rPr>
        <w:t>公用经费结转过多，人员经费也结转较多。</w:t>
      </w: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2451.24</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71.13</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355.48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12.67</w:t>
      </w:r>
      <w:r>
        <w:rPr>
          <w:rFonts w:hint="eastAsia" w:asciiTheme="minorEastAsia" w:hAnsiTheme="minorEastAsia" w:eastAsiaTheme="minorEastAsia"/>
          <w:sz w:val="32"/>
          <w:szCs w:val="32"/>
        </w:rPr>
        <w:t>%，主要是因为学校</w:t>
      </w:r>
      <w:r>
        <w:rPr>
          <w:rFonts w:hint="eastAsia" w:asciiTheme="minorEastAsia" w:hAnsiTheme="minorEastAsia" w:eastAsiaTheme="minorEastAsia"/>
          <w:sz w:val="32"/>
          <w:szCs w:val="32"/>
          <w:lang w:eastAsia="zh-CN"/>
        </w:rPr>
        <w:t>公用经费结转过多，人员经费也结转较多。</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2451.24</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教育（类）支出</w:t>
      </w:r>
      <w:r>
        <w:rPr>
          <w:rFonts w:hint="eastAsia" w:asciiTheme="minorEastAsia" w:hAnsiTheme="minorEastAsia" w:eastAsiaTheme="minorEastAsia"/>
          <w:sz w:val="32"/>
          <w:szCs w:val="32"/>
          <w:lang w:val="en-US" w:eastAsia="zh-CN"/>
        </w:rPr>
        <w:t>2451.24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，其中学前教育支出</w:t>
      </w:r>
      <w:r>
        <w:rPr>
          <w:rFonts w:hint="eastAsia" w:asciiTheme="minorEastAsia" w:hAnsiTheme="minorEastAsia" w:eastAsiaTheme="minorEastAsia"/>
          <w:color w:val="auto"/>
          <w:sz w:val="32"/>
          <w:szCs w:val="32"/>
          <w:lang w:val="en-US" w:eastAsia="zh-CN"/>
        </w:rPr>
        <w:t>144.50万元，占5.89%，小学教育2104.54万元，占85.86%，初中教育202.20万元，占8.25%。</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2606.99</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其中人员类经费</w:t>
      </w:r>
      <w:r>
        <w:rPr>
          <w:rFonts w:hint="eastAsia" w:asciiTheme="minorEastAsia" w:hAnsiTheme="minorEastAsia" w:eastAsiaTheme="minorEastAsia"/>
          <w:sz w:val="32"/>
          <w:szCs w:val="32"/>
          <w:lang w:val="en-US" w:eastAsia="zh-CN"/>
        </w:rPr>
        <w:t>2401.50万元，公用经费205.49万元，</w:t>
      </w:r>
      <w:r>
        <w:rPr>
          <w:rFonts w:hint="eastAsia" w:asciiTheme="minorEastAsia" w:hAnsiTheme="minorEastAsia" w:eastAsiaTheme="minorEastAsia"/>
          <w:sz w:val="32"/>
          <w:szCs w:val="32"/>
        </w:rPr>
        <w:t>支出决算数为</w:t>
      </w:r>
      <w:r>
        <w:rPr>
          <w:rFonts w:hint="eastAsia" w:asciiTheme="minorEastAsia" w:hAnsiTheme="minorEastAsia" w:eastAsiaTheme="minorEastAsia"/>
          <w:color w:val="auto"/>
          <w:sz w:val="32"/>
          <w:szCs w:val="32"/>
          <w:lang w:val="en-US" w:eastAsia="zh-CN"/>
        </w:rPr>
        <w:t>2451.24</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94.03</w:t>
      </w:r>
      <w:r>
        <w:rPr>
          <w:rFonts w:hint="eastAsia" w:asciiTheme="minorEastAsia" w:hAnsiTheme="minorEastAsia" w:eastAsiaTheme="minorEastAsia"/>
          <w:color w:val="auto"/>
          <w:sz w:val="32"/>
          <w:szCs w:val="32"/>
        </w:rPr>
        <w:t>%，其中：</w:t>
      </w:r>
    </w:p>
    <w:p>
      <w:pPr>
        <w:pStyle w:val="10"/>
        <w:numPr>
          <w:ilvl w:val="0"/>
          <w:numId w:val="2"/>
        </w:numPr>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eastAsia="zh-CN"/>
        </w:rPr>
        <w:t>教育支出普通教育学前教育</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144.50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144.50</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val="en-US" w:eastAsia="zh-CN"/>
        </w:rPr>
        <w:t>.其中基本支出114.50万元，占比79.24%，项目支出30万元，占比20.76%。</w:t>
      </w:r>
    </w:p>
    <w:p>
      <w:pPr>
        <w:pStyle w:val="10"/>
        <w:numPr>
          <w:ilvl w:val="0"/>
          <w:numId w:val="2"/>
        </w:numPr>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教育支出普通教育小学教育年初预算为2260.29万元，支出决算为2104.54万元，完成年初预算的93.11%，其中基本支出2023.40万元，占比96.14%，项目支出81.14万元，占比3.86%。决算数少于预算数，主要原因是福利费和工会经费支出未到位。</w:t>
      </w:r>
    </w:p>
    <w:p>
      <w:pPr>
        <w:pStyle w:val="10"/>
        <w:ind w:firstLine="600" w:firstLineChars="250"/>
        <w:rPr>
          <w:rFonts w:hint="default" w:asciiTheme="minorEastAsia" w:hAnsiTheme="minorEastAsia" w:eastAsiaTheme="minorEastAsia"/>
          <w:color w:val="auto"/>
          <w:sz w:val="32"/>
          <w:szCs w:val="32"/>
          <w:lang w:val="en-US" w:eastAsia="zh-CN"/>
        </w:rPr>
      </w:pPr>
      <w:r>
        <w:rPr>
          <w:rFonts w:hint="eastAsia"/>
          <w:lang w:val="en-US" w:eastAsia="zh-CN"/>
        </w:rPr>
        <w:t xml:space="preserve"> 3、  </w:t>
      </w:r>
      <w:r>
        <w:rPr>
          <w:rFonts w:hint="eastAsia" w:asciiTheme="minorEastAsia" w:hAnsiTheme="minorEastAsia" w:eastAsiaTheme="minorEastAsia"/>
          <w:color w:val="auto"/>
          <w:sz w:val="32"/>
          <w:szCs w:val="32"/>
          <w:lang w:val="en-US" w:eastAsia="zh-CN"/>
        </w:rPr>
        <w:t>教育支出普通教育初中教育</w:t>
      </w:r>
      <w:bookmarkStart w:id="3" w:name="_GoBack"/>
      <w:bookmarkEnd w:id="3"/>
      <w:r>
        <w:rPr>
          <w:rFonts w:hint="eastAsia" w:asciiTheme="minorEastAsia" w:hAnsiTheme="minorEastAsia" w:eastAsiaTheme="minorEastAsia"/>
          <w:color w:val="auto"/>
          <w:sz w:val="32"/>
          <w:szCs w:val="32"/>
          <w:lang w:val="en-US" w:eastAsia="zh-CN"/>
        </w:rPr>
        <w:t>年初预算202.20万元，支出决算202.20万元，完成年初预算的100%，其中基本支出183.06万元，占比90.53%，项目支出19.14，占比9.47%。</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2021年度财政拨款基本支出</w:t>
      </w:r>
      <w:r>
        <w:rPr>
          <w:rFonts w:hint="eastAsia" w:asciiTheme="minorEastAsia" w:hAnsiTheme="minorEastAsia" w:eastAsiaTheme="minorEastAsia"/>
          <w:sz w:val="32"/>
          <w:szCs w:val="32"/>
          <w:lang w:val="en-US" w:eastAsia="zh-CN"/>
        </w:rPr>
        <w:t>2320.97</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color w:val="auto"/>
          <w:sz w:val="32"/>
          <w:szCs w:val="32"/>
          <w:lang w:val="en-US" w:eastAsia="zh-CN"/>
        </w:rPr>
        <w:t>2153.56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color w:val="auto"/>
          <w:sz w:val="32"/>
          <w:szCs w:val="32"/>
          <w:lang w:val="en-US" w:eastAsia="zh-CN"/>
        </w:rPr>
        <w:t>92.79</w:t>
      </w:r>
      <w:r>
        <w:rPr>
          <w:rFonts w:hint="eastAsia" w:asciiTheme="minorEastAsia" w:hAnsiTheme="minorEastAsia" w:eastAsiaTheme="minorEastAsia"/>
          <w:color w:val="auto"/>
          <w:sz w:val="32"/>
          <w:szCs w:val="32"/>
        </w:rPr>
        <w:t>%</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人员经费中工资福利支出</w:t>
      </w:r>
      <w:r>
        <w:rPr>
          <w:rFonts w:hint="eastAsia" w:asciiTheme="minorEastAsia" w:hAnsiTheme="minorEastAsia" w:eastAsiaTheme="minorEastAsia"/>
          <w:sz w:val="32"/>
          <w:szCs w:val="32"/>
          <w:lang w:val="en-US" w:eastAsia="zh-CN"/>
        </w:rPr>
        <w:t>2098.21万元，占比97.43，含</w:t>
      </w:r>
      <w:r>
        <w:rPr>
          <w:rFonts w:hint="eastAsia" w:asciiTheme="minorEastAsia" w:hAnsiTheme="minorEastAsia" w:eastAsiaTheme="minorEastAsia"/>
          <w:color w:val="auto"/>
          <w:sz w:val="32"/>
          <w:szCs w:val="32"/>
        </w:rPr>
        <w:t>基本工资</w:t>
      </w:r>
      <w:r>
        <w:rPr>
          <w:rFonts w:hint="eastAsia" w:asciiTheme="minorEastAsia" w:hAnsiTheme="minorEastAsia" w:eastAsiaTheme="minorEastAsia"/>
          <w:color w:val="auto"/>
          <w:sz w:val="32"/>
          <w:szCs w:val="32"/>
          <w:lang w:val="en-US" w:eastAsia="zh-CN"/>
        </w:rPr>
        <w:t>916.26万元</w:t>
      </w:r>
      <w:r>
        <w:rPr>
          <w:rFonts w:hint="eastAsia" w:asciiTheme="minorEastAsia" w:hAnsiTheme="minorEastAsia" w:eastAsiaTheme="minorEastAsia"/>
          <w:color w:val="auto"/>
          <w:sz w:val="32"/>
          <w:szCs w:val="32"/>
        </w:rPr>
        <w:t>、津贴补贴</w:t>
      </w:r>
      <w:r>
        <w:rPr>
          <w:rFonts w:hint="eastAsia" w:asciiTheme="minorEastAsia" w:hAnsiTheme="minorEastAsia" w:eastAsiaTheme="minorEastAsia"/>
          <w:color w:val="auto"/>
          <w:sz w:val="32"/>
          <w:szCs w:val="32"/>
          <w:lang w:val="en-US" w:eastAsia="zh-CN"/>
        </w:rPr>
        <w:t>266.15万元</w:t>
      </w:r>
      <w:r>
        <w:rPr>
          <w:rFonts w:hint="eastAsia" w:asciiTheme="minorEastAsia" w:hAnsiTheme="minorEastAsia" w:eastAsiaTheme="minorEastAsia"/>
          <w:color w:val="auto"/>
          <w:sz w:val="32"/>
          <w:szCs w:val="32"/>
        </w:rPr>
        <w:t>、伙食补助费</w:t>
      </w:r>
      <w:r>
        <w:rPr>
          <w:rFonts w:hint="eastAsia" w:asciiTheme="minorEastAsia" w:hAnsiTheme="minorEastAsia" w:eastAsiaTheme="minorEastAsia"/>
          <w:color w:val="auto"/>
          <w:sz w:val="32"/>
          <w:szCs w:val="32"/>
          <w:lang w:val="en-US" w:eastAsia="zh-CN"/>
        </w:rPr>
        <w:t>2.60万元、绩效工资331.40万元、养老保险缴费226.61万元，医疗保险缴费120.39万元，住房公积金缴费209.26万元</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对个人和家庭的补助支出</w:t>
      </w:r>
      <w:r>
        <w:rPr>
          <w:rFonts w:hint="eastAsia" w:asciiTheme="minorEastAsia" w:hAnsiTheme="minorEastAsia" w:eastAsiaTheme="minorEastAsia"/>
          <w:color w:val="auto"/>
          <w:sz w:val="32"/>
          <w:szCs w:val="32"/>
          <w:lang w:val="en-US" w:eastAsia="zh-CN"/>
        </w:rPr>
        <w:t>55.36</w:t>
      </w:r>
      <w:r>
        <w:rPr>
          <w:rFonts w:hint="eastAsia" w:asciiTheme="minorEastAsia" w:hAnsiTheme="minorEastAsia" w:eastAsiaTheme="minorEastAsia"/>
          <w:sz w:val="32"/>
          <w:szCs w:val="32"/>
          <w:lang w:val="en-US" w:eastAsia="zh-CN"/>
        </w:rPr>
        <w:t>万元，占基本支出的</w:t>
      </w:r>
      <w:r>
        <w:rPr>
          <w:rFonts w:hint="eastAsia" w:asciiTheme="minorEastAsia" w:hAnsiTheme="minorEastAsia" w:eastAsiaTheme="minorEastAsia"/>
          <w:color w:val="auto"/>
          <w:sz w:val="32"/>
          <w:szCs w:val="32"/>
          <w:lang w:val="en-US" w:eastAsia="zh-CN"/>
        </w:rPr>
        <w:t>2.57</w:t>
      </w:r>
      <w:r>
        <w:rPr>
          <w:rFonts w:hint="eastAsia" w:asciiTheme="minorEastAsia" w:hAnsiTheme="minorEastAsia" w:eastAsiaTheme="minorEastAsia"/>
          <w:sz w:val="32"/>
          <w:szCs w:val="32"/>
          <w:lang w:val="en-US" w:eastAsia="zh-CN"/>
        </w:rPr>
        <w:t>%，主要包括</w:t>
      </w:r>
      <w:r>
        <w:rPr>
          <w:rFonts w:hint="eastAsia" w:asciiTheme="minorEastAsia" w:hAnsiTheme="minorEastAsia" w:eastAsiaTheme="minorEastAsia"/>
          <w:color w:val="auto"/>
          <w:sz w:val="32"/>
          <w:szCs w:val="32"/>
          <w:lang w:val="en-US" w:eastAsia="zh-CN"/>
        </w:rPr>
        <w:t>助学金0.15万元、抚恤金38.72万元、其他对个人和家庭的补助16.49万元</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val="en-US" w:eastAsia="zh-CN"/>
        </w:rPr>
        <w:t>基本支出中公用经费167.40万元，占比7.21%。其中办公费47.81万元，印刷费16.42万元，咨询费1.97万元，手续费4.53万元，电费9.58万元，邮电费0.15万元，差旅费7.81万元，维护费22.70万元，会议费0.05万元，培训费0.83万元，专用材料费0.87万元，劳务费5.97万元，工会经费21.26万元，福利费22.04万元，其他交通费用2.83万元，其他商品与服务支出2.58万元（市田径运动会和市气排球比赛费用）。</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color w:val="FF0000"/>
          <w:sz w:val="32"/>
          <w:szCs w:val="32"/>
        </w:rPr>
        <w:t>。</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color w:val="FF0000"/>
          <w:sz w:val="32"/>
          <w:szCs w:val="32"/>
        </w:rPr>
        <w:t>。</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color w:val="FF0000"/>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w:t>
      </w:r>
    </w:p>
    <w:p>
      <w:pPr>
        <w:pStyle w:val="10"/>
        <w:ind w:firstLine="640" w:firstLineChars="200"/>
        <w:rPr>
          <w:rFonts w:hint="eastAsia" w:asciiTheme="minorEastAsia" w:hAnsiTheme="minorEastAsia" w:eastAsiaTheme="minorEastAsia"/>
          <w:color w:val="FF0000"/>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color w:val="FF0000"/>
          <w:sz w:val="32"/>
          <w:szCs w:val="32"/>
        </w:rPr>
        <w:t>。</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FF0000"/>
          <w:sz w:val="32"/>
          <w:szCs w:val="32"/>
        </w:rPr>
        <w:t>，</w:t>
      </w:r>
      <w:r>
        <w:rPr>
          <w:rFonts w:hint="eastAsia" w:asciiTheme="minorEastAsia" w:hAnsiTheme="minorEastAsia"/>
          <w:sz w:val="32"/>
          <w:szCs w:val="32"/>
        </w:rPr>
        <w:t>截止2021年12月31日，我单位开支财政拨款的公务用车保有量为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0"/>
        <w:rPr>
          <w:rFonts w:hAnsi="黑体"/>
          <w:b/>
          <w:sz w:val="32"/>
          <w:szCs w:val="32"/>
        </w:rPr>
      </w:pPr>
      <w:r>
        <w:rPr>
          <w:rFonts w:hint="eastAsia" w:hAnsi="黑体"/>
          <w:b/>
          <w:sz w:val="32"/>
          <w:szCs w:val="32"/>
        </w:rPr>
        <w:t>八、政府性基金预算收入支出决算情况</w:t>
      </w:r>
    </w:p>
    <w:p>
      <w:pPr>
        <w:pStyle w:val="10"/>
        <w:ind w:firstLine="800" w:firstLineChars="25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0"/>
        <w:rPr>
          <w:rFonts w:hAnsi="黑体"/>
          <w:b/>
          <w:sz w:val="32"/>
          <w:szCs w:val="32"/>
        </w:rPr>
      </w:pPr>
      <w:r>
        <w:rPr>
          <w:rFonts w:hint="eastAsia" w:hAnsi="黑体"/>
          <w:b/>
          <w:sz w:val="32"/>
          <w:szCs w:val="32"/>
        </w:rPr>
        <w:t>九、机关运行经费支出说明</w:t>
      </w:r>
    </w:p>
    <w:p>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本部门2021年度机关运行经费</w:t>
      </w:r>
      <w:r>
        <w:rPr>
          <w:rFonts w:hint="eastAsia" w:asciiTheme="minorEastAsia" w:hAnsiTheme="minorEastAsia" w:eastAsiaTheme="minorEastAsia"/>
          <w:color w:val="auto"/>
          <w:sz w:val="32"/>
          <w:szCs w:val="32"/>
          <w:lang w:eastAsia="zh-CN"/>
        </w:rPr>
        <w:t>公用经费</w:t>
      </w:r>
      <w:r>
        <w:rPr>
          <w:rFonts w:hint="eastAsia" w:asciiTheme="minorEastAsia" w:hAnsiTheme="minorEastAsia" w:eastAsiaTheme="minorEastAsia"/>
          <w:color w:val="auto"/>
          <w:sz w:val="32"/>
          <w:szCs w:val="32"/>
        </w:rPr>
        <w:t>支出</w:t>
      </w:r>
      <w:r>
        <w:rPr>
          <w:rFonts w:hint="eastAsia" w:asciiTheme="minorEastAsia" w:hAnsiTheme="minorEastAsia" w:eastAsiaTheme="minorEastAsia"/>
          <w:color w:val="auto"/>
          <w:sz w:val="32"/>
          <w:szCs w:val="32"/>
          <w:lang w:val="en-US" w:eastAsia="zh-CN"/>
        </w:rPr>
        <w:t>167.40</w:t>
      </w:r>
      <w:r>
        <w:rPr>
          <w:rFonts w:hint="eastAsia" w:asciiTheme="minorEastAsia" w:hAnsiTheme="minorEastAsia" w:eastAsiaTheme="minorEastAsia"/>
          <w:color w:val="auto"/>
          <w:sz w:val="32"/>
          <w:szCs w:val="32"/>
        </w:rPr>
        <w:t>万元，比年上年决算数</w:t>
      </w:r>
      <w:r>
        <w:rPr>
          <w:rFonts w:hint="eastAsia" w:asciiTheme="minorEastAsia" w:hAnsiTheme="minorEastAsia" w:eastAsiaTheme="minorEastAsia"/>
          <w:color w:val="auto"/>
          <w:sz w:val="32"/>
          <w:szCs w:val="32"/>
          <w:lang w:eastAsia="zh-CN"/>
        </w:rPr>
        <w:t>减少</w:t>
      </w:r>
      <w:r>
        <w:rPr>
          <w:rFonts w:hint="eastAsia" w:asciiTheme="minorEastAsia" w:hAnsiTheme="minorEastAsia" w:eastAsiaTheme="minorEastAsia"/>
          <w:color w:val="auto"/>
          <w:sz w:val="32"/>
          <w:szCs w:val="32"/>
          <w:lang w:val="en-US" w:eastAsia="zh-CN"/>
        </w:rPr>
        <w:t>4.58万元，降低2.66%，主要原因是经济形势紧张，教职工工会经费，福利费支出减少</w:t>
      </w:r>
      <w:r>
        <w:rPr>
          <w:rFonts w:hint="eastAsia" w:asciiTheme="minorEastAsia" w:hAnsiTheme="minorEastAsia" w:eastAsiaTheme="minorEastAsia"/>
          <w:color w:val="auto"/>
          <w:sz w:val="32"/>
          <w:szCs w:val="32"/>
        </w:rPr>
        <w:t>。</w:t>
      </w:r>
    </w:p>
    <w:p>
      <w:pPr>
        <w:pStyle w:val="10"/>
        <w:rPr>
          <w:rFonts w:hAnsi="黑体"/>
          <w:b/>
          <w:sz w:val="32"/>
          <w:szCs w:val="32"/>
        </w:rPr>
      </w:pPr>
      <w:r>
        <w:rPr>
          <w:rFonts w:hint="eastAsia" w:hAnsi="黑体"/>
          <w:b/>
          <w:sz w:val="32"/>
          <w:szCs w:val="32"/>
        </w:rPr>
        <w:t>十、一般性支出情况说明</w:t>
      </w:r>
    </w:p>
    <w:p>
      <w:pPr>
        <w:pStyle w:val="10"/>
        <w:ind w:firstLine="640" w:firstLineChars="200"/>
        <w:rPr>
          <w:rFonts w:hint="eastAsia" w:asciiTheme="minorEastAsia" w:hAnsiTheme="minorEastAsia" w:eastAsiaTheme="minorEastAsia"/>
          <w:color w:val="FF0000"/>
          <w:sz w:val="32"/>
          <w:szCs w:val="32"/>
          <w:lang w:eastAsia="zh-CN"/>
        </w:rPr>
      </w:pPr>
      <w:r>
        <w:rPr>
          <w:rFonts w:hint="eastAsia" w:asciiTheme="minorEastAsia" w:hAnsiTheme="minorEastAsia" w:eastAsiaTheme="minorEastAsia"/>
          <w:color w:val="auto"/>
          <w:sz w:val="32"/>
          <w:szCs w:val="32"/>
        </w:rPr>
        <w:t>2021年本部门开支会议费</w:t>
      </w:r>
      <w:r>
        <w:rPr>
          <w:rFonts w:hint="eastAsia" w:asciiTheme="minorEastAsia" w:hAnsiTheme="minorEastAsia" w:eastAsiaTheme="minorEastAsia"/>
          <w:color w:val="auto"/>
          <w:sz w:val="32"/>
          <w:szCs w:val="32"/>
          <w:lang w:val="en-US" w:eastAsia="zh-CN"/>
        </w:rPr>
        <w:t>0.05</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，用于育塅中心学校党总支选举出席中国共产党育塅乡第七次代表党员大会会务用笔、会议记录本、透明拉链袋等支出，会议人数</w:t>
      </w:r>
      <w:r>
        <w:rPr>
          <w:rFonts w:hint="eastAsia" w:asciiTheme="minorEastAsia" w:hAnsiTheme="minorEastAsia" w:eastAsiaTheme="minorEastAsia"/>
          <w:color w:val="auto"/>
          <w:sz w:val="32"/>
          <w:szCs w:val="32"/>
          <w:lang w:val="en-US" w:eastAsia="zh-CN"/>
        </w:rPr>
        <w:t>75人</w:t>
      </w:r>
      <w:r>
        <w:rPr>
          <w:rFonts w:hint="eastAsia" w:asciiTheme="minorEastAsia" w:hAnsiTheme="minorEastAsia" w:eastAsiaTheme="minorEastAsia"/>
          <w:color w:val="auto"/>
          <w:sz w:val="32"/>
          <w:szCs w:val="32"/>
          <w:lang w:eastAsia="zh-CN"/>
        </w:rPr>
        <w:t>。</w:t>
      </w:r>
    </w:p>
    <w:p>
      <w:pPr>
        <w:pStyle w:val="10"/>
        <w:rPr>
          <w:rFonts w:hAnsi="黑体"/>
          <w:b/>
          <w:sz w:val="32"/>
          <w:szCs w:val="32"/>
        </w:rPr>
      </w:pPr>
      <w:r>
        <w:rPr>
          <w:rFonts w:hint="eastAsia" w:hAnsi="黑体"/>
          <w:b/>
          <w:sz w:val="32"/>
          <w:szCs w:val="32"/>
        </w:rPr>
        <w:t>十一、政府采购支出说明</w:t>
      </w:r>
    </w:p>
    <w:p>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本部门2021年度政府采购支出总额</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w:t>
      </w:r>
    </w:p>
    <w:p>
      <w:pPr>
        <w:pStyle w:val="10"/>
        <w:rPr>
          <w:rFonts w:hAnsi="黑体"/>
          <w:b/>
          <w:sz w:val="32"/>
          <w:szCs w:val="32"/>
        </w:rPr>
      </w:pPr>
      <w:r>
        <w:rPr>
          <w:rFonts w:hint="eastAsia" w:hAnsi="黑体"/>
          <w:b/>
          <w:sz w:val="32"/>
          <w:szCs w:val="32"/>
        </w:rPr>
        <w:t>十二、国有资产占用情况说明</w:t>
      </w:r>
    </w:p>
    <w:p>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截至2021年12月31日，部门（单位）共有车辆</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辆，其中，主要领导干部用车</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辆，机要通信用车</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辆、应急保障用车</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辆、执法执勤用车</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辆、特种专业技术用车</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辆、其他用车</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辆，；单位价值50万元以上通用设备</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台（套）；单位价值100万元以上专用设备</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台（套）。</w:t>
      </w:r>
    </w:p>
    <w:p>
      <w:pPr>
        <w:pStyle w:val="10"/>
        <w:rPr>
          <w:rFonts w:hAnsi="黑体"/>
          <w:b/>
          <w:sz w:val="32"/>
          <w:szCs w:val="32"/>
        </w:rPr>
      </w:pPr>
      <w:r>
        <w:rPr>
          <w:rFonts w:hint="eastAsia" w:hAnsi="黑体"/>
          <w:b/>
          <w:sz w:val="32"/>
          <w:szCs w:val="32"/>
        </w:rPr>
        <w:t>十三、2021年度预算绩效情况说明</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本单位为二级预算单位，无项目绩效，部门整体绩效为教育局负责 ，教育局已进行了绩效评价，并已公开，详情请见《教育局（汇总）20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年度部门决算公开》。</w:t>
      </w:r>
    </w:p>
    <w:p>
      <w:pPr>
        <w:pStyle w:val="10"/>
        <w:ind w:firstLine="640" w:firstLineChars="200"/>
        <w:rPr>
          <w:rFonts w:hint="eastAsia" w:asciiTheme="minorEastAsia" w:hAnsiTheme="minorEastAsia" w:eastAsiaTheme="minorEastAsia"/>
          <w:sz w:val="32"/>
          <w:szCs w:val="3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p>
    <w:p>
      <w:pPr>
        <w:pStyle w:val="10"/>
        <w:jc w:val="both"/>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名词解释</w:t>
      </w:r>
    </w:p>
    <w:p>
      <w:pPr>
        <w:rPr>
          <w:rFonts w:hint="eastAsia" w:ascii="黑体" w:eastAsia="黑体" w:cs="黑体"/>
          <w:color w:val="000000"/>
          <w:kern w:val="0"/>
          <w:sz w:val="70"/>
          <w:szCs w:val="70"/>
        </w:rPr>
      </w:pPr>
      <w:r>
        <w:rPr>
          <w:rFonts w:hint="eastAsia" w:ascii="黑体" w:eastAsia="黑体" w:cs="黑体"/>
          <w:color w:val="000000"/>
          <w:kern w:val="0"/>
          <w:sz w:val="70"/>
          <w:szCs w:val="70"/>
        </w:rPr>
        <w:br w:type="page"/>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一、财政拨款收入：指中央财政当年拨付的资金。</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二、其他收入：指除“财政拨款收入”、“事业收入”、“经营收入”等以外的收入。主要是按规定动用的售房收入、存款利息收入等。</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三、基本支出：指为保障机构正常运转、完成日常工作任务而发生的人员支出和公用支出。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四、项目支出：指在基本支出之外为完成特定行政任务和事业发展目标所发生的支出。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五、“三公”经费：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桥过路费、保险费、安全奖励费用等支出；公务接待费反映单位按规定开支的各类公务接待（含外宾接待）支出。</w:t>
      </w:r>
    </w:p>
    <w:p>
      <w:pPr>
        <w:pStyle w:val="10"/>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六、机关运行经费：为保障行政单位（含参照公务员法管理的的事业单位）运行用于购买货物和服务的各项资金，包括办公费、印刷费、邮电费、差旅费、会议费、福利费、日常维修费、专用材料费、一般设备购置费、水电费、取暖费、公务用车运行维护费以及其他费用。</w:t>
      </w:r>
    </w:p>
    <w:p>
      <w:pPr>
        <w:pStyle w:val="10"/>
        <w:ind w:firstLine="640" w:firstLineChars="200"/>
        <w:rPr>
          <w:rFonts w:hint="eastAsia" w:asciiTheme="minorEastAsia" w:hAnsiTheme="minorEastAsia" w:eastAsiaTheme="minorEastAsia"/>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253110F-5ABD-48B2-AF9A-F2223629FE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6A181D69-BC28-422A-8213-D85F4C937A77}"/>
  </w:font>
  <w:font w:name="华文中宋">
    <w:altName w:val="宋体"/>
    <w:panose1 w:val="02010600040101010101"/>
    <w:charset w:val="86"/>
    <w:family w:val="auto"/>
    <w:pitch w:val="default"/>
    <w:sig w:usb0="00000000" w:usb1="00000000" w:usb2="00000000" w:usb3="00000000" w:csb0="0004009F" w:csb1="DFD70000"/>
    <w:embedRegular r:id="rId3" w:fontKey="{B4C7A547-5DAB-451F-A5AB-A2AFE2B2A79E}"/>
  </w:font>
  <w:font w:name="方正小标宋_GBK">
    <w:panose1 w:val="02000000000000000000"/>
    <w:charset w:val="86"/>
    <w:family w:val="script"/>
    <w:pitch w:val="default"/>
    <w:sig w:usb0="00000001" w:usb1="080E0000" w:usb2="00000000" w:usb3="00000000" w:csb0="00040000" w:csb1="00000000"/>
    <w:embedRegular r:id="rId4" w:fontKey="{040B7472-6FAE-43E9-A2F3-6278B80DAD76}"/>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6A7C7E0"/>
    <w:multiLevelType w:val="singleLevel"/>
    <w:tmpl w:val="76A7C7E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MjhkNjc2ZDIwYTA3OTQxYWFjMjEwOTM2NjBiNDY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4AC70BD"/>
    <w:rsid w:val="06573298"/>
    <w:rsid w:val="065D0F6A"/>
    <w:rsid w:val="0E492D46"/>
    <w:rsid w:val="10473ACD"/>
    <w:rsid w:val="10B23C5F"/>
    <w:rsid w:val="21661917"/>
    <w:rsid w:val="24AE5A71"/>
    <w:rsid w:val="3117370C"/>
    <w:rsid w:val="322A758E"/>
    <w:rsid w:val="366A636E"/>
    <w:rsid w:val="381F4958"/>
    <w:rsid w:val="3B422D27"/>
    <w:rsid w:val="48CB42F3"/>
    <w:rsid w:val="4AC83923"/>
    <w:rsid w:val="58B8177F"/>
    <w:rsid w:val="5FE04250"/>
    <w:rsid w:val="634B340C"/>
    <w:rsid w:val="638164C9"/>
    <w:rsid w:val="648B7A5A"/>
    <w:rsid w:val="64F8338C"/>
    <w:rsid w:val="6630286F"/>
    <w:rsid w:val="6716597C"/>
    <w:rsid w:val="69794F93"/>
    <w:rsid w:val="6E704B9C"/>
    <w:rsid w:val="705E2E6E"/>
    <w:rsid w:val="71603C62"/>
    <w:rsid w:val="7D751536"/>
    <w:rsid w:val="7DBE6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5628</Words>
  <Characters>7084</Characters>
  <Lines>69</Lines>
  <Paragraphs>19</Paragraphs>
  <TotalTime>17</TotalTime>
  <ScaleCrop>false</ScaleCrop>
  <LinksUpToDate>false</LinksUpToDate>
  <CharactersWithSpaces>7935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栖</cp:lastModifiedBy>
  <cp:lastPrinted>2022-07-27T12:55:00Z</cp:lastPrinted>
  <dcterms:modified xsi:type="dcterms:W3CDTF">2022-10-12T07:40:56Z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CE1AEDBE52A649CBBDACF26753053736</vt:lpwstr>
  </property>
</Properties>
</file>