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rPr>
        <w:t>湘乡市</w:t>
      </w:r>
      <w:r>
        <w:rPr>
          <w:rFonts w:hint="eastAsia"/>
          <w:sz w:val="84"/>
          <w:szCs w:val="84"/>
          <w:lang w:eastAsia="zh-CN"/>
        </w:rPr>
        <w:t>中沙</w:t>
      </w:r>
      <w:r>
        <w:rPr>
          <w:rFonts w:hint="eastAsia"/>
          <w:sz w:val="84"/>
          <w:szCs w:val="84"/>
        </w:rPr>
        <w:t>中心学校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00" w:lineRule="exact"/>
        <w:jc w:val="both"/>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第一部分湘乡市</w:t>
      </w:r>
      <w:r>
        <w:rPr>
          <w:rFonts w:hint="eastAsia"/>
          <w:b/>
          <w:sz w:val="28"/>
          <w:szCs w:val="28"/>
          <w:lang w:eastAsia="zh-CN"/>
        </w:rPr>
        <w:t>中沙</w:t>
      </w:r>
      <w:r>
        <w:rPr>
          <w:rFonts w:hint="eastAsia"/>
          <w:b/>
          <w:sz w:val="28"/>
          <w:szCs w:val="28"/>
        </w:rPr>
        <w:t>中心学校概况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rPr>
        <w:t>湘乡市</w:t>
      </w:r>
      <w:r>
        <w:rPr>
          <w:rFonts w:hint="eastAsia"/>
          <w:sz w:val="84"/>
          <w:szCs w:val="84"/>
          <w:lang w:eastAsia="zh-CN"/>
        </w:rPr>
        <w:t>中沙</w:t>
      </w:r>
      <w:r>
        <w:rPr>
          <w:rFonts w:hint="eastAsia"/>
          <w:sz w:val="84"/>
          <w:szCs w:val="84"/>
        </w:rPr>
        <w:t>中心学校概况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主要职能：宣传贯彻执行党和国家的教育方针、政策、法律法规等，坚持依法治教、依法治学, 实施九年义务教育，促进基础教育发展。小学、初中历教育及相关社会服务。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中沙</w:t>
      </w:r>
      <w:r>
        <w:rPr>
          <w:rFonts w:hint="eastAsia" w:asciiTheme="minorEastAsia" w:hAnsiTheme="minorEastAsia"/>
          <w:bCs/>
          <w:kern w:val="0"/>
          <w:sz w:val="32"/>
          <w:szCs w:val="32"/>
        </w:rPr>
        <w:t>中心校内设机构包括:财务室、工会、办公室。</w:t>
      </w:r>
    </w:p>
    <w:p>
      <w:pPr>
        <w:jc w:val="left"/>
        <w:rPr>
          <w:rFonts w:hint="default" w:ascii="黑体" w:hAnsi="黑体" w:eastAsiaTheme="minorEastAsia"/>
          <w:sz w:val="28"/>
          <w:szCs w:val="28"/>
          <w:lang w:val="en-US"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中沙</w:t>
      </w:r>
      <w:r>
        <w:rPr>
          <w:rFonts w:hint="eastAsia" w:asciiTheme="minorEastAsia" w:hAnsiTheme="minorEastAsia"/>
          <w:bCs/>
          <w:kern w:val="0"/>
          <w:sz w:val="32"/>
          <w:szCs w:val="32"/>
        </w:rPr>
        <w:t>中心学校2021年部门决算汇总公开单位构成包括：</w:t>
      </w:r>
      <w:r>
        <w:rPr>
          <w:rFonts w:hint="eastAsia" w:asciiTheme="minorEastAsia" w:hAnsiTheme="minorEastAsia"/>
          <w:bCs/>
          <w:kern w:val="0"/>
          <w:sz w:val="32"/>
          <w:szCs w:val="32"/>
          <w:lang w:eastAsia="zh-CN"/>
        </w:rPr>
        <w:t>中沙</w:t>
      </w:r>
      <w:r>
        <w:rPr>
          <w:rFonts w:hint="eastAsia" w:asciiTheme="minorEastAsia" w:hAnsiTheme="minorEastAsia"/>
          <w:bCs/>
          <w:kern w:val="0"/>
          <w:sz w:val="32"/>
          <w:szCs w:val="32"/>
        </w:rPr>
        <w:t>中心学校本级及</w:t>
      </w:r>
      <w:r>
        <w:rPr>
          <w:rFonts w:hint="eastAsia" w:asciiTheme="minorEastAsia" w:hAnsiTheme="minorEastAsia"/>
          <w:bCs/>
          <w:kern w:val="0"/>
          <w:sz w:val="32"/>
          <w:szCs w:val="32"/>
          <w:lang w:eastAsia="zh-CN"/>
        </w:rPr>
        <w:t>中沙</w:t>
      </w:r>
      <w:r>
        <w:rPr>
          <w:rFonts w:hint="eastAsia" w:asciiTheme="minorEastAsia" w:hAnsiTheme="minorEastAsia"/>
          <w:bCs/>
          <w:kern w:val="0"/>
          <w:sz w:val="32"/>
          <w:szCs w:val="32"/>
        </w:rPr>
        <w:t>镇中学、</w:t>
      </w:r>
      <w:r>
        <w:rPr>
          <w:rFonts w:hint="eastAsia" w:asciiTheme="minorEastAsia" w:hAnsiTheme="minorEastAsia"/>
          <w:bCs/>
          <w:kern w:val="0"/>
          <w:sz w:val="32"/>
          <w:szCs w:val="32"/>
          <w:lang w:eastAsia="zh-CN"/>
        </w:rPr>
        <w:t>桂花中学</w:t>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公略完小</w:t>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中沙完小</w:t>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上沙完小</w:t>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田心完小</w:t>
      </w:r>
      <w:r>
        <w:rPr>
          <w:rFonts w:hint="eastAsia" w:asciiTheme="minorEastAsia" w:hAnsiTheme="minorEastAsia"/>
          <w:bCs/>
          <w:kern w:val="0"/>
          <w:sz w:val="32"/>
          <w:szCs w:val="32"/>
          <w:lang w:val="en-US" w:eastAsia="zh-CN"/>
        </w:rPr>
        <w:t>.</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w:t>
            </w:r>
            <w:r>
              <w:rPr>
                <w:rFonts w:hint="eastAsia" w:ascii="宋体" w:hAnsi="宋体" w:eastAsia="宋体" w:cs="宋体"/>
                <w:color w:val="000000"/>
                <w:kern w:val="0"/>
                <w:sz w:val="20"/>
                <w:szCs w:val="20"/>
                <w:lang w:eastAsia="zh-CN"/>
              </w:rPr>
              <w:t>中沙</w:t>
            </w:r>
            <w:r>
              <w:rPr>
                <w:rFonts w:hint="eastAsia" w:ascii="宋体" w:hAnsi="宋体" w:eastAsia="宋体" w:cs="宋体"/>
                <w:color w:val="000000"/>
                <w:kern w:val="0"/>
                <w:sz w:val="20"/>
                <w:szCs w:val="20"/>
              </w:rPr>
              <w:t>中心学校</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2069.38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537.79</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2069.74</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2069.38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1.57</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2071.31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kern w:val="0"/>
                <w:sz w:val="22"/>
                <w:lang w:val="en-US" w:eastAsia="zh-CN"/>
              </w:rPr>
              <w:t>2071.31</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61" w:type="dxa"/>
        <w:tblInd w:w="0" w:type="dxa"/>
        <w:tblLayout w:type="autofit"/>
        <w:tblCellMar>
          <w:top w:w="0" w:type="dxa"/>
          <w:left w:w="0" w:type="dxa"/>
          <w:bottom w:w="0" w:type="dxa"/>
          <w:right w:w="0" w:type="dxa"/>
        </w:tblCellMar>
      </w:tblPr>
      <w:tblGrid>
        <w:gridCol w:w="38"/>
        <w:gridCol w:w="1015"/>
        <w:gridCol w:w="3644"/>
        <w:gridCol w:w="1885"/>
        <w:gridCol w:w="1885"/>
        <w:gridCol w:w="1072"/>
        <w:gridCol w:w="1072"/>
        <w:gridCol w:w="1072"/>
        <w:gridCol w:w="1072"/>
        <w:gridCol w:w="2006"/>
      </w:tblGrid>
      <w:tr>
        <w:tblPrEx>
          <w:tblCellMar>
            <w:top w:w="0" w:type="dxa"/>
            <w:left w:w="0" w:type="dxa"/>
            <w:bottom w:w="0" w:type="dxa"/>
            <w:right w:w="0" w:type="dxa"/>
          </w:tblCellMar>
        </w:tblPrEx>
        <w:trPr>
          <w:trHeight w:val="435" w:hRule="atLeast"/>
        </w:trPr>
        <w:tc>
          <w:tcPr>
            <w:tcW w:w="14761"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9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34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03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495"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hint="eastAsia" w:ascii="宋体" w:hAnsi="宋体" w:cs="宋体" w:eastAsiaTheme="minorEastAsia"/>
                <w:sz w:val="24"/>
                <w:szCs w:val="24"/>
                <w:lang w:eastAsia="zh-CN"/>
              </w:rPr>
            </w:pPr>
            <w:r>
              <w:rPr>
                <w:rFonts w:hint="eastAsia"/>
                <w:color w:val="000000"/>
                <w:sz w:val="20"/>
                <w:szCs w:val="20"/>
              </w:rPr>
              <w:t>湘乡市</w:t>
            </w:r>
            <w:r>
              <w:rPr>
                <w:rFonts w:hint="eastAsia"/>
                <w:color w:val="000000"/>
                <w:sz w:val="20"/>
                <w:szCs w:val="20"/>
                <w:lang w:eastAsia="zh-CN"/>
              </w:rPr>
              <w:t>中沙</w:t>
            </w:r>
            <w:r>
              <w:rPr>
                <w:rFonts w:hint="eastAsia"/>
                <w:color w:val="000000"/>
                <w:sz w:val="20"/>
                <w:szCs w:val="20"/>
              </w:rPr>
              <w:t>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0"/>
                <w:szCs w:val="20"/>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52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8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0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03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49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03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495"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2069.74</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1531.96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537.79</w:t>
            </w:r>
          </w:p>
        </w:tc>
      </w:tr>
      <w:tr>
        <w:tblPrEx>
          <w:tblCellMar>
            <w:top w:w="0" w:type="dxa"/>
            <w:left w:w="0" w:type="dxa"/>
            <w:bottom w:w="0" w:type="dxa"/>
            <w:right w:w="0" w:type="dxa"/>
          </w:tblCellMar>
        </w:tblPrEx>
        <w:trPr>
          <w:trHeight w:val="450" w:hRule="atLeast"/>
        </w:trPr>
        <w:tc>
          <w:tcPr>
            <w:tcW w:w="10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w:t>
            </w:r>
          </w:p>
        </w:tc>
        <w:tc>
          <w:tcPr>
            <w:tcW w:w="3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教育支出</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2069.74</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lang w:val="en-US" w:eastAsia="zh-CN"/>
              </w:rPr>
              <w:t>1531.96</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177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537.79</w:t>
            </w:r>
          </w:p>
        </w:tc>
      </w:tr>
      <w:tr>
        <w:tblPrEx>
          <w:tblCellMar>
            <w:top w:w="0" w:type="dxa"/>
            <w:left w:w="0" w:type="dxa"/>
            <w:bottom w:w="0" w:type="dxa"/>
            <w:right w:w="0" w:type="dxa"/>
          </w:tblCellMar>
        </w:tblPrEx>
        <w:trPr>
          <w:trHeight w:val="414" w:hRule="atLeast"/>
        </w:trPr>
        <w:tc>
          <w:tcPr>
            <w:tcW w:w="10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w:t>
            </w:r>
          </w:p>
        </w:tc>
        <w:tc>
          <w:tcPr>
            <w:tcW w:w="3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普通教育</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华文中宋" w:hAnsi="华文中宋" w:eastAsia="华文中宋" w:cs="宋体"/>
                <w:sz w:val="24"/>
                <w:szCs w:val="24"/>
                <w:lang w:val="en-US" w:eastAsia="zh-CN"/>
              </w:rPr>
            </w:pPr>
            <w:r>
              <w:rPr>
                <w:rFonts w:hint="eastAsia" w:ascii="宋体" w:hAnsi="宋体" w:eastAsia="宋体" w:cs="宋体"/>
                <w:color w:val="000000"/>
                <w:kern w:val="0"/>
                <w:sz w:val="22"/>
                <w:lang w:val="en-US" w:eastAsia="zh-CN"/>
              </w:rPr>
              <w:t>2069.74</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1531.96</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177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eastAsia="宋体" w:cs="宋体"/>
                <w:color w:val="auto"/>
                <w:kern w:val="0"/>
                <w:sz w:val="22"/>
                <w:lang w:val="en-US" w:eastAsia="zh-CN"/>
              </w:rPr>
              <w:t>537.79</w:t>
            </w:r>
          </w:p>
        </w:tc>
      </w:tr>
      <w:tr>
        <w:tblPrEx>
          <w:tblCellMar>
            <w:top w:w="0" w:type="dxa"/>
            <w:left w:w="0" w:type="dxa"/>
            <w:bottom w:w="0" w:type="dxa"/>
            <w:right w:w="0" w:type="dxa"/>
          </w:tblCellMar>
        </w:tblPrEx>
        <w:trPr>
          <w:trHeight w:val="450" w:hRule="atLeast"/>
        </w:trPr>
        <w:tc>
          <w:tcPr>
            <w:tcW w:w="10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2050201</w:t>
            </w:r>
          </w:p>
        </w:tc>
        <w:tc>
          <w:tcPr>
            <w:tcW w:w="3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 xml:space="preserve">  学前教育</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88.19</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88.19</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177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auto"/>
                <w:sz w:val="24"/>
                <w:szCs w:val="24"/>
              </w:rPr>
            </w:pPr>
            <w:r>
              <w:rPr>
                <w:rFonts w:hint="eastAsia" w:ascii="宋体" w:hAnsi="宋体" w:eastAsia="宋体" w:cs="宋体"/>
                <w:color w:val="auto"/>
                <w:kern w:val="0"/>
                <w:sz w:val="22"/>
              </w:rPr>
              <w:t>0.00</w:t>
            </w:r>
          </w:p>
        </w:tc>
      </w:tr>
      <w:tr>
        <w:tblPrEx>
          <w:tblCellMar>
            <w:top w:w="0" w:type="dxa"/>
            <w:left w:w="0" w:type="dxa"/>
            <w:bottom w:w="0" w:type="dxa"/>
            <w:right w:w="0" w:type="dxa"/>
          </w:tblCellMar>
        </w:tblPrEx>
        <w:trPr>
          <w:trHeight w:val="450" w:hRule="atLeast"/>
        </w:trPr>
        <w:tc>
          <w:tcPr>
            <w:tcW w:w="10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2050202</w:t>
            </w:r>
          </w:p>
        </w:tc>
        <w:tc>
          <w:tcPr>
            <w:tcW w:w="3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 xml:space="preserve">  小学教育</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733.11</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195.33</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177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eastAsia="宋体" w:cs="宋体"/>
                <w:color w:val="auto"/>
                <w:kern w:val="0"/>
                <w:sz w:val="22"/>
                <w:lang w:val="en-US" w:eastAsia="zh-CN"/>
              </w:rPr>
              <w:t>537.79</w:t>
            </w:r>
          </w:p>
        </w:tc>
      </w:tr>
      <w:tr>
        <w:tblPrEx>
          <w:tblCellMar>
            <w:top w:w="0" w:type="dxa"/>
            <w:left w:w="0" w:type="dxa"/>
            <w:bottom w:w="0" w:type="dxa"/>
            <w:right w:w="0" w:type="dxa"/>
          </w:tblCellMar>
        </w:tblPrEx>
        <w:trPr>
          <w:trHeight w:val="450" w:hRule="atLeast"/>
        </w:trPr>
        <w:tc>
          <w:tcPr>
            <w:tcW w:w="10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2050203</w:t>
            </w:r>
          </w:p>
        </w:tc>
        <w:tc>
          <w:tcPr>
            <w:tcW w:w="3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textAlignment w:val="center"/>
              <w:rPr>
                <w:rFonts w:ascii="宋体" w:hAnsi="宋体" w:eastAsia="宋体" w:cs="宋体"/>
                <w:sz w:val="24"/>
                <w:szCs w:val="24"/>
              </w:rPr>
            </w:pPr>
            <w:r>
              <w:rPr>
                <w:rFonts w:hint="eastAsia" w:ascii="宋体" w:hAnsi="宋体" w:eastAsia="宋体" w:cs="宋体"/>
                <w:color w:val="000000"/>
                <w:kern w:val="0"/>
                <w:sz w:val="22"/>
              </w:rPr>
              <w:t xml:space="preserve">  初中教育</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1248.44</w:t>
            </w:r>
          </w:p>
        </w:tc>
        <w:tc>
          <w:tcPr>
            <w:tcW w:w="18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1248.44</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9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2"/>
              </w:rPr>
              <w:t>0.00</w:t>
            </w:r>
          </w:p>
        </w:tc>
        <w:tc>
          <w:tcPr>
            <w:tcW w:w="177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s="宋体"/>
                <w:color w:val="auto"/>
                <w:sz w:val="24"/>
                <w:szCs w:val="24"/>
              </w:rPr>
            </w:pPr>
            <w:r>
              <w:rPr>
                <w:rFonts w:hint="eastAsia" w:ascii="宋体" w:hAnsi="宋体" w:eastAsia="宋体" w:cs="宋体"/>
                <w:color w:val="auto"/>
                <w:kern w:val="0"/>
                <w:sz w:val="22"/>
              </w:rPr>
              <w:t>0.00</w:t>
            </w:r>
          </w:p>
        </w:tc>
      </w:tr>
      <w:tr>
        <w:tblPrEx>
          <w:tblCellMar>
            <w:top w:w="0" w:type="dxa"/>
            <w:left w:w="0" w:type="dxa"/>
            <w:bottom w:w="0" w:type="dxa"/>
            <w:right w:w="0" w:type="dxa"/>
          </w:tblCellMar>
        </w:tblPrEx>
        <w:trPr>
          <w:trHeight w:val="615" w:hRule="atLeast"/>
        </w:trPr>
        <w:tc>
          <w:tcPr>
            <w:tcW w:w="14761"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772" w:type="dxa"/>
        <w:tblInd w:w="93" w:type="dxa"/>
        <w:tblLayout w:type="fixed"/>
        <w:tblCellMar>
          <w:top w:w="0" w:type="dxa"/>
          <w:left w:w="108" w:type="dxa"/>
          <w:bottom w:w="0" w:type="dxa"/>
          <w:right w:w="108" w:type="dxa"/>
        </w:tblCellMar>
      </w:tblPr>
      <w:tblGrid>
        <w:gridCol w:w="1042"/>
        <w:gridCol w:w="237"/>
        <w:gridCol w:w="2106"/>
        <w:gridCol w:w="1663"/>
        <w:gridCol w:w="1843"/>
        <w:gridCol w:w="1813"/>
        <w:gridCol w:w="1708"/>
        <w:gridCol w:w="1738"/>
        <w:gridCol w:w="2622"/>
      </w:tblGrid>
      <w:tr>
        <w:tblPrEx>
          <w:tblCellMar>
            <w:top w:w="0" w:type="dxa"/>
            <w:left w:w="108" w:type="dxa"/>
            <w:bottom w:w="0" w:type="dxa"/>
            <w:right w:w="108" w:type="dxa"/>
          </w:tblCellMar>
        </w:tblPrEx>
        <w:trPr>
          <w:trHeight w:val="435" w:hRule="atLeast"/>
        </w:trPr>
        <w:tc>
          <w:tcPr>
            <w:tcW w:w="14772"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10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6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84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81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71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7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62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108" w:type="dxa"/>
            <w:tcBorders>
              <w:top w:val="nil"/>
              <w:left w:val="nil"/>
              <w:bottom w:val="nil"/>
              <w:right w:val="nil"/>
            </w:tcBorders>
            <w:shd w:val="clear" w:color="000000" w:fill="FFFFFF"/>
            <w:noWrap/>
            <w:vAlign w:val="center"/>
          </w:tcPr>
          <w:p>
            <w:pPr>
              <w:widowControl/>
              <w:rPr>
                <w:rFonts w:hint="eastAsia" w:ascii="宋体" w:hAnsi="宋体" w:cs="宋体" w:eastAsiaTheme="minorEastAsia"/>
                <w:kern w:val="0"/>
                <w:sz w:val="24"/>
                <w:szCs w:val="24"/>
                <w:lang w:eastAsia="zh-CN"/>
              </w:rPr>
            </w:pPr>
            <w:r>
              <w:rPr>
                <w:rFonts w:hint="eastAsia"/>
                <w:color w:val="000000"/>
                <w:sz w:val="20"/>
                <w:szCs w:val="20"/>
              </w:rPr>
              <w:t>湘乡市</w:t>
            </w:r>
            <w:r>
              <w:rPr>
                <w:rFonts w:hint="eastAsia"/>
                <w:color w:val="000000"/>
                <w:sz w:val="20"/>
                <w:szCs w:val="20"/>
                <w:lang w:eastAsia="zh-CN"/>
              </w:rPr>
              <w:t>中沙</w:t>
            </w:r>
            <w:r>
              <w:rPr>
                <w:rFonts w:hint="eastAsia"/>
                <w:color w:val="000000"/>
                <w:sz w:val="20"/>
                <w:szCs w:val="20"/>
              </w:rPr>
              <w:t>中心学校</w:t>
            </w:r>
          </w:p>
        </w:tc>
        <w:tc>
          <w:tcPr>
            <w:tcW w:w="166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84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815"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0"/>
                <w:szCs w:val="20"/>
                <w:lang w:eastAsia="zh-CN"/>
              </w:rPr>
            </w:pPr>
          </w:p>
        </w:tc>
        <w:tc>
          <w:tcPr>
            <w:tcW w:w="171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7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62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37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6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0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6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0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6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37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6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1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7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6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337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2069.38</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1771.96</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297.42</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w:t>
            </w:r>
          </w:p>
        </w:tc>
        <w:tc>
          <w:tcPr>
            <w:tcW w:w="2108"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教育支出</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2069.38</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1771.96</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297.42</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w:t>
            </w:r>
          </w:p>
        </w:tc>
        <w:tc>
          <w:tcPr>
            <w:tcW w:w="2108"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普通教育</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2069.38</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1771.96</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kern w:val="0"/>
                <w:sz w:val="24"/>
                <w:szCs w:val="24"/>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2050201</w:t>
            </w:r>
          </w:p>
        </w:tc>
        <w:tc>
          <w:tcPr>
            <w:tcW w:w="2108"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 xml:space="preserve">  学前教育</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88.19</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88.19</w:t>
            </w:r>
          </w:p>
        </w:tc>
        <w:tc>
          <w:tcPr>
            <w:tcW w:w="1815"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000000"/>
                <w:kern w:val="0"/>
                <w:sz w:val="22"/>
              </w:rPr>
            </w:pPr>
            <w:r>
              <w:rPr>
                <w:rFonts w:hint="eastAsia" w:ascii="宋体" w:hAnsi="宋体" w:eastAsia="宋体" w:cs="宋体"/>
                <w:kern w:val="0"/>
                <w:sz w:val="24"/>
                <w:szCs w:val="24"/>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2050202</w:t>
            </w:r>
          </w:p>
        </w:tc>
        <w:tc>
          <w:tcPr>
            <w:tcW w:w="2108"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 xml:space="preserve">  小学教育</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732.75</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435.33</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297.42</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2050203</w:t>
            </w:r>
          </w:p>
        </w:tc>
        <w:tc>
          <w:tcPr>
            <w:tcW w:w="2108"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 xml:space="preserve">  初中教育</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1248.44</w:t>
            </w:r>
          </w:p>
        </w:tc>
        <w:tc>
          <w:tcPr>
            <w:tcW w:w="184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kern w:val="0"/>
                <w:sz w:val="24"/>
                <w:szCs w:val="24"/>
                <w:lang w:val="en-US" w:eastAsia="zh-CN"/>
              </w:rPr>
            </w:pPr>
            <w:r>
              <w:rPr>
                <w:rFonts w:hint="eastAsia" w:ascii="宋体" w:hAnsi="宋体" w:eastAsia="宋体" w:cs="宋体"/>
                <w:color w:val="000000"/>
                <w:kern w:val="0"/>
                <w:sz w:val="22"/>
                <w:lang w:val="en-US" w:eastAsia="zh-CN"/>
              </w:rPr>
              <w:t>1248.44</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kern w:val="0"/>
                <w:sz w:val="24"/>
                <w:szCs w:val="24"/>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1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c>
          <w:tcPr>
            <w:tcW w:w="262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0.00</w:t>
            </w:r>
          </w:p>
        </w:tc>
      </w:tr>
      <w:tr>
        <w:tblPrEx>
          <w:tblCellMar>
            <w:top w:w="0" w:type="dxa"/>
            <w:left w:w="108" w:type="dxa"/>
            <w:bottom w:w="0" w:type="dxa"/>
            <w:right w:w="108" w:type="dxa"/>
          </w:tblCellMar>
        </w:tblPrEx>
        <w:trPr>
          <w:trHeight w:val="630" w:hRule="atLeast"/>
        </w:trPr>
        <w:tc>
          <w:tcPr>
            <w:tcW w:w="14772"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827"/>
        <w:gridCol w:w="1183"/>
        <w:gridCol w:w="167"/>
        <w:gridCol w:w="3135"/>
        <w:gridCol w:w="245"/>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82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18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3"/>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82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50"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380"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部门：湘乡市</w:t>
            </w:r>
            <w:r>
              <w:rPr>
                <w:rFonts w:hint="eastAsia" w:ascii="宋体" w:hAnsi="宋体" w:eastAsia="宋体" w:cs="宋体"/>
                <w:color w:val="000000"/>
                <w:kern w:val="0"/>
                <w:sz w:val="20"/>
                <w:szCs w:val="20"/>
                <w:lang w:eastAsia="zh-CN"/>
              </w:rPr>
              <w:t>中沙</w:t>
            </w:r>
            <w:r>
              <w:rPr>
                <w:rFonts w:hint="eastAsia" w:ascii="宋体" w:hAnsi="宋体" w:eastAsia="宋体" w:cs="宋体"/>
                <w:color w:val="000000"/>
                <w:kern w:val="0"/>
                <w:sz w:val="20"/>
                <w:szCs w:val="20"/>
              </w:rPr>
              <w:t>中心学校</w:t>
            </w:r>
          </w:p>
        </w:tc>
        <w:tc>
          <w:tcPr>
            <w:tcW w:w="82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50"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3380"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772"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749"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31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82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0.00</w:t>
            </w:r>
          </w:p>
        </w:tc>
        <w:tc>
          <w:tcPr>
            <w:tcW w:w="313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68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31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8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1531.96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w:t>
      </w:r>
      <w:r>
        <w:rPr>
          <w:rFonts w:hint="eastAsia" w:ascii="Times New Roman" w:hAnsi="Times New Roman" w:eastAsia="仿宋_GB2312" w:cs="Times New Roman"/>
          <w:color w:val="000000"/>
          <w:kern w:val="0"/>
          <w:szCs w:val="21"/>
          <w:lang w:eastAsia="zh-CN"/>
        </w:rPr>
        <w:t>中沙</w:t>
      </w:r>
      <w:r>
        <w:rPr>
          <w:rFonts w:hint="eastAsia" w:ascii="Times New Roman" w:hAnsi="Times New Roman" w:eastAsia="仿宋_GB2312" w:cs="Times New Roman"/>
          <w:color w:val="000000"/>
          <w:kern w:val="0"/>
          <w:szCs w:val="21"/>
        </w:rPr>
        <w:t>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教育支出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普通教育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1531.96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2050201</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 xml:space="preserve">  学前教育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88.19</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88.19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2050202</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 xml:space="preserve">  小学教育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195.33</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195.33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2050203</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Times New Roman" w:hAnsi="Times New Roman" w:eastAsia="仿宋_GB2312" w:cs="Times New Roman"/>
                <w:kern w:val="0"/>
                <w:szCs w:val="21"/>
              </w:rPr>
            </w:pPr>
            <w:r>
              <w:rPr>
                <w:rFonts w:hint="eastAsia" w:ascii="宋体" w:hAnsi="宋体" w:eastAsia="宋体" w:cs="宋体"/>
                <w:color w:val="000000"/>
                <w:kern w:val="0"/>
                <w:sz w:val="22"/>
              </w:rPr>
              <w:t xml:space="preserve">  初中教育</w:t>
            </w:r>
          </w:p>
        </w:tc>
        <w:tc>
          <w:tcPr>
            <w:tcW w:w="30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1248.44</w:t>
            </w:r>
          </w:p>
        </w:tc>
        <w:tc>
          <w:tcPr>
            <w:tcW w:w="349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color w:val="000000"/>
                <w:kern w:val="0"/>
                <w:sz w:val="22"/>
                <w:lang w:val="en-US" w:eastAsia="zh-CN"/>
              </w:rPr>
              <w:t>1248.44</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5626" w:type="dxa"/>
        <w:tblInd w:w="0" w:type="dxa"/>
        <w:tblLayout w:type="fixed"/>
        <w:tblCellMar>
          <w:top w:w="0" w:type="dxa"/>
          <w:left w:w="108" w:type="dxa"/>
          <w:bottom w:w="0" w:type="dxa"/>
          <w:right w:w="108" w:type="dxa"/>
        </w:tblCellMar>
      </w:tblPr>
      <w:tblGrid>
        <w:gridCol w:w="1050"/>
        <w:gridCol w:w="3390"/>
        <w:gridCol w:w="1185"/>
        <w:gridCol w:w="1155"/>
        <w:gridCol w:w="2010"/>
        <w:gridCol w:w="945"/>
        <w:gridCol w:w="1107"/>
        <w:gridCol w:w="3633"/>
        <w:gridCol w:w="1151"/>
      </w:tblGrid>
      <w:tr>
        <w:tblPrEx>
          <w:tblCellMar>
            <w:top w:w="0" w:type="dxa"/>
            <w:left w:w="108" w:type="dxa"/>
            <w:bottom w:w="0" w:type="dxa"/>
            <w:right w:w="108" w:type="dxa"/>
          </w:tblCellMar>
        </w:tblPrEx>
        <w:trPr>
          <w:trHeight w:val="113" w:hRule="atLeast"/>
        </w:trPr>
        <w:tc>
          <w:tcPr>
            <w:tcW w:w="15626"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w:t>
            </w:r>
            <w:r>
              <w:rPr>
                <w:rFonts w:hint="eastAsia" w:ascii="Times New Roman" w:hAnsi="Times New Roman" w:eastAsia="仿宋_GB2312" w:cs="Times New Roman"/>
                <w:color w:val="000000"/>
                <w:kern w:val="0"/>
                <w:szCs w:val="21"/>
                <w:lang w:eastAsia="zh-CN"/>
              </w:rPr>
              <w:t>中沙</w:t>
            </w:r>
            <w:r>
              <w:rPr>
                <w:rFonts w:hint="eastAsia" w:ascii="Times New Roman" w:hAnsi="Times New Roman" w:eastAsia="仿宋_GB2312" w:cs="Times New Roman"/>
                <w:color w:val="000000"/>
                <w:kern w:val="0"/>
                <w:szCs w:val="21"/>
              </w:rPr>
              <w:t xml:space="preserve">中心学校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6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1520.25</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591.68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121.77</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30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143.31</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7.61</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311.75</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30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135.93</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val="en-US" w:eastAsia="zh-CN"/>
              </w:rPr>
              <w:t>77.61</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12.28</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33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80.42</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rPr>
              <w:t>37.90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Cs w:val="20"/>
              </w:rPr>
            </w:pPr>
            <w:r>
              <w:rPr>
                <w:rFonts w:hint="eastAsia" w:ascii="宋体" w:hAnsi="宋体" w:eastAsia="宋体" w:cs="宋体"/>
                <w:color w:val="000000"/>
                <w:kern w:val="0"/>
                <w:sz w:val="22"/>
              </w:rPr>
              <w:t>11.70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9"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Cs w:val="20"/>
              </w:rPr>
            </w:pPr>
            <w:r>
              <w:rPr>
                <w:rFonts w:hint="eastAsia" w:ascii="宋体" w:hAnsi="宋体" w:eastAsia="宋体" w:cs="宋体"/>
                <w:color w:val="000000"/>
                <w:kern w:val="0"/>
                <w:sz w:val="22"/>
              </w:rPr>
              <w:t>11.70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ascii="宋体" w:hAnsi="宋体" w:eastAsia="宋体" w:cs="宋体"/>
                <w:color w:val="000000"/>
                <w:kern w:val="0"/>
                <w:szCs w:val="20"/>
              </w:rPr>
              <w:t>0.00</w:t>
            </w: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c>
          <w:tcPr>
            <w:tcW w:w="11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ascii="宋体" w:hAnsi="宋体" w:eastAsia="宋体" w:cs="宋体"/>
                <w:color w:val="000000"/>
                <w:kern w:val="0"/>
                <w:szCs w:val="20"/>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63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4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1531.96</w:t>
            </w:r>
          </w:p>
        </w:tc>
        <w:tc>
          <w:tcPr>
            <w:tcW w:w="885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1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ascii="宋体" w:hAnsi="宋体" w:eastAsia="宋体" w:cs="宋体"/>
                <w:color w:val="000000"/>
                <w:kern w:val="0"/>
                <w:szCs w:val="18"/>
              </w:rPr>
              <w:t>0.00</w:t>
            </w:r>
          </w:p>
        </w:tc>
      </w:tr>
      <w:tr>
        <w:tblPrEx>
          <w:tblCellMar>
            <w:top w:w="0" w:type="dxa"/>
            <w:left w:w="108" w:type="dxa"/>
            <w:bottom w:w="0" w:type="dxa"/>
            <w:right w:w="108" w:type="dxa"/>
          </w:tblCellMar>
        </w:tblPrEx>
        <w:trPr>
          <w:trHeight w:val="284" w:hRule="exact"/>
        </w:trPr>
        <w:tc>
          <w:tcPr>
            <w:tcW w:w="15626"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w:t>
      </w:r>
      <w:r>
        <w:rPr>
          <w:rFonts w:hint="eastAsia" w:ascii="Times New Roman" w:hAnsi="Times New Roman" w:eastAsia="仿宋_GB2312" w:cs="Times New Roman"/>
          <w:color w:val="000000"/>
          <w:kern w:val="0"/>
          <w:szCs w:val="21"/>
          <w:lang w:eastAsia="zh-CN"/>
        </w:rPr>
        <w:t>中沙</w:t>
      </w:r>
      <w:r>
        <w:rPr>
          <w:rFonts w:hint="eastAsia" w:ascii="Times New Roman" w:hAnsi="Times New Roman" w:eastAsia="仿宋_GB2312" w:cs="Times New Roman"/>
          <w:color w:val="000000"/>
          <w:kern w:val="0"/>
          <w:szCs w:val="21"/>
        </w:rPr>
        <w:t>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583"/>
        <w:gridCol w:w="1185"/>
        <w:gridCol w:w="892"/>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583"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8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3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583"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8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8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58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18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8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583"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本表为空白表</w:t>
            </w:r>
          </w:p>
        </w:tc>
        <w:tc>
          <w:tcPr>
            <w:tcW w:w="1185"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892"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w:t>
      </w:r>
      <w:r>
        <w:rPr>
          <w:rFonts w:hint="eastAsia" w:ascii="Times New Roman" w:hAnsi="Times New Roman" w:eastAsia="仿宋_GB2312" w:cs="Times New Roman"/>
          <w:color w:val="000000"/>
          <w:kern w:val="0"/>
          <w:szCs w:val="21"/>
          <w:lang w:eastAsia="zh-CN"/>
        </w:rPr>
        <w:t>中沙</w:t>
      </w:r>
      <w:r>
        <w:rPr>
          <w:rFonts w:hint="eastAsia" w:ascii="Times New Roman" w:hAnsi="Times New Roman" w:eastAsia="仿宋_GB2312" w:cs="Times New Roman"/>
          <w:color w:val="000000"/>
          <w:kern w:val="0"/>
          <w:szCs w:val="21"/>
        </w:rPr>
        <w:t>中心学校</w:t>
      </w:r>
      <w:r>
        <w:rPr>
          <w:rFonts w:ascii="Times New Roman" w:hAnsi="Times New Roman" w:eastAsia="仿宋_GB2312" w:cs="Times New Roman"/>
          <w:color w:val="000000"/>
          <w:kern w:val="0"/>
          <w:szCs w:val="21"/>
        </w:rPr>
        <w:t xml:space="preserve">                                                                                                        公开08表</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rPr>
              <w:t>本表为空白表</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937" w:type="dxa"/>
        <w:tblInd w:w="93" w:type="dxa"/>
        <w:tblLayout w:type="autofit"/>
        <w:tblCellMar>
          <w:top w:w="0" w:type="dxa"/>
          <w:left w:w="108" w:type="dxa"/>
          <w:bottom w:w="0" w:type="dxa"/>
          <w:right w:w="108" w:type="dxa"/>
        </w:tblCellMar>
      </w:tblPr>
      <w:tblGrid>
        <w:gridCol w:w="1060"/>
        <w:gridCol w:w="560"/>
        <w:gridCol w:w="3215"/>
        <w:gridCol w:w="1225"/>
        <w:gridCol w:w="1326"/>
        <w:gridCol w:w="1294"/>
        <w:gridCol w:w="1683"/>
        <w:gridCol w:w="4574"/>
      </w:tblGrid>
      <w:tr>
        <w:tblPrEx>
          <w:tblCellMar>
            <w:top w:w="0" w:type="dxa"/>
            <w:left w:w="108" w:type="dxa"/>
            <w:bottom w:w="0" w:type="dxa"/>
            <w:right w:w="108" w:type="dxa"/>
          </w:tblCellMar>
        </w:tblPrEx>
        <w:trPr>
          <w:trHeight w:val="720" w:hRule="atLeast"/>
        </w:trPr>
        <w:tc>
          <w:tcPr>
            <w:tcW w:w="14937" w:type="dxa"/>
            <w:gridSpan w:val="8"/>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625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tcBorders>
              <w:top w:val="nil"/>
              <w:left w:val="nil"/>
              <w:bottom w:val="nil"/>
              <w:right w:val="nil"/>
            </w:tcBorders>
            <w:shd w:val="clear" w:color="000000" w:fill="FFFFFF"/>
            <w:vAlign w:val="center"/>
          </w:tcPr>
          <w:p>
            <w:pPr>
              <w:widowControl/>
              <w:rPr>
                <w:rFonts w:hint="eastAsia" w:ascii="宋体" w:hAnsi="宋体" w:eastAsia="宋体" w:cs="宋体"/>
                <w:kern w:val="0"/>
                <w:sz w:val="20"/>
                <w:szCs w:val="20"/>
                <w:lang w:eastAsia="zh-CN"/>
              </w:rPr>
            </w:pPr>
            <w:r>
              <w:rPr>
                <w:rFonts w:hint="eastAsia" w:ascii="宋体" w:hAnsi="宋体" w:eastAsia="宋体" w:cs="宋体"/>
                <w:kern w:val="0"/>
                <w:sz w:val="20"/>
                <w:szCs w:val="20"/>
              </w:rPr>
              <w:t>湘乡市</w:t>
            </w:r>
            <w:r>
              <w:rPr>
                <w:rFonts w:hint="eastAsia" w:ascii="宋体" w:hAnsi="宋体" w:eastAsia="宋体" w:cs="宋体"/>
                <w:kern w:val="0"/>
                <w:sz w:val="20"/>
                <w:szCs w:val="20"/>
                <w:lang w:eastAsia="zh-CN"/>
              </w:rPr>
              <w:t>中沙</w:t>
            </w:r>
            <w:r>
              <w:rPr>
                <w:rFonts w:hint="eastAsia" w:ascii="宋体" w:hAnsi="宋体" w:eastAsia="宋体" w:cs="宋体"/>
                <w:kern w:val="0"/>
                <w:sz w:val="20"/>
                <w:szCs w:val="20"/>
              </w:rPr>
              <w:t>中心学校</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625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3"/>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10102"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1620"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21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457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1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457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1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457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3"/>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45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3"/>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本表为空白表</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4574"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937" w:type="dxa"/>
            <w:gridSpan w:val="8"/>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asciiTheme="minorEastAsia" w:hAnsiTheme="minorEastAsia" w:eastAsiaTheme="minorEastAsia"/>
          <w:sz w:val="32"/>
          <w:szCs w:val="32"/>
        </w:rPr>
        <w:t>21</w:t>
      </w:r>
      <w:r>
        <w:rPr>
          <w:rFonts w:hint="eastAsia" w:asciiTheme="minorEastAsia" w:hAnsiTheme="minorEastAsia" w:eastAsiaTheme="minorEastAsia"/>
          <w:sz w:val="32"/>
          <w:szCs w:val="32"/>
        </w:rPr>
        <w:t>年度收、支总计</w:t>
      </w:r>
      <w:r>
        <w:rPr>
          <w:rFonts w:hint="eastAsia" w:asciiTheme="minorEastAsia" w:hAnsiTheme="minorEastAsia" w:eastAsiaTheme="minorEastAsia"/>
          <w:color w:val="auto"/>
          <w:sz w:val="32"/>
          <w:szCs w:val="32"/>
          <w:lang w:val="en-US" w:eastAsia="zh-CN"/>
        </w:rPr>
        <w:t>4139.4</w:t>
      </w:r>
      <w:r>
        <w:rPr>
          <w:rFonts w:asciiTheme="minorEastAsia" w:hAnsiTheme="minorEastAsia" w:eastAsiaTheme="minorEastAsia"/>
          <w:color w:val="auto"/>
          <w:sz w:val="32"/>
          <w:szCs w:val="32"/>
        </w:rPr>
        <w:t>8</w:t>
      </w:r>
      <w:r>
        <w:rPr>
          <w:rFonts w:hint="eastAsia" w:asciiTheme="minorEastAsia" w:hAnsiTheme="minorEastAsia" w:eastAsiaTheme="minorEastAsia"/>
          <w:sz w:val="32"/>
          <w:szCs w:val="32"/>
        </w:rPr>
        <w:t>万元，上年度结余结转资金</w:t>
      </w:r>
      <w:r>
        <w:rPr>
          <w:rFonts w:hint="eastAsia" w:asciiTheme="minorEastAsia" w:hAnsiTheme="minorEastAsia" w:eastAsiaTheme="minorEastAsia"/>
          <w:sz w:val="32"/>
          <w:szCs w:val="32"/>
          <w:lang w:val="en-US" w:eastAsia="zh-CN"/>
        </w:rPr>
        <w:t>1.57</w:t>
      </w:r>
      <w:r>
        <w:rPr>
          <w:rFonts w:hint="eastAsia" w:asciiTheme="minorEastAsia" w:hAnsiTheme="minorEastAsia" w:eastAsiaTheme="minorEastAsia"/>
          <w:sz w:val="32"/>
          <w:szCs w:val="32"/>
        </w:rPr>
        <w:t>万元。20</w:t>
      </w:r>
      <w:r>
        <w:rPr>
          <w:rFonts w:asciiTheme="minorEastAsia" w:hAnsiTheme="minorEastAsia" w:eastAsiaTheme="minorEastAsia"/>
          <w:sz w:val="32"/>
          <w:szCs w:val="32"/>
        </w:rPr>
        <w:t>21</w:t>
      </w:r>
      <w:r>
        <w:rPr>
          <w:rFonts w:hint="eastAsia" w:asciiTheme="minorEastAsia" w:hAnsiTheme="minorEastAsia" w:eastAsiaTheme="minorEastAsia"/>
          <w:sz w:val="32"/>
          <w:szCs w:val="32"/>
        </w:rPr>
        <w:t>年度收入为</w:t>
      </w:r>
      <w:r>
        <w:rPr>
          <w:rFonts w:hint="eastAsia" w:asciiTheme="minorEastAsia" w:hAnsiTheme="minorEastAsia" w:eastAsiaTheme="minorEastAsia"/>
          <w:sz w:val="32"/>
          <w:szCs w:val="32"/>
          <w:lang w:val="en-US" w:eastAsia="zh-CN"/>
        </w:rPr>
        <w:t>2069.74</w:t>
      </w:r>
      <w:r>
        <w:rPr>
          <w:rFonts w:hint="eastAsia" w:asciiTheme="minorEastAsia" w:hAnsiTheme="minorEastAsia" w:eastAsiaTheme="minorEastAsia"/>
          <w:sz w:val="32"/>
          <w:szCs w:val="32"/>
        </w:rPr>
        <w:t>万元，</w:t>
      </w:r>
      <w:r>
        <w:rPr>
          <w:rFonts w:hint="eastAsia" w:asciiTheme="minorEastAsia" w:hAnsiTheme="minorEastAsia" w:eastAsiaTheme="minorEastAsia"/>
          <w:color w:val="auto"/>
          <w:sz w:val="32"/>
          <w:szCs w:val="32"/>
        </w:rPr>
        <w:t>与20</w:t>
      </w:r>
      <w:r>
        <w:rPr>
          <w:rFonts w:asciiTheme="minorEastAsia" w:hAnsiTheme="minorEastAsia" w:eastAsiaTheme="minorEastAsia"/>
          <w:color w:val="auto"/>
          <w:sz w:val="32"/>
          <w:szCs w:val="32"/>
        </w:rPr>
        <w:t>20</w:t>
      </w:r>
      <w:r>
        <w:rPr>
          <w:rFonts w:hint="eastAsia" w:asciiTheme="minorEastAsia" w:hAnsiTheme="minorEastAsia" w:eastAsiaTheme="minorEastAsia"/>
          <w:color w:val="auto"/>
          <w:sz w:val="32"/>
          <w:szCs w:val="32"/>
        </w:rPr>
        <w:t>年相比，收入增加</w:t>
      </w:r>
      <w:r>
        <w:rPr>
          <w:rFonts w:hint="eastAsia" w:asciiTheme="minorEastAsia" w:hAnsiTheme="minorEastAsia" w:eastAsiaTheme="minorEastAsia"/>
          <w:color w:val="auto"/>
          <w:sz w:val="32"/>
          <w:szCs w:val="32"/>
          <w:lang w:val="en-US" w:eastAsia="zh-CN"/>
        </w:rPr>
        <w:t>59.21</w:t>
      </w:r>
      <w:r>
        <w:rPr>
          <w:rFonts w:hint="eastAsia" w:asciiTheme="minorEastAsia" w:hAnsiTheme="minorEastAsia" w:eastAsiaTheme="minorEastAsia"/>
          <w:color w:val="auto"/>
          <w:sz w:val="32"/>
          <w:szCs w:val="32"/>
        </w:rPr>
        <w:t>元，增加</w:t>
      </w:r>
      <w:r>
        <w:rPr>
          <w:rFonts w:hint="eastAsia" w:asciiTheme="minorEastAsia" w:hAnsiTheme="minorEastAsia" w:eastAsiaTheme="minorEastAsia"/>
          <w:color w:val="auto"/>
          <w:sz w:val="32"/>
          <w:szCs w:val="32"/>
          <w:lang w:val="en-US" w:eastAsia="zh-CN"/>
        </w:rPr>
        <w:t>2.86</w:t>
      </w:r>
      <w:r>
        <w:rPr>
          <w:rFonts w:hint="eastAsia" w:asciiTheme="minorEastAsia" w:hAnsiTheme="minorEastAsia" w:eastAsiaTheme="minorEastAsia"/>
          <w:color w:val="auto"/>
          <w:sz w:val="32"/>
          <w:szCs w:val="32"/>
        </w:rPr>
        <w:t>%；2021年度支出为</w:t>
      </w:r>
      <w:r>
        <w:rPr>
          <w:rFonts w:hint="eastAsia" w:asciiTheme="minorEastAsia" w:hAnsiTheme="minorEastAsia" w:eastAsiaTheme="minorEastAsia"/>
          <w:color w:val="auto"/>
          <w:sz w:val="32"/>
          <w:szCs w:val="32"/>
          <w:lang w:val="en-US" w:eastAsia="zh-CN"/>
        </w:rPr>
        <w:t>2069.38</w:t>
      </w:r>
      <w:r>
        <w:rPr>
          <w:rFonts w:hint="eastAsia" w:asciiTheme="minorEastAsia" w:hAnsiTheme="minorEastAsia" w:eastAsiaTheme="minorEastAsia"/>
          <w:color w:val="auto"/>
          <w:sz w:val="32"/>
          <w:szCs w:val="32"/>
        </w:rPr>
        <w:t>万元，与2020年相比，支出增加</w:t>
      </w:r>
      <w:r>
        <w:rPr>
          <w:rFonts w:hint="eastAsia" w:asciiTheme="minorEastAsia" w:hAnsiTheme="minorEastAsia" w:eastAsiaTheme="minorEastAsia"/>
          <w:color w:val="auto"/>
          <w:sz w:val="32"/>
          <w:szCs w:val="32"/>
          <w:lang w:val="en-US" w:eastAsia="zh-CN"/>
        </w:rPr>
        <w:t>101.91</w:t>
      </w:r>
      <w:r>
        <w:rPr>
          <w:rFonts w:hint="eastAsia" w:asciiTheme="minorEastAsia" w:hAnsiTheme="minorEastAsia" w:eastAsiaTheme="minorEastAsia"/>
          <w:color w:val="auto"/>
          <w:sz w:val="32"/>
          <w:szCs w:val="32"/>
        </w:rPr>
        <w:t>万元，增加</w:t>
      </w:r>
      <w:r>
        <w:rPr>
          <w:rFonts w:hint="eastAsia" w:asciiTheme="minorEastAsia" w:hAnsiTheme="minorEastAsia" w:eastAsiaTheme="minorEastAsia"/>
          <w:color w:val="auto"/>
          <w:sz w:val="32"/>
          <w:szCs w:val="32"/>
          <w:lang w:val="en-US" w:eastAsia="zh-CN"/>
        </w:rPr>
        <w:t>4.92</w:t>
      </w:r>
      <w:r>
        <w:rPr>
          <w:rFonts w:hint="eastAsia" w:asciiTheme="minorEastAsia" w:hAnsiTheme="minorEastAsia" w:eastAsiaTheme="minorEastAsia"/>
          <w:color w:val="auto"/>
          <w:sz w:val="32"/>
          <w:szCs w:val="32"/>
        </w:rPr>
        <w:t>%，主要原因是：1、2021年教师人员增加支出增加</w:t>
      </w:r>
      <w:r>
        <w:rPr>
          <w:rFonts w:hint="eastAsia" w:asciiTheme="minorEastAsia" w:hAnsiTheme="minorEastAsia" w:eastAsiaTheme="minorEastAsia"/>
          <w:sz w:val="32"/>
          <w:szCs w:val="32"/>
        </w:rPr>
        <w:t>。</w:t>
      </w:r>
      <w:r>
        <w:rPr>
          <w:rFonts w:asciiTheme="minorEastAsia" w:hAnsiTheme="minorEastAsia" w:eastAsiaTheme="minorEastAsia"/>
          <w:sz w:val="32"/>
          <w:szCs w:val="32"/>
        </w:rPr>
        <w:t xml:space="preserve"> </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2069.74</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万元，占7</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01</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537.79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25.98</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2069.38</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1771.96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85.62</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297.42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14.38</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3063.92</w:t>
      </w:r>
      <w:r>
        <w:rPr>
          <w:rFonts w:hint="eastAsia" w:asciiTheme="minorEastAsia" w:hAnsiTheme="minorEastAsia" w:eastAsiaTheme="minorEastAsia"/>
          <w:sz w:val="32"/>
          <w:szCs w:val="32"/>
        </w:rPr>
        <w:t>万元，与上年相比，2020年度收入为2,438.57万元，2021年度收入为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万元，收入减少353.32万元,减少14.49%；2020年度支出为2,252.31万元，2021年度支出为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万元，与上年相比，支出减少167.06万元，减少7.42%，主要原因是：1、</w:t>
      </w:r>
      <w:r>
        <w:rPr>
          <w:rFonts w:asciiTheme="minorEastAsia" w:hAnsiTheme="minorEastAsia" w:eastAsiaTheme="minorEastAsia"/>
          <w:sz w:val="32"/>
          <w:szCs w:val="32"/>
        </w:rPr>
        <w:t>2021</w:t>
      </w:r>
      <w:r>
        <w:rPr>
          <w:rFonts w:hint="eastAsia" w:asciiTheme="minorEastAsia" w:hAnsiTheme="minorEastAsia" w:eastAsiaTheme="minorEastAsia"/>
          <w:sz w:val="32"/>
          <w:szCs w:val="32"/>
        </w:rPr>
        <w:t>年一般公共预算财政拨款减少。2、严格控制一般性支出。</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color w:val="auto"/>
          <w:sz w:val="32"/>
          <w:szCs w:val="32"/>
          <w:lang w:val="en-US" w:eastAsia="zh-CN"/>
        </w:rPr>
        <w:t>74.02</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，与2020年相比，财政拨款支出减少</w:t>
      </w:r>
      <w:r>
        <w:rPr>
          <w:rFonts w:hint="eastAsia" w:asciiTheme="minorEastAsia" w:hAnsiTheme="minorEastAsia" w:eastAsiaTheme="minorEastAsia"/>
          <w:sz w:val="32"/>
          <w:szCs w:val="32"/>
          <w:lang w:val="en-US" w:eastAsia="zh-CN"/>
        </w:rPr>
        <w:t>211.02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13.77</w:t>
      </w:r>
      <w:r>
        <w:rPr>
          <w:rFonts w:hint="eastAsia" w:asciiTheme="minorEastAsia" w:hAnsiTheme="minorEastAsia" w:eastAsiaTheme="minorEastAsia"/>
          <w:sz w:val="32"/>
          <w:szCs w:val="32"/>
        </w:rPr>
        <w:t>%，主要是因为：1、</w:t>
      </w:r>
      <w:r>
        <w:rPr>
          <w:rFonts w:asciiTheme="minorEastAsia" w:hAnsiTheme="minorEastAsia" w:eastAsiaTheme="minorEastAsia"/>
          <w:sz w:val="32"/>
          <w:szCs w:val="32"/>
        </w:rPr>
        <w:t>2021</w:t>
      </w:r>
      <w:r>
        <w:rPr>
          <w:rFonts w:hint="eastAsia" w:asciiTheme="minorEastAsia" w:hAnsiTheme="minorEastAsia" w:eastAsiaTheme="minorEastAsia"/>
          <w:sz w:val="32"/>
          <w:szCs w:val="32"/>
        </w:rPr>
        <w:t>年一般公共预算财政拨款减少。2、严格控制一般性支出。</w:t>
      </w:r>
    </w:p>
    <w:p>
      <w:pPr>
        <w:pStyle w:val="10"/>
        <w:ind w:firstLine="480" w:firstLineChars="150"/>
        <w:rPr>
          <w:rFonts w:asciiTheme="minorEastAsia" w:hAnsiTheme="minorEastAsia" w:eastAsiaTheme="minorEastAsia"/>
          <w:sz w:val="32"/>
          <w:szCs w:val="32"/>
          <w:highlight w:val="yellow"/>
        </w:rPr>
      </w:pPr>
    </w:p>
    <w:p>
      <w:pPr>
        <w:pStyle w:val="10"/>
        <w:ind w:firstLine="640" w:firstLineChars="200"/>
        <w:rPr>
          <w:rFonts w:asciiTheme="minorEastAsia" w:hAnsiTheme="minorEastAsia" w:eastAsiaTheme="minorEastAsia"/>
          <w:b/>
          <w:sz w:val="32"/>
          <w:szCs w:val="32"/>
        </w:rPr>
      </w:pP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万元，主要用于以下方面：教育支出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万元，占100.00%。</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2021年度财政拨款支出年初预算数为</w:t>
      </w:r>
      <w:r>
        <w:rPr>
          <w:rFonts w:hint="eastAsia" w:asciiTheme="minorEastAsia" w:hAnsiTheme="minorEastAsia" w:eastAsiaTheme="minorEastAsia"/>
          <w:color w:val="auto"/>
          <w:sz w:val="32"/>
          <w:szCs w:val="32"/>
          <w:lang w:val="en-US" w:eastAsia="zh-CN"/>
        </w:rPr>
        <w:t>1858.10</w:t>
      </w:r>
      <w:r>
        <w:rPr>
          <w:rFonts w:hint="eastAsia" w:asciiTheme="minorEastAsia" w:hAnsiTheme="minorEastAsia" w:eastAsiaTheme="minorEastAsia"/>
          <w:color w:val="auto"/>
          <w:sz w:val="32"/>
          <w:szCs w:val="32"/>
        </w:rPr>
        <w:t>万元，支出决算数为</w:t>
      </w:r>
      <w:r>
        <w:rPr>
          <w:rFonts w:hint="eastAsia" w:asciiTheme="minorEastAsia" w:hAnsiTheme="minorEastAsia" w:eastAsiaTheme="minorEastAsia"/>
          <w:color w:val="auto"/>
          <w:sz w:val="32"/>
          <w:szCs w:val="32"/>
          <w:lang w:val="en-US" w:eastAsia="zh-CN"/>
        </w:rPr>
        <w:t>1531.96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82.44</w:t>
      </w:r>
      <w:r>
        <w:rPr>
          <w:rFonts w:hint="eastAsia" w:asciiTheme="minorEastAsia" w:hAnsiTheme="minorEastAsia" w:eastAsiaTheme="minorEastAsia"/>
          <w:color w:val="auto"/>
          <w:sz w:val="32"/>
          <w:szCs w:val="32"/>
        </w:rPr>
        <w:t>%，其中：</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1、教育支出。</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2021年度财政拨款支出年初预算数为</w:t>
      </w:r>
      <w:r>
        <w:rPr>
          <w:rFonts w:hint="eastAsia" w:asciiTheme="minorEastAsia" w:hAnsiTheme="minorEastAsia" w:eastAsiaTheme="minorEastAsia"/>
          <w:color w:val="auto"/>
          <w:sz w:val="32"/>
          <w:szCs w:val="32"/>
          <w:lang w:val="en-US" w:eastAsia="zh-CN"/>
        </w:rPr>
        <w:t>1858.10</w:t>
      </w:r>
      <w:r>
        <w:rPr>
          <w:rFonts w:hint="eastAsia" w:asciiTheme="minorEastAsia" w:hAnsiTheme="minorEastAsia" w:eastAsiaTheme="minorEastAsia"/>
          <w:color w:val="auto"/>
          <w:sz w:val="32"/>
          <w:szCs w:val="32"/>
        </w:rPr>
        <w:t>万元，支出决算数为</w:t>
      </w:r>
      <w:r>
        <w:rPr>
          <w:rFonts w:hint="eastAsia" w:asciiTheme="minorEastAsia" w:hAnsiTheme="minorEastAsia" w:eastAsiaTheme="minorEastAsia"/>
          <w:color w:val="auto"/>
          <w:sz w:val="32"/>
          <w:szCs w:val="32"/>
          <w:lang w:val="en-US" w:eastAsia="zh-CN"/>
        </w:rPr>
        <w:t>1531.96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82.44</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rPr>
        <w:t>,其中：</w:t>
      </w:r>
    </w:p>
    <w:p>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1、教育支出（类）普通教育支出（款）学前教育（项）2021年度财政拨款支出年初预算数为</w:t>
      </w:r>
      <w:r>
        <w:rPr>
          <w:rFonts w:hint="eastAsia" w:asciiTheme="minorEastAsia" w:hAnsiTheme="minorEastAsia" w:eastAsiaTheme="minorEastAsia"/>
          <w:color w:val="auto"/>
          <w:sz w:val="32"/>
          <w:szCs w:val="32"/>
          <w:lang w:val="en-US" w:eastAsia="zh-CN"/>
        </w:rPr>
        <w:t>88.19</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rPr>
        <w:t>支出为</w:t>
      </w:r>
      <w:r>
        <w:rPr>
          <w:rFonts w:hint="eastAsia" w:asciiTheme="minorEastAsia" w:hAnsiTheme="minorEastAsia" w:eastAsiaTheme="minorEastAsia"/>
          <w:color w:val="auto"/>
          <w:sz w:val="32"/>
          <w:szCs w:val="32"/>
          <w:lang w:val="en-US" w:eastAsia="zh-CN"/>
        </w:rPr>
        <w:t>88.19</w:t>
      </w:r>
      <w:r>
        <w:rPr>
          <w:rFonts w:hint="eastAsia" w:asciiTheme="minorEastAsia" w:hAnsiTheme="minorEastAsia" w:eastAsiaTheme="minorEastAsia"/>
          <w:color w:val="auto"/>
          <w:sz w:val="32"/>
          <w:szCs w:val="32"/>
        </w:rPr>
        <w:t>万元，完成年初预算的100%</w:t>
      </w:r>
      <w:r>
        <w:rPr>
          <w:rFonts w:hint="eastAsia" w:asciiTheme="minorEastAsia" w:hAnsiTheme="minorEastAsia" w:eastAsiaTheme="minorEastAsia"/>
          <w:color w:val="auto"/>
          <w:sz w:val="32"/>
          <w:szCs w:val="32"/>
        </w:rPr>
        <w:t xml:space="preserve"> 。</w:t>
      </w:r>
    </w:p>
    <w:p>
      <w:pPr>
        <w:pStyle w:val="10"/>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2、教育支出（类）普通教育支出（款）小学教育（项）2021年度财政拨款支出年初预算数为</w:t>
      </w:r>
      <w:r>
        <w:rPr>
          <w:rFonts w:hint="eastAsia" w:asciiTheme="minorEastAsia" w:hAnsiTheme="minorEastAsia" w:eastAsiaTheme="minorEastAsia"/>
          <w:color w:val="auto"/>
          <w:sz w:val="32"/>
          <w:szCs w:val="32"/>
        </w:rPr>
        <w:t>支出为</w:t>
      </w:r>
      <w:r>
        <w:rPr>
          <w:rFonts w:hint="eastAsia" w:asciiTheme="minorEastAsia" w:hAnsiTheme="minorEastAsia" w:eastAsiaTheme="minorEastAsia"/>
          <w:color w:val="auto"/>
          <w:sz w:val="32"/>
          <w:szCs w:val="32"/>
          <w:lang w:val="en-US" w:eastAsia="zh-CN"/>
        </w:rPr>
        <w:t>195.33</w:t>
      </w:r>
      <w:r>
        <w:rPr>
          <w:rFonts w:hint="eastAsia" w:asciiTheme="minorEastAsia" w:hAnsiTheme="minorEastAsia" w:eastAsiaTheme="minorEastAsia"/>
          <w:color w:val="auto"/>
          <w:sz w:val="32"/>
          <w:szCs w:val="32"/>
        </w:rPr>
        <w:t>万元，支出为</w:t>
      </w:r>
      <w:r>
        <w:rPr>
          <w:rFonts w:hint="eastAsia" w:asciiTheme="minorEastAsia" w:hAnsiTheme="minorEastAsia" w:eastAsiaTheme="minorEastAsia"/>
          <w:color w:val="auto"/>
          <w:sz w:val="32"/>
          <w:szCs w:val="32"/>
          <w:lang w:val="en-US" w:eastAsia="zh-CN"/>
        </w:rPr>
        <w:t>195.33</w:t>
      </w:r>
      <w:r>
        <w:rPr>
          <w:rFonts w:hint="eastAsia" w:asciiTheme="minorEastAsia" w:hAnsiTheme="minorEastAsia" w:eastAsiaTheme="minorEastAsia"/>
          <w:color w:val="auto"/>
          <w:sz w:val="32"/>
          <w:szCs w:val="32"/>
        </w:rPr>
        <w:t>万元完成年初预算的100.</w:t>
      </w:r>
      <w:r>
        <w:rPr>
          <w:rFonts w:hint="eastAsia" w:asciiTheme="minorEastAsia" w:hAnsiTheme="minorEastAsia" w:eastAsiaTheme="minorEastAsia"/>
          <w:color w:val="auto"/>
          <w:sz w:val="32"/>
          <w:szCs w:val="32"/>
          <w:lang w:val="en-US" w:eastAsia="zh-CN"/>
        </w:rPr>
        <w:t>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w:t>
      </w:r>
      <w:r>
        <w:rPr>
          <w:rFonts w:hint="eastAsia" w:asciiTheme="minorEastAsia" w:hAnsiTheme="minorEastAsia" w:eastAsiaTheme="minorEastAsia"/>
          <w:color w:val="auto"/>
          <w:sz w:val="32"/>
          <w:szCs w:val="32"/>
        </w:rPr>
        <w:t>、教育支出（类）普通教育支出（款）初中教育（项）2021年度财政拨款支出年初预算数为</w:t>
      </w:r>
      <w:r>
        <w:rPr>
          <w:rFonts w:hint="eastAsia" w:asciiTheme="minorEastAsia" w:hAnsiTheme="minorEastAsia" w:eastAsiaTheme="minorEastAsia"/>
          <w:color w:val="auto"/>
          <w:sz w:val="32"/>
          <w:szCs w:val="32"/>
        </w:rPr>
        <w:t>支出为</w:t>
      </w:r>
      <w:r>
        <w:rPr>
          <w:rFonts w:hint="eastAsia" w:asciiTheme="minorEastAsia" w:hAnsiTheme="minorEastAsia" w:eastAsiaTheme="minorEastAsia"/>
          <w:color w:val="auto"/>
          <w:sz w:val="32"/>
          <w:szCs w:val="32"/>
          <w:lang w:val="en-US" w:eastAsia="zh-CN"/>
        </w:rPr>
        <w:t>1574.88</w:t>
      </w:r>
      <w:r>
        <w:rPr>
          <w:rFonts w:hint="eastAsia" w:asciiTheme="minorEastAsia" w:hAnsiTheme="minorEastAsia" w:eastAsiaTheme="minorEastAsia"/>
          <w:color w:val="auto"/>
          <w:sz w:val="32"/>
          <w:szCs w:val="32"/>
        </w:rPr>
        <w:t>万元。支出为</w:t>
      </w:r>
      <w:r>
        <w:rPr>
          <w:rFonts w:hint="eastAsia" w:asciiTheme="minorEastAsia" w:hAnsiTheme="minorEastAsia" w:eastAsiaTheme="minorEastAsia"/>
          <w:color w:val="auto"/>
          <w:sz w:val="32"/>
          <w:szCs w:val="32"/>
          <w:lang w:val="en-US" w:eastAsia="zh-CN"/>
        </w:rPr>
        <w:t>1248.44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79.27</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val="en-US" w:eastAsia="zh-CN"/>
        </w:rPr>
        <w:t>决算数小于预算数的原因为当年度住房公积金，绩效工资等因财政拨付不及时，未及时支付的原因。</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1531.96</w:t>
      </w:r>
      <w:r>
        <w:rPr>
          <w:rFonts w:hint="eastAsia" w:asciiTheme="minorEastAsia" w:hAnsiTheme="minorEastAsia" w:eastAsiaTheme="minorEastAsia"/>
          <w:sz w:val="32"/>
          <w:szCs w:val="32"/>
        </w:rPr>
        <w:t>万元，占基本支出的</w:t>
      </w:r>
      <w:r>
        <w:rPr>
          <w:rFonts w:asciiTheme="minorEastAsia" w:hAnsiTheme="minorEastAsia" w:eastAsiaTheme="minorEastAsia"/>
          <w:sz w:val="32"/>
          <w:szCs w:val="32"/>
        </w:rPr>
        <w:t>100.00</w:t>
      </w:r>
      <w:r>
        <w:rPr>
          <w:rFonts w:hint="eastAsia" w:asciiTheme="minorEastAsia" w:hAnsiTheme="minorEastAsia" w:eastAsiaTheme="minorEastAsia"/>
          <w:sz w:val="32"/>
          <w:szCs w:val="32"/>
        </w:rPr>
        <w:t>%,主要包括基本工资</w:t>
      </w:r>
      <w:r>
        <w:rPr>
          <w:rFonts w:hint="eastAsia" w:asciiTheme="minorEastAsia" w:hAnsiTheme="minorEastAsia" w:eastAsiaTheme="minorEastAsia"/>
          <w:sz w:val="32"/>
          <w:szCs w:val="32"/>
          <w:lang w:val="en-US" w:eastAsia="zh-CN"/>
        </w:rPr>
        <w:t>591.68</w:t>
      </w:r>
      <w:r>
        <w:rPr>
          <w:rFonts w:hint="eastAsia" w:asciiTheme="minorEastAsia" w:hAnsiTheme="minorEastAsia" w:eastAsiaTheme="minorEastAsia"/>
          <w:sz w:val="32"/>
          <w:szCs w:val="32"/>
        </w:rPr>
        <w:t>万元、津贴补贴</w:t>
      </w:r>
      <w:r>
        <w:rPr>
          <w:rFonts w:hint="eastAsia" w:asciiTheme="minorEastAsia" w:hAnsiTheme="minorEastAsia" w:eastAsiaTheme="minorEastAsia"/>
          <w:sz w:val="32"/>
          <w:szCs w:val="32"/>
          <w:lang w:val="en-US" w:eastAsia="zh-CN"/>
        </w:rPr>
        <w:t>121.77</w:t>
      </w:r>
      <w:r>
        <w:rPr>
          <w:rFonts w:hint="eastAsia" w:asciiTheme="minorEastAsia" w:hAnsiTheme="minorEastAsia" w:eastAsiaTheme="minorEastAsia"/>
          <w:sz w:val="32"/>
          <w:szCs w:val="32"/>
        </w:rPr>
        <w:t>万元、奖金</w:t>
      </w:r>
      <w:r>
        <w:rPr>
          <w:rFonts w:hint="eastAsia" w:asciiTheme="minorEastAsia" w:hAnsiTheme="minorEastAsia" w:eastAsiaTheme="minorEastAsia"/>
          <w:sz w:val="32"/>
          <w:szCs w:val="32"/>
          <w:lang w:val="en-US" w:eastAsia="zh-CN"/>
        </w:rPr>
        <w:t>143.31</w:t>
      </w:r>
      <w:r>
        <w:rPr>
          <w:rFonts w:hint="eastAsia" w:asciiTheme="minorEastAsia" w:hAnsiTheme="minorEastAsia" w:eastAsiaTheme="minorEastAsia"/>
          <w:sz w:val="32"/>
          <w:szCs w:val="32"/>
        </w:rPr>
        <w:t>万元、伙食补助费</w:t>
      </w:r>
      <w:r>
        <w:rPr>
          <w:rFonts w:hint="eastAsia" w:asciiTheme="minorEastAsia" w:hAnsiTheme="minorEastAsia" w:eastAsiaTheme="minorEastAsia"/>
          <w:sz w:val="32"/>
          <w:szCs w:val="32"/>
          <w:lang w:val="en-US" w:eastAsia="zh-CN"/>
        </w:rPr>
        <w:t>7.6</w:t>
      </w:r>
      <w:r>
        <w:rPr>
          <w:rFonts w:hint="eastAsia" w:asciiTheme="minorEastAsia" w:hAnsiTheme="minorEastAsia" w:eastAsiaTheme="minorEastAsia"/>
          <w:sz w:val="32"/>
          <w:szCs w:val="32"/>
        </w:rPr>
        <w:t>万元、绩效工资</w:t>
      </w:r>
      <w:r>
        <w:rPr>
          <w:rFonts w:hint="eastAsia" w:asciiTheme="minorEastAsia" w:hAnsiTheme="minorEastAsia" w:eastAsiaTheme="minorEastAsia"/>
          <w:sz w:val="32"/>
          <w:szCs w:val="32"/>
          <w:lang w:val="en-US" w:eastAsia="zh-CN"/>
        </w:rPr>
        <w:t>311.75</w:t>
      </w:r>
      <w:r>
        <w:rPr>
          <w:rFonts w:hint="eastAsia" w:asciiTheme="minorEastAsia" w:hAnsiTheme="minorEastAsia" w:eastAsiaTheme="minorEastAsia"/>
          <w:sz w:val="32"/>
          <w:szCs w:val="32"/>
        </w:rPr>
        <w:t>万元、机关事业单位基本养老保险缴费</w:t>
      </w:r>
      <w:r>
        <w:rPr>
          <w:rFonts w:hint="eastAsia" w:asciiTheme="minorEastAsia" w:hAnsiTheme="minorEastAsia" w:eastAsiaTheme="minorEastAsia"/>
          <w:sz w:val="32"/>
          <w:szCs w:val="32"/>
          <w:lang w:val="en-US" w:eastAsia="zh-CN"/>
        </w:rPr>
        <w:t>135.93</w:t>
      </w:r>
      <w:r>
        <w:rPr>
          <w:rFonts w:hint="eastAsia" w:asciiTheme="minorEastAsia" w:hAnsiTheme="minorEastAsia" w:eastAsiaTheme="minorEastAsia"/>
          <w:sz w:val="32"/>
          <w:szCs w:val="32"/>
        </w:rPr>
        <w:t>万元、职工基本医疗保险缴费</w:t>
      </w:r>
      <w:r>
        <w:rPr>
          <w:rFonts w:hint="eastAsia" w:asciiTheme="minorEastAsia" w:hAnsiTheme="minorEastAsia" w:eastAsiaTheme="minorEastAsia"/>
          <w:sz w:val="32"/>
          <w:szCs w:val="32"/>
          <w:lang w:val="en-US" w:eastAsia="zh-CN"/>
        </w:rPr>
        <w:t>77.6</w:t>
      </w:r>
      <w:r>
        <w:rPr>
          <w:rFonts w:hint="eastAsia" w:asciiTheme="minorEastAsia" w:hAnsiTheme="minorEastAsia" w:eastAsiaTheme="minorEastAsia"/>
          <w:sz w:val="32"/>
          <w:szCs w:val="32"/>
        </w:rPr>
        <w:t>万元、其他社会保障缴费</w:t>
      </w:r>
      <w:r>
        <w:rPr>
          <w:rFonts w:hint="eastAsia" w:asciiTheme="minorEastAsia" w:hAnsiTheme="minorEastAsia" w:eastAsiaTheme="minorEastAsia"/>
          <w:sz w:val="32"/>
          <w:szCs w:val="32"/>
          <w:lang w:val="en-US" w:eastAsia="zh-CN"/>
        </w:rPr>
        <w:t>12.28</w:t>
      </w:r>
      <w:r>
        <w:rPr>
          <w:rFonts w:hint="eastAsia" w:asciiTheme="minorEastAsia" w:hAnsiTheme="minorEastAsia" w:eastAsiaTheme="minorEastAsia"/>
          <w:sz w:val="32"/>
          <w:szCs w:val="32"/>
        </w:rPr>
        <w:t>万元、住房公积金</w:t>
      </w:r>
      <w:r>
        <w:rPr>
          <w:rFonts w:hint="eastAsia" w:asciiTheme="minorEastAsia" w:hAnsiTheme="minorEastAsia" w:eastAsiaTheme="minorEastAsia"/>
          <w:sz w:val="32"/>
          <w:szCs w:val="32"/>
          <w:lang w:val="en-US" w:eastAsia="zh-CN"/>
        </w:rPr>
        <w:t>80.42</w:t>
      </w:r>
      <w:r>
        <w:rPr>
          <w:rFonts w:hint="eastAsia" w:asciiTheme="minorEastAsia" w:hAnsiTheme="minorEastAsia" w:eastAsiaTheme="minorEastAsia"/>
          <w:sz w:val="32"/>
          <w:szCs w:val="32"/>
        </w:rPr>
        <w:t>万元、其他工资福利支出</w:t>
      </w:r>
      <w:r>
        <w:rPr>
          <w:rFonts w:hint="eastAsia" w:asciiTheme="minorEastAsia" w:hAnsiTheme="minorEastAsia" w:eastAsiaTheme="minorEastAsia"/>
          <w:sz w:val="32"/>
          <w:szCs w:val="32"/>
          <w:lang w:val="en-US" w:eastAsia="zh-CN"/>
        </w:rPr>
        <w:t>37.90</w:t>
      </w:r>
      <w:r>
        <w:rPr>
          <w:rFonts w:hint="eastAsia" w:asciiTheme="minorEastAsia" w:hAnsiTheme="minorEastAsia" w:eastAsiaTheme="minorEastAsia"/>
          <w:sz w:val="32"/>
          <w:szCs w:val="32"/>
        </w:rPr>
        <w:t>万元、离休费11.70万元。</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2021年度本单位无“三公”经费支出。</w:t>
      </w:r>
    </w:p>
    <w:p>
      <w:pPr>
        <w:pStyle w:val="10"/>
        <w:rPr>
          <w:rFonts w:hAnsi="黑体"/>
          <w:b/>
          <w:sz w:val="32"/>
          <w:szCs w:val="32"/>
        </w:rPr>
      </w:pPr>
      <w:r>
        <w:rPr>
          <w:rFonts w:hint="eastAsia" w:hAnsi="黑体"/>
          <w:b/>
          <w:sz w:val="32"/>
          <w:szCs w:val="32"/>
        </w:rPr>
        <w:t>八、政府性基金预算收入支出决算情况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2021年度本单位无政府性基金预算收支。</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2021年度本单位无机关运行经费支出。</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2021年度本单位无一般性支出。</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297.42</w:t>
      </w:r>
      <w:r>
        <w:rPr>
          <w:rFonts w:hint="eastAsia" w:asciiTheme="minorEastAsia" w:hAnsiTheme="minorEastAsia" w:eastAsiaTheme="minorEastAsia"/>
          <w:sz w:val="32"/>
          <w:szCs w:val="32"/>
        </w:rPr>
        <w:t>万元，其中：政府采购货物支出0万元、政府采购工程支出</w:t>
      </w:r>
      <w:r>
        <w:rPr>
          <w:rFonts w:hint="eastAsia" w:asciiTheme="minorEastAsia" w:hAnsiTheme="minorEastAsia" w:eastAsiaTheme="minorEastAsia"/>
          <w:sz w:val="32"/>
          <w:szCs w:val="32"/>
          <w:lang w:val="en-US" w:eastAsia="zh-CN"/>
        </w:rPr>
        <w:t>297.42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highlight w:val="none"/>
        </w:rPr>
        <w:t>授予中小企业合同金额</w:t>
      </w:r>
      <w:r>
        <w:rPr>
          <w:rFonts w:hint="eastAsia" w:asciiTheme="minorEastAsia" w:hAnsiTheme="minorEastAsia" w:eastAsiaTheme="minorEastAsia"/>
          <w:sz w:val="32"/>
          <w:szCs w:val="32"/>
          <w:highlight w:val="none"/>
          <w:lang w:val="en-US" w:eastAsia="zh-CN"/>
        </w:rPr>
        <w:t>297.42</w:t>
      </w:r>
      <w:r>
        <w:rPr>
          <w:rFonts w:hint="eastAsia" w:asciiTheme="minorEastAsia" w:hAnsiTheme="minorEastAsia" w:eastAsiaTheme="minorEastAsia"/>
          <w:sz w:val="32"/>
          <w:szCs w:val="32"/>
          <w:highlight w:val="none"/>
        </w:rPr>
        <w:t>万元，占政府采购支出总额的100%，其中：授予小微企业合同金额0万元，占授予中小企业合同金额的0%；货物采购授予中小企业合同金额占货物支出金额的0%，工程采购授予中小企业合同金额占工程支出金额的100%。</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截至2021年12月31日，部门（单位）无共有车辆，单位价值50万元以上通用设备0（套）；单位价值100万元以上专用设备0（套）。</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本单位为二级预算单位，无项目绩效，部门整体绩效为教育局负责，教育局已进行了绩效评价，并已公开，详情请见《教育局（汇总）2021年度部门决算公开》。</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bookmarkStart w:id="3" w:name="_GoBack"/>
      <w:bookmarkEnd w:id="3"/>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280" w:firstLineChars="100"/>
        <w:rPr>
          <w:rFonts w:asciiTheme="minorEastAsia" w:hAnsiTheme="minorEastAsia"/>
          <w:sz w:val="28"/>
          <w:szCs w:val="28"/>
        </w:rPr>
      </w:pPr>
      <w:r>
        <w:rPr>
          <w:rFonts w:hint="eastAsia" w:asciiTheme="minorEastAsia" w:hAnsiTheme="minorEastAsia"/>
          <w:sz w:val="28"/>
          <w:szCs w:val="28"/>
        </w:rPr>
        <w:t>一、财政拨款收入：指中央财政当年拨付的资金。</w:t>
      </w:r>
    </w:p>
    <w:p>
      <w:pPr>
        <w:ind w:firstLine="700" w:firstLineChars="250"/>
        <w:rPr>
          <w:rFonts w:asciiTheme="minorEastAsia" w:hAnsiTheme="minorEastAsia"/>
          <w:sz w:val="28"/>
          <w:szCs w:val="28"/>
        </w:rPr>
      </w:pPr>
      <w:r>
        <w:rPr>
          <w:rFonts w:hint="eastAsia" w:asciiTheme="minorEastAsia" w:hAnsiTheme="minorEastAsia"/>
          <w:sz w:val="28"/>
          <w:szCs w:val="28"/>
        </w:rPr>
        <w:t>二、其他收入：指除“财政拨款收入”、“事业收入”、“经营收入”等以外的收入。主要是按规定动用的售房收入、存款利息收入等。</w:t>
      </w:r>
    </w:p>
    <w:p>
      <w:pPr>
        <w:ind w:firstLine="700" w:firstLineChars="250"/>
        <w:rPr>
          <w:rFonts w:asciiTheme="minorEastAsia" w:hAnsiTheme="minorEastAsia"/>
          <w:sz w:val="28"/>
          <w:szCs w:val="28"/>
        </w:rPr>
      </w:pPr>
      <w:r>
        <w:rPr>
          <w:rFonts w:hint="eastAsia" w:asciiTheme="minorEastAsia" w:hAnsiTheme="minorEastAsia"/>
          <w:sz w:val="28"/>
          <w:szCs w:val="28"/>
        </w:rPr>
        <w:t>三、基本支出：指为保障机构正常运转、完成日常工作任务而发生的人员支出和公用支出。</w:t>
      </w:r>
    </w:p>
    <w:p>
      <w:pPr>
        <w:ind w:firstLine="700" w:firstLineChars="250"/>
        <w:rPr>
          <w:rFonts w:asciiTheme="minorEastAsia" w:hAnsiTheme="minorEastAsia"/>
          <w:sz w:val="28"/>
          <w:szCs w:val="28"/>
        </w:rPr>
      </w:pPr>
      <w:r>
        <w:rPr>
          <w:rFonts w:hint="eastAsia" w:asciiTheme="minorEastAsia" w:hAnsiTheme="minorEastAsia"/>
          <w:sz w:val="28"/>
          <w:szCs w:val="28"/>
        </w:rPr>
        <w:t>四、项目支出：指在基本支出之外为完成特定行政任务和事业发展目标所发生的支出。</w:t>
      </w:r>
    </w:p>
    <w:p>
      <w:pPr>
        <w:ind w:firstLine="700" w:firstLineChars="250"/>
        <w:rPr>
          <w:rFonts w:asciiTheme="minorEastAsia" w:hAnsiTheme="minorEastAsia"/>
          <w:sz w:val="28"/>
          <w:szCs w:val="28"/>
        </w:rPr>
      </w:pPr>
      <w:r>
        <w:rPr>
          <w:rFonts w:hint="eastAsia" w:asciiTheme="minorEastAsia" w:hAnsiTheme="minorEastAsia"/>
          <w:sz w:val="28"/>
          <w:szCs w:val="28"/>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ind w:firstLine="700" w:firstLineChars="250"/>
        <w:rPr>
          <w:sz w:val="72"/>
          <w:szCs w:val="72"/>
        </w:rPr>
      </w:pPr>
      <w:r>
        <w:rPr>
          <w:rFonts w:hint="eastAsia" w:asciiTheme="minorEastAsia" w:hAnsiTheme="minorEastAsia"/>
          <w:sz w:val="28"/>
          <w:szCs w:val="28"/>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0"/>
        <w:jc w:val="center"/>
        <w:rPr>
          <w:sz w:val="72"/>
          <w:szCs w:val="72"/>
        </w:rPr>
      </w:pPr>
    </w:p>
    <w:p>
      <w:pPr>
        <w:pStyle w:val="10"/>
        <w:jc w:val="center"/>
        <w:rPr>
          <w:sz w:val="72"/>
          <w:szCs w:val="72"/>
        </w:rPr>
      </w:pPr>
    </w:p>
    <w:p>
      <w:pPr>
        <w:pStyle w:val="10"/>
        <w:jc w:val="center"/>
        <w:rPr>
          <w:sz w:val="72"/>
          <w:szCs w:val="72"/>
        </w:rPr>
      </w:pPr>
    </w:p>
    <w:p>
      <w:pPr>
        <w:widowControl/>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51513F7-F692-4281-A62F-04C33BA100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1F1A26D9-E01F-4BC5-A37A-74526C7B29FC}"/>
  </w:font>
  <w:font w:name="华文中宋">
    <w:altName w:val="宋体"/>
    <w:panose1 w:val="02010600040101010101"/>
    <w:charset w:val="86"/>
    <w:family w:val="auto"/>
    <w:pitch w:val="default"/>
    <w:sig w:usb0="00000000" w:usb1="00000000" w:usb2="00000000" w:usb3="00000000" w:csb0="0004009F" w:csb1="DFD70000"/>
    <w:embedRegular r:id="rId3" w:fontKey="{FD41ECAB-C075-4AFD-82AA-CB78D6BF1854}"/>
  </w:font>
  <w:font w:name="方正小标宋_GBK">
    <w:panose1 w:val="02000000000000000000"/>
    <w:charset w:val="86"/>
    <w:family w:val="script"/>
    <w:pitch w:val="default"/>
    <w:sig w:usb0="00000001" w:usb1="080E0000" w:usb2="00000000" w:usb3="00000000" w:csb0="00040000" w:csb1="00000000"/>
    <w:embedRegular r:id="rId4" w:fontKey="{4ACDA660-17D8-426E-A78F-38FBF92D1438}"/>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D24B8"/>
    <w:rsid w:val="002E0A30"/>
    <w:rsid w:val="003130C4"/>
    <w:rsid w:val="00316C4B"/>
    <w:rsid w:val="0032192B"/>
    <w:rsid w:val="003479BD"/>
    <w:rsid w:val="0037197D"/>
    <w:rsid w:val="003768D5"/>
    <w:rsid w:val="003B4FF2"/>
    <w:rsid w:val="003C4197"/>
    <w:rsid w:val="003C47E6"/>
    <w:rsid w:val="003C4FC2"/>
    <w:rsid w:val="003E2331"/>
    <w:rsid w:val="00415AD8"/>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97ADB"/>
    <w:rsid w:val="005A74E6"/>
    <w:rsid w:val="005B404E"/>
    <w:rsid w:val="005D21C8"/>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27CB8"/>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1A52AB"/>
    <w:rsid w:val="01F958A5"/>
    <w:rsid w:val="06473986"/>
    <w:rsid w:val="0746468C"/>
    <w:rsid w:val="0A212141"/>
    <w:rsid w:val="0A71556D"/>
    <w:rsid w:val="0B136876"/>
    <w:rsid w:val="0BF546F5"/>
    <w:rsid w:val="0EE52205"/>
    <w:rsid w:val="0F8449FB"/>
    <w:rsid w:val="11F14707"/>
    <w:rsid w:val="135D776D"/>
    <w:rsid w:val="13C1669E"/>
    <w:rsid w:val="16A20623"/>
    <w:rsid w:val="1BBD091F"/>
    <w:rsid w:val="1D7842C5"/>
    <w:rsid w:val="23702F0F"/>
    <w:rsid w:val="24685282"/>
    <w:rsid w:val="289F5FF7"/>
    <w:rsid w:val="296D0533"/>
    <w:rsid w:val="2C0C70D7"/>
    <w:rsid w:val="3504046E"/>
    <w:rsid w:val="38494787"/>
    <w:rsid w:val="38D33D8A"/>
    <w:rsid w:val="38EC1010"/>
    <w:rsid w:val="39081AF8"/>
    <w:rsid w:val="3A12378C"/>
    <w:rsid w:val="3C494712"/>
    <w:rsid w:val="3C896E22"/>
    <w:rsid w:val="42F51D15"/>
    <w:rsid w:val="438505B6"/>
    <w:rsid w:val="443C0885"/>
    <w:rsid w:val="45D11ABA"/>
    <w:rsid w:val="45D40490"/>
    <w:rsid w:val="47603EFA"/>
    <w:rsid w:val="48613E84"/>
    <w:rsid w:val="4D180CFA"/>
    <w:rsid w:val="4E2071F7"/>
    <w:rsid w:val="50557E4B"/>
    <w:rsid w:val="52335B48"/>
    <w:rsid w:val="53F209CA"/>
    <w:rsid w:val="59EF6D60"/>
    <w:rsid w:val="5ABF4646"/>
    <w:rsid w:val="5AE06C2D"/>
    <w:rsid w:val="5C8A755B"/>
    <w:rsid w:val="5CE61B77"/>
    <w:rsid w:val="5ED13367"/>
    <w:rsid w:val="5F185629"/>
    <w:rsid w:val="619913BB"/>
    <w:rsid w:val="672B7238"/>
    <w:rsid w:val="67F304FE"/>
    <w:rsid w:val="6DC30772"/>
    <w:rsid w:val="6DC6295F"/>
    <w:rsid w:val="769C5A77"/>
    <w:rsid w:val="76DE7F6F"/>
    <w:rsid w:val="7B0D6AD6"/>
    <w:rsid w:val="7F14501E"/>
    <w:rsid w:val="7FE70A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5137</Words>
  <Characters>6947</Characters>
  <Lines>66</Lines>
  <Paragraphs>18</Paragraphs>
  <TotalTime>19</TotalTime>
  <ScaleCrop>false</ScaleCrop>
  <LinksUpToDate>false</LinksUpToDate>
  <CharactersWithSpaces>7942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2022-10-13T07:47:23Z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C69193514D2A4EC98033C4BB30AA7DBB</vt:lpwstr>
  </property>
</Properties>
</file>