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2021年度</w:t>
      </w:r>
    </w:p>
    <w:p>
      <w:pPr>
        <w:pStyle w:val="9"/>
        <w:jc w:val="center"/>
        <w:rPr>
          <w:rFonts w:hint="eastAsia"/>
          <w:sz w:val="84"/>
          <w:szCs w:val="84"/>
          <w:lang w:val="en-US" w:eastAsia="zh-CN"/>
        </w:rPr>
      </w:pPr>
      <w:r>
        <w:rPr>
          <w:rFonts w:hint="eastAsia"/>
          <w:sz w:val="84"/>
          <w:szCs w:val="84"/>
          <w:lang w:val="en-US" w:eastAsia="zh-CN"/>
        </w:rPr>
        <w:t>湘乡市月山镇中心学校</w:t>
      </w:r>
    </w:p>
    <w:p>
      <w:pPr>
        <w:pStyle w:val="9"/>
        <w:jc w:val="center"/>
        <w:rPr>
          <w:sz w:val="84"/>
          <w:szCs w:val="84"/>
        </w:rPr>
      </w:pPr>
      <w:r>
        <w:rPr>
          <w:rFonts w:hint="eastAsia"/>
          <w:sz w:val="84"/>
          <w:szCs w:val="84"/>
        </w:rPr>
        <w:t>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00" w:lineRule="exact"/>
        <w:jc w:val="both"/>
        <w:rPr>
          <w:b/>
          <w:sz w:val="36"/>
          <w:szCs w:val="28"/>
        </w:rPr>
      </w:pPr>
    </w:p>
    <w:p>
      <w:pPr>
        <w:pStyle w:val="9"/>
        <w:spacing w:line="500" w:lineRule="exact"/>
        <w:jc w:val="center"/>
        <w:rPr>
          <w:rFonts w:hint="eastAsia"/>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ascii="仿宋_GB2312" w:hAnsi="仿宋_GB2312" w:cs="仿宋_GB2312"/>
          <w:b/>
          <w:sz w:val="28"/>
          <w:szCs w:val="28"/>
        </w:rPr>
      </w:pPr>
      <w:r>
        <w:rPr>
          <w:rFonts w:hint="eastAsia"/>
          <w:b/>
          <w:sz w:val="28"/>
          <w:szCs w:val="28"/>
        </w:rPr>
        <w:t>第一部分湘乡市月山镇中心学校概况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sz w:val="84"/>
          <w:szCs w:val="84"/>
        </w:rPr>
        <w:t>湘乡市月山镇中心学校概况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spacing w:line="600" w:lineRule="exact"/>
        <w:ind w:firstLine="640" w:firstLineChars="200"/>
        <w:rPr>
          <w:rFonts w:hint="eastAsia" w:asciiTheme="minorEastAsia" w:hAnsiTheme="minorEastAsia"/>
          <w:sz w:val="32"/>
          <w:szCs w:val="32"/>
        </w:rPr>
      </w:pPr>
      <w:r>
        <w:rPr>
          <w:rFonts w:hint="eastAsia" w:asciiTheme="minorEastAsia" w:hAnsiTheme="minorEastAsia"/>
          <w:sz w:val="32"/>
          <w:szCs w:val="32"/>
        </w:rPr>
        <w:t>主要职能：贯彻落实国家教育工作的方针、政策、法律、法规等，结合我校拟定具体实施办法和管理制定，并组织实施。研究制定学校教育改革与发展战略以及教育事业发展规划、年度计划，教育发展的内容、重点和步骤，并协调实施。坚持依法治教、依法治学, 实施九年义务教育，促进基础教育发展。小学、初中历教育及相关社会服务。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jc w:val="left"/>
        <w:rPr>
          <w:rFonts w:hint="eastAsia" w:asciiTheme="minorEastAsia" w:hAnsiTheme="minorEastAsia"/>
          <w:bCs/>
          <w:kern w:val="0"/>
          <w:sz w:val="32"/>
          <w:szCs w:val="32"/>
          <w:highlight w:val="yellow"/>
        </w:rPr>
      </w:pPr>
      <w:r>
        <w:rPr>
          <w:rFonts w:hint="eastAsia" w:asciiTheme="minorEastAsia" w:hAnsiTheme="minorEastAsia"/>
          <w:bCs/>
          <w:kern w:val="0"/>
          <w:sz w:val="32"/>
          <w:szCs w:val="32"/>
        </w:rPr>
        <w:t>（一）内设机构设置。月山镇中心学校内设机构包括:</w:t>
      </w:r>
      <w:r>
        <w:rPr>
          <w:rFonts w:hint="eastAsia" w:asciiTheme="minorEastAsia" w:hAnsiTheme="minorEastAsia"/>
          <w:bCs/>
          <w:kern w:val="0"/>
          <w:sz w:val="32"/>
          <w:szCs w:val="32"/>
          <w:highlight w:val="none"/>
        </w:rPr>
        <w:t>办公室。</w:t>
      </w:r>
    </w:p>
    <w:p>
      <w:pPr>
        <w:jc w:val="left"/>
        <w:rPr>
          <w:rFonts w:ascii="黑体" w:hAnsi="黑体" w:eastAsia="黑体"/>
          <w:sz w:val="28"/>
          <w:szCs w:val="28"/>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月山镇</w:t>
      </w:r>
      <w:r>
        <w:rPr>
          <w:rFonts w:hint="eastAsia" w:asciiTheme="minorEastAsia" w:hAnsiTheme="minorEastAsia"/>
          <w:bCs/>
          <w:kern w:val="0"/>
          <w:sz w:val="32"/>
          <w:szCs w:val="32"/>
        </w:rPr>
        <w:t>中心学校2021年部门决算汇总公开单位构成包括：</w:t>
      </w:r>
      <w:r>
        <w:rPr>
          <w:rFonts w:hint="eastAsia" w:asciiTheme="minorEastAsia" w:hAnsiTheme="minorEastAsia"/>
          <w:bCs/>
          <w:kern w:val="0"/>
          <w:sz w:val="32"/>
          <w:szCs w:val="32"/>
          <w:lang w:eastAsia="zh-CN"/>
        </w:rPr>
        <w:t>月山镇</w:t>
      </w:r>
      <w:r>
        <w:rPr>
          <w:rFonts w:hint="eastAsia" w:asciiTheme="minorEastAsia" w:hAnsiTheme="minorEastAsia"/>
          <w:bCs/>
          <w:kern w:val="0"/>
          <w:sz w:val="32"/>
          <w:szCs w:val="32"/>
        </w:rPr>
        <w:t>中心学校本级及</w:t>
      </w:r>
      <w:r>
        <w:rPr>
          <w:rFonts w:hint="eastAsia" w:asciiTheme="minorEastAsia" w:hAnsiTheme="minorEastAsia"/>
          <w:bCs/>
          <w:kern w:val="0"/>
          <w:sz w:val="32"/>
          <w:szCs w:val="32"/>
          <w:lang w:eastAsia="zh-CN"/>
        </w:rPr>
        <w:t>镇中学校、石中学校、石小学校、先锋学校、红星学校、龙洞学校、胜利学校、栗山学校、马龙学校、石矶学校。</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5"/>
        <w:tblW w:w="14280" w:type="dxa"/>
        <w:tblInd w:w="-15" w:type="dxa"/>
        <w:tblLayout w:type="fixed"/>
        <w:tblCellMar>
          <w:top w:w="0" w:type="dxa"/>
          <w:left w:w="108" w:type="dxa"/>
          <w:bottom w:w="0" w:type="dxa"/>
          <w:right w:w="108" w:type="dxa"/>
        </w:tblCellMar>
      </w:tblPr>
      <w:tblGrid>
        <w:gridCol w:w="4234"/>
        <w:gridCol w:w="761"/>
        <w:gridCol w:w="319"/>
        <w:gridCol w:w="697"/>
        <w:gridCol w:w="232"/>
        <w:gridCol w:w="987"/>
        <w:gridCol w:w="3525"/>
        <w:gridCol w:w="915"/>
        <w:gridCol w:w="1003"/>
        <w:gridCol w:w="1607"/>
      </w:tblGrid>
      <w:tr>
        <w:tblPrEx>
          <w:tblCellMar>
            <w:top w:w="0" w:type="dxa"/>
            <w:left w:w="108" w:type="dxa"/>
            <w:bottom w:w="0" w:type="dxa"/>
            <w:right w:w="108" w:type="dxa"/>
          </w:tblCellMar>
        </w:tblPrEx>
        <w:trPr>
          <w:trHeight w:val="360" w:hRule="atLeast"/>
        </w:trPr>
        <w:tc>
          <w:tcPr>
            <w:tcW w:w="14280"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314"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427"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0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07"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314"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湘乡市月山镇中心学校</w:t>
            </w:r>
          </w:p>
        </w:tc>
        <w:tc>
          <w:tcPr>
            <w:tcW w:w="6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427"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0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07"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7230"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7050" w:type="dxa"/>
            <w:gridSpan w:val="4"/>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rPr>
          <w:trHeight w:val="340" w:hRule="atLeast"/>
        </w:trPr>
        <w:tc>
          <w:tcPr>
            <w:tcW w:w="4234"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2235"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5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261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235"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5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61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223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2,789.47</w:t>
            </w:r>
          </w:p>
        </w:tc>
        <w:tc>
          <w:tcPr>
            <w:tcW w:w="352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26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2235" w:type="dxa"/>
            <w:gridSpan w:val="4"/>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52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26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2235" w:type="dxa"/>
            <w:gridSpan w:val="4"/>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52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26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rPr>
          <w:trHeight w:val="340" w:hRule="atLeast"/>
        </w:trPr>
        <w:tc>
          <w:tcPr>
            <w:tcW w:w="4234"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2235" w:type="dxa"/>
            <w:gridSpan w:val="4"/>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52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26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2235" w:type="dxa"/>
            <w:gridSpan w:val="4"/>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52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261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3,565.03</w:t>
            </w: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2235" w:type="dxa"/>
            <w:gridSpan w:val="4"/>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52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26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2235" w:type="dxa"/>
            <w:gridSpan w:val="4"/>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5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26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223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916.44</w:t>
            </w:r>
          </w:p>
        </w:tc>
        <w:tc>
          <w:tcPr>
            <w:tcW w:w="35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26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2235" w:type="dxa"/>
            <w:gridSpan w:val="4"/>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5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26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223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3,705.91</w:t>
            </w:r>
          </w:p>
        </w:tc>
        <w:tc>
          <w:tcPr>
            <w:tcW w:w="3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261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3,565.03</w:t>
            </w: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2235" w:type="dxa"/>
            <w:gridSpan w:val="4"/>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5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26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2235" w:type="dxa"/>
            <w:gridSpan w:val="4"/>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5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261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140.88</w:t>
            </w:r>
          </w:p>
        </w:tc>
      </w:tr>
      <w:tr>
        <w:tblPrEx>
          <w:tblCellMar>
            <w:top w:w="0" w:type="dxa"/>
            <w:left w:w="108" w:type="dxa"/>
            <w:bottom w:w="0" w:type="dxa"/>
            <w:right w:w="108" w:type="dxa"/>
          </w:tblCellMar>
        </w:tblPrEx>
        <w:trPr>
          <w:trHeight w:val="340" w:hRule="atLeast"/>
        </w:trPr>
        <w:tc>
          <w:tcPr>
            <w:tcW w:w="4234"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76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223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3,705.91</w:t>
            </w:r>
          </w:p>
        </w:tc>
        <w:tc>
          <w:tcPr>
            <w:tcW w:w="35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9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261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3,705.91</w:t>
            </w:r>
          </w:p>
        </w:tc>
      </w:tr>
      <w:tr>
        <w:tblPrEx>
          <w:tblCellMar>
            <w:top w:w="0" w:type="dxa"/>
            <w:left w:w="108" w:type="dxa"/>
            <w:bottom w:w="0" w:type="dxa"/>
            <w:right w:w="108" w:type="dxa"/>
          </w:tblCellMar>
        </w:tblPrEx>
        <w:trPr>
          <w:trHeight w:val="1020" w:hRule="atLeast"/>
        </w:trPr>
        <w:tc>
          <w:tcPr>
            <w:tcW w:w="14280" w:type="dxa"/>
            <w:gridSpan w:val="10"/>
            <w:tcBorders>
              <w:top w:val="nil"/>
              <w:left w:val="nil"/>
              <w:bottom w:val="nil"/>
              <w:right w:val="nil"/>
            </w:tcBorders>
            <w:shd w:val="clear" w:color="auto" w:fill="auto"/>
            <w:vAlign w:val="center"/>
          </w:tcPr>
          <w:p>
            <w:pPr>
              <w:widowControl/>
              <w:jc w:val="left"/>
              <w:rPr>
                <w:rFonts w:hint="default" w:ascii="宋体" w:hAnsi="宋体" w:eastAsia="宋体" w:cs="宋体"/>
                <w:kern w:val="0"/>
                <w:sz w:val="24"/>
                <w:szCs w:val="24"/>
                <w:lang w:val="en-US"/>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5"/>
        <w:tblW w:w="15136" w:type="dxa"/>
        <w:tblInd w:w="582" w:type="dxa"/>
        <w:tblLayout w:type="fixed"/>
        <w:tblCellMar>
          <w:top w:w="0" w:type="dxa"/>
          <w:left w:w="0" w:type="dxa"/>
          <w:bottom w:w="0" w:type="dxa"/>
          <w:right w:w="0" w:type="dxa"/>
        </w:tblCellMar>
      </w:tblPr>
      <w:tblGrid>
        <w:gridCol w:w="90"/>
        <w:gridCol w:w="750"/>
        <w:gridCol w:w="290"/>
        <w:gridCol w:w="2230"/>
        <w:gridCol w:w="290"/>
        <w:gridCol w:w="1345"/>
        <w:gridCol w:w="290"/>
        <w:gridCol w:w="1435"/>
        <w:gridCol w:w="290"/>
        <w:gridCol w:w="1150"/>
        <w:gridCol w:w="395"/>
        <w:gridCol w:w="1015"/>
        <w:gridCol w:w="470"/>
        <w:gridCol w:w="1000"/>
        <w:gridCol w:w="515"/>
        <w:gridCol w:w="1420"/>
        <w:gridCol w:w="462"/>
        <w:gridCol w:w="873"/>
        <w:gridCol w:w="826"/>
      </w:tblGrid>
      <w:tr>
        <w:tblPrEx>
          <w:tblCellMar>
            <w:top w:w="0" w:type="dxa"/>
            <w:left w:w="0" w:type="dxa"/>
            <w:bottom w:w="0" w:type="dxa"/>
            <w:right w:w="0" w:type="dxa"/>
          </w:tblCellMar>
        </w:tblPrEx>
        <w:trPr>
          <w:gridAfter w:val="1"/>
          <w:wAfter w:w="826" w:type="dxa"/>
          <w:trHeight w:val="435" w:hRule="atLeast"/>
        </w:trPr>
        <w:tc>
          <w:tcPr>
            <w:tcW w:w="14310" w:type="dxa"/>
            <w:gridSpan w:val="18"/>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4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2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4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8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1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8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9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gridAfter w:val="1"/>
          <w:wAfter w:w="826" w:type="dxa"/>
          <w:trHeight w:val="285" w:hRule="atLeast"/>
        </w:trPr>
        <w:tc>
          <w:tcPr>
            <w:tcW w:w="84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252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both"/>
              <w:rPr>
                <w:rFonts w:ascii="宋体" w:hAnsi="宋体" w:eastAsia="宋体" w:cs="宋体"/>
                <w:sz w:val="24"/>
                <w:szCs w:val="24"/>
              </w:rPr>
            </w:pPr>
            <w:r>
              <w:rPr>
                <w:rFonts w:hint="eastAsia"/>
                <w:color w:val="000000"/>
                <w:sz w:val="20"/>
                <w:szCs w:val="20"/>
              </w:rPr>
              <w:t>湘乡市月山镇中心学校</w:t>
            </w:r>
            <w:r>
              <w:rPr>
                <w:rFonts w:hint="eastAsia"/>
              </w:rPr>
              <w:t>　</w:t>
            </w:r>
          </w:p>
        </w:tc>
        <w:tc>
          <w:tcPr>
            <w:tcW w:w="16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4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41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7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9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gridAfter w:val="1"/>
          <w:wAfter w:w="826" w:type="dxa"/>
          <w:trHeight w:val="450" w:hRule="atLeast"/>
        </w:trPr>
        <w:tc>
          <w:tcPr>
            <w:tcW w:w="3360"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6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725"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44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41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47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9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gridAfter w:val="1"/>
          <w:wAfter w:w="826" w:type="dxa"/>
          <w:trHeight w:val="450" w:hRule="atLeast"/>
        </w:trPr>
        <w:tc>
          <w:tcPr>
            <w:tcW w:w="84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520"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6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4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1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7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9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gridAfter w:val="1"/>
          <w:wAfter w:w="826" w:type="dxa"/>
          <w:trHeight w:val="450" w:hRule="atLeast"/>
        </w:trPr>
        <w:tc>
          <w:tcPr>
            <w:tcW w:w="84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20" w:type="dxa"/>
            <w:gridSpan w:val="2"/>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4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1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7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9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gridAfter w:val="1"/>
          <w:wAfter w:w="826" w:type="dxa"/>
          <w:trHeight w:val="450" w:hRule="atLeast"/>
        </w:trPr>
        <w:tc>
          <w:tcPr>
            <w:tcW w:w="3360"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6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7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44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41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47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9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gridAfter w:val="1"/>
          <w:wAfter w:w="826" w:type="dxa"/>
          <w:trHeight w:val="450" w:hRule="atLeast"/>
        </w:trPr>
        <w:tc>
          <w:tcPr>
            <w:tcW w:w="3360"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6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b w:val="0"/>
                <w:bCs w:val="0"/>
                <w:sz w:val="24"/>
                <w:szCs w:val="24"/>
              </w:rPr>
            </w:pPr>
            <w:r>
              <w:rPr>
                <w:rFonts w:hint="eastAsia" w:ascii="宋体" w:hAnsi="宋体" w:eastAsia="宋体" w:cs="宋体"/>
                <w:b w:val="0"/>
                <w:bCs w:val="0"/>
                <w:i w:val="0"/>
                <w:iCs w:val="0"/>
                <w:color w:val="000000"/>
                <w:kern w:val="0"/>
                <w:sz w:val="22"/>
                <w:szCs w:val="22"/>
                <w:u w:val="none"/>
                <w:lang w:val="en-US" w:eastAsia="zh-CN" w:bidi="ar"/>
              </w:rPr>
              <w:t>3,705.91</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b w:val="0"/>
                <w:bCs w:val="0"/>
                <w:sz w:val="24"/>
                <w:szCs w:val="24"/>
              </w:rPr>
            </w:pPr>
            <w:r>
              <w:rPr>
                <w:rFonts w:hint="eastAsia" w:ascii="宋体" w:hAnsi="宋体" w:eastAsia="宋体" w:cs="宋体"/>
                <w:b w:val="0"/>
                <w:bCs w:val="0"/>
                <w:i w:val="0"/>
                <w:iCs w:val="0"/>
                <w:color w:val="000000"/>
                <w:kern w:val="0"/>
                <w:sz w:val="22"/>
                <w:szCs w:val="22"/>
                <w:u w:val="none"/>
                <w:lang w:val="en-US" w:eastAsia="zh-CN" w:bidi="ar"/>
              </w:rPr>
              <w:t>2,789.47</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9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916.44</w:t>
            </w:r>
          </w:p>
        </w:tc>
      </w:tr>
      <w:tr>
        <w:tblPrEx>
          <w:tblCellMar>
            <w:top w:w="0" w:type="dxa"/>
            <w:left w:w="0" w:type="dxa"/>
            <w:bottom w:w="0" w:type="dxa"/>
            <w:right w:w="0" w:type="dxa"/>
          </w:tblCellMar>
        </w:tblPrEx>
        <w:trPr>
          <w:gridAfter w:val="1"/>
          <w:wAfter w:w="826" w:type="dxa"/>
          <w:trHeight w:val="450" w:hRule="atLeast"/>
        </w:trPr>
        <w:tc>
          <w:tcPr>
            <w:tcW w:w="8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w:t>
            </w:r>
          </w:p>
        </w:tc>
        <w:tc>
          <w:tcPr>
            <w:tcW w:w="252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教育支出</w:t>
            </w:r>
          </w:p>
        </w:tc>
        <w:tc>
          <w:tcPr>
            <w:tcW w:w="16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3,705.91</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2,789.47</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9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916.44</w:t>
            </w:r>
          </w:p>
        </w:tc>
      </w:tr>
      <w:tr>
        <w:tblPrEx>
          <w:tblCellMar>
            <w:top w:w="0" w:type="dxa"/>
            <w:left w:w="0" w:type="dxa"/>
            <w:bottom w:w="0" w:type="dxa"/>
            <w:right w:w="0" w:type="dxa"/>
          </w:tblCellMar>
        </w:tblPrEx>
        <w:trPr>
          <w:gridAfter w:val="1"/>
          <w:wAfter w:w="826" w:type="dxa"/>
          <w:trHeight w:val="450" w:hRule="atLeast"/>
        </w:trPr>
        <w:tc>
          <w:tcPr>
            <w:tcW w:w="8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20501</w:t>
            </w:r>
          </w:p>
        </w:tc>
        <w:tc>
          <w:tcPr>
            <w:tcW w:w="252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教育管理事务</w:t>
            </w:r>
          </w:p>
        </w:tc>
        <w:tc>
          <w:tcPr>
            <w:tcW w:w="16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715.40</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715.40</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9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gridAfter w:val="1"/>
          <w:wAfter w:w="826" w:type="dxa"/>
          <w:trHeight w:val="450" w:hRule="atLeast"/>
        </w:trPr>
        <w:tc>
          <w:tcPr>
            <w:tcW w:w="8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2050101</w:t>
            </w:r>
          </w:p>
        </w:tc>
        <w:tc>
          <w:tcPr>
            <w:tcW w:w="252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715.40</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715.40</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9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gridAfter w:val="1"/>
          <w:wAfter w:w="826" w:type="dxa"/>
          <w:trHeight w:val="450" w:hRule="atLeast"/>
        </w:trPr>
        <w:tc>
          <w:tcPr>
            <w:tcW w:w="8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20502</w:t>
            </w:r>
          </w:p>
        </w:tc>
        <w:tc>
          <w:tcPr>
            <w:tcW w:w="252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普通教育</w:t>
            </w:r>
          </w:p>
        </w:tc>
        <w:tc>
          <w:tcPr>
            <w:tcW w:w="16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2,985.61</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2,069.17</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9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916.44</w:t>
            </w:r>
          </w:p>
        </w:tc>
      </w:tr>
      <w:tr>
        <w:tblPrEx>
          <w:tblCellMar>
            <w:top w:w="0" w:type="dxa"/>
            <w:left w:w="0" w:type="dxa"/>
            <w:bottom w:w="0" w:type="dxa"/>
            <w:right w:w="0" w:type="dxa"/>
          </w:tblCellMar>
        </w:tblPrEx>
        <w:trPr>
          <w:gridAfter w:val="1"/>
          <w:wAfter w:w="826" w:type="dxa"/>
          <w:trHeight w:val="450" w:hRule="atLeast"/>
        </w:trPr>
        <w:tc>
          <w:tcPr>
            <w:tcW w:w="8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2050202</w:t>
            </w:r>
          </w:p>
        </w:tc>
        <w:tc>
          <w:tcPr>
            <w:tcW w:w="252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16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2,141.43</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1,224.99</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9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916.44</w:t>
            </w:r>
          </w:p>
        </w:tc>
      </w:tr>
      <w:tr>
        <w:tblPrEx>
          <w:tblCellMar>
            <w:top w:w="0" w:type="dxa"/>
            <w:left w:w="0" w:type="dxa"/>
            <w:bottom w:w="0" w:type="dxa"/>
            <w:right w:w="0" w:type="dxa"/>
          </w:tblCellMar>
        </w:tblPrEx>
        <w:trPr>
          <w:gridAfter w:val="1"/>
          <w:wAfter w:w="826" w:type="dxa"/>
          <w:trHeight w:val="450" w:hRule="atLeast"/>
        </w:trPr>
        <w:tc>
          <w:tcPr>
            <w:tcW w:w="8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2050203</w:t>
            </w:r>
          </w:p>
        </w:tc>
        <w:tc>
          <w:tcPr>
            <w:tcW w:w="252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16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844.18</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844.18</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9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gridAfter w:val="1"/>
          <w:wAfter w:w="826" w:type="dxa"/>
          <w:trHeight w:val="450" w:hRule="atLeast"/>
        </w:trPr>
        <w:tc>
          <w:tcPr>
            <w:tcW w:w="8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20599</w:t>
            </w:r>
          </w:p>
        </w:tc>
        <w:tc>
          <w:tcPr>
            <w:tcW w:w="252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其他教育支出</w:t>
            </w:r>
          </w:p>
        </w:tc>
        <w:tc>
          <w:tcPr>
            <w:tcW w:w="16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4.89</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4.89</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9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gridAfter w:val="1"/>
          <w:wAfter w:w="826" w:type="dxa"/>
          <w:trHeight w:val="450" w:hRule="atLeast"/>
        </w:trPr>
        <w:tc>
          <w:tcPr>
            <w:tcW w:w="8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2059999</w:t>
            </w:r>
          </w:p>
        </w:tc>
        <w:tc>
          <w:tcPr>
            <w:tcW w:w="252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其他教育支出</w:t>
            </w:r>
          </w:p>
        </w:tc>
        <w:tc>
          <w:tcPr>
            <w:tcW w:w="16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4.89</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4.89</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　</w:t>
            </w:r>
          </w:p>
        </w:tc>
        <w:tc>
          <w:tcPr>
            <w:tcW w:w="147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9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gridAfter w:val="1"/>
          <w:wAfter w:w="826" w:type="dxa"/>
          <w:trHeight w:val="615" w:hRule="atLeast"/>
        </w:trPr>
        <w:tc>
          <w:tcPr>
            <w:tcW w:w="14310" w:type="dxa"/>
            <w:gridSpan w:val="18"/>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5"/>
        <w:tblW w:w="14355" w:type="dxa"/>
        <w:tblInd w:w="660" w:type="dxa"/>
        <w:tblLayout w:type="fixed"/>
        <w:tblCellMar>
          <w:top w:w="0" w:type="dxa"/>
          <w:left w:w="108" w:type="dxa"/>
          <w:bottom w:w="0" w:type="dxa"/>
          <w:right w:w="108" w:type="dxa"/>
        </w:tblCellMar>
      </w:tblPr>
      <w:tblGrid>
        <w:gridCol w:w="780"/>
        <w:gridCol w:w="570"/>
        <w:gridCol w:w="2355"/>
        <w:gridCol w:w="1755"/>
        <w:gridCol w:w="1635"/>
        <w:gridCol w:w="1545"/>
        <w:gridCol w:w="1725"/>
        <w:gridCol w:w="1575"/>
        <w:gridCol w:w="2415"/>
      </w:tblGrid>
      <w:tr>
        <w:tblPrEx>
          <w:tblCellMar>
            <w:top w:w="0" w:type="dxa"/>
            <w:left w:w="108" w:type="dxa"/>
            <w:bottom w:w="0" w:type="dxa"/>
            <w:right w:w="108" w:type="dxa"/>
          </w:tblCellMar>
        </w:tblPrEx>
        <w:trPr>
          <w:trHeight w:val="435" w:hRule="atLeast"/>
        </w:trPr>
        <w:tc>
          <w:tcPr>
            <w:tcW w:w="14355"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7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15"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78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925" w:type="dxa"/>
            <w:gridSpan w:val="2"/>
            <w:tcBorders>
              <w:top w:val="nil"/>
              <w:left w:val="nil"/>
              <w:bottom w:val="nil"/>
              <w:right w:val="nil"/>
            </w:tcBorders>
            <w:shd w:val="clear" w:color="000000" w:fill="FFFFFF"/>
            <w:noWrap/>
            <w:vAlign w:val="center"/>
          </w:tcPr>
          <w:p>
            <w:pPr>
              <w:widowControl/>
              <w:jc w:val="both"/>
              <w:rPr>
                <w:rFonts w:ascii="宋体" w:hAnsi="宋体" w:eastAsia="宋体" w:cs="宋体"/>
                <w:kern w:val="0"/>
                <w:sz w:val="24"/>
                <w:szCs w:val="24"/>
              </w:rPr>
            </w:pPr>
            <w:r>
              <w:rPr>
                <w:rFonts w:hint="eastAsia" w:ascii="宋体" w:hAnsi="宋体" w:eastAsia="宋体" w:cs="宋体"/>
                <w:color w:val="000000"/>
                <w:kern w:val="0"/>
                <w:sz w:val="20"/>
                <w:szCs w:val="20"/>
              </w:rPr>
              <w:t>湘乡市月山镇中心学校</w:t>
            </w:r>
            <w:r>
              <w:rPr>
                <w:rFonts w:hint="eastAsia" w:ascii="宋体" w:hAnsi="宋体" w:eastAsia="宋体" w:cs="宋体"/>
                <w:kern w:val="0"/>
                <w:sz w:val="24"/>
                <w:szCs w:val="24"/>
              </w:rPr>
              <w:t>　　</w:t>
            </w:r>
          </w:p>
        </w:tc>
        <w:tc>
          <w:tcPr>
            <w:tcW w:w="17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5"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7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15"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370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5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3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54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2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57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4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35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355"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35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370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5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4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370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3,565.03</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3,309.08</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255.94</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0" w:hRule="atLeast"/>
        </w:trPr>
        <w:tc>
          <w:tcPr>
            <w:tcW w:w="135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w:t>
            </w:r>
          </w:p>
        </w:tc>
        <w:tc>
          <w:tcPr>
            <w:tcW w:w="23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教育支出</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3,565.03</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3,309.08</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255.94</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0" w:hRule="atLeast"/>
        </w:trPr>
        <w:tc>
          <w:tcPr>
            <w:tcW w:w="135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20501</w:t>
            </w:r>
          </w:p>
        </w:tc>
        <w:tc>
          <w:tcPr>
            <w:tcW w:w="23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教育管理事务</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715.40</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715.40</w:t>
            </w:r>
          </w:p>
        </w:tc>
        <w:tc>
          <w:tcPr>
            <w:tcW w:w="1545" w:type="dxa"/>
            <w:tcBorders>
              <w:top w:val="nil"/>
              <w:left w:val="nil"/>
              <w:bottom w:val="single" w:color="auto" w:sz="4" w:space="0"/>
              <w:right w:val="single" w:color="auto" w:sz="4" w:space="0"/>
            </w:tcBorders>
            <w:shd w:val="clear" w:color="auto" w:fill="auto"/>
            <w:noWrap/>
            <w:vAlign w:val="center"/>
          </w:tcPr>
          <w:p>
            <w:pPr>
              <w:jc w:val="center"/>
              <w:rPr>
                <w:rFonts w:hint="default" w:ascii="宋体" w:hAnsi="宋体" w:eastAsia="宋体" w:cs="宋体"/>
                <w:b w:val="0"/>
                <w:bCs w:val="0"/>
                <w:kern w:val="0"/>
                <w:sz w:val="24"/>
                <w:szCs w:val="24"/>
                <w:lang w:val="en-US" w:eastAsia="zh-CN"/>
              </w:rPr>
            </w:pPr>
            <w:r>
              <w:rPr>
                <w:rFonts w:hint="eastAsia" w:ascii="宋体" w:hAnsi="宋体" w:eastAsia="宋体" w:cs="宋体"/>
                <w:b w:val="0"/>
                <w:bCs w:val="0"/>
                <w:kern w:val="0"/>
                <w:sz w:val="24"/>
                <w:szCs w:val="24"/>
                <w:lang w:val="en-US" w:eastAsia="zh-CN"/>
              </w:rPr>
              <w:t>0.00</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0" w:hRule="atLeast"/>
        </w:trPr>
        <w:tc>
          <w:tcPr>
            <w:tcW w:w="135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2050101</w:t>
            </w:r>
          </w:p>
        </w:tc>
        <w:tc>
          <w:tcPr>
            <w:tcW w:w="23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715.40</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715.40</w:t>
            </w:r>
          </w:p>
        </w:tc>
        <w:tc>
          <w:tcPr>
            <w:tcW w:w="1545" w:type="dxa"/>
            <w:tcBorders>
              <w:top w:val="nil"/>
              <w:left w:val="nil"/>
              <w:bottom w:val="single" w:color="auto" w:sz="4" w:space="0"/>
              <w:right w:val="single" w:color="auto" w:sz="4" w:space="0"/>
            </w:tcBorders>
            <w:shd w:val="clear" w:color="auto" w:fill="auto"/>
            <w:noWrap/>
            <w:vAlign w:val="center"/>
          </w:tcPr>
          <w:p>
            <w:pPr>
              <w:jc w:val="center"/>
              <w:rPr>
                <w:rFonts w:hint="default" w:ascii="宋体" w:hAnsi="宋体" w:eastAsia="宋体" w:cs="宋体"/>
                <w:b w:val="0"/>
                <w:bCs w:val="0"/>
                <w:kern w:val="0"/>
                <w:sz w:val="24"/>
                <w:szCs w:val="24"/>
                <w:lang w:val="en-US" w:eastAsia="zh-CN"/>
              </w:rPr>
            </w:pPr>
            <w:r>
              <w:rPr>
                <w:rFonts w:hint="eastAsia" w:ascii="宋体" w:hAnsi="宋体" w:eastAsia="宋体" w:cs="宋体"/>
                <w:b w:val="0"/>
                <w:bCs w:val="0"/>
                <w:kern w:val="0"/>
                <w:sz w:val="24"/>
                <w:szCs w:val="24"/>
                <w:lang w:val="en-US" w:eastAsia="zh-CN"/>
              </w:rPr>
              <w:t>0.00</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0" w:hRule="atLeast"/>
        </w:trPr>
        <w:tc>
          <w:tcPr>
            <w:tcW w:w="135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20502</w:t>
            </w:r>
          </w:p>
        </w:tc>
        <w:tc>
          <w:tcPr>
            <w:tcW w:w="23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普通教育</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2,844.73</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2,593.68</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251.05</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0" w:hRule="atLeast"/>
        </w:trPr>
        <w:tc>
          <w:tcPr>
            <w:tcW w:w="135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2050202</w:t>
            </w:r>
          </w:p>
        </w:tc>
        <w:tc>
          <w:tcPr>
            <w:tcW w:w="23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2,000.55</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1,749.50</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251.05</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0" w:hRule="atLeast"/>
        </w:trPr>
        <w:tc>
          <w:tcPr>
            <w:tcW w:w="135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2050203</w:t>
            </w:r>
          </w:p>
        </w:tc>
        <w:tc>
          <w:tcPr>
            <w:tcW w:w="23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844.18</w:t>
            </w:r>
          </w:p>
        </w:tc>
        <w:tc>
          <w:tcPr>
            <w:tcW w:w="16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844.18</w:t>
            </w:r>
          </w:p>
        </w:tc>
        <w:tc>
          <w:tcPr>
            <w:tcW w:w="1545"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lang w:val="en-US" w:eastAsia="zh-CN"/>
              </w:rPr>
              <w:t>0.00</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1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0" w:hRule="atLeast"/>
        </w:trPr>
        <w:tc>
          <w:tcPr>
            <w:tcW w:w="135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20599</w:t>
            </w:r>
          </w:p>
        </w:tc>
        <w:tc>
          <w:tcPr>
            <w:tcW w:w="23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其他教育支出</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4.89</w:t>
            </w:r>
          </w:p>
        </w:tc>
        <w:tc>
          <w:tcPr>
            <w:tcW w:w="1635" w:type="dxa"/>
            <w:tcBorders>
              <w:top w:val="nil"/>
              <w:left w:val="nil"/>
              <w:bottom w:val="single" w:color="auto" w:sz="4" w:space="0"/>
              <w:right w:val="single" w:color="auto" w:sz="4" w:space="0"/>
            </w:tcBorders>
            <w:shd w:val="clear" w:color="auto" w:fill="auto"/>
            <w:noWrap/>
            <w:vAlign w:val="center"/>
          </w:tcPr>
          <w:p>
            <w:pPr>
              <w:jc w:val="center"/>
              <w:rPr>
                <w:rFonts w:hint="default" w:ascii="宋体" w:hAnsi="宋体" w:eastAsia="宋体" w:cs="宋体"/>
                <w:b w:val="0"/>
                <w:bCs w:val="0"/>
                <w:kern w:val="0"/>
                <w:sz w:val="24"/>
                <w:szCs w:val="24"/>
                <w:lang w:val="en-US" w:eastAsia="zh-CN"/>
              </w:rPr>
            </w:pPr>
            <w:r>
              <w:rPr>
                <w:rFonts w:hint="eastAsia" w:ascii="宋体" w:hAnsi="宋体" w:eastAsia="宋体" w:cs="宋体"/>
                <w:b w:val="0"/>
                <w:bCs w:val="0"/>
                <w:kern w:val="0"/>
                <w:sz w:val="24"/>
                <w:szCs w:val="24"/>
                <w:lang w:val="en-US" w:eastAsia="zh-CN"/>
              </w:rPr>
              <w:t>0.00</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4.89</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1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50" w:hRule="atLeast"/>
        </w:trPr>
        <w:tc>
          <w:tcPr>
            <w:tcW w:w="135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2059999</w:t>
            </w:r>
          </w:p>
        </w:tc>
        <w:tc>
          <w:tcPr>
            <w:tcW w:w="235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其他教育支出</w:t>
            </w:r>
          </w:p>
        </w:tc>
        <w:tc>
          <w:tcPr>
            <w:tcW w:w="175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4.89</w:t>
            </w:r>
          </w:p>
        </w:tc>
        <w:tc>
          <w:tcPr>
            <w:tcW w:w="1635" w:type="dxa"/>
            <w:tcBorders>
              <w:top w:val="nil"/>
              <w:left w:val="nil"/>
              <w:bottom w:val="single" w:color="auto" w:sz="4" w:space="0"/>
              <w:right w:val="single" w:color="auto" w:sz="4" w:space="0"/>
            </w:tcBorders>
            <w:shd w:val="clear" w:color="auto" w:fill="auto"/>
            <w:noWrap/>
            <w:vAlign w:val="center"/>
          </w:tcPr>
          <w:p>
            <w:pPr>
              <w:jc w:val="center"/>
              <w:rPr>
                <w:rFonts w:hint="default" w:ascii="宋体" w:hAnsi="宋体" w:eastAsia="宋体" w:cs="宋体"/>
                <w:b w:val="0"/>
                <w:bCs w:val="0"/>
                <w:kern w:val="0"/>
                <w:sz w:val="24"/>
                <w:szCs w:val="24"/>
                <w:lang w:val="en-US" w:eastAsia="zh-CN"/>
              </w:rPr>
            </w:pPr>
            <w:r>
              <w:rPr>
                <w:rFonts w:hint="eastAsia" w:ascii="宋体" w:hAnsi="宋体" w:eastAsia="宋体" w:cs="宋体"/>
                <w:b w:val="0"/>
                <w:bCs w:val="0"/>
                <w:kern w:val="0"/>
                <w:sz w:val="24"/>
                <w:szCs w:val="24"/>
                <w:lang w:val="en-US" w:eastAsia="zh-CN"/>
              </w:rPr>
              <w:t>0.00</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4.89</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630" w:hRule="atLeast"/>
        </w:trPr>
        <w:tc>
          <w:tcPr>
            <w:tcW w:w="14355"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5"/>
        <w:tblW w:w="14937" w:type="dxa"/>
        <w:tblInd w:w="93" w:type="dxa"/>
        <w:tblLayout w:type="fixed"/>
        <w:tblCellMar>
          <w:top w:w="0" w:type="dxa"/>
          <w:left w:w="108" w:type="dxa"/>
          <w:bottom w:w="0" w:type="dxa"/>
          <w:right w:w="108" w:type="dxa"/>
        </w:tblCellMar>
      </w:tblPr>
      <w:tblGrid>
        <w:gridCol w:w="3477"/>
        <w:gridCol w:w="525"/>
        <w:gridCol w:w="1230"/>
        <w:gridCol w:w="373"/>
        <w:gridCol w:w="2312"/>
        <w:gridCol w:w="195"/>
        <w:gridCol w:w="270"/>
        <w:gridCol w:w="1215"/>
        <w:gridCol w:w="1860"/>
        <w:gridCol w:w="1725"/>
        <w:gridCol w:w="1755"/>
      </w:tblGrid>
      <w:tr>
        <w:tblPrEx>
          <w:tblCellMar>
            <w:top w:w="0" w:type="dxa"/>
            <w:left w:w="108" w:type="dxa"/>
            <w:bottom w:w="0" w:type="dxa"/>
            <w:right w:w="108" w:type="dxa"/>
          </w:tblCellMar>
        </w:tblPrEx>
        <w:trPr>
          <w:trHeight w:val="285" w:hRule="atLeast"/>
        </w:trPr>
        <w:tc>
          <w:tcPr>
            <w:tcW w:w="3477"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52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603"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250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270"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21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860"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72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75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4937"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47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880"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55"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477"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部门：湘乡市月山镇中心学校</w:t>
            </w:r>
          </w:p>
        </w:tc>
        <w:tc>
          <w:tcPr>
            <w:tcW w:w="5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880"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55"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23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705"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7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75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2,789.47</w:t>
            </w: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2,789.47</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2,789.47</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2,789.47</w:t>
            </w: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2,789.47</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2,789.47</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5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26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6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2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77"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5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2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2,789.47</w:t>
            </w:r>
          </w:p>
        </w:tc>
        <w:tc>
          <w:tcPr>
            <w:tcW w:w="268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6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21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2,789.47</w:t>
            </w:r>
          </w:p>
        </w:tc>
        <w:tc>
          <w:tcPr>
            <w:tcW w:w="186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2,789.47</w:t>
            </w:r>
          </w:p>
        </w:tc>
        <w:tc>
          <w:tcPr>
            <w:tcW w:w="17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585" w:hRule="atLeast"/>
        </w:trPr>
        <w:tc>
          <w:tcPr>
            <w:tcW w:w="14937"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Times New Roman"/>
          <w:kern w:val="0"/>
          <w:sz w:val="36"/>
          <w:szCs w:val="36"/>
          <w:lang w:val="en-US" w:eastAsia="zh-CN"/>
        </w:rPr>
        <w:t xml:space="preserve">  </w:t>
      </w: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rPr>
        <w:t>湘乡市月山镇中心学校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5"/>
        <w:tblW w:w="14348" w:type="dxa"/>
        <w:jc w:val="center"/>
        <w:tblLayout w:type="autofit"/>
        <w:tblCellMar>
          <w:top w:w="0" w:type="dxa"/>
          <w:left w:w="108" w:type="dxa"/>
          <w:bottom w:w="0" w:type="dxa"/>
          <w:right w:w="108" w:type="dxa"/>
        </w:tblCellMar>
      </w:tblPr>
      <w:tblGrid>
        <w:gridCol w:w="1200"/>
        <w:gridCol w:w="3527"/>
        <w:gridCol w:w="3085"/>
        <w:gridCol w:w="3480"/>
        <w:gridCol w:w="3056"/>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621"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85"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56"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8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8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56"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8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8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56"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8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8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56"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2,789.47</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2,784.58</w:t>
            </w:r>
          </w:p>
        </w:tc>
        <w:tc>
          <w:tcPr>
            <w:tcW w:w="3056"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4.89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教育支出</w:t>
            </w:r>
          </w:p>
        </w:tc>
        <w:tc>
          <w:tcPr>
            <w:tcW w:w="30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2,789.47</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2,784.58</w:t>
            </w:r>
          </w:p>
        </w:tc>
        <w:tc>
          <w:tcPr>
            <w:tcW w:w="3056"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4.89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教育管理事务</w:t>
            </w:r>
          </w:p>
        </w:tc>
        <w:tc>
          <w:tcPr>
            <w:tcW w:w="30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715.40</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715.40</w:t>
            </w:r>
          </w:p>
        </w:tc>
        <w:tc>
          <w:tcPr>
            <w:tcW w:w="3056"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2050101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715.40</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715.40</w:t>
            </w:r>
          </w:p>
        </w:tc>
        <w:tc>
          <w:tcPr>
            <w:tcW w:w="3056"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普通教育</w:t>
            </w:r>
          </w:p>
        </w:tc>
        <w:tc>
          <w:tcPr>
            <w:tcW w:w="30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2,069.17</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2,069.17</w:t>
            </w:r>
          </w:p>
        </w:tc>
        <w:tc>
          <w:tcPr>
            <w:tcW w:w="3056"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2050202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30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1,224.99</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1,224.99</w:t>
            </w:r>
          </w:p>
        </w:tc>
        <w:tc>
          <w:tcPr>
            <w:tcW w:w="3056"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2050203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308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844.18</w:t>
            </w:r>
          </w:p>
        </w:tc>
        <w:tc>
          <w:tcPr>
            <w:tcW w:w="348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844.18</w:t>
            </w:r>
          </w:p>
        </w:tc>
        <w:tc>
          <w:tcPr>
            <w:tcW w:w="3056"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其他教育支出</w:t>
            </w:r>
          </w:p>
        </w:tc>
        <w:tc>
          <w:tcPr>
            <w:tcW w:w="308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4.89</w:t>
            </w:r>
          </w:p>
        </w:tc>
        <w:tc>
          <w:tcPr>
            <w:tcW w:w="348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3056"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4.89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2059999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其他教育支出</w:t>
            </w:r>
          </w:p>
        </w:tc>
        <w:tc>
          <w:tcPr>
            <w:tcW w:w="308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4.89</w:t>
            </w:r>
          </w:p>
        </w:tc>
        <w:tc>
          <w:tcPr>
            <w:tcW w:w="348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0.00</w:t>
            </w:r>
          </w:p>
        </w:tc>
        <w:tc>
          <w:tcPr>
            <w:tcW w:w="3056"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4.89</w:t>
            </w:r>
          </w:p>
        </w:tc>
      </w:tr>
      <w:tr>
        <w:tblPrEx>
          <w:tblCellMar>
            <w:top w:w="0" w:type="dxa"/>
            <w:left w:w="108" w:type="dxa"/>
            <w:bottom w:w="0" w:type="dxa"/>
            <w:right w:w="108" w:type="dxa"/>
          </w:tblCellMar>
        </w:tblPrEx>
        <w:trPr>
          <w:trHeight w:val="645" w:hRule="atLeast"/>
          <w:jc w:val="center"/>
        </w:trPr>
        <w:tc>
          <w:tcPr>
            <w:tcW w:w="14348"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5"/>
        <w:tblW w:w="15622" w:type="dxa"/>
        <w:tblInd w:w="0" w:type="dxa"/>
        <w:tblLayout w:type="fixed"/>
        <w:tblCellMar>
          <w:top w:w="0" w:type="dxa"/>
          <w:left w:w="108" w:type="dxa"/>
          <w:bottom w:w="0" w:type="dxa"/>
          <w:right w:w="108" w:type="dxa"/>
        </w:tblCellMar>
      </w:tblPr>
      <w:tblGrid>
        <w:gridCol w:w="885"/>
        <w:gridCol w:w="3405"/>
        <w:gridCol w:w="1245"/>
        <w:gridCol w:w="975"/>
        <w:gridCol w:w="2234"/>
        <w:gridCol w:w="844"/>
        <w:gridCol w:w="995"/>
        <w:gridCol w:w="4195"/>
        <w:gridCol w:w="844"/>
      </w:tblGrid>
      <w:tr>
        <w:tblPrEx>
          <w:tblCellMar>
            <w:top w:w="0" w:type="dxa"/>
            <w:left w:w="108" w:type="dxa"/>
            <w:bottom w:w="0" w:type="dxa"/>
            <w:right w:w="108" w:type="dxa"/>
          </w:tblCellMar>
        </w:tblPrEx>
        <w:trPr>
          <w:trHeight w:val="113" w:hRule="atLeast"/>
        </w:trPr>
        <w:tc>
          <w:tcPr>
            <w:tcW w:w="15622"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both"/>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rPr>
              <w:t>湘乡市月山镇中心学校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4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2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1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2,720.15</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84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64.43</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969.19</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84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5.43</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295.40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213.82</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4.12</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542.91</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84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1.81</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268.69</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84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9.65</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84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5.57</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143.12</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21.78</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84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5.53</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187.33</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73.78</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84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1.37</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84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3.16</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84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1.83</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84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18.20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84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11.88</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9" w:hRule="exact"/>
        </w:trPr>
        <w:tc>
          <w:tcPr>
            <w:tcW w:w="88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4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29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2,720.15</w:t>
            </w:r>
          </w:p>
        </w:tc>
        <w:tc>
          <w:tcPr>
            <w:tcW w:w="9243"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84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64.43</w:t>
            </w:r>
          </w:p>
        </w:tc>
      </w:tr>
      <w:tr>
        <w:tblPrEx>
          <w:tblCellMar>
            <w:top w:w="0" w:type="dxa"/>
            <w:left w:w="108" w:type="dxa"/>
            <w:bottom w:w="0" w:type="dxa"/>
            <w:right w:w="108" w:type="dxa"/>
          </w:tblCellMar>
        </w:tblPrEx>
        <w:trPr>
          <w:trHeight w:val="284" w:hRule="exact"/>
        </w:trPr>
        <w:tc>
          <w:tcPr>
            <w:tcW w:w="15622"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firstLine="420" w:firstLineChars="2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rPr>
        <w:t>湘乡市月山镇中心学校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483" w:type="dxa"/>
        <w:jc w:val="center"/>
        <w:tblLayout w:type="fixed"/>
        <w:tblCellMar>
          <w:top w:w="0" w:type="dxa"/>
          <w:left w:w="108" w:type="dxa"/>
          <w:bottom w:w="0" w:type="dxa"/>
          <w:right w:w="108" w:type="dxa"/>
        </w:tblCellMar>
      </w:tblPr>
      <w:tblGrid>
        <w:gridCol w:w="1643"/>
        <w:gridCol w:w="1065"/>
        <w:gridCol w:w="1035"/>
        <w:gridCol w:w="1320"/>
        <w:gridCol w:w="1200"/>
        <w:gridCol w:w="1057"/>
        <w:gridCol w:w="1220"/>
        <w:gridCol w:w="1220"/>
        <w:gridCol w:w="1220"/>
        <w:gridCol w:w="1220"/>
        <w:gridCol w:w="1220"/>
        <w:gridCol w:w="1063"/>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163"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643"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065"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555"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05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063"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643"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06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03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32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05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063"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64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06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03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3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05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063"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643" w:type="dxa"/>
            <w:tcBorders>
              <w:top w:val="nil"/>
              <w:left w:val="single" w:color="auto" w:sz="8" w:space="0"/>
              <w:bottom w:val="single" w:color="auto" w:sz="8" w:space="0"/>
              <w:right w:val="single" w:color="auto" w:sz="4" w:space="0"/>
            </w:tcBorders>
            <w:shd w:val="clear" w:color="auto" w:fill="auto"/>
            <w:vAlign w:val="center"/>
          </w:tcPr>
          <w:p>
            <w:pPr>
              <w:widowControl/>
              <w:jc w:val="both"/>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本表为空白表</w:t>
            </w:r>
          </w:p>
        </w:tc>
        <w:tc>
          <w:tcPr>
            <w:tcW w:w="1065"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035"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05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063"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rPr>
        <w:t>湘乡市月山镇中心学校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公开08表</w:t>
      </w:r>
    </w:p>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5"/>
        <w:tblW w:w="144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197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197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1975"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1975"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1975"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97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本表为空白表</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7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5"/>
        <w:tblW w:w="14415" w:type="dxa"/>
        <w:tblInd w:w="600" w:type="dxa"/>
        <w:tblLayout w:type="autofit"/>
        <w:tblCellMar>
          <w:top w:w="0" w:type="dxa"/>
          <w:left w:w="108" w:type="dxa"/>
          <w:bottom w:w="0" w:type="dxa"/>
          <w:right w:w="108" w:type="dxa"/>
        </w:tblCellMar>
      </w:tblPr>
      <w:tblGrid>
        <w:gridCol w:w="616"/>
        <w:gridCol w:w="556"/>
        <w:gridCol w:w="1078"/>
        <w:gridCol w:w="2110"/>
        <w:gridCol w:w="1216"/>
        <w:gridCol w:w="1864"/>
        <w:gridCol w:w="733"/>
        <w:gridCol w:w="2462"/>
        <w:gridCol w:w="3780"/>
      </w:tblGrid>
      <w:tr>
        <w:tblPrEx>
          <w:tblCellMar>
            <w:top w:w="0" w:type="dxa"/>
            <w:left w:w="108" w:type="dxa"/>
            <w:bottom w:w="0" w:type="dxa"/>
            <w:right w:w="108" w:type="dxa"/>
          </w:tblCellMar>
        </w:tblPrEx>
        <w:trPr>
          <w:trHeight w:val="720" w:hRule="atLeast"/>
        </w:trPr>
        <w:tc>
          <w:tcPr>
            <w:tcW w:w="14415"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56"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188"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16"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97"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624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4360"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部门：湘乡市月山镇中心学校</w:t>
            </w:r>
            <w:r>
              <w:rPr>
                <w:rFonts w:hint="eastAsia" w:ascii="宋体" w:hAnsi="宋体" w:eastAsia="宋体" w:cs="宋体"/>
                <w:kern w:val="0"/>
                <w:sz w:val="20"/>
                <w:szCs w:val="20"/>
              </w:rPr>
              <w:t>　　</w:t>
            </w:r>
          </w:p>
        </w:tc>
        <w:tc>
          <w:tcPr>
            <w:tcW w:w="1216"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97"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624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360"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100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250"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1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3080"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3195"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7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0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1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7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0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1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7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360"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308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19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7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360"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3080"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本表为空白表</w:t>
            </w:r>
          </w:p>
        </w:tc>
        <w:tc>
          <w:tcPr>
            <w:tcW w:w="3195" w:type="dxa"/>
            <w:gridSpan w:val="2"/>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p>
        </w:tc>
        <w:tc>
          <w:tcPr>
            <w:tcW w:w="37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188"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3080"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19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7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188"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080"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19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7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188"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3080"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19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7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188"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080"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19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7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188"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080"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19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7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188"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080"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19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780"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415"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9"/>
        <w:rPr>
          <w:sz w:val="72"/>
          <w:szCs w:val="72"/>
        </w:rPr>
        <w:sectPr>
          <w:pgSz w:w="16838" w:h="11906" w:orient="landscape"/>
          <w:pgMar w:top="720" w:right="720" w:bottom="720" w:left="720" w:header="851" w:footer="992" w:gutter="0"/>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2021年度收、支总计7411.82万元。与上年相比，减少537.18 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rPr>
        <w:t>6.76%，主要是因为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2021年一般公共预算财政拨款减少。</w:t>
      </w:r>
    </w:p>
    <w:p>
      <w:pPr>
        <w:pStyle w:val="9"/>
        <w:rPr>
          <w:rFonts w:hAnsi="黑体"/>
          <w:b/>
          <w:sz w:val="32"/>
          <w:szCs w:val="32"/>
        </w:rPr>
      </w:pPr>
      <w:r>
        <w:rPr>
          <w:rFonts w:hint="eastAsia" w:hAnsi="黑体"/>
          <w:b/>
          <w:sz w:val="32"/>
          <w:szCs w:val="32"/>
        </w:rPr>
        <w:t>二、收入决算情况说明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2021年度收入合计3,705.91万元，其中：财政拨款收入2,789.47万元，占75.27%；其他收入916.44万元，占24.73%。</w:t>
      </w:r>
    </w:p>
    <w:p>
      <w:pPr>
        <w:pStyle w:val="9"/>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2021年度支出合计3,565.03万元，其中：基本支出3,309.08万元，占92.82%；项目支出255.94万元，占7.18%。</w:t>
      </w:r>
    </w:p>
    <w:p>
      <w:pPr>
        <w:pStyle w:val="9"/>
        <w:rPr>
          <w:rFonts w:hAnsi="黑体"/>
          <w:b/>
          <w:sz w:val="32"/>
          <w:szCs w:val="32"/>
        </w:rPr>
      </w:pPr>
      <w:r>
        <w:rPr>
          <w:rFonts w:hint="eastAsia" w:hAnsi="黑体"/>
          <w:b/>
          <w:sz w:val="32"/>
          <w:szCs w:val="32"/>
        </w:rPr>
        <w:t>四、财政拨款收入支出决算总体情况说明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2021年度财政拨款收、支总计5578.94万元，</w:t>
      </w:r>
      <w:r>
        <w:rPr>
          <w:rFonts w:hint="eastAsia" w:asciiTheme="minorEastAsia" w:hAnsiTheme="minorEastAsia" w:eastAsiaTheme="minorEastAsia"/>
          <w:sz w:val="32"/>
          <w:szCs w:val="32"/>
          <w:lang w:val="en-US" w:eastAsia="zh-CN"/>
        </w:rPr>
        <w:t>2020年</w:t>
      </w:r>
      <w:r>
        <w:rPr>
          <w:rFonts w:hint="eastAsia" w:asciiTheme="minorEastAsia" w:hAnsiTheme="minorEastAsia" w:eastAsiaTheme="minorEastAsia"/>
          <w:sz w:val="32"/>
          <w:szCs w:val="32"/>
        </w:rPr>
        <w:t>度财政拨款收、支总计</w:t>
      </w:r>
      <w:r>
        <w:rPr>
          <w:rFonts w:hint="eastAsia" w:asciiTheme="minorEastAsia" w:hAnsiTheme="minorEastAsia" w:eastAsiaTheme="minorEastAsia"/>
          <w:sz w:val="32"/>
          <w:szCs w:val="32"/>
          <w:lang w:val="en-US" w:eastAsia="zh-CN"/>
        </w:rPr>
        <w:t>7,522.02万元，</w:t>
      </w:r>
      <w:r>
        <w:rPr>
          <w:rFonts w:hint="eastAsia" w:asciiTheme="minorEastAsia" w:hAnsiTheme="minorEastAsia" w:eastAsiaTheme="minorEastAsia"/>
          <w:sz w:val="32"/>
          <w:szCs w:val="32"/>
        </w:rPr>
        <w:t>与上年相比，减少1,943.08万元,减少25.83%%，主要是因为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2021年一般公共预算财政拨款减少。</w:t>
      </w:r>
    </w:p>
    <w:p>
      <w:pPr>
        <w:pStyle w:val="9"/>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2021年度财政拨款支出2,789.47万元，占本年支出合计的</w:t>
      </w:r>
      <w:r>
        <w:rPr>
          <w:rFonts w:hint="eastAsia" w:asciiTheme="minorEastAsia" w:hAnsiTheme="minorEastAsia" w:eastAsiaTheme="minorEastAsia"/>
          <w:sz w:val="32"/>
          <w:szCs w:val="32"/>
          <w:lang w:val="en-US" w:eastAsia="zh-CN"/>
        </w:rPr>
        <w:t>78.25%</w:t>
      </w:r>
      <w:r>
        <w:rPr>
          <w:rFonts w:hint="eastAsia" w:asciiTheme="minorEastAsia" w:hAnsiTheme="minorEastAsia" w:eastAsiaTheme="minorEastAsia"/>
          <w:sz w:val="32"/>
          <w:szCs w:val="32"/>
        </w:rPr>
        <w:t>，与上年相比，财政拨款支出减少737.27万元，减少20.91%，主要是因为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1、2021年度安排的项目支出减少。2、2021年度教师人员减少。</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2021年度财政拨款支出2,789.47万元，主要用于以下方面：教育支出2,789.47万元，占</w:t>
      </w:r>
      <w:r>
        <w:rPr>
          <w:rFonts w:hint="eastAsia" w:asciiTheme="minorEastAsia" w:hAnsiTheme="minorEastAsia" w:eastAsiaTheme="minorEastAsia"/>
          <w:sz w:val="32"/>
          <w:szCs w:val="32"/>
          <w:lang w:val="en-US" w:eastAsia="zh-CN"/>
        </w:rPr>
        <w:t>100.00</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w:t>
      </w:r>
      <w:r>
        <w:rPr>
          <w:rFonts w:hint="eastAsia" w:asciiTheme="minorEastAsia" w:hAnsiTheme="minorEastAsia" w:eastAsiaTheme="minorEastAsia"/>
          <w:sz w:val="32"/>
          <w:szCs w:val="32"/>
          <w:highlight w:val="none"/>
        </w:rPr>
        <w:t>为3,836.19万元，支出</w:t>
      </w:r>
      <w:r>
        <w:rPr>
          <w:rFonts w:hint="eastAsia" w:asciiTheme="minorEastAsia" w:hAnsiTheme="minorEastAsia" w:eastAsiaTheme="minorEastAsia"/>
          <w:sz w:val="32"/>
          <w:szCs w:val="32"/>
        </w:rPr>
        <w:t>决算数为2,789.47万元，完成年初预算的72.71%，其中：</w:t>
      </w:r>
    </w:p>
    <w:p>
      <w:pPr>
        <w:pStyle w:val="9"/>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rPr>
        <w:t>1、教</w:t>
      </w:r>
      <w:r>
        <w:rPr>
          <w:rFonts w:hint="eastAsia" w:asciiTheme="minorEastAsia" w:hAnsiTheme="minorEastAsia" w:eastAsiaTheme="minorEastAsia"/>
          <w:sz w:val="32"/>
          <w:szCs w:val="32"/>
          <w:highlight w:val="none"/>
        </w:rPr>
        <w:t>育支出（类）教育管理事务（款）行政运行（项）。</w:t>
      </w:r>
    </w:p>
    <w:p>
      <w:pPr>
        <w:pStyle w:val="9"/>
        <w:ind w:firstLine="800" w:firstLineChars="250"/>
        <w:rPr>
          <w:rFonts w:hint="eastAsia" w:asciiTheme="minorEastAsia" w:hAnsiTheme="minorEastAsia" w:eastAsiaTheme="minorEastAsia"/>
          <w:sz w:val="32"/>
          <w:szCs w:val="32"/>
          <w:highlight w:val="none"/>
          <w:lang w:val="en-US" w:eastAsia="zh-CN"/>
        </w:rPr>
      </w:pPr>
      <w:r>
        <w:rPr>
          <w:rFonts w:hint="eastAsia" w:asciiTheme="minorEastAsia" w:hAnsiTheme="minorEastAsia" w:eastAsiaTheme="minorEastAsia"/>
          <w:sz w:val="32"/>
          <w:szCs w:val="32"/>
          <w:highlight w:val="none"/>
        </w:rPr>
        <w:t>年初预算为</w:t>
      </w:r>
      <w:r>
        <w:rPr>
          <w:rFonts w:hint="default" w:asciiTheme="minorEastAsia" w:hAnsiTheme="minorEastAsia" w:eastAsiaTheme="minorEastAsia"/>
          <w:sz w:val="32"/>
          <w:szCs w:val="32"/>
          <w:highlight w:val="none"/>
          <w:lang w:val="en-US" w:eastAsia="zh-CN"/>
        </w:rPr>
        <w:t>835.20</w:t>
      </w:r>
      <w:r>
        <w:rPr>
          <w:rFonts w:hint="eastAsia" w:asciiTheme="minorEastAsia" w:hAnsiTheme="minorEastAsia" w:eastAsiaTheme="minorEastAsia"/>
          <w:sz w:val="32"/>
          <w:szCs w:val="32"/>
          <w:highlight w:val="none"/>
        </w:rPr>
        <w:t>万元，支出决算为715.40万元，完成年初预算的</w:t>
      </w:r>
      <w:r>
        <w:rPr>
          <w:rFonts w:hint="eastAsia" w:asciiTheme="minorEastAsia" w:hAnsiTheme="minorEastAsia" w:eastAsiaTheme="minorEastAsia"/>
          <w:sz w:val="32"/>
          <w:szCs w:val="32"/>
          <w:highlight w:val="none"/>
          <w:lang w:val="en-US" w:eastAsia="zh-CN"/>
        </w:rPr>
        <w:t>85.66%</w:t>
      </w:r>
      <w:r>
        <w:rPr>
          <w:rFonts w:hint="eastAsia" w:asciiTheme="minorEastAsia" w:hAnsiTheme="minorEastAsia" w:eastAsiaTheme="minorEastAsia"/>
          <w:sz w:val="32"/>
          <w:szCs w:val="32"/>
          <w:highlight w:val="none"/>
        </w:rPr>
        <w:t>，决算数小于年初预算数的主要原因是：</w:t>
      </w:r>
      <w:r>
        <w:rPr>
          <w:rFonts w:hint="eastAsia" w:asciiTheme="minorEastAsia" w:hAnsiTheme="minorEastAsia" w:eastAsiaTheme="minorEastAsia"/>
          <w:sz w:val="32"/>
          <w:szCs w:val="32"/>
          <w:highlight w:val="none"/>
          <w:lang w:val="en-US" w:eastAsia="zh-CN"/>
        </w:rPr>
        <w:t>严格控制一般性支出。</w:t>
      </w:r>
    </w:p>
    <w:p>
      <w:pPr>
        <w:pStyle w:val="9"/>
        <w:numPr>
          <w:ilvl w:val="0"/>
          <w:numId w:val="2"/>
        </w:numPr>
        <w:ind w:firstLine="800" w:firstLineChars="25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教育支出（类）普通教育（款）小学教育（项）。</w:t>
      </w:r>
    </w:p>
    <w:p>
      <w:pPr>
        <w:pStyle w:val="9"/>
        <w:numPr>
          <w:ilvl w:val="0"/>
          <w:numId w:val="0"/>
        </w:numPr>
        <w:ind w:firstLine="640" w:firstLineChars="20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年初预算为</w:t>
      </w:r>
      <w:r>
        <w:rPr>
          <w:rFonts w:hint="default" w:asciiTheme="minorEastAsia" w:hAnsiTheme="minorEastAsia" w:eastAsiaTheme="minorEastAsia"/>
          <w:sz w:val="32"/>
          <w:szCs w:val="32"/>
          <w:highlight w:val="none"/>
          <w:lang w:val="en-US" w:eastAsia="zh-CN"/>
        </w:rPr>
        <w:t>1,840.20</w:t>
      </w:r>
      <w:r>
        <w:rPr>
          <w:rFonts w:hint="eastAsia" w:asciiTheme="minorEastAsia" w:hAnsiTheme="minorEastAsia" w:eastAsiaTheme="minorEastAsia"/>
          <w:sz w:val="32"/>
          <w:szCs w:val="32"/>
          <w:highlight w:val="none"/>
        </w:rPr>
        <w:t>万元，支出决算为1,224.99万元，完成年初预算的</w:t>
      </w:r>
      <w:r>
        <w:rPr>
          <w:rFonts w:hint="eastAsia" w:asciiTheme="minorEastAsia" w:hAnsiTheme="minorEastAsia" w:eastAsiaTheme="minorEastAsia"/>
          <w:sz w:val="32"/>
          <w:szCs w:val="32"/>
          <w:highlight w:val="none"/>
          <w:lang w:val="en-US" w:eastAsia="zh-CN"/>
        </w:rPr>
        <w:t>66.57%</w:t>
      </w:r>
      <w:r>
        <w:rPr>
          <w:rFonts w:hint="eastAsia" w:asciiTheme="minorEastAsia" w:hAnsiTheme="minorEastAsia" w:eastAsiaTheme="minorEastAsia"/>
          <w:sz w:val="32"/>
          <w:szCs w:val="32"/>
          <w:highlight w:val="none"/>
        </w:rPr>
        <w:t>，决算数小于年初预算数的主要原因是：</w:t>
      </w:r>
      <w:r>
        <w:rPr>
          <w:rFonts w:hint="eastAsia" w:asciiTheme="minorEastAsia" w:hAnsiTheme="minorEastAsia" w:eastAsiaTheme="minorEastAsia"/>
          <w:sz w:val="32"/>
          <w:szCs w:val="32"/>
          <w:highlight w:val="none"/>
          <w:lang w:val="en-US" w:eastAsia="zh-CN"/>
        </w:rPr>
        <w:t>严格控制一般性支出。</w:t>
      </w:r>
    </w:p>
    <w:p>
      <w:pPr>
        <w:pStyle w:val="9"/>
        <w:numPr>
          <w:ilvl w:val="0"/>
          <w:numId w:val="2"/>
        </w:numPr>
        <w:ind w:firstLine="800" w:firstLineChars="25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教育支出（类）普通教育（款）初中教育（项）。</w:t>
      </w:r>
    </w:p>
    <w:p>
      <w:pPr>
        <w:pStyle w:val="9"/>
        <w:numPr>
          <w:ilvl w:val="0"/>
          <w:numId w:val="0"/>
        </w:numPr>
        <w:ind w:firstLine="640" w:firstLineChars="200"/>
        <w:rPr>
          <w:rFonts w:hint="eastAsia" w:asciiTheme="minorEastAsia" w:hAnsiTheme="minorEastAsia" w:eastAsiaTheme="minorEastAsia"/>
          <w:sz w:val="32"/>
          <w:szCs w:val="32"/>
          <w:highlight w:val="none"/>
          <w:lang w:val="en-US" w:eastAsia="zh-CN"/>
        </w:rPr>
      </w:pPr>
      <w:r>
        <w:rPr>
          <w:rFonts w:hint="eastAsia" w:asciiTheme="minorEastAsia" w:hAnsiTheme="minorEastAsia" w:eastAsiaTheme="minorEastAsia"/>
          <w:sz w:val="32"/>
          <w:szCs w:val="32"/>
          <w:highlight w:val="none"/>
        </w:rPr>
        <w:t>年初预算为</w:t>
      </w:r>
      <w:r>
        <w:rPr>
          <w:rFonts w:hint="default" w:asciiTheme="minorEastAsia" w:hAnsiTheme="minorEastAsia" w:eastAsiaTheme="minorEastAsia"/>
          <w:sz w:val="32"/>
          <w:szCs w:val="32"/>
          <w:highlight w:val="none"/>
          <w:lang w:val="en-US" w:eastAsia="zh-CN"/>
        </w:rPr>
        <w:t>1,155.05</w:t>
      </w:r>
      <w:r>
        <w:rPr>
          <w:rFonts w:hint="eastAsia" w:asciiTheme="minorEastAsia" w:hAnsiTheme="minorEastAsia" w:eastAsiaTheme="minorEastAsia"/>
          <w:sz w:val="32"/>
          <w:szCs w:val="32"/>
          <w:highlight w:val="none"/>
        </w:rPr>
        <w:t>万元，支出决算为844.18万元，完成年初预算的</w:t>
      </w:r>
      <w:r>
        <w:rPr>
          <w:rFonts w:hint="eastAsia" w:asciiTheme="minorEastAsia" w:hAnsiTheme="minorEastAsia" w:eastAsiaTheme="minorEastAsia"/>
          <w:sz w:val="32"/>
          <w:szCs w:val="32"/>
          <w:highlight w:val="none"/>
          <w:lang w:val="en-US" w:eastAsia="zh-CN"/>
        </w:rPr>
        <w:t>73.09%</w:t>
      </w:r>
      <w:r>
        <w:rPr>
          <w:rFonts w:hint="eastAsia" w:asciiTheme="minorEastAsia" w:hAnsiTheme="minorEastAsia" w:eastAsiaTheme="minorEastAsia"/>
          <w:sz w:val="32"/>
          <w:szCs w:val="32"/>
          <w:highlight w:val="none"/>
        </w:rPr>
        <w:t>，决算数小于年初预算数的主要原因是：</w:t>
      </w:r>
      <w:r>
        <w:rPr>
          <w:rFonts w:hint="eastAsia" w:asciiTheme="minorEastAsia" w:hAnsiTheme="minorEastAsia" w:eastAsiaTheme="minorEastAsia"/>
          <w:sz w:val="32"/>
          <w:szCs w:val="32"/>
          <w:highlight w:val="none"/>
          <w:lang w:val="en-US" w:eastAsia="zh-CN"/>
        </w:rPr>
        <w:t>严格控制一般性支出。</w:t>
      </w:r>
    </w:p>
    <w:p>
      <w:pPr>
        <w:pStyle w:val="9"/>
        <w:numPr>
          <w:ilvl w:val="0"/>
          <w:numId w:val="0"/>
        </w:numPr>
        <w:ind w:firstLine="640" w:firstLineChars="20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lang w:val="en-US" w:eastAsia="zh-CN"/>
        </w:rPr>
        <w:t>4、</w:t>
      </w:r>
      <w:r>
        <w:rPr>
          <w:rFonts w:hint="eastAsia" w:asciiTheme="minorEastAsia" w:hAnsiTheme="minorEastAsia" w:eastAsiaTheme="minorEastAsia"/>
          <w:sz w:val="32"/>
          <w:szCs w:val="32"/>
          <w:highlight w:val="none"/>
        </w:rPr>
        <w:t>教育支出（类）其他教育支出（款）其他教育支出（项）</w:t>
      </w:r>
      <w:r>
        <w:rPr>
          <w:rFonts w:hint="eastAsia" w:asciiTheme="minorEastAsia" w:hAnsiTheme="minorEastAsia" w:eastAsiaTheme="minorEastAsia"/>
          <w:sz w:val="32"/>
          <w:szCs w:val="32"/>
          <w:highlight w:val="none"/>
          <w:lang w:eastAsia="zh-CN"/>
        </w:rPr>
        <w:t>。</w:t>
      </w:r>
    </w:p>
    <w:p>
      <w:pPr>
        <w:pStyle w:val="9"/>
        <w:numPr>
          <w:ilvl w:val="0"/>
          <w:numId w:val="0"/>
        </w:numPr>
        <w:ind w:firstLine="640" w:firstLineChars="200"/>
        <w:rPr>
          <w:rFonts w:hint="eastAsia"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年初预算为</w:t>
      </w:r>
      <w:r>
        <w:rPr>
          <w:rFonts w:hint="default" w:asciiTheme="minorEastAsia" w:hAnsiTheme="minorEastAsia" w:eastAsiaTheme="minorEastAsia"/>
          <w:sz w:val="32"/>
          <w:szCs w:val="32"/>
          <w:highlight w:val="none"/>
          <w:lang w:val="en-US" w:eastAsia="zh-CN"/>
        </w:rPr>
        <w:t>5.74</w:t>
      </w:r>
      <w:r>
        <w:rPr>
          <w:rFonts w:hint="eastAsia" w:asciiTheme="minorEastAsia" w:hAnsiTheme="minorEastAsia" w:eastAsiaTheme="minorEastAsia"/>
          <w:sz w:val="32"/>
          <w:szCs w:val="32"/>
          <w:highlight w:val="none"/>
        </w:rPr>
        <w:t>万元，支出决算为4.89万元，完成年初预算的</w:t>
      </w:r>
      <w:r>
        <w:rPr>
          <w:rFonts w:hint="eastAsia" w:asciiTheme="minorEastAsia" w:hAnsiTheme="minorEastAsia" w:eastAsiaTheme="minorEastAsia"/>
          <w:sz w:val="32"/>
          <w:szCs w:val="32"/>
          <w:highlight w:val="none"/>
          <w:lang w:val="en-US" w:eastAsia="zh-CN"/>
        </w:rPr>
        <w:t>85.19%</w:t>
      </w:r>
      <w:r>
        <w:rPr>
          <w:rFonts w:hint="eastAsia" w:asciiTheme="minorEastAsia" w:hAnsiTheme="minorEastAsia" w:eastAsiaTheme="minorEastAsia"/>
          <w:sz w:val="32"/>
          <w:szCs w:val="32"/>
          <w:highlight w:val="none"/>
        </w:rPr>
        <w:t>，决算数小于年初预算数的主要原因是：</w:t>
      </w:r>
      <w:r>
        <w:rPr>
          <w:rFonts w:hint="eastAsia" w:asciiTheme="minorEastAsia" w:hAnsiTheme="minorEastAsia" w:eastAsiaTheme="minorEastAsia"/>
          <w:sz w:val="32"/>
          <w:szCs w:val="32"/>
          <w:highlight w:val="none"/>
          <w:lang w:val="en-US" w:eastAsia="zh-CN"/>
        </w:rPr>
        <w:t>严格控制一般性支出。</w:t>
      </w:r>
    </w:p>
    <w:p>
      <w:pPr>
        <w:pStyle w:val="9"/>
        <w:numPr>
          <w:ilvl w:val="0"/>
          <w:numId w:val="0"/>
        </w:numPr>
        <w:rPr>
          <w:rFonts w:hAnsi="黑体"/>
          <w:b/>
          <w:sz w:val="32"/>
          <w:szCs w:val="32"/>
          <w:highlight w:val="none"/>
        </w:rPr>
      </w:pPr>
      <w:r>
        <w:rPr>
          <w:rFonts w:hint="eastAsia" w:hAnsi="黑体"/>
          <w:b/>
          <w:sz w:val="32"/>
          <w:szCs w:val="32"/>
          <w:highlight w:val="none"/>
        </w:rPr>
        <w:t>六、一般公共预算财政拨款基本支出决算情况说明</w:t>
      </w:r>
    </w:p>
    <w:p>
      <w:pPr>
        <w:pStyle w:val="9"/>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2784.58</w:t>
      </w:r>
      <w:r>
        <w:rPr>
          <w:rFonts w:hint="eastAsia" w:asciiTheme="minorEastAsia" w:hAnsiTheme="minorEastAsia" w:eastAsiaTheme="minorEastAsia"/>
          <w:sz w:val="32"/>
          <w:szCs w:val="32"/>
        </w:rPr>
        <w:t>万元，其中：人员经费2,720.15万元，占基本支出的97.69%,主要包括基本工资969.19</w:t>
      </w:r>
      <w:r>
        <w:rPr>
          <w:rFonts w:hint="eastAsia" w:asciiTheme="minorEastAsia" w:hAnsiTheme="minorEastAsia" w:eastAsiaTheme="minorEastAsia"/>
          <w:sz w:val="32"/>
          <w:szCs w:val="32"/>
          <w:lang w:eastAsia="zh-CN"/>
        </w:rPr>
        <w:t>万元</w:t>
      </w:r>
      <w:r>
        <w:rPr>
          <w:rFonts w:hint="eastAsia" w:asciiTheme="minorEastAsia" w:hAnsiTheme="minorEastAsia" w:eastAsiaTheme="minorEastAsia"/>
          <w:sz w:val="32"/>
          <w:szCs w:val="32"/>
        </w:rPr>
        <w:t>、津贴补贴295.40</w:t>
      </w:r>
      <w:r>
        <w:rPr>
          <w:rFonts w:hint="eastAsia" w:asciiTheme="minorEastAsia" w:hAnsiTheme="minorEastAsia" w:eastAsiaTheme="minorEastAsia"/>
          <w:sz w:val="32"/>
          <w:szCs w:val="32"/>
          <w:lang w:eastAsia="zh-CN"/>
        </w:rPr>
        <w:t>万元</w:t>
      </w:r>
      <w:r>
        <w:rPr>
          <w:rFonts w:hint="eastAsia" w:asciiTheme="minorEastAsia" w:hAnsiTheme="minorEastAsia" w:eastAsiaTheme="minorEastAsia"/>
          <w:sz w:val="32"/>
          <w:szCs w:val="32"/>
        </w:rPr>
        <w:t>、奖金213.82</w:t>
      </w:r>
      <w:r>
        <w:rPr>
          <w:rFonts w:hint="eastAsia" w:asciiTheme="minorEastAsia" w:hAnsiTheme="minorEastAsia" w:eastAsiaTheme="minorEastAsia"/>
          <w:sz w:val="32"/>
          <w:szCs w:val="32"/>
          <w:lang w:eastAsia="zh-CN"/>
        </w:rPr>
        <w:t>万元</w:t>
      </w:r>
      <w:r>
        <w:rPr>
          <w:rFonts w:hint="eastAsia" w:asciiTheme="minorEastAsia" w:hAnsiTheme="minorEastAsia" w:eastAsiaTheme="minorEastAsia"/>
          <w:sz w:val="32"/>
          <w:szCs w:val="32"/>
        </w:rPr>
        <w:t>、伙食补助费4.12</w:t>
      </w:r>
      <w:r>
        <w:rPr>
          <w:rFonts w:hint="eastAsia" w:asciiTheme="minorEastAsia" w:hAnsiTheme="minorEastAsia" w:eastAsiaTheme="minorEastAsia"/>
          <w:sz w:val="32"/>
          <w:szCs w:val="32"/>
          <w:lang w:eastAsia="zh-CN"/>
        </w:rPr>
        <w:t>万元、绩效工资542.91万元、机关事业单位基本养老保险缴费268.69万元、职工基本医疗保险缴费143.12万元、  其他社会保障缴费21.78万元、住房公积金187.33万元、其他工资福利支出73.78万元</w:t>
      </w:r>
      <w:r>
        <w:rPr>
          <w:rFonts w:hint="eastAsia" w:asciiTheme="minorEastAsia" w:hAnsiTheme="minorEastAsia" w:eastAsiaTheme="minorEastAsia"/>
          <w:sz w:val="32"/>
          <w:szCs w:val="32"/>
        </w:rPr>
        <w:t>；公用经费64.43万元，占基本支出的2.31%，主要包括办公费5.43</w:t>
      </w:r>
      <w:r>
        <w:rPr>
          <w:rFonts w:hint="eastAsia" w:asciiTheme="minorEastAsia" w:hAnsiTheme="minorEastAsia" w:eastAsiaTheme="minorEastAsia"/>
          <w:sz w:val="32"/>
          <w:szCs w:val="32"/>
          <w:lang w:eastAsia="zh-CN"/>
        </w:rPr>
        <w:t>万元</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水</w:t>
      </w:r>
      <w:r>
        <w:rPr>
          <w:rFonts w:hint="eastAsia" w:asciiTheme="minorEastAsia" w:hAnsiTheme="minorEastAsia" w:eastAsiaTheme="minorEastAsia"/>
          <w:sz w:val="32"/>
          <w:szCs w:val="32"/>
        </w:rPr>
        <w:t>费1.81</w:t>
      </w:r>
      <w:r>
        <w:rPr>
          <w:rFonts w:hint="eastAsia" w:asciiTheme="minorEastAsia" w:hAnsiTheme="minorEastAsia" w:eastAsiaTheme="minorEastAsia"/>
          <w:sz w:val="32"/>
          <w:szCs w:val="32"/>
          <w:lang w:eastAsia="zh-CN"/>
        </w:rPr>
        <w:t>万元</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电</w:t>
      </w:r>
      <w:r>
        <w:rPr>
          <w:rFonts w:hint="eastAsia" w:asciiTheme="minorEastAsia" w:hAnsiTheme="minorEastAsia" w:eastAsiaTheme="minorEastAsia"/>
          <w:sz w:val="32"/>
          <w:szCs w:val="32"/>
        </w:rPr>
        <w:t>费9.65</w:t>
      </w:r>
      <w:r>
        <w:rPr>
          <w:rFonts w:hint="eastAsia" w:asciiTheme="minorEastAsia" w:hAnsiTheme="minorEastAsia" w:eastAsiaTheme="minorEastAsia"/>
          <w:sz w:val="32"/>
          <w:szCs w:val="32"/>
          <w:lang w:eastAsia="zh-CN"/>
        </w:rPr>
        <w:t>万元</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邮电费5.57万元、差旅费5.53万元</w:t>
      </w:r>
      <w:bookmarkStart w:id="3" w:name="_GoBack"/>
      <w:bookmarkEnd w:id="3"/>
      <w:r>
        <w:rPr>
          <w:rFonts w:hint="eastAsia" w:asciiTheme="minorEastAsia" w:hAnsiTheme="minorEastAsia" w:eastAsiaTheme="minorEastAsia"/>
          <w:sz w:val="32"/>
          <w:szCs w:val="32"/>
          <w:lang w:eastAsia="zh-CN"/>
        </w:rPr>
        <w:t>、租赁费1.37万元、会议费3.16万元、培训费1.83万元、工会经费18.20万元、福利费11.88万元</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2021年度本单位无“三公”经费支出。</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2021年度本单位无“三公”经费支出。</w:t>
      </w:r>
    </w:p>
    <w:p>
      <w:pPr>
        <w:pStyle w:val="9"/>
        <w:rPr>
          <w:rFonts w:hAnsi="黑体"/>
          <w:b/>
          <w:sz w:val="32"/>
          <w:szCs w:val="32"/>
        </w:rPr>
      </w:pPr>
      <w:r>
        <w:rPr>
          <w:rFonts w:hint="eastAsia" w:hAnsi="黑体"/>
          <w:b/>
          <w:sz w:val="32"/>
          <w:szCs w:val="32"/>
        </w:rPr>
        <w:t>八、政府性基金预算收入支出决算情况</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2021年度本单位无政府性基金预算收支。</w:t>
      </w:r>
    </w:p>
    <w:p>
      <w:pPr>
        <w:pStyle w:val="9"/>
        <w:rPr>
          <w:rFonts w:hAnsi="黑体"/>
          <w:b/>
          <w:sz w:val="32"/>
          <w:szCs w:val="32"/>
        </w:rPr>
      </w:pPr>
      <w:r>
        <w:rPr>
          <w:rFonts w:hint="eastAsia" w:hAnsi="黑体"/>
          <w:b/>
          <w:sz w:val="32"/>
          <w:szCs w:val="32"/>
        </w:rPr>
        <w:t>九、机关运行经费支出说明</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本</w:t>
      </w:r>
      <w:r>
        <w:rPr>
          <w:rFonts w:hint="eastAsia" w:asciiTheme="minorEastAsia" w:hAnsiTheme="minorEastAsia" w:eastAsiaTheme="minorEastAsia"/>
          <w:sz w:val="32"/>
          <w:szCs w:val="32"/>
          <w:lang w:eastAsia="zh-CN"/>
        </w:rPr>
        <w:t>单位</w:t>
      </w:r>
      <w:r>
        <w:rPr>
          <w:rFonts w:hint="eastAsia" w:asciiTheme="minorEastAsia" w:hAnsiTheme="minorEastAsia" w:eastAsiaTheme="minorEastAsia"/>
          <w:sz w:val="32"/>
          <w:szCs w:val="32"/>
        </w:rPr>
        <w:t>2021年度机关运行经费支出64.43万元，比上年决算数</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rPr>
        <w:t>359.43 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rPr>
        <w:t>84.80%。主要原因是：严格控制机关运行经费支出。</w:t>
      </w:r>
    </w:p>
    <w:p>
      <w:pPr>
        <w:pStyle w:val="9"/>
        <w:rPr>
          <w:rFonts w:hAnsi="黑体"/>
          <w:b/>
          <w:sz w:val="32"/>
          <w:szCs w:val="32"/>
        </w:rPr>
      </w:pPr>
      <w:r>
        <w:rPr>
          <w:rFonts w:hint="eastAsia" w:hAnsi="黑体"/>
          <w:b/>
          <w:sz w:val="32"/>
          <w:szCs w:val="32"/>
        </w:rPr>
        <w:t>十、一般性支出情况说明</w:t>
      </w:r>
    </w:p>
    <w:p>
      <w:pPr>
        <w:pStyle w:val="9"/>
        <w:ind w:firstLine="640" w:firstLineChars="200"/>
        <w:rPr>
          <w:rFonts w:hint="eastAsia" w:asciiTheme="minorEastAsia" w:hAnsiTheme="minorEastAsia" w:eastAsiaTheme="minorEastAsia"/>
          <w:sz w:val="32"/>
          <w:szCs w:val="32"/>
          <w:highlight w:val="none"/>
          <w:lang w:eastAsia="zh-CN"/>
        </w:rPr>
      </w:pPr>
      <w:r>
        <w:rPr>
          <w:rFonts w:hint="eastAsia" w:asciiTheme="minorEastAsia" w:hAnsiTheme="minorEastAsia" w:eastAsiaTheme="minorEastAsia"/>
          <w:sz w:val="32"/>
          <w:szCs w:val="32"/>
          <w:highlight w:val="none"/>
        </w:rPr>
        <w:t>2021年本部门开支会议费3.16万元，用于召开学校教总会会议，人数</w:t>
      </w:r>
      <w:r>
        <w:rPr>
          <w:rFonts w:hint="default" w:asciiTheme="minorEastAsia" w:hAnsiTheme="minorEastAsia" w:eastAsiaTheme="minorEastAsia"/>
          <w:sz w:val="32"/>
          <w:szCs w:val="32"/>
          <w:highlight w:val="none"/>
          <w:lang w:val="en-US"/>
        </w:rPr>
        <w:t>38</w:t>
      </w:r>
      <w:r>
        <w:rPr>
          <w:rFonts w:hint="eastAsia" w:asciiTheme="minorEastAsia" w:hAnsiTheme="minorEastAsia" w:eastAsiaTheme="minorEastAsia"/>
          <w:sz w:val="32"/>
          <w:szCs w:val="32"/>
          <w:highlight w:val="none"/>
        </w:rPr>
        <w:t>人</w:t>
      </w:r>
      <w:r>
        <w:rPr>
          <w:rFonts w:hint="eastAsia" w:asciiTheme="minorEastAsia" w:hAnsiTheme="minorEastAsia" w:eastAsiaTheme="minorEastAsia"/>
          <w:sz w:val="32"/>
          <w:szCs w:val="32"/>
          <w:highlight w:val="none"/>
          <w:lang w:eastAsia="zh-CN"/>
        </w:rPr>
        <w:t>。</w:t>
      </w:r>
      <w:r>
        <w:rPr>
          <w:rFonts w:hint="eastAsia" w:asciiTheme="minorEastAsia" w:hAnsiTheme="minorEastAsia" w:eastAsiaTheme="minorEastAsia"/>
          <w:sz w:val="32"/>
          <w:szCs w:val="32"/>
          <w:highlight w:val="none"/>
        </w:rPr>
        <w:t>食堂管理会</w:t>
      </w:r>
      <w:r>
        <w:rPr>
          <w:rFonts w:hint="eastAsia" w:asciiTheme="minorEastAsia" w:hAnsiTheme="minorEastAsia" w:eastAsiaTheme="minorEastAsia"/>
          <w:sz w:val="32"/>
          <w:szCs w:val="32"/>
          <w:highlight w:val="none"/>
          <w:lang w:val="en-US" w:eastAsia="zh-CN"/>
        </w:rPr>
        <w:t>会议，人数27人。</w:t>
      </w:r>
      <w:r>
        <w:rPr>
          <w:rFonts w:hint="eastAsia" w:asciiTheme="minorEastAsia" w:hAnsiTheme="minorEastAsia" w:eastAsiaTheme="minorEastAsia"/>
          <w:sz w:val="32"/>
          <w:szCs w:val="32"/>
          <w:highlight w:val="none"/>
        </w:rPr>
        <w:t>开支培训费1.83万元，用于开展信息技术2.0培训</w:t>
      </w:r>
      <w:r>
        <w:rPr>
          <w:rFonts w:hint="eastAsia" w:asciiTheme="minorEastAsia" w:hAnsiTheme="minorEastAsia" w:eastAsiaTheme="minorEastAsia"/>
          <w:sz w:val="32"/>
          <w:szCs w:val="32"/>
          <w:highlight w:val="none"/>
          <w:lang w:eastAsia="zh-CN"/>
        </w:rPr>
        <w:t>课程</w:t>
      </w:r>
      <w:r>
        <w:rPr>
          <w:rFonts w:hint="eastAsia" w:asciiTheme="minorEastAsia" w:hAnsiTheme="minorEastAsia" w:eastAsiaTheme="minorEastAsia"/>
          <w:sz w:val="32"/>
          <w:szCs w:val="32"/>
          <w:highlight w:val="none"/>
        </w:rPr>
        <w:t>，人数</w:t>
      </w:r>
      <w:r>
        <w:rPr>
          <w:rFonts w:hint="eastAsia" w:asciiTheme="minorEastAsia" w:hAnsiTheme="minorEastAsia" w:eastAsiaTheme="minorEastAsia"/>
          <w:sz w:val="32"/>
          <w:szCs w:val="32"/>
          <w:highlight w:val="none"/>
          <w:lang w:val="en-US" w:eastAsia="zh-CN"/>
        </w:rPr>
        <w:t>158</w:t>
      </w:r>
      <w:r>
        <w:rPr>
          <w:rFonts w:hint="eastAsia" w:asciiTheme="minorEastAsia" w:hAnsiTheme="minorEastAsia" w:eastAsiaTheme="minorEastAsia"/>
          <w:sz w:val="32"/>
          <w:szCs w:val="32"/>
          <w:highlight w:val="none"/>
        </w:rPr>
        <w:t>人</w:t>
      </w:r>
      <w:r>
        <w:rPr>
          <w:rFonts w:hint="eastAsia" w:asciiTheme="minorEastAsia" w:hAnsiTheme="minorEastAsia" w:eastAsiaTheme="minorEastAsia"/>
          <w:sz w:val="32"/>
          <w:szCs w:val="32"/>
          <w:highlight w:val="none"/>
          <w:lang w:eastAsia="zh-CN"/>
        </w:rPr>
        <w:t>。校本教材培训，人数210人。课题开题培训人数78人。</w:t>
      </w:r>
    </w:p>
    <w:p>
      <w:pPr>
        <w:pStyle w:val="9"/>
        <w:rPr>
          <w:rFonts w:hAnsi="黑体"/>
          <w:b/>
          <w:sz w:val="32"/>
          <w:szCs w:val="32"/>
          <w:highlight w:val="none"/>
        </w:rPr>
      </w:pPr>
      <w:r>
        <w:rPr>
          <w:rFonts w:hint="eastAsia" w:hAnsi="黑体"/>
          <w:b/>
          <w:sz w:val="32"/>
          <w:szCs w:val="32"/>
          <w:highlight w:val="none"/>
        </w:rPr>
        <w:t>十一、政府采购支出说明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w:t>
      </w:r>
      <w:r>
        <w:rPr>
          <w:rFonts w:hint="eastAsia" w:asciiTheme="minorEastAsia" w:hAnsiTheme="minorEastAsia" w:eastAsiaTheme="minorEastAsia"/>
          <w:sz w:val="32"/>
          <w:szCs w:val="32"/>
          <w:lang w:eastAsia="zh-CN"/>
        </w:rPr>
        <w:t>单位</w:t>
      </w:r>
      <w:r>
        <w:rPr>
          <w:rFonts w:hint="eastAsia" w:asciiTheme="minorEastAsia" w:hAnsiTheme="minorEastAsia" w:eastAsiaTheme="minorEastAsia"/>
          <w:sz w:val="32"/>
          <w:szCs w:val="32"/>
        </w:rPr>
        <w:t>2021年度政府采购支出总额256.92万元，其中：政府采购货物支出1.98万元、政府采购工程支出254.94万元。授予中小企业合同金额</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万元，占授予中小企业合同金额的</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%；货物采购授予中小企业合同金额占货物支出金额的</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%，工程采购授予中小企业合同金额占工程支出金额的</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十二、国有资产占用情况说明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9"/>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本单位为二级预算单位，无项目绩效，部门整体绩效为教育局负责，教育局已进行了绩效评价，并已公开，详情请见《教育局（汇总）20</w:t>
      </w:r>
      <w:r>
        <w:rPr>
          <w:rFonts w:hint="eastAsia" w:cs="黑体" w:asciiTheme="minorEastAsia" w:hAnsiTheme="minorEastAsia"/>
          <w:color w:val="000000"/>
          <w:kern w:val="0"/>
          <w:sz w:val="32"/>
          <w:szCs w:val="32"/>
          <w:lang w:val="en-US" w:eastAsia="zh-CN"/>
        </w:rPr>
        <w:t>21</w:t>
      </w:r>
      <w:r>
        <w:rPr>
          <w:rFonts w:hint="eastAsia" w:cs="黑体" w:asciiTheme="minorEastAsia" w:hAnsiTheme="minorEastAsia"/>
          <w:color w:val="000000"/>
          <w:kern w:val="0"/>
          <w:sz w:val="32"/>
          <w:szCs w:val="32"/>
        </w:rPr>
        <w:t>年度部门决算公开》。</w:t>
      </w:r>
    </w:p>
    <w:p>
      <w:pPr>
        <w:rPr>
          <w:sz w:val="72"/>
          <w:szCs w:val="72"/>
        </w:rPr>
      </w:pPr>
      <w:r>
        <w:rPr>
          <w:sz w:val="72"/>
          <w:szCs w:val="72"/>
        </w:rPr>
        <w:br w:type="page"/>
      </w: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both"/>
        <w:rPr>
          <w:sz w:val="72"/>
          <w:szCs w:val="72"/>
        </w:rPr>
      </w:pPr>
    </w:p>
    <w:p>
      <w:pPr>
        <w:pStyle w:val="9"/>
        <w:jc w:val="center"/>
        <w:rPr>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cs="黑体" w:asciiTheme="minorEastAsia" w:hAnsiTheme="minorEastAsia"/>
          <w:color w:val="000000"/>
          <w:kern w:val="0"/>
          <w:sz w:val="32"/>
          <w:szCs w:val="32"/>
        </w:rPr>
      </w:pPr>
      <w:r>
        <w:rPr>
          <w:rFonts w:ascii="黑体" w:eastAsia="黑体" w:cs="黑体"/>
          <w:color w:val="000000"/>
          <w:kern w:val="0"/>
          <w:sz w:val="70"/>
          <w:szCs w:val="70"/>
        </w:rPr>
        <w:br w:type="page"/>
      </w:r>
    </w:p>
    <w:p>
      <w:pPr>
        <w:keepNext w:val="0"/>
        <w:keepLines w:val="0"/>
        <w:pageBreakBefore w:val="0"/>
        <w:widowControl w:val="0"/>
        <w:kinsoku/>
        <w:wordWrap/>
        <w:overflowPunct/>
        <w:topLinePunct w:val="0"/>
        <w:autoSpaceDE/>
        <w:autoSpaceDN/>
        <w:bidi w:val="0"/>
        <w:adjustRightInd/>
        <w:snapToGrid/>
        <w:ind w:left="735" w:leftChars="350"/>
        <w:textAlignment w:val="auto"/>
        <w:rPr>
          <w:rFonts w:asciiTheme="minorEastAsia" w:hAnsiTheme="minorEastAsia"/>
          <w:sz w:val="28"/>
          <w:szCs w:val="28"/>
        </w:rPr>
      </w:pPr>
      <w:r>
        <w:rPr>
          <w:rFonts w:hint="eastAsia" w:asciiTheme="minorEastAsia" w:hAnsiTheme="minorEastAsia"/>
          <w:sz w:val="28"/>
          <w:szCs w:val="28"/>
        </w:rPr>
        <w:t>一、财政拨款收入：指中央财政当年拨付的资金。</w:t>
      </w:r>
    </w:p>
    <w:p>
      <w:pPr>
        <w:ind w:firstLine="700" w:firstLineChars="250"/>
        <w:rPr>
          <w:rFonts w:asciiTheme="minorEastAsia" w:hAnsiTheme="minorEastAsia"/>
          <w:sz w:val="28"/>
          <w:szCs w:val="28"/>
        </w:rPr>
      </w:pPr>
      <w:r>
        <w:rPr>
          <w:rFonts w:hint="eastAsia" w:asciiTheme="minorEastAsia" w:hAnsiTheme="minorEastAsia"/>
          <w:sz w:val="28"/>
          <w:szCs w:val="28"/>
        </w:rPr>
        <w:t>二、其他收入：指除“财政拨款收入”、“事业收入”、“经营收入”等以外的收入。主要是按规定动用的售房收入、存款利息收入等。</w:t>
      </w:r>
    </w:p>
    <w:p>
      <w:pPr>
        <w:ind w:firstLine="700" w:firstLineChars="250"/>
        <w:rPr>
          <w:rFonts w:asciiTheme="minorEastAsia" w:hAnsiTheme="minorEastAsia"/>
          <w:sz w:val="28"/>
          <w:szCs w:val="28"/>
        </w:rPr>
      </w:pPr>
      <w:r>
        <w:rPr>
          <w:rFonts w:hint="eastAsia" w:asciiTheme="minorEastAsia" w:hAnsiTheme="minorEastAsia"/>
          <w:sz w:val="28"/>
          <w:szCs w:val="28"/>
        </w:rPr>
        <w:t>三、基本支出：指为保障机构正常运转、完成日常工作任务而发生的人员支出和公用支出。</w:t>
      </w:r>
    </w:p>
    <w:p>
      <w:pPr>
        <w:ind w:firstLine="700" w:firstLineChars="250"/>
        <w:rPr>
          <w:rFonts w:asciiTheme="minorEastAsia" w:hAnsiTheme="minorEastAsia"/>
          <w:sz w:val="28"/>
          <w:szCs w:val="28"/>
        </w:rPr>
      </w:pPr>
      <w:r>
        <w:rPr>
          <w:rFonts w:hint="eastAsia" w:asciiTheme="minorEastAsia" w:hAnsiTheme="minorEastAsia"/>
          <w:sz w:val="28"/>
          <w:szCs w:val="28"/>
        </w:rPr>
        <w:t>四、项目支出：指在基本支出之外为完成特定行政任务和事业发展目标所发生的支出。</w:t>
      </w:r>
    </w:p>
    <w:p>
      <w:pPr>
        <w:ind w:firstLine="700" w:firstLineChars="250"/>
        <w:rPr>
          <w:rFonts w:asciiTheme="minorEastAsia" w:hAnsiTheme="minorEastAsia"/>
          <w:sz w:val="28"/>
          <w:szCs w:val="28"/>
        </w:rPr>
      </w:pPr>
      <w:r>
        <w:rPr>
          <w:rFonts w:hint="eastAsia" w:asciiTheme="minorEastAsia" w:hAnsiTheme="minorEastAsia"/>
          <w:sz w:val="28"/>
          <w:szCs w:val="28"/>
        </w:rPr>
        <w:t>五、“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桥过路费、保险费、安全奖励费用等支出；公务接待费反映单位按规定开支的各类公务接待（含外宾接待）支出。</w:t>
      </w:r>
    </w:p>
    <w:p>
      <w:pPr>
        <w:ind w:firstLine="700" w:firstLineChars="250"/>
        <w:rPr>
          <w:sz w:val="72"/>
          <w:szCs w:val="72"/>
        </w:rPr>
      </w:pPr>
      <w:r>
        <w:rPr>
          <w:rFonts w:hint="eastAsia" w:asciiTheme="minorEastAsia" w:hAnsiTheme="minorEastAsia"/>
          <w:sz w:val="28"/>
          <w:szCs w:val="28"/>
        </w:rPr>
        <w:t>六、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p>
    <w:p>
      <w:pPr>
        <w:pStyle w:val="9"/>
        <w:jc w:val="center"/>
        <w:rPr>
          <w:sz w:val="72"/>
          <w:szCs w:val="72"/>
        </w:rPr>
      </w:pPr>
    </w:p>
    <w:p>
      <w:pPr>
        <w:pStyle w:val="9"/>
        <w:jc w:val="center"/>
        <w:rPr>
          <w:sz w:val="72"/>
          <w:szCs w:val="72"/>
        </w:rPr>
      </w:pPr>
    </w:p>
    <w:p>
      <w:pPr>
        <w:pStyle w:val="9"/>
        <w:jc w:val="center"/>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0F9B30B-CD33-4270-B4C5-A3E4B50B9B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E8C7B7E6-7307-45FA-A758-5464C3198DE1}"/>
  </w:font>
  <w:font w:name="华文中宋">
    <w:altName w:val="宋体"/>
    <w:panose1 w:val="02010600040101010101"/>
    <w:charset w:val="86"/>
    <w:family w:val="auto"/>
    <w:pitch w:val="default"/>
    <w:sig w:usb0="00000000" w:usb1="00000000" w:usb2="00000000" w:usb3="00000000" w:csb0="0004009F" w:csb1="DFD70000"/>
    <w:embedRegular r:id="rId3" w:fontKey="{B7FDA7B1-BD66-4794-B370-E70ADD8AC435}"/>
  </w:font>
  <w:font w:name="方正小标宋_GBK">
    <w:panose1 w:val="02000000000000000000"/>
    <w:charset w:val="86"/>
    <w:family w:val="script"/>
    <w:pitch w:val="default"/>
    <w:sig w:usb0="00000001" w:usb1="080E0000" w:usb2="00000000" w:usb3="00000000" w:csb0="00040000" w:csb1="00000000"/>
    <w:embedRegular r:id="rId4" w:fontKey="{ACDCC517-8593-4F29-B4F1-30DCF94E40C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D4AA11"/>
    <w:multiLevelType w:val="singleLevel"/>
    <w:tmpl w:val="DBD4AA11"/>
    <w:lvl w:ilvl="0" w:tentative="0">
      <w:start w:val="2"/>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MjhkNjc2ZDIwYTA3OTQxYWFjMjEwOTM2NjBiNDY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56F2E0E"/>
    <w:rsid w:val="076F725B"/>
    <w:rsid w:val="07C63511"/>
    <w:rsid w:val="0B8E67CE"/>
    <w:rsid w:val="0E2C462D"/>
    <w:rsid w:val="0F927D8A"/>
    <w:rsid w:val="13A24CF6"/>
    <w:rsid w:val="14A405FA"/>
    <w:rsid w:val="17403EB8"/>
    <w:rsid w:val="18AE032B"/>
    <w:rsid w:val="18BD625E"/>
    <w:rsid w:val="200F54C2"/>
    <w:rsid w:val="21D16F0C"/>
    <w:rsid w:val="24BE7724"/>
    <w:rsid w:val="276F5D64"/>
    <w:rsid w:val="2FE73D65"/>
    <w:rsid w:val="397E6371"/>
    <w:rsid w:val="3A1A0893"/>
    <w:rsid w:val="3BD94DE7"/>
    <w:rsid w:val="41356217"/>
    <w:rsid w:val="418A09F4"/>
    <w:rsid w:val="45D24DA9"/>
    <w:rsid w:val="491171F7"/>
    <w:rsid w:val="4A5968F1"/>
    <w:rsid w:val="4B332795"/>
    <w:rsid w:val="4E2F6E8C"/>
    <w:rsid w:val="4FAB21CD"/>
    <w:rsid w:val="52924404"/>
    <w:rsid w:val="52A572AA"/>
    <w:rsid w:val="52D470C1"/>
    <w:rsid w:val="57C641F3"/>
    <w:rsid w:val="592E26AC"/>
    <w:rsid w:val="5BA74C8D"/>
    <w:rsid w:val="5D485D02"/>
    <w:rsid w:val="5DB94316"/>
    <w:rsid w:val="5F227D4F"/>
    <w:rsid w:val="602E5EC4"/>
    <w:rsid w:val="602E6D7A"/>
    <w:rsid w:val="62962E80"/>
    <w:rsid w:val="62AC3DDE"/>
    <w:rsid w:val="65BC3D97"/>
    <w:rsid w:val="6C0F54CE"/>
    <w:rsid w:val="6C304474"/>
    <w:rsid w:val="6D7361B0"/>
    <w:rsid w:val="6F7F4C60"/>
    <w:rsid w:val="727F774C"/>
    <w:rsid w:val="72C75056"/>
    <w:rsid w:val="73CB617F"/>
    <w:rsid w:val="76B521FF"/>
    <w:rsid w:val="77EB1637"/>
    <w:rsid w:val="7DAA0CB5"/>
    <w:rsid w:val="7F5E1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5482</Words>
  <Characters>7553</Characters>
  <Lines>69</Lines>
  <Paragraphs>19</Paragraphs>
  <TotalTime>3</TotalTime>
  <ScaleCrop>false</ScaleCrop>
  <LinksUpToDate>false</LinksUpToDate>
  <CharactersWithSpaces>8745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栖</cp:lastModifiedBy>
  <cp:lastPrinted>2022-07-27T12:55:00Z</cp:lastPrinted>
  <dcterms:modified xsi:type="dcterms:W3CDTF">2022-10-17T01:20:49Z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89218D2E8BC947948AE0AE009137EEC6</vt:lpwstr>
  </property>
</Properties>
</file>