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6"/>
          <w:szCs w:val="36"/>
        </w:rPr>
      </w:pPr>
      <w:r>
        <w:rPr>
          <w:rFonts w:hint="eastAsia" w:ascii="黑体" w:eastAsia="黑体"/>
          <w:sz w:val="36"/>
          <w:szCs w:val="36"/>
        </w:rPr>
        <w:t>湘乡统计月报</w:t>
      </w:r>
    </w:p>
    <w:p>
      <w:pPr>
        <w:spacing w:line="380" w:lineRule="exact"/>
        <w:jc w:val="center"/>
        <w:rPr>
          <w:rFonts w:ascii="黑体" w:eastAsia="黑体"/>
          <w:sz w:val="32"/>
          <w:szCs w:val="32"/>
        </w:rPr>
      </w:pPr>
    </w:p>
    <w:p>
      <w:pPr>
        <w:spacing w:line="380" w:lineRule="exact"/>
        <w:jc w:val="center"/>
        <w:rPr>
          <w:rFonts w:hint="default" w:ascii="黑体" w:eastAsia="黑体"/>
          <w:sz w:val="32"/>
          <w:szCs w:val="32"/>
          <w:lang w:val="en-US" w:eastAsia="zh-CN"/>
        </w:rPr>
      </w:pPr>
      <w:r>
        <w:rPr>
          <w:rFonts w:hint="eastAsia" w:ascii="黑体" w:eastAsia="黑体"/>
          <w:sz w:val="32"/>
          <w:szCs w:val="32"/>
        </w:rPr>
        <w:t>202</w:t>
      </w:r>
      <w:r>
        <w:rPr>
          <w:rFonts w:hint="eastAsia" w:ascii="黑体" w:eastAsia="黑体"/>
          <w:sz w:val="32"/>
          <w:szCs w:val="32"/>
          <w:lang w:val="en-US" w:eastAsia="zh-CN"/>
        </w:rPr>
        <w:t>2</w:t>
      </w:r>
      <w:r>
        <w:rPr>
          <w:rFonts w:hint="eastAsia" w:ascii="黑体" w:eastAsia="黑体"/>
          <w:sz w:val="32"/>
          <w:szCs w:val="32"/>
        </w:rPr>
        <w:t>·</w:t>
      </w:r>
      <w:r>
        <w:rPr>
          <w:rFonts w:hint="eastAsia" w:ascii="黑体" w:eastAsia="黑体"/>
          <w:sz w:val="32"/>
          <w:szCs w:val="32"/>
          <w:lang w:val="en-US" w:eastAsia="zh-CN"/>
        </w:rPr>
        <w:t>12</w:t>
      </w: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r>
        <w:rPr>
          <w:rFonts w:hint="eastAsia" w:ascii="黑体" w:eastAsia="黑体"/>
          <w:sz w:val="32"/>
          <w:szCs w:val="32"/>
        </w:rPr>
        <w:t>湘乡市统计局</w:t>
      </w:r>
    </w:p>
    <w:p>
      <w:pPr>
        <w:spacing w:line="380" w:lineRule="exact"/>
        <w:jc w:val="center"/>
        <w:rPr>
          <w:rFonts w:ascii="黑体" w:eastAsia="黑体"/>
          <w:sz w:val="32"/>
          <w:szCs w:val="32"/>
        </w:rPr>
      </w:pPr>
      <w:r>
        <w:rPr>
          <w:rFonts w:ascii="黑体" w:eastAsia="黑体"/>
          <w:sz w:val="32"/>
          <w:szCs w:val="32"/>
        </w:rPr>
        <w:br w:type="page"/>
      </w: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left"/>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r>
        <w:rPr>
          <w:rFonts w:hint="eastAsia" w:ascii="黑体" w:eastAsia="黑体"/>
          <w:sz w:val="32"/>
          <w:szCs w:val="32"/>
        </w:rPr>
        <w:t>目    录</w:t>
      </w: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ind w:firstLine="1014" w:firstLineChars="300"/>
        <w:jc w:val="left"/>
        <w:rPr>
          <w:rFonts w:ascii="黑体" w:eastAsia="黑体"/>
          <w:sz w:val="32"/>
          <w:szCs w:val="32"/>
        </w:rPr>
      </w:pPr>
      <w:r>
        <w:rPr>
          <w:rFonts w:hint="eastAsia" w:ascii="黑体" w:eastAsia="黑体"/>
          <w:sz w:val="32"/>
          <w:szCs w:val="32"/>
        </w:rPr>
        <w:t>一、经济运行概况………………………………（1）</w:t>
      </w:r>
    </w:p>
    <w:p>
      <w:pPr>
        <w:spacing w:line="380" w:lineRule="exact"/>
        <w:ind w:firstLine="1014" w:firstLineChars="300"/>
        <w:jc w:val="left"/>
        <w:rPr>
          <w:rFonts w:ascii="黑体" w:eastAsia="黑体"/>
          <w:sz w:val="32"/>
          <w:szCs w:val="32"/>
        </w:rPr>
      </w:pPr>
      <w:r>
        <w:rPr>
          <w:rFonts w:hint="eastAsia" w:ascii="黑体" w:eastAsia="黑体"/>
          <w:sz w:val="32"/>
          <w:szCs w:val="32"/>
        </w:rPr>
        <w:t>二、综合…………………………………………（</w:t>
      </w:r>
      <w:r>
        <w:rPr>
          <w:rFonts w:hint="eastAsia" w:ascii="黑体" w:eastAsia="黑体"/>
          <w:sz w:val="32"/>
          <w:szCs w:val="32"/>
          <w:lang w:val="en-US" w:eastAsia="zh-CN"/>
        </w:rPr>
        <w:t>5</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三、</w:t>
      </w:r>
      <w:r>
        <w:rPr>
          <w:rFonts w:hint="eastAsia" w:ascii="黑体" w:eastAsia="黑体"/>
          <w:sz w:val="32"/>
          <w:szCs w:val="32"/>
          <w:lang w:eastAsia="zh-CN"/>
        </w:rPr>
        <w:t>地区</w:t>
      </w:r>
      <w:r>
        <w:rPr>
          <w:rFonts w:hint="eastAsia" w:ascii="黑体" w:eastAsia="黑体"/>
          <w:sz w:val="32"/>
          <w:szCs w:val="32"/>
        </w:rPr>
        <w:t>生产总值（GDP）…………………… （</w:t>
      </w:r>
      <w:r>
        <w:rPr>
          <w:rFonts w:hint="eastAsia" w:ascii="黑体" w:eastAsia="黑体"/>
          <w:sz w:val="32"/>
          <w:szCs w:val="32"/>
          <w:lang w:val="en-US" w:eastAsia="zh-CN"/>
        </w:rPr>
        <w:t>6</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四、财税 ……………………………………… （</w:t>
      </w:r>
      <w:r>
        <w:rPr>
          <w:rFonts w:hint="eastAsia" w:ascii="黑体" w:eastAsia="黑体"/>
          <w:sz w:val="32"/>
          <w:szCs w:val="32"/>
          <w:lang w:val="en-US" w:eastAsia="zh-CN"/>
        </w:rPr>
        <w:t>7</w:t>
      </w:r>
      <w:r>
        <w:rPr>
          <w:rFonts w:hint="eastAsia" w:ascii="黑体" w:eastAsia="黑体"/>
          <w:sz w:val="32"/>
          <w:szCs w:val="32"/>
        </w:rPr>
        <w:t>）</w:t>
      </w:r>
    </w:p>
    <w:p>
      <w:pPr>
        <w:spacing w:line="380" w:lineRule="exact"/>
        <w:ind w:firstLine="986" w:firstLineChars="292"/>
        <w:jc w:val="left"/>
        <w:rPr>
          <w:rFonts w:ascii="黑体" w:eastAsia="黑体"/>
          <w:sz w:val="32"/>
          <w:szCs w:val="32"/>
        </w:rPr>
      </w:pPr>
      <w:r>
        <w:rPr>
          <w:rFonts w:hint="eastAsia" w:ascii="黑体" w:eastAsia="黑体"/>
          <w:sz w:val="32"/>
          <w:szCs w:val="32"/>
        </w:rPr>
        <w:t>五、固定资产投资………………………………（</w:t>
      </w:r>
      <w:r>
        <w:rPr>
          <w:rFonts w:hint="eastAsia" w:ascii="黑体" w:eastAsia="黑体"/>
          <w:sz w:val="32"/>
          <w:szCs w:val="32"/>
          <w:lang w:val="en-US" w:eastAsia="zh-CN"/>
        </w:rPr>
        <w:t>8</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六、房地产 …………………………………… （</w:t>
      </w:r>
      <w:r>
        <w:rPr>
          <w:rFonts w:hint="eastAsia" w:ascii="黑体" w:eastAsia="黑体"/>
          <w:sz w:val="32"/>
          <w:szCs w:val="32"/>
          <w:lang w:val="en-US" w:eastAsia="zh-CN"/>
        </w:rPr>
        <w:t>9</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七、工业…………………………………………（</w:t>
      </w:r>
      <w:r>
        <w:rPr>
          <w:rFonts w:hint="eastAsia" w:ascii="黑体" w:eastAsia="黑体"/>
          <w:sz w:val="32"/>
          <w:szCs w:val="32"/>
          <w:lang w:val="en-US" w:eastAsia="zh-CN"/>
        </w:rPr>
        <w:t>11</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八、贸易外经……………………………………（</w:t>
      </w:r>
      <w:r>
        <w:rPr>
          <w:rFonts w:hint="eastAsia" w:ascii="黑体" w:eastAsia="黑体"/>
          <w:sz w:val="32"/>
          <w:szCs w:val="32"/>
          <w:lang w:val="en-US" w:eastAsia="zh-CN"/>
        </w:rPr>
        <w:t>13</w:t>
      </w:r>
      <w:r>
        <w:rPr>
          <w:rFonts w:hint="eastAsia" w:ascii="黑体" w:eastAsia="黑体"/>
          <w:sz w:val="32"/>
          <w:szCs w:val="32"/>
        </w:rPr>
        <w:t>）</w:t>
      </w:r>
    </w:p>
    <w:p>
      <w:pPr>
        <w:spacing w:line="380" w:lineRule="exact"/>
        <w:jc w:val="left"/>
        <w:rPr>
          <w:rFonts w:ascii="黑体" w:eastAsia="黑体"/>
          <w:sz w:val="32"/>
          <w:szCs w:val="32"/>
        </w:rPr>
      </w:pPr>
      <w:r>
        <w:rPr>
          <w:rFonts w:hint="eastAsia" w:ascii="黑体" w:eastAsia="黑体"/>
          <w:sz w:val="32"/>
          <w:szCs w:val="32"/>
        </w:rPr>
        <w:t xml:space="preserve">      九、金融…………………………………………（</w:t>
      </w:r>
      <w:r>
        <w:rPr>
          <w:rFonts w:hint="eastAsia" w:ascii="黑体" w:eastAsia="黑体"/>
          <w:sz w:val="32"/>
          <w:szCs w:val="32"/>
          <w:lang w:val="en-US" w:eastAsia="zh-CN"/>
        </w:rPr>
        <w:t>14</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十、社会保障 ………………………………… （</w:t>
      </w:r>
      <w:r>
        <w:rPr>
          <w:rFonts w:hint="eastAsia" w:ascii="黑体" w:eastAsia="黑体"/>
          <w:sz w:val="32"/>
          <w:szCs w:val="32"/>
          <w:lang w:val="en-US" w:eastAsia="zh-CN"/>
        </w:rPr>
        <w:t>15</w:t>
      </w:r>
      <w:r>
        <w:rPr>
          <w:rFonts w:hint="eastAsia" w:ascii="黑体" w:eastAsia="黑体"/>
          <w:sz w:val="32"/>
          <w:szCs w:val="32"/>
        </w:rPr>
        <w:t>）</w:t>
      </w: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楷体_GB2312" w:eastAsia="楷体_GB2312"/>
          <w:sz w:val="32"/>
          <w:szCs w:val="32"/>
        </w:rPr>
      </w:pPr>
      <w:r>
        <w:rPr>
          <w:rFonts w:hint="eastAsia" w:ascii="楷体_GB2312" w:eastAsia="楷体_GB2312"/>
          <w:sz w:val="32"/>
          <w:szCs w:val="32"/>
        </w:rPr>
        <w:t>湘乡市统计信息网址：</w:t>
      </w:r>
      <w:r>
        <w:rPr>
          <w:rFonts w:ascii="楷体_GB2312" w:eastAsia="楷体_GB2312"/>
          <w:sz w:val="32"/>
          <w:szCs w:val="32"/>
        </w:rPr>
        <w:t xml:space="preserve">http://www.xxs.gov.cn/zwwzdh/zfbm/tjj/ </w:t>
      </w: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numPr>
          <w:ilvl w:val="0"/>
          <w:numId w:val="0"/>
        </w:numPr>
        <w:ind w:firstLine="3042" w:firstLineChars="900"/>
        <w:rPr>
          <w:rFonts w:hint="eastAsia" w:ascii="黑体" w:hAnsi="黑体" w:eastAsia="黑体"/>
          <w:b/>
          <w:bCs/>
          <w:color w:val="000000"/>
          <w:sz w:val="32"/>
          <w:szCs w:val="32"/>
          <w:lang w:eastAsia="zh-CN"/>
        </w:rPr>
      </w:pPr>
    </w:p>
    <w:p>
      <w:pPr>
        <w:numPr>
          <w:ilvl w:val="0"/>
          <w:numId w:val="0"/>
        </w:numPr>
        <w:ind w:firstLine="3042" w:firstLineChars="900"/>
        <w:rPr>
          <w:rFonts w:hint="eastAsia" w:ascii="黑体" w:hAnsi="黑体" w:eastAsia="黑体"/>
          <w:b/>
          <w:bCs/>
          <w:color w:val="000000"/>
          <w:sz w:val="32"/>
          <w:szCs w:val="32"/>
          <w:lang w:eastAsia="zh-CN"/>
        </w:rPr>
      </w:pPr>
    </w:p>
    <w:p>
      <w:pPr>
        <w:numPr>
          <w:ilvl w:val="0"/>
          <w:numId w:val="0"/>
        </w:numPr>
        <w:ind w:firstLine="3042" w:firstLineChars="900"/>
        <w:rPr>
          <w:rFonts w:hint="eastAsia" w:ascii="黑体" w:hAnsi="黑体" w:eastAsia="黑体"/>
          <w:b/>
          <w:bCs/>
          <w:color w:val="000000"/>
          <w:sz w:val="32"/>
          <w:szCs w:val="32"/>
          <w:lang w:eastAsia="zh-CN"/>
        </w:rPr>
      </w:pPr>
    </w:p>
    <w:p>
      <w:pPr>
        <w:numPr>
          <w:ilvl w:val="0"/>
          <w:numId w:val="0"/>
        </w:numPr>
        <w:ind w:firstLine="3042" w:firstLineChars="900"/>
        <w:rPr>
          <w:rFonts w:hint="eastAsia" w:ascii="黑体" w:hAnsi="黑体" w:eastAsia="黑体"/>
          <w:b/>
          <w:bCs/>
          <w:color w:val="000000"/>
          <w:sz w:val="32"/>
          <w:szCs w:val="32"/>
          <w:lang w:val="en-US" w:eastAsia="zh-CN"/>
        </w:rPr>
      </w:pPr>
      <w:r>
        <w:rPr>
          <w:rFonts w:hint="eastAsia" w:ascii="黑体" w:hAnsi="黑体" w:eastAsia="黑体"/>
          <w:b/>
          <w:bCs/>
          <w:color w:val="000000"/>
          <w:sz w:val="32"/>
          <w:szCs w:val="32"/>
          <w:lang w:eastAsia="zh-CN"/>
        </w:rPr>
        <w:t>一、</w:t>
      </w:r>
      <w:r>
        <w:rPr>
          <w:rFonts w:hint="eastAsia" w:ascii="黑体" w:hAnsi="黑体" w:eastAsia="黑体"/>
          <w:b/>
          <w:bCs/>
          <w:color w:val="000000"/>
          <w:sz w:val="32"/>
          <w:szCs w:val="32"/>
        </w:rPr>
        <w:t>经济运行概况</w:t>
      </w:r>
      <w:r>
        <w:rPr>
          <w:rFonts w:hint="eastAsia" w:ascii="黑体" w:hAnsi="黑体" w:eastAsia="黑体"/>
          <w:b/>
          <w:bCs/>
          <w:color w:val="000000"/>
          <w:sz w:val="32"/>
          <w:szCs w:val="32"/>
          <w:lang w:val="en-US" w:eastAsia="zh-CN"/>
        </w:rPr>
        <w:t xml:space="preserve">                   </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596" w:firstLineChars="200"/>
        <w:jc w:val="both"/>
        <w:rPr>
          <w:rFonts w:hint="eastAsia" w:ascii="宋体" w:hAnsi="宋体" w:cs="宋体"/>
          <w:i w:val="0"/>
          <w:iCs w:val="0"/>
          <w:caps w:val="0"/>
          <w:color w:val="auto"/>
          <w:spacing w:val="0"/>
          <w:sz w:val="28"/>
          <w:szCs w:val="28"/>
          <w:shd w:val="clear" w:color="auto" w:fill="FFFFFF"/>
          <w:lang w:val="en-US" w:eastAsia="zh-CN"/>
        </w:rPr>
      </w:pPr>
      <w:r>
        <w:rPr>
          <w:rFonts w:hint="eastAsia" w:ascii="宋体" w:hAnsi="宋体" w:cs="宋体"/>
          <w:i w:val="0"/>
          <w:iCs w:val="0"/>
          <w:caps w:val="0"/>
          <w:color w:val="auto"/>
          <w:spacing w:val="0"/>
          <w:sz w:val="28"/>
          <w:szCs w:val="28"/>
          <w:shd w:val="clear" w:color="auto" w:fill="FFFFFF"/>
          <w:lang w:val="en-US" w:eastAsia="zh-CN"/>
        </w:rPr>
        <w:t>2022年面对更趋复杂严峻的国际环境和国内疫情新发多发等多重挑战，全市上下认真学习贯彻落实党的二十大及中央经济工作会议精神，按照疫情要防住、经济要稳住、发展要安全的重要要求，全力以赴、攻坚克难，高效统筹疫情防控和经济社会发展，加力落实稳经济各项举措，全市生产需求稳步回升，发展动能继续增强，社会民生持续改善，经济运行总体呈现恢复向好态势。</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596" w:firstLineChars="200"/>
        <w:jc w:val="both"/>
        <w:rPr>
          <w:rFonts w:hint="default" w:ascii="宋体" w:hAnsi="宋体" w:eastAsia="宋体" w:cs="宋体"/>
          <w:i w:val="0"/>
          <w:iCs w:val="0"/>
          <w:caps w:val="0"/>
          <w:color w:val="auto"/>
          <w:spacing w:val="0"/>
          <w:sz w:val="28"/>
          <w:szCs w:val="28"/>
          <w:shd w:val="clear" w:color="auto" w:fill="FFFFFF"/>
          <w:lang w:val="en-US" w:eastAsia="zh-CN"/>
        </w:rPr>
      </w:pPr>
      <w:r>
        <w:rPr>
          <w:rFonts w:hint="eastAsia" w:ascii="宋体" w:hAnsi="宋体" w:eastAsia="宋体" w:cs="宋体"/>
          <w:i w:val="0"/>
          <w:iCs w:val="0"/>
          <w:caps w:val="0"/>
          <w:color w:val="auto"/>
          <w:spacing w:val="0"/>
          <w:sz w:val="28"/>
          <w:szCs w:val="28"/>
          <w:shd w:val="clear" w:color="auto" w:fill="FFFFFF"/>
          <w:lang w:val="en-US" w:eastAsia="zh-CN"/>
        </w:rPr>
        <w:t>2022年全市实现地区生产总值577.12亿元，同比增长4.7%，其中，第一产业增加值73.03亿元、增长3.5%，第二产业增加值301.71亿元、增长4.4%，第三产业增加值202.37亿元、增长5.4%；一、二、三产业的贡献率分别为11.3%、45.6%、43.1%。三次产业结构进一步优化，由2021年同期的</w:t>
      </w:r>
      <w:r>
        <w:rPr>
          <w:rFonts w:hint="eastAsia" w:ascii="宋体" w:hAnsi="宋体" w:cs="宋体"/>
          <w:color w:val="auto"/>
          <w:kern w:val="2"/>
          <w:sz w:val="28"/>
          <w:szCs w:val="28"/>
          <w:lang w:val="en-US" w:eastAsia="zh-CN" w:bidi="ar-SA"/>
        </w:rPr>
        <w:t>12.7：52.7:34.6</w:t>
      </w:r>
      <w:r>
        <w:rPr>
          <w:rFonts w:hint="eastAsia" w:ascii="宋体" w:hAnsi="宋体" w:eastAsia="宋体" w:cs="宋体"/>
          <w:i w:val="0"/>
          <w:iCs w:val="0"/>
          <w:caps w:val="0"/>
          <w:color w:val="auto"/>
          <w:spacing w:val="0"/>
          <w:sz w:val="28"/>
          <w:szCs w:val="28"/>
          <w:shd w:val="clear" w:color="auto" w:fill="FFFFFF"/>
          <w:lang w:val="en-US" w:eastAsia="zh-CN"/>
        </w:rPr>
        <w:t>调整为12.6:52.3：35.1，二产</w:t>
      </w:r>
      <w:r>
        <w:rPr>
          <w:rFonts w:hint="eastAsia" w:ascii="宋体" w:hAnsi="宋体" w:cs="宋体"/>
          <w:i w:val="0"/>
          <w:iCs w:val="0"/>
          <w:caps w:val="0"/>
          <w:color w:val="auto"/>
          <w:spacing w:val="0"/>
          <w:sz w:val="28"/>
          <w:szCs w:val="28"/>
          <w:shd w:val="clear" w:color="auto" w:fill="FFFFFF"/>
          <w:lang w:val="en-US" w:eastAsia="zh-CN"/>
        </w:rPr>
        <w:t>业</w:t>
      </w:r>
      <w:r>
        <w:rPr>
          <w:rFonts w:hint="eastAsia" w:ascii="宋体" w:hAnsi="宋体" w:eastAsia="宋体" w:cs="宋体"/>
          <w:i w:val="0"/>
          <w:iCs w:val="0"/>
          <w:caps w:val="0"/>
          <w:color w:val="auto"/>
          <w:spacing w:val="0"/>
          <w:sz w:val="28"/>
          <w:szCs w:val="28"/>
          <w:shd w:val="clear" w:color="auto" w:fill="FFFFFF"/>
          <w:lang w:val="en-US" w:eastAsia="zh-CN"/>
        </w:rPr>
        <w:t>占比较2021年同期</w:t>
      </w:r>
      <w:r>
        <w:rPr>
          <w:rFonts w:hint="eastAsia" w:ascii="宋体" w:hAnsi="宋体" w:cs="宋体"/>
          <w:i w:val="0"/>
          <w:iCs w:val="0"/>
          <w:caps w:val="0"/>
          <w:color w:val="auto"/>
          <w:spacing w:val="0"/>
          <w:sz w:val="28"/>
          <w:szCs w:val="28"/>
          <w:shd w:val="clear" w:color="auto" w:fill="FFFFFF"/>
          <w:lang w:val="en-US" w:eastAsia="zh-CN"/>
        </w:rPr>
        <w:t>下降0.4</w:t>
      </w:r>
      <w:r>
        <w:rPr>
          <w:rFonts w:hint="eastAsia" w:ascii="宋体" w:hAnsi="宋体" w:eastAsia="宋体" w:cs="宋体"/>
          <w:i w:val="0"/>
          <w:iCs w:val="0"/>
          <w:caps w:val="0"/>
          <w:color w:val="auto"/>
          <w:spacing w:val="0"/>
          <w:sz w:val="28"/>
          <w:szCs w:val="28"/>
          <w:shd w:val="clear" w:color="auto" w:fill="FFFFFF"/>
          <w:lang w:val="en-US" w:eastAsia="zh-CN"/>
        </w:rPr>
        <w:t>个百分点，第三产业对经济的贡献率较2021年同期提高15.1个百分点，第三产业成为我市经济发展“提速器”。</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596" w:firstLineChars="200"/>
        <w:jc w:val="both"/>
        <w:rPr>
          <w:rFonts w:hint="eastAsia" w:ascii="宋体" w:hAnsi="宋体" w:eastAsia="宋体" w:cs="宋体"/>
          <w:b/>
          <w:bCs/>
          <w:i w:val="0"/>
          <w:iCs w:val="0"/>
          <w:caps w:val="0"/>
          <w:color w:val="auto"/>
          <w:spacing w:val="0"/>
          <w:sz w:val="28"/>
          <w:szCs w:val="28"/>
          <w:shd w:val="clear" w:color="auto" w:fill="FFFFFF"/>
          <w:lang w:val="en-US" w:eastAsia="zh-CN"/>
        </w:rPr>
      </w:pPr>
      <w:r>
        <w:rPr>
          <w:rFonts w:hint="eastAsia" w:ascii="宋体" w:hAnsi="宋体" w:eastAsia="宋体" w:cs="宋体"/>
          <w:b/>
          <w:bCs/>
          <w:i w:val="0"/>
          <w:iCs w:val="0"/>
          <w:caps w:val="0"/>
          <w:color w:val="auto"/>
          <w:spacing w:val="0"/>
          <w:sz w:val="28"/>
          <w:szCs w:val="28"/>
          <w:shd w:val="clear" w:color="auto" w:fill="FFFFFF"/>
          <w:lang w:val="en-US" w:eastAsia="zh-CN"/>
        </w:rPr>
        <w:t>从生产看，全力克服疫情冲击，三次产业保持增长</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596" w:firstLineChars="200"/>
        <w:jc w:val="both"/>
        <w:rPr>
          <w:rFonts w:hint="default" w:ascii="宋体" w:hAnsi="宋体" w:eastAsia="宋体" w:cs="宋体"/>
          <w:b w:val="0"/>
          <w:bCs w:val="0"/>
          <w:i w:val="0"/>
          <w:iCs w:val="0"/>
          <w:caps w:val="0"/>
          <w:color w:val="000000"/>
          <w:spacing w:val="0"/>
          <w:sz w:val="28"/>
          <w:szCs w:val="28"/>
          <w:shd w:val="clear" w:color="auto" w:fill="FFFFFF"/>
          <w:vertAlign w:val="baseline"/>
          <w:lang w:val="en-US" w:eastAsia="zh-CN"/>
        </w:rPr>
      </w:pPr>
      <w:r>
        <w:rPr>
          <w:rFonts w:hint="eastAsia" w:ascii="宋体" w:hAnsi="宋体" w:eastAsia="宋体" w:cs="宋体"/>
          <w:b/>
          <w:bCs/>
          <w:i w:val="0"/>
          <w:iCs w:val="0"/>
          <w:caps w:val="0"/>
          <w:color w:val="auto"/>
          <w:spacing w:val="0"/>
          <w:sz w:val="28"/>
          <w:szCs w:val="28"/>
          <w:shd w:val="clear" w:color="auto" w:fill="FFFFFF"/>
          <w:lang w:val="en-US" w:eastAsia="zh-CN"/>
        </w:rPr>
        <w:t>一是农业生产稳定。</w:t>
      </w:r>
      <w:r>
        <w:rPr>
          <w:rFonts w:hint="eastAsia" w:ascii="宋体" w:hAnsi="宋体" w:eastAsia="宋体" w:cs="宋体"/>
          <w:i w:val="0"/>
          <w:iCs w:val="0"/>
          <w:caps w:val="0"/>
          <w:color w:val="auto"/>
          <w:spacing w:val="0"/>
          <w:sz w:val="28"/>
          <w:szCs w:val="28"/>
          <w:shd w:val="clear" w:color="auto" w:fill="FFFFFF"/>
          <w:lang w:val="en-US" w:eastAsia="zh-CN"/>
        </w:rPr>
        <w:t>扛牢农业县(市）责任担当，在水旱交攻下，巩固拓展脱贫攻坚成果，全年全市粮食总产量达45.87万吨，经济作物产量达25.65万吨，生猪出栏122.59万头。完成农林牧渔业总值120.46亿元，同比增长3.8%，其中，农业增长3.8%、林业增长9.0%、牧业增长2.3%、渔业增长2.8%。</w:t>
      </w:r>
      <w:r>
        <w:rPr>
          <w:rFonts w:hint="eastAsia" w:ascii="宋体" w:hAnsi="宋体" w:eastAsia="宋体" w:cs="宋体"/>
          <w:b/>
          <w:bCs/>
          <w:i w:val="0"/>
          <w:iCs w:val="0"/>
          <w:caps w:val="0"/>
          <w:color w:val="auto"/>
          <w:spacing w:val="0"/>
          <w:sz w:val="28"/>
          <w:szCs w:val="28"/>
          <w:shd w:val="clear" w:color="auto" w:fill="FFFFFF"/>
          <w:lang w:val="en-US" w:eastAsia="zh-CN"/>
        </w:rPr>
        <w:t>二是工业生产保持增长。</w:t>
      </w:r>
      <w:r>
        <w:rPr>
          <w:rFonts w:hint="eastAsia" w:ascii="宋体" w:hAnsi="宋体" w:eastAsia="宋体" w:cs="宋体"/>
          <w:i w:val="0"/>
          <w:iCs w:val="0"/>
          <w:caps w:val="0"/>
          <w:color w:val="auto"/>
          <w:spacing w:val="0"/>
          <w:sz w:val="28"/>
          <w:szCs w:val="28"/>
          <w:shd w:val="clear" w:color="auto" w:fill="FFFFFF"/>
          <w:lang w:val="en-US" w:eastAsia="zh-CN"/>
        </w:rPr>
        <w:t>全年全市规模以上工业增加值同比增长4.2</w:t>
      </w:r>
      <w:r>
        <w:rPr>
          <w:rFonts w:hint="default" w:ascii="宋体" w:hAnsi="宋体" w:eastAsia="宋体" w:cs="宋体"/>
          <w:i w:val="0"/>
          <w:iCs w:val="0"/>
          <w:caps w:val="0"/>
          <w:color w:val="auto"/>
          <w:spacing w:val="0"/>
          <w:sz w:val="28"/>
          <w:szCs w:val="28"/>
          <w:shd w:val="clear" w:color="auto" w:fill="FFFFFF"/>
          <w:lang w:val="en-US" w:eastAsia="zh-CN"/>
        </w:rPr>
        <w:t>%</w:t>
      </w:r>
      <w:r>
        <w:rPr>
          <w:rFonts w:hint="eastAsia" w:ascii="宋体" w:hAnsi="宋体" w:eastAsia="宋体" w:cs="宋体"/>
          <w:i w:val="0"/>
          <w:iCs w:val="0"/>
          <w:caps w:val="0"/>
          <w:color w:val="auto"/>
          <w:spacing w:val="0"/>
          <w:sz w:val="28"/>
          <w:szCs w:val="28"/>
          <w:shd w:val="clear" w:color="auto" w:fill="FFFFFF"/>
          <w:lang w:val="en-US" w:eastAsia="zh-CN"/>
        </w:rPr>
        <w:t>。规模以上工业总产值累计增长4.5%，其中，采矿业增加值同比下降14.2</w:t>
      </w:r>
      <w:r>
        <w:rPr>
          <w:rFonts w:hint="default" w:ascii="宋体" w:hAnsi="宋体" w:eastAsia="宋体" w:cs="宋体"/>
          <w:i w:val="0"/>
          <w:iCs w:val="0"/>
          <w:caps w:val="0"/>
          <w:color w:val="auto"/>
          <w:spacing w:val="0"/>
          <w:sz w:val="28"/>
          <w:szCs w:val="28"/>
          <w:shd w:val="clear" w:color="auto" w:fill="FFFFFF"/>
          <w:lang w:val="en-US" w:eastAsia="zh-CN"/>
        </w:rPr>
        <w:t>%</w:t>
      </w:r>
      <w:r>
        <w:rPr>
          <w:rFonts w:hint="eastAsia" w:ascii="宋体" w:hAnsi="宋体" w:eastAsia="宋体" w:cs="宋体"/>
          <w:i w:val="0"/>
          <w:iCs w:val="0"/>
          <w:caps w:val="0"/>
          <w:color w:val="auto"/>
          <w:spacing w:val="0"/>
          <w:sz w:val="28"/>
          <w:szCs w:val="28"/>
          <w:shd w:val="clear" w:color="auto" w:fill="FFFFFF"/>
          <w:lang w:val="en-US" w:eastAsia="zh-CN"/>
        </w:rPr>
        <w:t>，制造业同比增长4.9</w:t>
      </w:r>
      <w:r>
        <w:rPr>
          <w:rFonts w:hint="default" w:ascii="宋体" w:hAnsi="宋体" w:eastAsia="宋体" w:cs="宋体"/>
          <w:i w:val="0"/>
          <w:iCs w:val="0"/>
          <w:caps w:val="0"/>
          <w:color w:val="auto"/>
          <w:spacing w:val="0"/>
          <w:sz w:val="28"/>
          <w:szCs w:val="28"/>
          <w:shd w:val="clear" w:color="auto" w:fill="FFFFFF"/>
          <w:lang w:val="en-US" w:eastAsia="zh-CN"/>
        </w:rPr>
        <w:t>%</w:t>
      </w:r>
      <w:r>
        <w:rPr>
          <w:rFonts w:hint="eastAsia" w:ascii="宋体" w:hAnsi="宋体" w:eastAsia="宋体" w:cs="宋体"/>
          <w:i w:val="0"/>
          <w:iCs w:val="0"/>
          <w:caps w:val="0"/>
          <w:color w:val="auto"/>
          <w:spacing w:val="0"/>
          <w:sz w:val="28"/>
          <w:szCs w:val="28"/>
          <w:shd w:val="clear" w:color="auto" w:fill="FFFFFF"/>
          <w:lang w:val="en-US" w:eastAsia="zh-CN"/>
        </w:rPr>
        <w:t>，电力热力燃气及水生产和供应业同比增长9.2</w:t>
      </w:r>
      <w:r>
        <w:rPr>
          <w:rFonts w:hint="default" w:ascii="宋体" w:hAnsi="宋体" w:eastAsia="宋体" w:cs="宋体"/>
          <w:i w:val="0"/>
          <w:iCs w:val="0"/>
          <w:caps w:val="0"/>
          <w:color w:val="auto"/>
          <w:spacing w:val="0"/>
          <w:sz w:val="28"/>
          <w:szCs w:val="28"/>
          <w:shd w:val="clear" w:color="auto" w:fill="FFFFFF"/>
          <w:lang w:val="en-US" w:eastAsia="zh-CN"/>
        </w:rPr>
        <w:t>%</w:t>
      </w:r>
      <w:r>
        <w:rPr>
          <w:rFonts w:hint="eastAsia" w:ascii="宋体" w:hAnsi="宋体" w:eastAsia="宋体" w:cs="宋体"/>
          <w:i w:val="0"/>
          <w:iCs w:val="0"/>
          <w:caps w:val="0"/>
          <w:color w:val="auto"/>
          <w:spacing w:val="0"/>
          <w:sz w:val="28"/>
          <w:szCs w:val="28"/>
          <w:shd w:val="clear" w:color="auto" w:fill="FFFFFF"/>
          <w:lang w:val="en-US" w:eastAsia="zh-CN"/>
        </w:rPr>
        <w:t>。</w:t>
      </w:r>
      <w:r>
        <w:rPr>
          <w:rFonts w:hint="eastAsia" w:ascii="宋体" w:hAnsi="宋体" w:eastAsia="宋体" w:cs="宋体"/>
          <w:b/>
          <w:bCs/>
          <w:i w:val="0"/>
          <w:iCs w:val="0"/>
          <w:caps w:val="0"/>
          <w:color w:val="auto"/>
          <w:spacing w:val="0"/>
          <w:sz w:val="28"/>
          <w:szCs w:val="28"/>
          <w:shd w:val="clear" w:color="auto" w:fill="FFFFFF"/>
          <w:lang w:val="en-US" w:eastAsia="zh-CN"/>
        </w:rPr>
        <w:t>制造业中一主两特持续发力</w:t>
      </w:r>
      <w:r>
        <w:rPr>
          <w:rFonts w:hint="eastAsia" w:ascii="宋体" w:hAnsi="宋体" w:eastAsia="宋体" w:cs="宋体"/>
          <w:b w:val="0"/>
          <w:bCs w:val="0"/>
          <w:i w:val="0"/>
          <w:iCs w:val="0"/>
          <w:caps w:val="0"/>
          <w:color w:val="000000"/>
          <w:spacing w:val="0"/>
          <w:sz w:val="28"/>
          <w:szCs w:val="28"/>
          <w:shd w:val="clear" w:color="auto" w:fill="FFFFFF"/>
          <w:lang w:val="en-US" w:eastAsia="zh-CN"/>
        </w:rPr>
        <w:t>。电工电气（电子信息）同比增长18.3%，绿色建材同比增长8.0%，医疗器械同比增长25.7%。</w:t>
      </w:r>
      <w:r>
        <w:rPr>
          <w:rFonts w:hint="eastAsia" w:ascii="宋体" w:hAnsi="宋体" w:eastAsia="宋体" w:cs="宋体"/>
          <w:b/>
          <w:bCs/>
          <w:i w:val="0"/>
          <w:iCs w:val="0"/>
          <w:caps w:val="0"/>
          <w:color w:val="auto"/>
          <w:spacing w:val="0"/>
          <w:sz w:val="28"/>
          <w:szCs w:val="28"/>
          <w:shd w:val="clear" w:color="auto" w:fill="FFFFFF"/>
          <w:lang w:val="en-US" w:eastAsia="zh-CN"/>
        </w:rPr>
        <w:t>制造业增加值占GDP比重逐年提升。</w:t>
      </w:r>
      <w:r>
        <w:rPr>
          <w:rFonts w:hint="eastAsia" w:ascii="宋体" w:hAnsi="宋体" w:eastAsia="宋体" w:cs="宋体"/>
          <w:b w:val="0"/>
          <w:bCs w:val="0"/>
          <w:i w:val="0"/>
          <w:iCs w:val="0"/>
          <w:caps w:val="0"/>
          <w:color w:val="000000"/>
          <w:spacing w:val="0"/>
          <w:sz w:val="28"/>
          <w:szCs w:val="28"/>
          <w:shd w:val="clear" w:color="auto" w:fill="FFFFFF"/>
          <w:lang w:val="en-US" w:eastAsia="zh-CN"/>
        </w:rPr>
        <w:t>全年全市实现制造业增加值243.45亿元，同比增长5.5%，占GDP比重达42.2%，较2021年同期提高0.2个百分点。</w:t>
      </w:r>
      <w:r>
        <w:rPr>
          <w:rFonts w:hint="eastAsia" w:ascii="宋体" w:hAnsi="宋体" w:eastAsia="宋体" w:cs="宋体"/>
          <w:b/>
          <w:bCs/>
          <w:i w:val="0"/>
          <w:iCs w:val="0"/>
          <w:caps w:val="0"/>
          <w:color w:val="000000"/>
          <w:spacing w:val="0"/>
          <w:sz w:val="28"/>
          <w:szCs w:val="28"/>
          <w:shd w:val="clear" w:color="auto" w:fill="FFFFFF"/>
          <w:lang w:val="en-US" w:eastAsia="zh-CN"/>
        </w:rPr>
        <w:t>三</w:t>
      </w:r>
      <w:r>
        <w:rPr>
          <w:rFonts w:hint="eastAsia" w:ascii="宋体" w:hAnsi="宋体" w:eastAsia="宋体" w:cs="宋体"/>
          <w:b/>
          <w:bCs/>
          <w:i w:val="0"/>
          <w:iCs w:val="0"/>
          <w:caps w:val="0"/>
          <w:color w:val="000000"/>
          <w:spacing w:val="0"/>
          <w:sz w:val="28"/>
          <w:szCs w:val="28"/>
          <w:shd w:val="clear" w:color="auto" w:fill="FFFFFF"/>
          <w:vertAlign w:val="baseline"/>
          <w:lang w:val="en-US" w:eastAsia="zh-CN"/>
        </w:rPr>
        <w:t>是服务业稳步恢复向好。</w:t>
      </w:r>
      <w:r>
        <w:rPr>
          <w:rFonts w:hint="eastAsia" w:ascii="宋体" w:hAnsi="宋体" w:eastAsia="宋体" w:cs="宋体"/>
          <w:b w:val="0"/>
          <w:bCs w:val="0"/>
          <w:i w:val="0"/>
          <w:iCs w:val="0"/>
          <w:caps w:val="0"/>
          <w:color w:val="000000"/>
          <w:spacing w:val="0"/>
          <w:sz w:val="28"/>
          <w:szCs w:val="28"/>
          <w:shd w:val="clear" w:color="auto" w:fill="FFFFFF"/>
          <w:vertAlign w:val="baseline"/>
          <w:lang w:val="en-US" w:eastAsia="zh-CN"/>
        </w:rPr>
        <w:t>全年全市服务业增加值同比增长5.4%，</w:t>
      </w:r>
      <w:r>
        <w:rPr>
          <w:rFonts w:hint="eastAsia" w:ascii="宋体" w:hAnsi="宋体" w:eastAsia="宋体" w:cs="宋体"/>
          <w:i w:val="0"/>
          <w:iCs w:val="0"/>
          <w:caps w:val="0"/>
          <w:color w:val="auto"/>
          <w:spacing w:val="0"/>
          <w:sz w:val="28"/>
          <w:szCs w:val="28"/>
          <w:shd w:val="clear" w:color="auto" w:fill="FFFFFF"/>
          <w:lang w:val="en-US" w:eastAsia="zh-CN"/>
        </w:rPr>
        <w:t>拉动GDP增长1.9个百分点，</w:t>
      </w:r>
      <w:r>
        <w:rPr>
          <w:rFonts w:hint="eastAsia" w:ascii="宋体" w:hAnsi="宋体" w:eastAsia="宋体" w:cs="宋体"/>
          <w:b w:val="0"/>
          <w:bCs w:val="0"/>
          <w:i w:val="0"/>
          <w:iCs w:val="0"/>
          <w:caps w:val="0"/>
          <w:color w:val="000000"/>
          <w:spacing w:val="0"/>
          <w:sz w:val="28"/>
          <w:szCs w:val="28"/>
          <w:shd w:val="clear" w:color="auto" w:fill="FFFFFF"/>
          <w:vertAlign w:val="baseline"/>
          <w:lang w:val="en-US" w:eastAsia="zh-CN"/>
        </w:rPr>
        <w:t>其中，营利性服务业增长6.6%，非营利性服务业增长5.3%， 金融业增长7.5%。1-11月，全市完成规模以上服务业营业收入5.49亿元，同比增长23.0%，其中，科学研究和技术服务业营业收入增长39.6%，多式联运和运输代理业营业收入增长24.2%，文化体育和娱乐业营业收入27.1%。</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596" w:firstLineChars="200"/>
        <w:jc w:val="both"/>
        <w:rPr>
          <w:rFonts w:hint="eastAsia" w:ascii="宋体" w:hAnsi="宋体" w:eastAsia="宋体" w:cs="宋体"/>
          <w:b/>
          <w:bCs/>
          <w:i w:val="0"/>
          <w:iCs w:val="0"/>
          <w:caps w:val="0"/>
          <w:color w:val="000000"/>
          <w:spacing w:val="0"/>
          <w:sz w:val="28"/>
          <w:szCs w:val="28"/>
          <w:shd w:val="clear" w:color="auto" w:fill="FFFFFF"/>
          <w:vertAlign w:val="baseline"/>
          <w:lang w:val="en-US" w:eastAsia="zh-CN"/>
        </w:rPr>
      </w:pPr>
      <w:r>
        <w:rPr>
          <w:rFonts w:hint="eastAsia" w:ascii="宋体" w:hAnsi="宋体" w:eastAsia="宋体" w:cs="宋体"/>
          <w:b/>
          <w:bCs/>
          <w:i w:val="0"/>
          <w:iCs w:val="0"/>
          <w:caps w:val="0"/>
          <w:color w:val="000000"/>
          <w:spacing w:val="0"/>
          <w:sz w:val="28"/>
          <w:szCs w:val="28"/>
          <w:shd w:val="clear" w:color="auto" w:fill="FFFFFF"/>
          <w:vertAlign w:val="baseline"/>
          <w:lang w:eastAsia="zh-CN"/>
        </w:rPr>
        <w:t>从需求看，增长动力总体平稳，“三驾马车”回稳恢复</w:t>
      </w:r>
    </w:p>
    <w:p>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596" w:firstLineChars="200"/>
        <w:jc w:val="both"/>
        <w:rPr>
          <w:rFonts w:hint="default" w:ascii="宋体" w:hAnsi="宋体" w:eastAsia="宋体" w:cs="宋体"/>
          <w:i w:val="0"/>
          <w:iCs w:val="0"/>
          <w:caps w:val="0"/>
          <w:color w:val="000000"/>
          <w:spacing w:val="0"/>
          <w:sz w:val="28"/>
          <w:szCs w:val="28"/>
          <w:shd w:val="clear" w:color="auto" w:fill="FFFFFF"/>
          <w:vertAlign w:val="baseline"/>
          <w:lang w:val="en-US" w:eastAsia="zh-CN"/>
        </w:rPr>
      </w:pPr>
      <w:r>
        <w:rPr>
          <w:rFonts w:hint="eastAsia" w:ascii="宋体" w:hAnsi="宋体" w:eastAsia="宋体" w:cs="宋体"/>
          <w:b/>
          <w:bCs/>
          <w:i w:val="0"/>
          <w:iCs w:val="0"/>
          <w:caps w:val="0"/>
          <w:color w:val="000000"/>
          <w:spacing w:val="0"/>
          <w:sz w:val="28"/>
          <w:szCs w:val="28"/>
          <w:shd w:val="clear" w:color="auto" w:fill="FFFFFF"/>
          <w:vertAlign w:val="baseline"/>
          <w:lang w:val="en-US" w:eastAsia="zh-CN"/>
        </w:rPr>
        <w:t>一是消费逐步改善</w:t>
      </w:r>
      <w:r>
        <w:rPr>
          <w:rFonts w:hint="eastAsia" w:ascii="宋体" w:hAnsi="宋体" w:eastAsia="宋体" w:cs="宋体"/>
          <w:b/>
          <w:bCs/>
          <w:i w:val="0"/>
          <w:iCs w:val="0"/>
          <w:caps w:val="0"/>
          <w:color w:val="000000"/>
          <w:spacing w:val="0"/>
          <w:sz w:val="28"/>
          <w:szCs w:val="28"/>
          <w:shd w:val="clear" w:color="auto" w:fill="FFFFFF"/>
          <w:vertAlign w:val="baseline"/>
          <w:lang w:eastAsia="zh-CN"/>
        </w:rPr>
        <w:t>。</w:t>
      </w:r>
      <w:r>
        <w:rPr>
          <w:rFonts w:hint="eastAsia" w:ascii="宋体" w:hAnsi="宋体" w:eastAsia="宋体" w:cs="宋体"/>
          <w:b w:val="0"/>
          <w:bCs w:val="0"/>
          <w:i w:val="0"/>
          <w:iCs w:val="0"/>
          <w:caps w:val="0"/>
          <w:color w:val="000000"/>
          <w:spacing w:val="0"/>
          <w:sz w:val="28"/>
          <w:szCs w:val="28"/>
          <w:shd w:val="clear" w:color="auto" w:fill="FFFFFF"/>
          <w:lang w:val="en-US" w:eastAsia="zh-CN"/>
        </w:rPr>
        <w:t>全年全市完成社会消费品零售总额156亿元，同比增长2.8</w:t>
      </w:r>
      <w:r>
        <w:rPr>
          <w:rFonts w:hint="default" w:ascii="宋体" w:hAnsi="宋体" w:eastAsia="宋体" w:cs="宋体"/>
          <w:b w:val="0"/>
          <w:bCs w:val="0"/>
          <w:i w:val="0"/>
          <w:iCs w:val="0"/>
          <w:caps w:val="0"/>
          <w:color w:val="000000"/>
          <w:spacing w:val="0"/>
          <w:sz w:val="28"/>
          <w:szCs w:val="28"/>
          <w:shd w:val="clear" w:color="auto" w:fill="FFFFFF"/>
          <w:lang w:val="en-US" w:eastAsia="zh-CN"/>
        </w:rPr>
        <w:t>%</w:t>
      </w:r>
      <w:r>
        <w:rPr>
          <w:rFonts w:hint="eastAsia" w:ascii="宋体" w:hAnsi="宋体" w:eastAsia="宋体" w:cs="宋体"/>
          <w:b w:val="0"/>
          <w:bCs w:val="0"/>
          <w:i w:val="0"/>
          <w:iCs w:val="0"/>
          <w:caps w:val="0"/>
          <w:color w:val="000000"/>
          <w:spacing w:val="0"/>
          <w:sz w:val="28"/>
          <w:szCs w:val="28"/>
          <w:shd w:val="clear" w:color="auto" w:fill="FFFFFF"/>
          <w:lang w:val="en-US" w:eastAsia="zh-CN"/>
        </w:rPr>
        <w:t>。乡村消费市场好于城镇消费市场，城镇消费同比增长2.7</w:t>
      </w:r>
      <w:r>
        <w:rPr>
          <w:rFonts w:hint="default" w:ascii="宋体" w:hAnsi="宋体" w:eastAsia="宋体" w:cs="宋体"/>
          <w:b w:val="0"/>
          <w:bCs w:val="0"/>
          <w:i w:val="0"/>
          <w:iCs w:val="0"/>
          <w:caps w:val="0"/>
          <w:color w:val="000000"/>
          <w:spacing w:val="0"/>
          <w:sz w:val="28"/>
          <w:szCs w:val="28"/>
          <w:shd w:val="clear" w:color="auto" w:fill="FFFFFF"/>
          <w:lang w:val="en-US" w:eastAsia="zh-CN"/>
        </w:rPr>
        <w:t>%</w:t>
      </w:r>
      <w:r>
        <w:rPr>
          <w:rFonts w:hint="eastAsia" w:ascii="宋体" w:hAnsi="宋体" w:eastAsia="宋体" w:cs="宋体"/>
          <w:b w:val="0"/>
          <w:bCs w:val="0"/>
          <w:i w:val="0"/>
          <w:iCs w:val="0"/>
          <w:caps w:val="0"/>
          <w:color w:val="000000"/>
          <w:spacing w:val="0"/>
          <w:sz w:val="28"/>
          <w:szCs w:val="28"/>
          <w:shd w:val="clear" w:color="auto" w:fill="FFFFFF"/>
          <w:lang w:val="en-US" w:eastAsia="zh-CN"/>
        </w:rPr>
        <w:t>，乡村完成消费同比增长3.4</w:t>
      </w:r>
      <w:r>
        <w:rPr>
          <w:rFonts w:hint="default" w:ascii="宋体" w:hAnsi="宋体" w:eastAsia="宋体" w:cs="宋体"/>
          <w:b w:val="0"/>
          <w:bCs w:val="0"/>
          <w:i w:val="0"/>
          <w:iCs w:val="0"/>
          <w:caps w:val="0"/>
          <w:color w:val="000000"/>
          <w:spacing w:val="0"/>
          <w:sz w:val="28"/>
          <w:szCs w:val="28"/>
          <w:shd w:val="clear" w:color="auto" w:fill="FFFFFF"/>
          <w:lang w:val="en-US" w:eastAsia="zh-CN"/>
        </w:rPr>
        <w:t>%</w:t>
      </w:r>
      <w:r>
        <w:rPr>
          <w:rFonts w:hint="eastAsia" w:ascii="宋体" w:hAnsi="宋体" w:eastAsia="宋体" w:cs="宋体"/>
          <w:b w:val="0"/>
          <w:bCs w:val="0"/>
          <w:i w:val="0"/>
          <w:iCs w:val="0"/>
          <w:caps w:val="0"/>
          <w:color w:val="000000"/>
          <w:spacing w:val="0"/>
          <w:sz w:val="28"/>
          <w:szCs w:val="28"/>
          <w:shd w:val="clear" w:color="auto" w:fill="FFFFFF"/>
          <w:lang w:val="en-US" w:eastAsia="zh-CN"/>
        </w:rPr>
        <w:t>，整体看乡村消费增速比城镇消费增速快0.7个百分点。按行业分，批发业、零售业、住宿业、餐饮业零售额分别增长0.9%、3.3%、0.6%、3.3%。限额以上基本生活类保持快速增长，粮油食品类、饮料类</w:t>
      </w:r>
      <w:r>
        <w:rPr>
          <w:rFonts w:hint="eastAsia" w:ascii="宋体" w:hAnsi="宋体" w:cs="宋体"/>
          <w:b w:val="0"/>
          <w:bCs w:val="0"/>
          <w:i w:val="0"/>
          <w:iCs w:val="0"/>
          <w:caps w:val="0"/>
          <w:color w:val="000000"/>
          <w:spacing w:val="0"/>
          <w:sz w:val="28"/>
          <w:szCs w:val="28"/>
          <w:shd w:val="clear" w:color="auto" w:fill="FFFFFF"/>
          <w:lang w:val="en-US" w:eastAsia="zh-CN"/>
        </w:rPr>
        <w:t>、</w:t>
      </w:r>
      <w:r>
        <w:rPr>
          <w:rFonts w:hint="eastAsia" w:ascii="宋体" w:hAnsi="宋体" w:eastAsia="宋体" w:cs="宋体"/>
          <w:b w:val="0"/>
          <w:bCs w:val="0"/>
          <w:i w:val="0"/>
          <w:iCs w:val="0"/>
          <w:caps w:val="0"/>
          <w:color w:val="000000"/>
          <w:spacing w:val="0"/>
          <w:sz w:val="28"/>
          <w:szCs w:val="28"/>
          <w:shd w:val="clear" w:color="auto" w:fill="FFFFFF"/>
          <w:lang w:val="en-US" w:eastAsia="zh-CN"/>
        </w:rPr>
        <w:t>烟酒类分别增长38.3%、18.8%、57.6%。</w:t>
      </w:r>
      <w:r>
        <w:rPr>
          <w:rFonts w:hint="eastAsia" w:ascii="宋体" w:hAnsi="宋体" w:eastAsia="宋体" w:cs="宋体"/>
          <w:b/>
          <w:bCs/>
          <w:i w:val="0"/>
          <w:iCs w:val="0"/>
          <w:caps w:val="0"/>
          <w:color w:val="000000"/>
          <w:spacing w:val="0"/>
          <w:sz w:val="28"/>
          <w:szCs w:val="28"/>
          <w:shd w:val="clear" w:color="auto" w:fill="FFFFFF"/>
          <w:vertAlign w:val="baseline"/>
          <w:lang w:val="en-US" w:eastAsia="zh-CN"/>
        </w:rPr>
        <w:t>二是</w:t>
      </w:r>
      <w:r>
        <w:rPr>
          <w:rFonts w:hint="eastAsia" w:ascii="宋体" w:hAnsi="宋体" w:eastAsia="宋体" w:cs="宋体"/>
          <w:b/>
          <w:bCs/>
          <w:i w:val="0"/>
          <w:iCs w:val="0"/>
          <w:caps w:val="0"/>
          <w:color w:val="000000"/>
          <w:spacing w:val="0"/>
          <w:sz w:val="28"/>
          <w:szCs w:val="28"/>
          <w:shd w:val="clear" w:color="auto" w:fill="FFFFFF"/>
          <w:vertAlign w:val="baseline"/>
          <w:lang w:eastAsia="zh-CN"/>
        </w:rPr>
        <w:t>固定资产投资平稳增长。</w:t>
      </w:r>
      <w:r>
        <w:rPr>
          <w:rFonts w:hint="eastAsia" w:ascii="宋体" w:hAnsi="宋体" w:eastAsia="宋体" w:cs="宋体"/>
          <w:i w:val="0"/>
          <w:iCs w:val="0"/>
          <w:caps w:val="0"/>
          <w:color w:val="000000"/>
          <w:spacing w:val="0"/>
          <w:sz w:val="28"/>
          <w:szCs w:val="28"/>
          <w:shd w:val="clear" w:color="auto" w:fill="FFFFFF"/>
          <w:vertAlign w:val="baseline"/>
          <w:lang w:val="en-US" w:eastAsia="zh-CN"/>
        </w:rPr>
        <w:t>全年全市固定资产投资同比增长6.8%，其中，国有投资同比下降23.3%，民间投资同比增长16.6%。产业项目投资持续二位数增长，同比增长15.4%，占全部投资比重达78.2%。高新技术产业投资增长稳定，同比增长10.2%，高新技术产业投资占全部投资比重达20.8%。</w:t>
      </w:r>
      <w:r>
        <w:rPr>
          <w:rFonts w:hint="eastAsia" w:ascii="宋体" w:hAnsi="宋体" w:eastAsia="宋体" w:cs="宋体"/>
          <w:b/>
          <w:bCs/>
          <w:i w:val="0"/>
          <w:iCs w:val="0"/>
          <w:caps w:val="0"/>
          <w:color w:val="000000"/>
          <w:spacing w:val="0"/>
          <w:sz w:val="28"/>
          <w:szCs w:val="28"/>
          <w:shd w:val="clear" w:color="auto" w:fill="FFFFFF"/>
          <w:vertAlign w:val="baseline"/>
          <w:lang w:eastAsia="zh-CN"/>
        </w:rPr>
        <w:t>三外向型经济回稳向好发展。</w:t>
      </w:r>
      <w:r>
        <w:rPr>
          <w:rFonts w:hint="eastAsia" w:ascii="宋体" w:hAnsi="宋体" w:eastAsia="宋体" w:cs="宋体"/>
          <w:i w:val="0"/>
          <w:iCs w:val="0"/>
          <w:caps w:val="0"/>
          <w:color w:val="000000"/>
          <w:spacing w:val="0"/>
          <w:sz w:val="28"/>
          <w:szCs w:val="28"/>
          <w:shd w:val="clear" w:color="auto" w:fill="FFFFFF"/>
          <w:vertAlign w:val="baseline"/>
          <w:lang w:eastAsia="zh-CN"/>
        </w:rPr>
        <w:t>全</w:t>
      </w:r>
      <w:r>
        <w:rPr>
          <w:rFonts w:hint="eastAsia" w:ascii="宋体" w:hAnsi="宋体" w:eastAsia="宋体" w:cs="宋体"/>
          <w:i w:val="0"/>
          <w:iCs w:val="0"/>
          <w:caps w:val="0"/>
          <w:color w:val="000000"/>
          <w:spacing w:val="0"/>
          <w:sz w:val="28"/>
          <w:szCs w:val="28"/>
          <w:shd w:val="clear" w:color="auto" w:fill="FFFFFF"/>
          <w:vertAlign w:val="baseline"/>
        </w:rPr>
        <w:t>市科学布局，持续加大招商引资力度，</w:t>
      </w:r>
      <w:r>
        <w:rPr>
          <w:rFonts w:hint="eastAsia" w:ascii="宋体" w:hAnsi="宋体" w:eastAsia="宋体" w:cs="宋体"/>
          <w:b w:val="0"/>
          <w:bCs w:val="0"/>
          <w:i w:val="0"/>
          <w:iCs w:val="0"/>
          <w:caps w:val="0"/>
          <w:color w:val="000000"/>
          <w:spacing w:val="0"/>
          <w:sz w:val="28"/>
          <w:szCs w:val="28"/>
          <w:shd w:val="clear" w:color="auto" w:fill="FFFFFF"/>
          <w:vertAlign w:val="baseline"/>
        </w:rPr>
        <w:t>助推</w:t>
      </w:r>
      <w:r>
        <w:rPr>
          <w:rFonts w:hint="eastAsia" w:ascii="宋体" w:hAnsi="宋体" w:eastAsia="宋体" w:cs="宋体"/>
          <w:b w:val="0"/>
          <w:bCs w:val="0"/>
          <w:i w:val="0"/>
          <w:iCs w:val="0"/>
          <w:caps w:val="0"/>
          <w:color w:val="000000"/>
          <w:spacing w:val="0"/>
          <w:sz w:val="28"/>
          <w:szCs w:val="28"/>
          <w:shd w:val="clear" w:color="auto" w:fill="FFFFFF"/>
          <w:vertAlign w:val="baseline"/>
          <w:lang w:eastAsia="zh-CN"/>
        </w:rPr>
        <w:t>外向型经济</w:t>
      </w:r>
      <w:r>
        <w:rPr>
          <w:rFonts w:hint="eastAsia" w:ascii="宋体" w:hAnsi="宋体" w:eastAsia="宋体" w:cs="宋体"/>
          <w:b w:val="0"/>
          <w:bCs w:val="0"/>
          <w:i w:val="0"/>
          <w:iCs w:val="0"/>
          <w:caps w:val="0"/>
          <w:color w:val="000000"/>
          <w:spacing w:val="0"/>
          <w:sz w:val="28"/>
          <w:szCs w:val="28"/>
          <w:shd w:val="clear" w:color="auto" w:fill="FFFFFF"/>
          <w:vertAlign w:val="baseline"/>
        </w:rPr>
        <w:t>稳步增长</w:t>
      </w:r>
      <w:r>
        <w:rPr>
          <w:rFonts w:hint="eastAsia" w:ascii="宋体" w:hAnsi="宋体" w:eastAsia="宋体" w:cs="宋体"/>
          <w:i w:val="0"/>
          <w:iCs w:val="0"/>
          <w:caps w:val="0"/>
          <w:color w:val="000000"/>
          <w:spacing w:val="0"/>
          <w:sz w:val="28"/>
          <w:szCs w:val="28"/>
          <w:shd w:val="clear" w:color="auto" w:fill="FFFFFF"/>
          <w:vertAlign w:val="baseline"/>
        </w:rPr>
        <w:t>。</w:t>
      </w:r>
      <w:r>
        <w:rPr>
          <w:rFonts w:hint="eastAsia" w:ascii="宋体" w:hAnsi="宋体" w:eastAsia="宋体" w:cs="宋体"/>
          <w:i w:val="0"/>
          <w:iCs w:val="0"/>
          <w:caps w:val="0"/>
          <w:color w:val="000000"/>
          <w:spacing w:val="0"/>
          <w:sz w:val="28"/>
          <w:szCs w:val="28"/>
          <w:shd w:val="clear" w:color="auto" w:fill="FFFFFF"/>
          <w:vertAlign w:val="baseline"/>
          <w:lang w:eastAsia="zh-CN"/>
        </w:rPr>
        <w:t>全年全市</w:t>
      </w:r>
      <w:r>
        <w:rPr>
          <w:rFonts w:hint="eastAsia" w:ascii="宋体" w:hAnsi="宋体" w:eastAsia="宋体" w:cs="宋体"/>
          <w:i w:val="0"/>
          <w:iCs w:val="0"/>
          <w:caps w:val="0"/>
          <w:color w:val="000000"/>
          <w:spacing w:val="0"/>
          <w:sz w:val="28"/>
          <w:szCs w:val="28"/>
          <w:shd w:val="clear" w:color="auto" w:fill="FFFFFF"/>
          <w:vertAlign w:val="baseline"/>
        </w:rPr>
        <w:t>实际实际到位内资</w:t>
      </w:r>
      <w:r>
        <w:rPr>
          <w:rFonts w:hint="eastAsia" w:ascii="宋体" w:hAnsi="宋体" w:eastAsia="宋体" w:cs="宋体"/>
          <w:i w:val="0"/>
          <w:iCs w:val="0"/>
          <w:caps w:val="0"/>
          <w:color w:val="000000"/>
          <w:spacing w:val="0"/>
          <w:sz w:val="28"/>
          <w:szCs w:val="28"/>
          <w:shd w:val="clear" w:color="auto" w:fill="FFFFFF"/>
          <w:vertAlign w:val="baseline"/>
          <w:lang w:val="en-US" w:eastAsia="zh-CN"/>
        </w:rPr>
        <w:t>113.61亿元，实际使用外商直接投资200万美元</w:t>
      </w:r>
      <w:r>
        <w:rPr>
          <w:rFonts w:hint="eastAsia" w:ascii="宋体" w:hAnsi="宋体" w:cs="宋体"/>
          <w:i w:val="0"/>
          <w:iCs w:val="0"/>
          <w:caps w:val="0"/>
          <w:color w:val="000000"/>
          <w:spacing w:val="0"/>
          <w:sz w:val="28"/>
          <w:szCs w:val="28"/>
          <w:shd w:val="clear" w:color="auto" w:fill="FFFFFF"/>
          <w:vertAlign w:val="baseline"/>
          <w:lang w:val="en-US" w:eastAsia="zh-CN"/>
        </w:rPr>
        <w:t>。</w:t>
      </w:r>
      <w:r>
        <w:rPr>
          <w:rFonts w:hint="eastAsia" w:ascii="宋体" w:hAnsi="宋体" w:eastAsia="宋体" w:cs="宋体"/>
          <w:i w:val="0"/>
          <w:iCs w:val="0"/>
          <w:caps w:val="0"/>
          <w:color w:val="000000"/>
          <w:spacing w:val="0"/>
          <w:sz w:val="28"/>
          <w:szCs w:val="28"/>
          <w:shd w:val="clear" w:color="auto" w:fill="FFFFFF"/>
          <w:vertAlign w:val="baseline"/>
          <w:lang w:val="en-US" w:eastAsia="zh-CN"/>
        </w:rPr>
        <w:t>1-11月，全市完成进出口总额13.17亿元</w:t>
      </w:r>
      <w:r>
        <w:rPr>
          <w:rFonts w:hint="eastAsia" w:ascii="宋体" w:hAnsi="宋体" w:cs="宋体"/>
          <w:i w:val="0"/>
          <w:iCs w:val="0"/>
          <w:caps w:val="0"/>
          <w:color w:val="000000"/>
          <w:spacing w:val="0"/>
          <w:sz w:val="28"/>
          <w:szCs w:val="28"/>
          <w:shd w:val="clear" w:color="auto" w:fill="FFFFFF"/>
          <w:vertAlign w:val="baseline"/>
          <w:lang w:val="en-US" w:eastAsia="zh-CN"/>
        </w:rPr>
        <w:t>，</w:t>
      </w:r>
      <w:r>
        <w:rPr>
          <w:rFonts w:hint="eastAsia" w:ascii="宋体" w:hAnsi="宋体" w:eastAsia="宋体" w:cs="宋体"/>
          <w:i w:val="0"/>
          <w:iCs w:val="0"/>
          <w:caps w:val="0"/>
          <w:color w:val="000000"/>
          <w:spacing w:val="0"/>
          <w:sz w:val="28"/>
          <w:szCs w:val="28"/>
          <w:shd w:val="clear" w:color="auto" w:fill="FFFFFF"/>
          <w:vertAlign w:val="baseline"/>
          <w:lang w:val="en-US" w:eastAsia="zh-CN"/>
        </w:rPr>
        <w:t>同比增长1.7%，其中，出口增长44.3%，进口增下降68.9%。</w:t>
      </w:r>
      <w:r>
        <w:rPr>
          <w:rFonts w:hint="eastAsia" w:ascii="宋体" w:hAnsi="宋体" w:eastAsia="宋体" w:cs="宋体"/>
          <w:b/>
          <w:bCs/>
          <w:i w:val="0"/>
          <w:iCs w:val="0"/>
          <w:caps w:val="0"/>
          <w:color w:val="000000"/>
          <w:spacing w:val="0"/>
          <w:sz w:val="28"/>
          <w:szCs w:val="28"/>
          <w:shd w:val="clear" w:color="auto" w:fill="FFFFFF"/>
          <w:vertAlign w:val="baseline"/>
          <w:lang w:val="en-US" w:eastAsia="zh-CN"/>
        </w:rPr>
        <w:t>市场主体加速“倍增”。</w:t>
      </w:r>
      <w:r>
        <w:rPr>
          <w:rFonts w:hint="eastAsia" w:ascii="宋体" w:hAnsi="宋体" w:eastAsia="宋体" w:cs="宋体"/>
          <w:i w:val="0"/>
          <w:iCs w:val="0"/>
          <w:caps w:val="0"/>
          <w:color w:val="000000"/>
          <w:spacing w:val="0"/>
          <w:sz w:val="28"/>
          <w:szCs w:val="28"/>
          <w:shd w:val="clear" w:color="auto" w:fill="FFFFFF"/>
          <w:vertAlign w:val="baseline"/>
          <w:lang w:val="en-US" w:eastAsia="zh-CN"/>
        </w:rPr>
        <w:t>全市强力推进市</w:t>
      </w:r>
      <w:r>
        <w:rPr>
          <w:rFonts w:hint="eastAsia" w:ascii="宋体" w:hAnsi="宋体" w:eastAsia="宋体" w:cs="宋体"/>
          <w:i w:val="0"/>
          <w:iCs w:val="0"/>
          <w:caps w:val="0"/>
          <w:color w:val="000000"/>
          <w:spacing w:val="0"/>
          <w:sz w:val="28"/>
          <w:szCs w:val="28"/>
          <w:shd w:val="clear" w:color="auto" w:fill="FFFFFF"/>
          <w:vertAlign w:val="baseline"/>
        </w:rPr>
        <w:t>场主体“倍增工程”和新增</w:t>
      </w:r>
      <w:r>
        <w:rPr>
          <w:rFonts w:hint="eastAsia" w:ascii="宋体" w:hAnsi="宋体" w:eastAsia="宋体" w:cs="宋体"/>
          <w:i w:val="0"/>
          <w:iCs w:val="0"/>
          <w:caps w:val="0"/>
          <w:color w:val="000000"/>
          <w:spacing w:val="0"/>
          <w:sz w:val="28"/>
          <w:szCs w:val="28"/>
          <w:shd w:val="clear" w:color="auto" w:fill="FFFFFF"/>
          <w:vertAlign w:val="baseline"/>
          <w:lang w:eastAsia="zh-CN"/>
        </w:rPr>
        <w:t>“四上”</w:t>
      </w:r>
      <w:r>
        <w:rPr>
          <w:rFonts w:hint="eastAsia" w:ascii="宋体" w:hAnsi="宋体" w:eastAsia="宋体" w:cs="宋体"/>
          <w:i w:val="0"/>
          <w:iCs w:val="0"/>
          <w:caps w:val="0"/>
          <w:color w:val="000000"/>
          <w:spacing w:val="0"/>
          <w:sz w:val="28"/>
          <w:szCs w:val="28"/>
          <w:shd w:val="clear" w:color="auto" w:fill="FFFFFF"/>
          <w:vertAlign w:val="baseline"/>
        </w:rPr>
        <w:t>企业行动。</w:t>
      </w:r>
      <w:r>
        <w:rPr>
          <w:rFonts w:hint="eastAsia" w:ascii="宋体" w:hAnsi="宋体" w:eastAsia="宋体" w:cs="宋体"/>
          <w:i w:val="0"/>
          <w:iCs w:val="0"/>
          <w:caps w:val="0"/>
          <w:color w:val="000000"/>
          <w:spacing w:val="0"/>
          <w:sz w:val="28"/>
          <w:szCs w:val="28"/>
          <w:shd w:val="clear" w:color="auto" w:fill="FFFFFF"/>
          <w:vertAlign w:val="baseline"/>
          <w:lang w:val="en-US" w:eastAsia="zh-CN"/>
        </w:rPr>
        <w:t>2022年</w:t>
      </w:r>
      <w:r>
        <w:rPr>
          <w:rFonts w:hint="eastAsia" w:ascii="宋体" w:hAnsi="宋体" w:eastAsia="宋体" w:cs="宋体"/>
          <w:i w:val="0"/>
          <w:iCs w:val="0"/>
          <w:caps w:val="0"/>
          <w:color w:val="000000"/>
          <w:spacing w:val="0"/>
          <w:sz w:val="28"/>
          <w:szCs w:val="28"/>
          <w:shd w:val="clear" w:color="auto" w:fill="FFFFFF"/>
          <w:vertAlign w:val="baseline"/>
        </w:rPr>
        <w:t>12月末</w:t>
      </w:r>
      <w:r>
        <w:rPr>
          <w:rFonts w:hint="eastAsia" w:ascii="宋体" w:hAnsi="宋体" w:eastAsia="宋体" w:cs="宋体"/>
          <w:i w:val="0"/>
          <w:iCs w:val="0"/>
          <w:caps w:val="0"/>
          <w:color w:val="000000"/>
          <w:spacing w:val="0"/>
          <w:sz w:val="28"/>
          <w:szCs w:val="28"/>
          <w:shd w:val="clear" w:color="auto" w:fill="FFFFFF"/>
          <w:vertAlign w:val="baseline"/>
          <w:lang w:eastAsia="zh-CN"/>
        </w:rPr>
        <w:t>止</w:t>
      </w:r>
      <w:r>
        <w:rPr>
          <w:rFonts w:hint="eastAsia" w:ascii="宋体" w:hAnsi="宋体" w:eastAsia="宋体" w:cs="宋体"/>
          <w:i w:val="0"/>
          <w:iCs w:val="0"/>
          <w:caps w:val="0"/>
          <w:color w:val="000000"/>
          <w:spacing w:val="0"/>
          <w:sz w:val="28"/>
          <w:szCs w:val="28"/>
          <w:shd w:val="clear" w:color="auto" w:fill="FFFFFF"/>
          <w:vertAlign w:val="baseline"/>
        </w:rPr>
        <w:t>，</w:t>
      </w:r>
      <w:r>
        <w:rPr>
          <w:rFonts w:hint="eastAsia" w:ascii="宋体" w:hAnsi="宋体" w:eastAsia="宋体" w:cs="宋体"/>
          <w:i w:val="0"/>
          <w:iCs w:val="0"/>
          <w:caps w:val="0"/>
          <w:color w:val="000000"/>
          <w:spacing w:val="0"/>
          <w:sz w:val="28"/>
          <w:szCs w:val="28"/>
          <w:shd w:val="clear" w:color="auto" w:fill="FFFFFF"/>
          <w:vertAlign w:val="baseline"/>
          <w:lang w:val="en-US" w:eastAsia="zh-CN"/>
        </w:rPr>
        <w:t>全市有市场主体46369户，比年初增长16.9%，其中企业7092户；完成个转企186户。新增“四上”企业63家，其中，建筑业企业10家、房地产企业3家、规模工业企业21家、规模以上服务业10家、商贸企业19家。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50" w:lineRule="atLeast"/>
        <w:ind w:right="0" w:firstLine="596" w:firstLineChars="200"/>
        <w:jc w:val="both"/>
        <w:rPr>
          <w:rFonts w:hint="default" w:ascii="宋体" w:hAnsi="宋体" w:eastAsia="宋体" w:cs="宋体"/>
          <w:b/>
          <w:bCs/>
          <w:i w:val="0"/>
          <w:iCs w:val="0"/>
          <w:caps w:val="0"/>
          <w:color w:val="000000"/>
          <w:spacing w:val="0"/>
          <w:sz w:val="28"/>
          <w:szCs w:val="28"/>
          <w:shd w:val="clear" w:color="auto" w:fill="FFFFFF"/>
          <w:lang w:val="en-US" w:eastAsia="zh-CN"/>
        </w:rPr>
      </w:pPr>
      <w:r>
        <w:rPr>
          <w:rFonts w:hint="eastAsia" w:ascii="宋体" w:hAnsi="宋体" w:eastAsia="宋体" w:cs="宋体"/>
          <w:b/>
          <w:bCs/>
          <w:i w:val="0"/>
          <w:iCs w:val="0"/>
          <w:caps w:val="0"/>
          <w:color w:val="000000"/>
          <w:spacing w:val="0"/>
          <w:sz w:val="28"/>
          <w:szCs w:val="28"/>
          <w:shd w:val="clear" w:color="auto" w:fill="FFFFFF"/>
          <w:lang w:val="en-US" w:eastAsia="zh-CN"/>
        </w:rPr>
        <w:t>从结果看，质效稳步提升，高质量发展进一步推进</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50" w:lineRule="atLeast"/>
        <w:ind w:right="0" w:firstLine="596" w:firstLineChars="200"/>
        <w:jc w:val="both"/>
        <w:rPr>
          <w:rFonts w:hint="eastAsia" w:ascii="宋体" w:hAnsi="宋体" w:eastAsia="宋体" w:cs="宋体"/>
          <w:i w:val="0"/>
          <w:iCs w:val="0"/>
          <w:caps w:val="0"/>
          <w:color w:val="000000"/>
          <w:spacing w:val="0"/>
          <w:sz w:val="28"/>
          <w:szCs w:val="28"/>
          <w:shd w:val="clear" w:color="auto" w:fill="FFFFFF"/>
          <w:lang w:val="en-US" w:eastAsia="zh-CN"/>
        </w:rPr>
      </w:pPr>
      <w:r>
        <w:rPr>
          <w:rFonts w:hint="eastAsia" w:ascii="宋体" w:hAnsi="宋体" w:eastAsia="宋体" w:cs="宋体"/>
          <w:b/>
          <w:bCs/>
          <w:i w:val="0"/>
          <w:iCs w:val="0"/>
          <w:caps w:val="0"/>
          <w:color w:val="auto"/>
          <w:spacing w:val="0"/>
          <w:sz w:val="28"/>
          <w:szCs w:val="28"/>
          <w:shd w:val="clear" w:color="auto" w:fill="FFFFFF"/>
          <w:lang w:val="en-US" w:eastAsia="zh-CN"/>
        </w:rPr>
        <w:t>一是财政收入质量提升。</w:t>
      </w:r>
      <w:r>
        <w:rPr>
          <w:rFonts w:hint="eastAsia" w:ascii="宋体" w:hAnsi="宋体" w:eastAsia="宋体" w:cs="宋体"/>
          <w:b w:val="0"/>
          <w:bCs w:val="0"/>
          <w:i w:val="0"/>
          <w:iCs w:val="0"/>
          <w:caps w:val="0"/>
          <w:color w:val="auto"/>
          <w:spacing w:val="0"/>
          <w:sz w:val="28"/>
          <w:szCs w:val="28"/>
          <w:shd w:val="clear" w:color="auto" w:fill="FFFFFF"/>
          <w:lang w:val="en-US" w:eastAsia="zh-CN"/>
        </w:rPr>
        <w:t>全年</w:t>
      </w:r>
      <w:r>
        <w:rPr>
          <w:rFonts w:hint="eastAsia" w:ascii="宋体" w:hAnsi="宋体" w:eastAsia="宋体" w:cs="宋体"/>
          <w:b w:val="0"/>
          <w:bCs w:val="0"/>
          <w:i w:val="0"/>
          <w:iCs w:val="0"/>
          <w:caps w:val="0"/>
          <w:color w:val="000000"/>
          <w:spacing w:val="0"/>
          <w:sz w:val="28"/>
          <w:szCs w:val="28"/>
          <w:shd w:val="clear" w:color="auto" w:fill="FFFFFF"/>
          <w:lang w:val="en-US" w:eastAsia="zh-CN"/>
        </w:rPr>
        <w:t>全</w:t>
      </w:r>
      <w:r>
        <w:rPr>
          <w:rFonts w:hint="eastAsia" w:ascii="宋体" w:hAnsi="宋体" w:eastAsia="宋体" w:cs="宋体"/>
          <w:i w:val="0"/>
          <w:iCs w:val="0"/>
          <w:caps w:val="0"/>
          <w:color w:val="000000"/>
          <w:spacing w:val="0"/>
          <w:sz w:val="28"/>
          <w:szCs w:val="28"/>
          <w:shd w:val="clear" w:color="auto" w:fill="FFFFFF"/>
          <w:lang w:val="en-US" w:eastAsia="zh-CN"/>
        </w:rPr>
        <w:t>市完成地方一般公共预算收入</w:t>
      </w:r>
      <w:r>
        <w:rPr>
          <w:rFonts w:hint="eastAsia" w:ascii="宋体" w:hAnsi="宋体" w:cs="宋体"/>
          <w:i w:val="0"/>
          <w:iCs w:val="0"/>
          <w:caps w:val="0"/>
          <w:color w:val="000000"/>
          <w:spacing w:val="0"/>
          <w:sz w:val="28"/>
          <w:szCs w:val="28"/>
          <w:shd w:val="clear" w:color="auto" w:fill="FFFFFF"/>
          <w:lang w:val="en-US" w:eastAsia="zh-CN"/>
        </w:rPr>
        <w:t>16.34</w:t>
      </w:r>
      <w:r>
        <w:rPr>
          <w:rFonts w:hint="eastAsia" w:ascii="宋体" w:hAnsi="宋体" w:eastAsia="宋体" w:cs="宋体"/>
          <w:i w:val="0"/>
          <w:iCs w:val="0"/>
          <w:caps w:val="0"/>
          <w:color w:val="000000"/>
          <w:spacing w:val="0"/>
          <w:sz w:val="28"/>
          <w:szCs w:val="28"/>
          <w:shd w:val="clear" w:color="auto" w:fill="FFFFFF"/>
          <w:lang w:val="en-US" w:eastAsia="zh-CN"/>
        </w:rPr>
        <w:t>亿元，同比增长</w:t>
      </w:r>
      <w:r>
        <w:rPr>
          <w:rFonts w:hint="eastAsia" w:ascii="宋体" w:hAnsi="宋体" w:cs="宋体"/>
          <w:i w:val="0"/>
          <w:iCs w:val="0"/>
          <w:caps w:val="0"/>
          <w:color w:val="000000"/>
          <w:spacing w:val="0"/>
          <w:sz w:val="28"/>
          <w:szCs w:val="28"/>
          <w:shd w:val="clear" w:color="auto" w:fill="FFFFFF"/>
          <w:lang w:val="en-US" w:eastAsia="zh-CN"/>
        </w:rPr>
        <w:t>3.7</w:t>
      </w:r>
      <w:r>
        <w:rPr>
          <w:rFonts w:hint="eastAsia" w:ascii="宋体" w:hAnsi="宋体" w:eastAsia="宋体" w:cs="宋体"/>
          <w:i w:val="0"/>
          <w:iCs w:val="0"/>
          <w:caps w:val="0"/>
          <w:color w:val="000000"/>
          <w:spacing w:val="0"/>
          <w:sz w:val="28"/>
          <w:szCs w:val="28"/>
          <w:shd w:val="clear" w:color="auto" w:fill="FFFFFF"/>
          <w:lang w:val="en-US" w:eastAsia="zh-CN"/>
        </w:rPr>
        <w:t>%，其中，地方税收收入</w:t>
      </w:r>
      <w:r>
        <w:rPr>
          <w:rFonts w:hint="eastAsia" w:ascii="宋体" w:hAnsi="宋体" w:cs="宋体"/>
          <w:i w:val="0"/>
          <w:iCs w:val="0"/>
          <w:caps w:val="0"/>
          <w:color w:val="000000"/>
          <w:spacing w:val="0"/>
          <w:sz w:val="28"/>
          <w:szCs w:val="28"/>
          <w:shd w:val="clear" w:color="auto" w:fill="FFFFFF"/>
          <w:lang w:val="en-US" w:eastAsia="zh-CN"/>
        </w:rPr>
        <w:t>11.39</w:t>
      </w:r>
      <w:r>
        <w:rPr>
          <w:rFonts w:hint="eastAsia" w:ascii="宋体" w:hAnsi="宋体" w:eastAsia="宋体" w:cs="宋体"/>
          <w:i w:val="0"/>
          <w:iCs w:val="0"/>
          <w:caps w:val="0"/>
          <w:color w:val="000000"/>
          <w:spacing w:val="0"/>
          <w:sz w:val="28"/>
          <w:szCs w:val="28"/>
          <w:shd w:val="clear" w:color="auto" w:fill="FFFFFF"/>
          <w:lang w:val="en-US" w:eastAsia="zh-CN"/>
        </w:rPr>
        <w:t>亿元，同比增长</w:t>
      </w:r>
      <w:r>
        <w:rPr>
          <w:rFonts w:hint="eastAsia" w:ascii="宋体" w:hAnsi="宋体" w:cs="宋体"/>
          <w:i w:val="0"/>
          <w:iCs w:val="0"/>
          <w:caps w:val="0"/>
          <w:color w:val="000000"/>
          <w:spacing w:val="0"/>
          <w:sz w:val="28"/>
          <w:szCs w:val="28"/>
          <w:shd w:val="clear" w:color="auto" w:fill="FFFFFF"/>
          <w:lang w:val="en-US" w:eastAsia="zh-CN"/>
        </w:rPr>
        <w:t>6.9</w:t>
      </w:r>
      <w:r>
        <w:rPr>
          <w:rFonts w:hint="eastAsia" w:ascii="宋体" w:hAnsi="宋体" w:eastAsia="宋体" w:cs="宋体"/>
          <w:i w:val="0"/>
          <w:iCs w:val="0"/>
          <w:caps w:val="0"/>
          <w:color w:val="000000"/>
          <w:spacing w:val="0"/>
          <w:sz w:val="28"/>
          <w:szCs w:val="28"/>
          <w:shd w:val="clear" w:color="auto" w:fill="FFFFFF"/>
          <w:lang w:val="en-US" w:eastAsia="zh-CN"/>
        </w:rPr>
        <w:t>%；完成非税收入4.91亿元</w:t>
      </w:r>
      <w:r>
        <w:rPr>
          <w:rFonts w:hint="eastAsia" w:ascii="宋体" w:hAnsi="宋体" w:cs="宋体"/>
          <w:i w:val="0"/>
          <w:iCs w:val="0"/>
          <w:caps w:val="0"/>
          <w:color w:val="000000"/>
          <w:spacing w:val="0"/>
          <w:sz w:val="28"/>
          <w:szCs w:val="28"/>
          <w:shd w:val="clear" w:color="auto" w:fill="FFFFFF"/>
          <w:lang w:val="en-US" w:eastAsia="zh-CN"/>
        </w:rPr>
        <w:t>，</w:t>
      </w:r>
      <w:r>
        <w:rPr>
          <w:rFonts w:hint="eastAsia" w:ascii="宋体" w:hAnsi="宋体" w:eastAsia="宋体" w:cs="宋体"/>
          <w:i w:val="0"/>
          <w:iCs w:val="0"/>
          <w:caps w:val="0"/>
          <w:color w:val="000000"/>
          <w:spacing w:val="0"/>
          <w:sz w:val="28"/>
          <w:szCs w:val="28"/>
          <w:shd w:val="clear" w:color="auto" w:fill="FFFFFF"/>
          <w:lang w:val="en-US" w:eastAsia="zh-CN"/>
        </w:rPr>
        <w:t>同比下降3.0%，非税收入占地方一般公共预算收入比重为30.3%。</w:t>
      </w:r>
      <w:r>
        <w:rPr>
          <w:rFonts w:hint="eastAsia" w:ascii="宋体" w:hAnsi="宋体" w:eastAsia="宋体" w:cs="宋体"/>
          <w:b/>
          <w:bCs/>
          <w:i w:val="0"/>
          <w:iCs w:val="0"/>
          <w:caps w:val="0"/>
          <w:color w:val="000000"/>
          <w:spacing w:val="0"/>
          <w:sz w:val="28"/>
          <w:szCs w:val="28"/>
          <w:shd w:val="clear" w:color="auto" w:fill="FFFFFF"/>
          <w:lang w:val="en-US" w:eastAsia="zh-CN"/>
        </w:rPr>
        <w:t>二是</w:t>
      </w:r>
      <w:r>
        <w:rPr>
          <w:rFonts w:hint="eastAsia" w:ascii="宋体" w:hAnsi="宋体" w:eastAsia="宋体" w:cs="宋体"/>
          <w:b/>
          <w:bCs/>
          <w:i w:val="0"/>
          <w:iCs w:val="0"/>
          <w:caps w:val="0"/>
          <w:color w:val="auto"/>
          <w:spacing w:val="0"/>
          <w:sz w:val="28"/>
          <w:szCs w:val="28"/>
          <w:shd w:val="clear" w:color="auto" w:fill="FFFFFF"/>
          <w:lang w:val="en-US" w:eastAsia="zh-CN"/>
        </w:rPr>
        <w:t>金融机构存贷款快速增长。</w:t>
      </w:r>
      <w:r>
        <w:rPr>
          <w:rFonts w:hint="default" w:ascii="宋体" w:hAnsi="宋体" w:eastAsia="宋体" w:cs="宋体"/>
          <w:i w:val="0"/>
          <w:iCs w:val="0"/>
          <w:caps w:val="0"/>
          <w:color w:val="000000"/>
          <w:spacing w:val="0"/>
          <w:sz w:val="28"/>
          <w:szCs w:val="28"/>
          <w:shd w:val="clear" w:color="auto" w:fill="FFFFFF"/>
          <w:lang w:val="en-US" w:eastAsia="zh-CN"/>
        </w:rPr>
        <w:t>各项存贷款情况总体保持稳定，宽松货币政策显现成效。</w:t>
      </w:r>
      <w:r>
        <w:rPr>
          <w:rFonts w:hint="eastAsia" w:ascii="宋体" w:hAnsi="宋体" w:eastAsia="宋体" w:cs="宋体"/>
          <w:i w:val="0"/>
          <w:iCs w:val="0"/>
          <w:caps w:val="0"/>
          <w:color w:val="000000"/>
          <w:spacing w:val="0"/>
          <w:sz w:val="28"/>
          <w:szCs w:val="28"/>
          <w:shd w:val="clear" w:color="auto" w:fill="FFFFFF"/>
          <w:lang w:val="en-US" w:eastAsia="zh-CN"/>
        </w:rPr>
        <w:t>12</w:t>
      </w:r>
      <w:r>
        <w:rPr>
          <w:rFonts w:hint="default" w:ascii="宋体" w:hAnsi="宋体" w:eastAsia="宋体" w:cs="宋体"/>
          <w:i w:val="0"/>
          <w:iCs w:val="0"/>
          <w:caps w:val="0"/>
          <w:color w:val="000000"/>
          <w:spacing w:val="0"/>
          <w:sz w:val="28"/>
          <w:szCs w:val="28"/>
          <w:shd w:val="clear" w:color="auto" w:fill="FFFFFF"/>
          <w:lang w:val="en-US" w:eastAsia="zh-CN"/>
        </w:rPr>
        <w:t>月</w:t>
      </w:r>
      <w:r>
        <w:rPr>
          <w:rFonts w:hint="eastAsia" w:ascii="宋体" w:hAnsi="宋体" w:eastAsia="宋体" w:cs="宋体"/>
          <w:i w:val="0"/>
          <w:iCs w:val="0"/>
          <w:caps w:val="0"/>
          <w:color w:val="000000"/>
          <w:spacing w:val="0"/>
          <w:sz w:val="28"/>
          <w:szCs w:val="28"/>
          <w:shd w:val="clear" w:color="auto" w:fill="FFFFFF"/>
          <w:lang w:val="en-US" w:eastAsia="zh-CN"/>
        </w:rPr>
        <w:t>末</w:t>
      </w:r>
      <w:r>
        <w:rPr>
          <w:rFonts w:hint="default" w:ascii="宋体" w:hAnsi="宋体" w:eastAsia="宋体" w:cs="宋体"/>
          <w:i w:val="0"/>
          <w:iCs w:val="0"/>
          <w:caps w:val="0"/>
          <w:color w:val="000000"/>
          <w:spacing w:val="0"/>
          <w:sz w:val="28"/>
          <w:szCs w:val="28"/>
          <w:shd w:val="clear" w:color="auto" w:fill="FFFFFF"/>
          <w:lang w:val="en-US" w:eastAsia="zh-CN"/>
        </w:rPr>
        <w:t>，全</w:t>
      </w:r>
      <w:r>
        <w:rPr>
          <w:rFonts w:hint="eastAsia" w:ascii="宋体" w:hAnsi="宋体" w:eastAsia="宋体" w:cs="宋体"/>
          <w:i w:val="0"/>
          <w:iCs w:val="0"/>
          <w:caps w:val="0"/>
          <w:color w:val="000000"/>
          <w:spacing w:val="0"/>
          <w:sz w:val="28"/>
          <w:szCs w:val="28"/>
          <w:shd w:val="clear" w:color="auto" w:fill="FFFFFF"/>
          <w:lang w:val="en-US" w:eastAsia="zh-CN"/>
        </w:rPr>
        <w:t>市</w:t>
      </w:r>
      <w:r>
        <w:rPr>
          <w:rFonts w:hint="default" w:ascii="宋体" w:hAnsi="宋体" w:eastAsia="宋体" w:cs="宋体"/>
          <w:i w:val="0"/>
          <w:iCs w:val="0"/>
          <w:caps w:val="0"/>
          <w:color w:val="000000"/>
          <w:spacing w:val="0"/>
          <w:sz w:val="28"/>
          <w:szCs w:val="28"/>
          <w:shd w:val="clear" w:color="auto" w:fill="FFFFFF"/>
          <w:lang w:val="en-US" w:eastAsia="zh-CN"/>
        </w:rPr>
        <w:t>金融机构人民币各项存款余额</w:t>
      </w:r>
      <w:r>
        <w:rPr>
          <w:rFonts w:hint="eastAsia" w:ascii="宋体" w:hAnsi="宋体" w:eastAsia="宋体" w:cs="宋体"/>
          <w:i w:val="0"/>
          <w:iCs w:val="0"/>
          <w:caps w:val="0"/>
          <w:color w:val="000000"/>
          <w:spacing w:val="0"/>
          <w:sz w:val="28"/>
          <w:szCs w:val="28"/>
          <w:shd w:val="clear" w:color="auto" w:fill="FFFFFF"/>
          <w:lang w:val="en-US" w:eastAsia="zh-CN"/>
        </w:rPr>
        <w:t>495.59</w:t>
      </w:r>
      <w:r>
        <w:rPr>
          <w:rFonts w:hint="default" w:ascii="宋体" w:hAnsi="宋体" w:eastAsia="宋体" w:cs="宋体"/>
          <w:i w:val="0"/>
          <w:iCs w:val="0"/>
          <w:caps w:val="0"/>
          <w:color w:val="000000"/>
          <w:spacing w:val="0"/>
          <w:sz w:val="28"/>
          <w:szCs w:val="28"/>
          <w:shd w:val="clear" w:color="auto" w:fill="FFFFFF"/>
          <w:lang w:val="en-US" w:eastAsia="zh-CN"/>
        </w:rPr>
        <w:t>亿元，同比增长</w:t>
      </w:r>
      <w:r>
        <w:rPr>
          <w:rFonts w:hint="eastAsia" w:ascii="宋体" w:hAnsi="宋体" w:eastAsia="宋体" w:cs="宋体"/>
          <w:i w:val="0"/>
          <w:iCs w:val="0"/>
          <w:caps w:val="0"/>
          <w:color w:val="000000"/>
          <w:spacing w:val="0"/>
          <w:sz w:val="28"/>
          <w:szCs w:val="28"/>
          <w:shd w:val="clear" w:color="auto" w:fill="FFFFFF"/>
          <w:lang w:val="en-US" w:eastAsia="zh-CN"/>
        </w:rPr>
        <w:t>14.0</w:t>
      </w:r>
      <w:r>
        <w:rPr>
          <w:rFonts w:hint="default" w:ascii="宋体" w:hAnsi="宋体" w:eastAsia="宋体" w:cs="宋体"/>
          <w:i w:val="0"/>
          <w:iCs w:val="0"/>
          <w:caps w:val="0"/>
          <w:color w:val="000000"/>
          <w:spacing w:val="0"/>
          <w:sz w:val="28"/>
          <w:szCs w:val="28"/>
          <w:shd w:val="clear" w:color="auto" w:fill="FFFFFF"/>
          <w:lang w:val="en-US" w:eastAsia="zh-CN"/>
        </w:rPr>
        <w:t>%，增速</w:t>
      </w:r>
      <w:r>
        <w:rPr>
          <w:rFonts w:hint="eastAsia" w:ascii="宋体" w:hAnsi="宋体" w:eastAsia="宋体" w:cs="宋体"/>
          <w:i w:val="0"/>
          <w:iCs w:val="0"/>
          <w:caps w:val="0"/>
          <w:color w:val="000000"/>
          <w:spacing w:val="0"/>
          <w:sz w:val="28"/>
          <w:szCs w:val="28"/>
          <w:shd w:val="clear" w:color="auto" w:fill="FFFFFF"/>
          <w:lang w:val="en-US" w:eastAsia="zh-CN"/>
        </w:rPr>
        <w:t>较上年</w:t>
      </w:r>
      <w:r>
        <w:rPr>
          <w:rFonts w:hint="default" w:ascii="宋体" w:hAnsi="宋体" w:eastAsia="宋体" w:cs="宋体"/>
          <w:i w:val="0"/>
          <w:iCs w:val="0"/>
          <w:caps w:val="0"/>
          <w:color w:val="000000"/>
          <w:spacing w:val="0"/>
          <w:sz w:val="28"/>
          <w:szCs w:val="28"/>
          <w:shd w:val="clear" w:color="auto" w:fill="FFFFFF"/>
          <w:lang w:val="en-US" w:eastAsia="zh-CN"/>
        </w:rPr>
        <w:t>同期</w:t>
      </w:r>
      <w:r>
        <w:rPr>
          <w:rFonts w:hint="eastAsia" w:ascii="宋体" w:hAnsi="宋体" w:eastAsia="宋体" w:cs="宋体"/>
          <w:i w:val="0"/>
          <w:iCs w:val="0"/>
          <w:caps w:val="0"/>
          <w:color w:val="000000"/>
          <w:spacing w:val="0"/>
          <w:sz w:val="28"/>
          <w:szCs w:val="28"/>
          <w:shd w:val="clear" w:color="auto" w:fill="FFFFFF"/>
          <w:lang w:val="en-US" w:eastAsia="zh-CN"/>
        </w:rPr>
        <w:t>提升5.6</w:t>
      </w:r>
      <w:r>
        <w:rPr>
          <w:rFonts w:hint="default" w:ascii="宋体" w:hAnsi="宋体" w:eastAsia="宋体" w:cs="宋体"/>
          <w:i w:val="0"/>
          <w:iCs w:val="0"/>
          <w:caps w:val="0"/>
          <w:color w:val="000000"/>
          <w:spacing w:val="0"/>
          <w:sz w:val="28"/>
          <w:szCs w:val="28"/>
          <w:shd w:val="clear" w:color="auto" w:fill="FFFFFF"/>
          <w:lang w:val="en-US" w:eastAsia="zh-CN"/>
        </w:rPr>
        <w:t>个百分点。全</w:t>
      </w:r>
      <w:r>
        <w:rPr>
          <w:rFonts w:hint="eastAsia" w:ascii="宋体" w:hAnsi="宋体" w:eastAsia="宋体" w:cs="宋体"/>
          <w:i w:val="0"/>
          <w:iCs w:val="0"/>
          <w:caps w:val="0"/>
          <w:color w:val="000000"/>
          <w:spacing w:val="0"/>
          <w:sz w:val="28"/>
          <w:szCs w:val="28"/>
          <w:shd w:val="clear" w:color="auto" w:fill="FFFFFF"/>
          <w:lang w:val="en-US" w:eastAsia="zh-CN"/>
        </w:rPr>
        <w:t>市</w:t>
      </w:r>
      <w:r>
        <w:rPr>
          <w:rFonts w:hint="default" w:ascii="宋体" w:hAnsi="宋体" w:eastAsia="宋体" w:cs="宋体"/>
          <w:i w:val="0"/>
          <w:iCs w:val="0"/>
          <w:caps w:val="0"/>
          <w:color w:val="000000"/>
          <w:spacing w:val="0"/>
          <w:sz w:val="28"/>
          <w:szCs w:val="28"/>
          <w:shd w:val="clear" w:color="auto" w:fill="FFFFFF"/>
          <w:lang w:val="en-US" w:eastAsia="zh-CN"/>
        </w:rPr>
        <w:t>金融机构人民币各项贷款余额</w:t>
      </w:r>
      <w:r>
        <w:rPr>
          <w:rFonts w:hint="eastAsia" w:ascii="宋体" w:hAnsi="宋体" w:eastAsia="宋体" w:cs="宋体"/>
          <w:i w:val="0"/>
          <w:iCs w:val="0"/>
          <w:caps w:val="0"/>
          <w:color w:val="000000"/>
          <w:spacing w:val="0"/>
          <w:sz w:val="28"/>
          <w:szCs w:val="28"/>
          <w:shd w:val="clear" w:color="auto" w:fill="FFFFFF"/>
          <w:lang w:val="en-US" w:eastAsia="zh-CN"/>
        </w:rPr>
        <w:t>362.08</w:t>
      </w:r>
      <w:r>
        <w:rPr>
          <w:rFonts w:hint="default" w:ascii="宋体" w:hAnsi="宋体" w:eastAsia="宋体" w:cs="宋体"/>
          <w:i w:val="0"/>
          <w:iCs w:val="0"/>
          <w:caps w:val="0"/>
          <w:color w:val="000000"/>
          <w:spacing w:val="0"/>
          <w:sz w:val="28"/>
          <w:szCs w:val="28"/>
          <w:shd w:val="clear" w:color="auto" w:fill="FFFFFF"/>
          <w:lang w:val="en-US" w:eastAsia="zh-CN"/>
        </w:rPr>
        <w:t>亿元，同比增长</w:t>
      </w:r>
      <w:r>
        <w:rPr>
          <w:rFonts w:hint="eastAsia" w:ascii="宋体" w:hAnsi="宋体" w:eastAsia="宋体" w:cs="宋体"/>
          <w:i w:val="0"/>
          <w:iCs w:val="0"/>
          <w:caps w:val="0"/>
          <w:color w:val="000000"/>
          <w:spacing w:val="0"/>
          <w:sz w:val="28"/>
          <w:szCs w:val="28"/>
          <w:shd w:val="clear" w:color="auto" w:fill="FFFFFF"/>
          <w:lang w:val="en-US" w:eastAsia="zh-CN"/>
        </w:rPr>
        <w:t>14.3</w:t>
      </w:r>
      <w:r>
        <w:rPr>
          <w:rFonts w:hint="default" w:ascii="宋体" w:hAnsi="宋体" w:eastAsia="宋体" w:cs="宋体"/>
          <w:i w:val="0"/>
          <w:iCs w:val="0"/>
          <w:caps w:val="0"/>
          <w:color w:val="000000"/>
          <w:spacing w:val="0"/>
          <w:sz w:val="28"/>
          <w:szCs w:val="28"/>
          <w:shd w:val="clear" w:color="auto" w:fill="FFFFFF"/>
          <w:lang w:val="en-US" w:eastAsia="zh-CN"/>
        </w:rPr>
        <w:t>%，增速</w:t>
      </w:r>
      <w:r>
        <w:rPr>
          <w:rFonts w:hint="eastAsia" w:ascii="宋体" w:hAnsi="宋体" w:cs="宋体"/>
          <w:i w:val="0"/>
          <w:iCs w:val="0"/>
          <w:caps w:val="0"/>
          <w:color w:val="000000"/>
          <w:spacing w:val="0"/>
          <w:sz w:val="28"/>
          <w:szCs w:val="28"/>
          <w:shd w:val="clear" w:color="auto" w:fill="FFFFFF"/>
          <w:lang w:val="en-US" w:eastAsia="zh-CN"/>
        </w:rPr>
        <w:t>较</w:t>
      </w:r>
      <w:r>
        <w:rPr>
          <w:rFonts w:hint="default" w:ascii="宋体" w:hAnsi="宋体" w:eastAsia="宋体" w:cs="宋体"/>
          <w:i w:val="0"/>
          <w:iCs w:val="0"/>
          <w:caps w:val="0"/>
          <w:color w:val="000000"/>
          <w:spacing w:val="0"/>
          <w:sz w:val="28"/>
          <w:szCs w:val="28"/>
          <w:shd w:val="clear" w:color="auto" w:fill="FFFFFF"/>
          <w:lang w:val="en-US" w:eastAsia="zh-CN"/>
        </w:rPr>
        <w:t>上年同期回落</w:t>
      </w:r>
      <w:r>
        <w:rPr>
          <w:rFonts w:hint="eastAsia" w:ascii="宋体" w:hAnsi="宋体" w:eastAsia="宋体" w:cs="宋体"/>
          <w:i w:val="0"/>
          <w:iCs w:val="0"/>
          <w:caps w:val="0"/>
          <w:color w:val="000000"/>
          <w:spacing w:val="0"/>
          <w:sz w:val="28"/>
          <w:szCs w:val="28"/>
          <w:shd w:val="clear" w:color="auto" w:fill="FFFFFF"/>
          <w:lang w:val="en-US" w:eastAsia="zh-CN"/>
        </w:rPr>
        <w:t>3</w:t>
      </w:r>
      <w:r>
        <w:rPr>
          <w:rFonts w:hint="default" w:ascii="宋体" w:hAnsi="宋体" w:eastAsia="宋体" w:cs="宋体"/>
          <w:i w:val="0"/>
          <w:iCs w:val="0"/>
          <w:caps w:val="0"/>
          <w:color w:val="000000"/>
          <w:spacing w:val="0"/>
          <w:sz w:val="28"/>
          <w:szCs w:val="28"/>
          <w:shd w:val="clear" w:color="auto" w:fill="FFFFFF"/>
          <w:lang w:val="en-US" w:eastAsia="zh-CN"/>
        </w:rPr>
        <w:t>个百分点</w:t>
      </w:r>
      <w:r>
        <w:rPr>
          <w:rFonts w:hint="eastAsia" w:ascii="宋体" w:hAnsi="宋体" w:eastAsia="宋体" w:cs="宋体"/>
          <w:i w:val="0"/>
          <w:iCs w:val="0"/>
          <w:caps w:val="0"/>
          <w:color w:val="000000"/>
          <w:spacing w:val="0"/>
          <w:sz w:val="28"/>
          <w:szCs w:val="28"/>
          <w:shd w:val="clear" w:color="auto" w:fill="FFFFFF"/>
          <w:lang w:val="en-US" w:eastAsia="zh-CN"/>
        </w:rPr>
        <w:t>，</w:t>
      </w:r>
      <w:r>
        <w:rPr>
          <w:rFonts w:hint="default" w:ascii="宋体" w:hAnsi="宋体" w:eastAsia="宋体" w:cs="宋体"/>
          <w:i w:val="0"/>
          <w:iCs w:val="0"/>
          <w:caps w:val="0"/>
          <w:color w:val="000000"/>
          <w:spacing w:val="0"/>
          <w:sz w:val="28"/>
          <w:szCs w:val="28"/>
          <w:shd w:val="clear" w:color="auto" w:fill="FFFFFF"/>
          <w:lang w:val="en-US" w:eastAsia="zh-CN"/>
        </w:rPr>
        <w:t>其中，住户贷款</w:t>
      </w:r>
      <w:r>
        <w:rPr>
          <w:rFonts w:hint="eastAsia" w:ascii="宋体" w:hAnsi="宋体" w:eastAsia="宋体" w:cs="宋体"/>
          <w:i w:val="0"/>
          <w:iCs w:val="0"/>
          <w:caps w:val="0"/>
          <w:color w:val="000000"/>
          <w:spacing w:val="0"/>
          <w:sz w:val="28"/>
          <w:szCs w:val="28"/>
          <w:shd w:val="clear" w:color="auto" w:fill="FFFFFF"/>
          <w:lang w:val="en-US" w:eastAsia="zh-CN"/>
        </w:rPr>
        <w:t>139.72</w:t>
      </w:r>
      <w:r>
        <w:rPr>
          <w:rFonts w:hint="default" w:ascii="宋体" w:hAnsi="宋体" w:eastAsia="宋体" w:cs="宋体"/>
          <w:i w:val="0"/>
          <w:iCs w:val="0"/>
          <w:caps w:val="0"/>
          <w:color w:val="000000"/>
          <w:spacing w:val="0"/>
          <w:sz w:val="28"/>
          <w:szCs w:val="28"/>
          <w:shd w:val="clear" w:color="auto" w:fill="FFFFFF"/>
          <w:lang w:val="en-US" w:eastAsia="zh-CN"/>
        </w:rPr>
        <w:t>亿元，增长</w:t>
      </w:r>
      <w:r>
        <w:rPr>
          <w:rFonts w:hint="eastAsia" w:ascii="宋体" w:hAnsi="宋体" w:eastAsia="宋体" w:cs="宋体"/>
          <w:i w:val="0"/>
          <w:iCs w:val="0"/>
          <w:caps w:val="0"/>
          <w:color w:val="000000"/>
          <w:spacing w:val="0"/>
          <w:sz w:val="28"/>
          <w:szCs w:val="28"/>
          <w:shd w:val="clear" w:color="auto" w:fill="FFFFFF"/>
          <w:lang w:val="en-US" w:eastAsia="zh-CN"/>
        </w:rPr>
        <w:t>9.9</w:t>
      </w:r>
      <w:r>
        <w:rPr>
          <w:rFonts w:hint="default" w:ascii="宋体" w:hAnsi="宋体" w:eastAsia="宋体" w:cs="宋体"/>
          <w:i w:val="0"/>
          <w:iCs w:val="0"/>
          <w:caps w:val="0"/>
          <w:color w:val="000000"/>
          <w:spacing w:val="0"/>
          <w:sz w:val="28"/>
          <w:szCs w:val="28"/>
          <w:shd w:val="clear" w:color="auto" w:fill="FFFFFF"/>
          <w:lang w:val="en-US" w:eastAsia="zh-CN"/>
        </w:rPr>
        <w:t>%；非金融企业及机关团体贷款</w:t>
      </w:r>
      <w:r>
        <w:rPr>
          <w:rFonts w:hint="eastAsia" w:ascii="宋体" w:hAnsi="宋体" w:eastAsia="宋体" w:cs="宋体"/>
          <w:i w:val="0"/>
          <w:iCs w:val="0"/>
          <w:caps w:val="0"/>
          <w:color w:val="000000"/>
          <w:spacing w:val="0"/>
          <w:sz w:val="28"/>
          <w:szCs w:val="28"/>
          <w:shd w:val="clear" w:color="auto" w:fill="FFFFFF"/>
          <w:lang w:val="en-US" w:eastAsia="zh-CN"/>
        </w:rPr>
        <w:t>218.41</w:t>
      </w:r>
      <w:r>
        <w:rPr>
          <w:rFonts w:hint="default" w:ascii="宋体" w:hAnsi="宋体" w:eastAsia="宋体" w:cs="宋体"/>
          <w:i w:val="0"/>
          <w:iCs w:val="0"/>
          <w:caps w:val="0"/>
          <w:color w:val="000000"/>
          <w:spacing w:val="0"/>
          <w:sz w:val="28"/>
          <w:szCs w:val="28"/>
          <w:shd w:val="clear" w:color="auto" w:fill="FFFFFF"/>
          <w:lang w:val="en-US" w:eastAsia="zh-CN"/>
        </w:rPr>
        <w:t>亿元，增长</w:t>
      </w:r>
      <w:r>
        <w:rPr>
          <w:rFonts w:hint="eastAsia" w:ascii="宋体" w:hAnsi="宋体" w:eastAsia="宋体" w:cs="宋体"/>
          <w:i w:val="0"/>
          <w:iCs w:val="0"/>
          <w:caps w:val="0"/>
          <w:color w:val="000000"/>
          <w:spacing w:val="0"/>
          <w:sz w:val="28"/>
          <w:szCs w:val="28"/>
          <w:shd w:val="clear" w:color="auto" w:fill="FFFFFF"/>
          <w:lang w:val="en-US" w:eastAsia="zh-CN"/>
        </w:rPr>
        <w:t>15.1</w:t>
      </w:r>
      <w:r>
        <w:rPr>
          <w:rFonts w:hint="default" w:ascii="宋体" w:hAnsi="宋体" w:eastAsia="宋体" w:cs="宋体"/>
          <w:i w:val="0"/>
          <w:iCs w:val="0"/>
          <w:caps w:val="0"/>
          <w:color w:val="000000"/>
          <w:spacing w:val="0"/>
          <w:sz w:val="28"/>
          <w:szCs w:val="28"/>
          <w:shd w:val="clear" w:color="auto" w:fill="FFFFFF"/>
          <w:lang w:val="en-US" w:eastAsia="zh-CN"/>
        </w:rPr>
        <w:t>%</w:t>
      </w:r>
      <w:r>
        <w:rPr>
          <w:rFonts w:hint="eastAsia" w:ascii="宋体" w:hAnsi="宋体" w:eastAsia="宋体" w:cs="宋体"/>
          <w:i w:val="0"/>
          <w:iCs w:val="0"/>
          <w:caps w:val="0"/>
          <w:color w:val="000000"/>
          <w:spacing w:val="0"/>
          <w:sz w:val="28"/>
          <w:szCs w:val="28"/>
          <w:shd w:val="clear" w:color="auto" w:fill="FFFFFF"/>
          <w:lang w:val="en-US" w:eastAsia="zh-CN"/>
        </w:rPr>
        <w:t>，全市企业</w:t>
      </w:r>
      <w:r>
        <w:rPr>
          <w:rFonts w:hint="default" w:ascii="宋体" w:hAnsi="宋体" w:eastAsia="宋体" w:cs="宋体"/>
          <w:i w:val="0"/>
          <w:iCs w:val="0"/>
          <w:caps w:val="0"/>
          <w:color w:val="000000"/>
          <w:spacing w:val="0"/>
          <w:sz w:val="28"/>
          <w:szCs w:val="28"/>
          <w:shd w:val="clear" w:color="auto" w:fill="FFFFFF"/>
          <w:lang w:val="en-US" w:eastAsia="zh-CN"/>
        </w:rPr>
        <w:t>信贷需求出现明显提升。</w:t>
      </w:r>
      <w:r>
        <w:rPr>
          <w:rFonts w:hint="eastAsia" w:ascii="宋体" w:hAnsi="宋体" w:eastAsia="宋体" w:cs="宋体"/>
          <w:b/>
          <w:bCs/>
          <w:i w:val="0"/>
          <w:iCs w:val="0"/>
          <w:caps w:val="0"/>
          <w:color w:val="000000"/>
          <w:spacing w:val="0"/>
          <w:sz w:val="28"/>
          <w:szCs w:val="28"/>
          <w:shd w:val="clear" w:color="auto" w:fill="FFFFFF"/>
          <w:lang w:val="en-US" w:eastAsia="zh-CN"/>
        </w:rPr>
        <w:t>三是</w:t>
      </w:r>
      <w:r>
        <w:rPr>
          <w:rFonts w:hint="default" w:ascii="宋体" w:hAnsi="宋体" w:eastAsia="宋体" w:cs="宋体"/>
          <w:b/>
          <w:bCs/>
          <w:i w:val="0"/>
          <w:iCs w:val="0"/>
          <w:caps w:val="0"/>
          <w:color w:val="000000"/>
          <w:spacing w:val="0"/>
          <w:sz w:val="28"/>
          <w:szCs w:val="28"/>
          <w:shd w:val="clear" w:color="auto" w:fill="FFFFFF"/>
          <w:lang w:val="en-US" w:eastAsia="zh-CN"/>
        </w:rPr>
        <w:t>企业效益稳步回升。</w:t>
      </w:r>
      <w:r>
        <w:rPr>
          <w:rFonts w:hint="eastAsia" w:ascii="宋体" w:hAnsi="宋体" w:eastAsia="宋体" w:cs="宋体"/>
          <w:i w:val="0"/>
          <w:iCs w:val="0"/>
          <w:caps w:val="0"/>
          <w:color w:val="000000"/>
          <w:spacing w:val="0"/>
          <w:sz w:val="28"/>
          <w:szCs w:val="28"/>
          <w:shd w:val="clear" w:color="auto" w:fill="FFFFFF"/>
          <w:lang w:val="en-US" w:eastAsia="zh-CN"/>
        </w:rPr>
        <w:t>全市持续推进省、湘潭市稳经济“1+8”政策体系，深入开展“百名干部联百企”行动，留抵退税达3亿元，推动政策“红利”转化为企业内生动力。</w:t>
      </w:r>
      <w:r>
        <w:rPr>
          <w:rFonts w:hint="eastAsia" w:ascii="宋体" w:hAnsi="宋体" w:cs="宋体"/>
          <w:i w:val="0"/>
          <w:iCs w:val="0"/>
          <w:caps w:val="0"/>
          <w:color w:val="000000"/>
          <w:spacing w:val="0"/>
          <w:sz w:val="28"/>
          <w:szCs w:val="28"/>
          <w:shd w:val="clear" w:color="auto" w:fill="FFFFFF"/>
          <w:lang w:val="en-US" w:eastAsia="zh-CN"/>
        </w:rPr>
        <w:t>全年</w:t>
      </w:r>
      <w:r>
        <w:rPr>
          <w:rFonts w:hint="eastAsia" w:ascii="宋体" w:hAnsi="宋体" w:eastAsia="宋体" w:cs="宋体"/>
          <w:i w:val="0"/>
          <w:iCs w:val="0"/>
          <w:caps w:val="0"/>
          <w:color w:val="000000"/>
          <w:spacing w:val="0"/>
          <w:sz w:val="28"/>
          <w:szCs w:val="28"/>
          <w:shd w:val="clear" w:color="auto" w:fill="FFFFFF"/>
          <w:lang w:val="en-US" w:eastAsia="zh-CN"/>
        </w:rPr>
        <w:t>全市规模工业企业营业收入同比增长5.1%。</w:t>
      </w:r>
    </w:p>
    <w:p>
      <w:pPr>
        <w:ind w:firstLine="596" w:firstLineChars="200"/>
        <w:rPr>
          <w:rFonts w:hint="eastAsia" w:ascii="宋体" w:hAnsi="宋体" w:eastAsia="宋体" w:cs="宋体"/>
          <w:b/>
          <w:bCs/>
          <w:i w:val="0"/>
          <w:iCs w:val="0"/>
          <w:caps w:val="0"/>
          <w:color w:val="000000"/>
          <w:spacing w:val="0"/>
          <w:sz w:val="28"/>
          <w:szCs w:val="28"/>
          <w:shd w:val="clear" w:color="auto" w:fill="FFFFFF"/>
          <w:vertAlign w:val="baseline"/>
        </w:rPr>
      </w:pPr>
      <w:r>
        <w:rPr>
          <w:rFonts w:hint="eastAsia" w:ascii="宋体" w:hAnsi="宋体" w:eastAsia="宋体" w:cs="宋体"/>
          <w:b/>
          <w:bCs/>
          <w:i w:val="0"/>
          <w:iCs w:val="0"/>
          <w:caps w:val="0"/>
          <w:color w:val="000000"/>
          <w:spacing w:val="0"/>
          <w:sz w:val="28"/>
          <w:szCs w:val="28"/>
          <w:shd w:val="clear" w:color="auto" w:fill="FFFFFF"/>
          <w:vertAlign w:val="baseline"/>
          <w:lang w:eastAsia="zh-CN"/>
        </w:rPr>
        <w:t>从民生实事看，</w:t>
      </w:r>
      <w:r>
        <w:rPr>
          <w:rFonts w:hint="eastAsia" w:ascii="宋体" w:hAnsi="宋体" w:eastAsia="宋体" w:cs="宋体"/>
          <w:b/>
          <w:bCs/>
          <w:i w:val="0"/>
          <w:iCs w:val="0"/>
          <w:caps w:val="0"/>
          <w:color w:val="000000"/>
          <w:spacing w:val="0"/>
          <w:sz w:val="28"/>
          <w:szCs w:val="28"/>
          <w:shd w:val="clear" w:color="auto" w:fill="FFFFFF"/>
          <w:vertAlign w:val="baseline"/>
        </w:rPr>
        <w:t>社会民生福祉厚植增优</w:t>
      </w:r>
    </w:p>
    <w:p>
      <w:pPr>
        <w:ind w:firstLine="596" w:firstLineChars="200"/>
        <w:rPr>
          <w:rFonts w:ascii="黑体" w:hAnsi="黑体" w:eastAsia="黑体"/>
          <w:color w:val="FF0000"/>
          <w:sz w:val="28"/>
          <w:szCs w:val="28"/>
        </w:rPr>
      </w:pPr>
      <w:r>
        <w:rPr>
          <w:rFonts w:hint="eastAsia" w:ascii="宋体" w:hAnsi="宋体" w:eastAsia="宋体" w:cs="宋体"/>
          <w:b/>
          <w:bCs/>
          <w:i w:val="0"/>
          <w:iCs w:val="0"/>
          <w:caps w:val="0"/>
          <w:color w:val="000000"/>
          <w:spacing w:val="0"/>
          <w:sz w:val="28"/>
          <w:szCs w:val="28"/>
          <w:shd w:val="clear" w:color="auto" w:fill="FFFFFF"/>
          <w:vertAlign w:val="baseline"/>
          <w:lang w:eastAsia="zh-CN"/>
        </w:rPr>
        <w:t>一是</w:t>
      </w:r>
      <w:r>
        <w:rPr>
          <w:rFonts w:hint="eastAsia" w:ascii="宋体" w:hAnsi="宋体" w:eastAsia="宋体" w:cs="宋体"/>
          <w:b/>
          <w:bCs/>
          <w:i w:val="0"/>
          <w:iCs w:val="0"/>
          <w:caps w:val="0"/>
          <w:color w:val="000000"/>
          <w:spacing w:val="0"/>
          <w:sz w:val="28"/>
          <w:szCs w:val="28"/>
          <w:shd w:val="clear" w:color="auto" w:fill="FFFFFF"/>
          <w:vertAlign w:val="baseline"/>
        </w:rPr>
        <w:t>民生投入</w:t>
      </w:r>
      <w:r>
        <w:rPr>
          <w:rFonts w:hint="eastAsia" w:ascii="宋体" w:hAnsi="宋体" w:eastAsia="宋体" w:cs="宋体"/>
          <w:b/>
          <w:bCs/>
          <w:i w:val="0"/>
          <w:iCs w:val="0"/>
          <w:caps w:val="0"/>
          <w:color w:val="000000"/>
          <w:spacing w:val="0"/>
          <w:sz w:val="28"/>
          <w:szCs w:val="28"/>
          <w:shd w:val="clear" w:color="auto" w:fill="FFFFFF"/>
          <w:vertAlign w:val="baseline"/>
          <w:lang w:eastAsia="zh-CN"/>
        </w:rPr>
        <w:t>持续加力</w:t>
      </w:r>
      <w:r>
        <w:rPr>
          <w:rFonts w:hint="eastAsia" w:ascii="宋体" w:hAnsi="宋体" w:eastAsia="宋体" w:cs="宋体"/>
          <w:b/>
          <w:bCs/>
          <w:i w:val="0"/>
          <w:iCs w:val="0"/>
          <w:caps w:val="0"/>
          <w:color w:val="000000"/>
          <w:spacing w:val="0"/>
          <w:sz w:val="28"/>
          <w:szCs w:val="28"/>
          <w:shd w:val="clear" w:color="auto" w:fill="FFFFFF"/>
          <w:vertAlign w:val="baseline"/>
        </w:rPr>
        <w:t>。</w:t>
      </w:r>
      <w:r>
        <w:rPr>
          <w:rFonts w:hint="eastAsia" w:ascii="宋体" w:hAnsi="宋体" w:eastAsia="宋体" w:cs="宋体"/>
          <w:b w:val="0"/>
          <w:bCs w:val="0"/>
          <w:i w:val="0"/>
          <w:iCs w:val="0"/>
          <w:caps w:val="0"/>
          <w:color w:val="000000"/>
          <w:spacing w:val="0"/>
          <w:sz w:val="28"/>
          <w:szCs w:val="28"/>
          <w:shd w:val="clear" w:color="auto" w:fill="FFFFFF"/>
          <w:vertAlign w:val="baseline"/>
          <w:lang w:eastAsia="zh-CN"/>
        </w:rPr>
        <w:t>全年</w:t>
      </w:r>
      <w:r>
        <w:rPr>
          <w:rFonts w:hint="eastAsia" w:ascii="宋体" w:hAnsi="宋体" w:eastAsia="宋体" w:cs="宋体"/>
          <w:b w:val="0"/>
          <w:bCs w:val="0"/>
          <w:color w:val="000000"/>
          <w:sz w:val="28"/>
          <w:szCs w:val="28"/>
        </w:rPr>
        <w:t>全</w:t>
      </w:r>
      <w:r>
        <w:rPr>
          <w:rFonts w:hint="eastAsia" w:ascii="宋体" w:hAnsi="宋体" w:eastAsia="宋体" w:cs="宋体"/>
          <w:b w:val="0"/>
          <w:bCs w:val="0"/>
          <w:color w:val="000000"/>
          <w:sz w:val="28"/>
          <w:szCs w:val="28"/>
          <w:lang w:eastAsia="zh-CN"/>
        </w:rPr>
        <w:t>市财政民生支出达</w:t>
      </w:r>
      <w:r>
        <w:rPr>
          <w:rFonts w:hint="eastAsia" w:ascii="宋体" w:hAnsi="宋体" w:cs="宋体"/>
          <w:b w:val="0"/>
          <w:bCs w:val="0"/>
          <w:color w:val="000000"/>
          <w:sz w:val="28"/>
          <w:szCs w:val="28"/>
          <w:lang w:val="en-US" w:eastAsia="zh-CN"/>
        </w:rPr>
        <w:t>80</w:t>
      </w:r>
      <w:r>
        <w:rPr>
          <w:rFonts w:hint="eastAsia" w:ascii="宋体" w:hAnsi="宋体" w:eastAsia="宋体" w:cs="宋体"/>
          <w:b w:val="0"/>
          <w:bCs w:val="0"/>
          <w:color w:val="000000"/>
          <w:sz w:val="28"/>
          <w:szCs w:val="28"/>
          <w:lang w:val="en-US" w:eastAsia="zh-CN"/>
        </w:rPr>
        <w:t>%，其中，</w:t>
      </w:r>
      <w:r>
        <w:rPr>
          <w:rFonts w:hint="eastAsia" w:ascii="宋体" w:hAnsi="宋体" w:eastAsia="宋体" w:cs="宋体"/>
          <w:b w:val="0"/>
          <w:bCs w:val="0"/>
          <w:color w:val="000000"/>
          <w:sz w:val="28"/>
          <w:szCs w:val="28"/>
        </w:rPr>
        <w:t>农林水、住房保障、城乡社区</w:t>
      </w:r>
      <w:r>
        <w:rPr>
          <w:rFonts w:hint="eastAsia" w:ascii="宋体" w:hAnsi="宋体" w:cs="宋体"/>
          <w:b w:val="0"/>
          <w:bCs w:val="0"/>
          <w:color w:val="000000"/>
          <w:sz w:val="28"/>
          <w:szCs w:val="28"/>
          <w:lang w:eastAsia="zh-CN"/>
        </w:rPr>
        <w:t>、医疗卫生与计划生育</w:t>
      </w:r>
      <w:r>
        <w:rPr>
          <w:rFonts w:hint="eastAsia" w:ascii="宋体" w:hAnsi="宋体" w:eastAsia="宋体" w:cs="宋体"/>
          <w:b w:val="0"/>
          <w:bCs w:val="0"/>
          <w:color w:val="000000"/>
          <w:sz w:val="28"/>
          <w:szCs w:val="28"/>
        </w:rPr>
        <w:t>等领域财政支出同比分别增长</w:t>
      </w:r>
      <w:r>
        <w:rPr>
          <w:rFonts w:hint="eastAsia" w:ascii="宋体" w:hAnsi="宋体" w:cs="宋体"/>
          <w:b w:val="0"/>
          <w:bCs w:val="0"/>
          <w:color w:val="000000"/>
          <w:sz w:val="28"/>
          <w:szCs w:val="28"/>
          <w:lang w:val="en-US" w:eastAsia="zh-CN"/>
        </w:rPr>
        <w:t>2.6</w:t>
      </w:r>
      <w:r>
        <w:rPr>
          <w:rFonts w:hint="eastAsia" w:ascii="宋体" w:hAnsi="宋体" w:eastAsia="宋体" w:cs="宋体"/>
          <w:b w:val="0"/>
          <w:bCs w:val="0"/>
          <w:color w:val="000000"/>
          <w:sz w:val="28"/>
          <w:szCs w:val="28"/>
        </w:rPr>
        <w:t>%、</w:t>
      </w:r>
      <w:r>
        <w:rPr>
          <w:rFonts w:hint="eastAsia" w:ascii="宋体" w:hAnsi="宋体" w:cs="宋体"/>
          <w:b w:val="0"/>
          <w:bCs w:val="0"/>
          <w:color w:val="000000"/>
          <w:sz w:val="28"/>
          <w:szCs w:val="28"/>
          <w:lang w:val="en-US" w:eastAsia="zh-CN"/>
        </w:rPr>
        <w:t>0.9</w:t>
      </w:r>
      <w:r>
        <w:rPr>
          <w:rFonts w:hint="eastAsia" w:ascii="宋体" w:hAnsi="宋体" w:eastAsia="宋体" w:cs="宋体"/>
          <w:b w:val="0"/>
          <w:bCs w:val="0"/>
          <w:color w:val="000000"/>
          <w:sz w:val="28"/>
          <w:szCs w:val="28"/>
        </w:rPr>
        <w:t>%</w:t>
      </w:r>
      <w:r>
        <w:rPr>
          <w:rFonts w:hint="eastAsia" w:ascii="宋体" w:hAnsi="宋体" w:cs="宋体"/>
          <w:b w:val="0"/>
          <w:bCs w:val="0"/>
          <w:color w:val="000000"/>
          <w:sz w:val="28"/>
          <w:szCs w:val="28"/>
          <w:lang w:eastAsia="zh-CN"/>
        </w:rPr>
        <w:t>、</w:t>
      </w:r>
      <w:r>
        <w:rPr>
          <w:rFonts w:hint="eastAsia" w:ascii="宋体" w:hAnsi="宋体" w:cs="宋体"/>
          <w:b w:val="0"/>
          <w:bCs w:val="0"/>
          <w:color w:val="000000"/>
          <w:sz w:val="28"/>
          <w:szCs w:val="28"/>
          <w:lang w:val="en-US" w:eastAsia="zh-CN"/>
        </w:rPr>
        <w:t>12.4</w:t>
      </w:r>
      <w:r>
        <w:rPr>
          <w:rFonts w:hint="eastAsia" w:ascii="宋体" w:hAnsi="宋体" w:eastAsia="宋体" w:cs="宋体"/>
          <w:b w:val="0"/>
          <w:bCs w:val="0"/>
          <w:color w:val="000000"/>
          <w:sz w:val="28"/>
          <w:szCs w:val="28"/>
        </w:rPr>
        <w:t>%</w:t>
      </w:r>
      <w:r>
        <w:rPr>
          <w:rFonts w:hint="eastAsia" w:ascii="宋体" w:hAnsi="宋体" w:cs="宋体"/>
          <w:b w:val="0"/>
          <w:bCs w:val="0"/>
          <w:color w:val="000000"/>
          <w:sz w:val="28"/>
          <w:szCs w:val="28"/>
          <w:lang w:eastAsia="zh-CN"/>
        </w:rPr>
        <w:t>、</w:t>
      </w:r>
      <w:r>
        <w:rPr>
          <w:rFonts w:hint="eastAsia" w:ascii="宋体" w:hAnsi="宋体" w:cs="宋体"/>
          <w:b w:val="0"/>
          <w:bCs w:val="0"/>
          <w:color w:val="000000"/>
          <w:sz w:val="28"/>
          <w:szCs w:val="28"/>
          <w:lang w:val="en-US" w:eastAsia="zh-CN"/>
        </w:rPr>
        <w:t>0.8%</w:t>
      </w:r>
      <w:r>
        <w:rPr>
          <w:rFonts w:hint="eastAsia" w:ascii="宋体" w:hAnsi="宋体" w:eastAsia="宋体" w:cs="宋体"/>
          <w:b w:val="0"/>
          <w:bCs w:val="0"/>
          <w:color w:val="000000"/>
          <w:sz w:val="28"/>
          <w:szCs w:val="28"/>
        </w:rPr>
        <w:t>。</w:t>
      </w:r>
      <w:r>
        <w:rPr>
          <w:rFonts w:hint="eastAsia" w:ascii="宋体" w:hAnsi="宋体" w:eastAsia="宋体" w:cs="宋体"/>
          <w:b/>
          <w:bCs/>
          <w:color w:val="000000"/>
          <w:sz w:val="28"/>
          <w:szCs w:val="28"/>
          <w:lang w:eastAsia="zh-CN"/>
        </w:rPr>
        <w:t>二是</w:t>
      </w:r>
      <w:r>
        <w:rPr>
          <w:rFonts w:hint="eastAsia" w:ascii="宋体" w:hAnsi="宋体" w:eastAsia="宋体" w:cs="宋体"/>
          <w:b/>
          <w:bCs/>
          <w:i w:val="0"/>
          <w:iCs w:val="0"/>
          <w:caps w:val="0"/>
          <w:color w:val="000000"/>
          <w:spacing w:val="0"/>
          <w:sz w:val="28"/>
          <w:szCs w:val="28"/>
          <w:shd w:val="clear" w:color="auto" w:fill="FFFFFF"/>
          <w:vertAlign w:val="baseline"/>
        </w:rPr>
        <w:t>就业形势</w:t>
      </w:r>
      <w:r>
        <w:rPr>
          <w:rFonts w:hint="eastAsia" w:ascii="宋体" w:hAnsi="宋体" w:eastAsia="宋体" w:cs="宋体"/>
          <w:b/>
          <w:bCs/>
          <w:i w:val="0"/>
          <w:iCs w:val="0"/>
          <w:caps w:val="0"/>
          <w:color w:val="000000"/>
          <w:spacing w:val="0"/>
          <w:sz w:val="28"/>
          <w:szCs w:val="28"/>
          <w:shd w:val="clear" w:color="auto" w:fill="FFFFFF"/>
          <w:vertAlign w:val="baseline"/>
          <w:lang w:eastAsia="zh-CN"/>
        </w:rPr>
        <w:t>稳中向好</w:t>
      </w:r>
      <w:r>
        <w:rPr>
          <w:rFonts w:hint="eastAsia" w:ascii="宋体" w:hAnsi="宋体" w:eastAsia="宋体" w:cs="宋体"/>
          <w:b/>
          <w:bCs/>
          <w:i w:val="0"/>
          <w:iCs w:val="0"/>
          <w:caps w:val="0"/>
          <w:color w:val="000000"/>
          <w:spacing w:val="0"/>
          <w:sz w:val="28"/>
          <w:szCs w:val="28"/>
          <w:shd w:val="clear" w:color="auto" w:fill="FFFFFF"/>
          <w:vertAlign w:val="baseline"/>
        </w:rPr>
        <w:t>。</w:t>
      </w:r>
      <w:r>
        <w:rPr>
          <w:rFonts w:hint="eastAsia" w:ascii="宋体" w:hAnsi="宋体" w:eastAsia="宋体" w:cs="宋体"/>
          <w:b w:val="0"/>
          <w:bCs w:val="0"/>
          <w:i w:val="0"/>
          <w:iCs w:val="0"/>
          <w:caps w:val="0"/>
          <w:color w:val="000000"/>
          <w:spacing w:val="0"/>
          <w:sz w:val="28"/>
          <w:szCs w:val="28"/>
          <w:shd w:val="clear" w:color="auto" w:fill="FFFFFF"/>
          <w:vertAlign w:val="baseline"/>
          <w:lang w:eastAsia="zh-CN"/>
        </w:rPr>
        <w:t>全年全市</w:t>
      </w:r>
      <w:r>
        <w:rPr>
          <w:rFonts w:hint="eastAsia" w:ascii="宋体" w:hAnsi="宋体" w:eastAsia="宋体" w:cs="宋体"/>
          <w:color w:val="000000"/>
          <w:sz w:val="28"/>
          <w:szCs w:val="28"/>
        </w:rPr>
        <w:t>城镇新增就业</w:t>
      </w:r>
      <w:r>
        <w:rPr>
          <w:rFonts w:hint="eastAsia" w:ascii="宋体" w:hAnsi="宋体" w:eastAsia="宋体" w:cs="宋体"/>
          <w:color w:val="000000"/>
          <w:sz w:val="28"/>
          <w:szCs w:val="28"/>
          <w:lang w:val="en-US" w:eastAsia="zh-CN"/>
        </w:rPr>
        <w:t>6402</w:t>
      </w:r>
      <w:r>
        <w:rPr>
          <w:rFonts w:hint="eastAsia" w:ascii="宋体" w:hAnsi="宋体" w:eastAsia="宋体" w:cs="宋体"/>
          <w:color w:val="000000"/>
          <w:sz w:val="28"/>
          <w:szCs w:val="28"/>
        </w:rPr>
        <w:t>人</w:t>
      </w:r>
      <w:r>
        <w:rPr>
          <w:rFonts w:hint="eastAsia" w:ascii="宋体" w:hAnsi="宋体" w:eastAsia="宋体" w:cs="宋体"/>
          <w:i w:val="0"/>
          <w:iCs w:val="0"/>
          <w:caps w:val="0"/>
          <w:color w:val="000000"/>
          <w:spacing w:val="0"/>
          <w:sz w:val="28"/>
          <w:szCs w:val="28"/>
          <w:shd w:val="clear" w:color="auto" w:fill="FFFFFF"/>
        </w:rPr>
        <w:t>，</w:t>
      </w:r>
      <w:r>
        <w:rPr>
          <w:rFonts w:hint="eastAsia" w:ascii="宋体" w:hAnsi="宋体" w:eastAsia="宋体" w:cs="宋体"/>
          <w:color w:val="000000"/>
          <w:sz w:val="28"/>
          <w:szCs w:val="28"/>
        </w:rPr>
        <w:t>农村劳动力转移就业</w:t>
      </w:r>
      <w:r>
        <w:rPr>
          <w:rFonts w:hint="eastAsia" w:ascii="宋体" w:hAnsi="宋体" w:eastAsia="宋体" w:cs="宋体"/>
          <w:color w:val="000000"/>
          <w:sz w:val="28"/>
          <w:szCs w:val="28"/>
          <w:lang w:val="en-US" w:eastAsia="zh-CN"/>
        </w:rPr>
        <w:t>5502人</w:t>
      </w:r>
      <w:r>
        <w:rPr>
          <w:rFonts w:hint="eastAsia" w:ascii="宋体" w:hAnsi="宋体" w:eastAsia="宋体" w:cs="宋体"/>
          <w:color w:val="000000"/>
          <w:sz w:val="28"/>
          <w:szCs w:val="28"/>
        </w:rPr>
        <w:t>，分别完成年度目标任务的</w:t>
      </w:r>
      <w:r>
        <w:rPr>
          <w:rFonts w:hint="eastAsia" w:ascii="宋体" w:hAnsi="宋体" w:eastAsia="宋体" w:cs="宋体"/>
          <w:color w:val="000000"/>
          <w:sz w:val="28"/>
          <w:szCs w:val="28"/>
          <w:lang w:val="en-US" w:eastAsia="zh-CN"/>
        </w:rPr>
        <w:t>106.7</w:t>
      </w:r>
      <w:r>
        <w:rPr>
          <w:rFonts w:hint="eastAsia" w:ascii="宋体" w:hAnsi="宋体" w:eastAsia="宋体" w:cs="宋体"/>
          <w:color w:val="000000"/>
          <w:sz w:val="28"/>
          <w:szCs w:val="28"/>
        </w:rPr>
        <w:t>%和</w:t>
      </w:r>
      <w:r>
        <w:rPr>
          <w:rFonts w:hint="eastAsia" w:ascii="宋体" w:hAnsi="宋体" w:eastAsia="宋体" w:cs="宋体"/>
          <w:color w:val="000000"/>
          <w:sz w:val="28"/>
          <w:szCs w:val="28"/>
          <w:lang w:val="en-US" w:eastAsia="zh-CN"/>
        </w:rPr>
        <w:t>157.2</w:t>
      </w:r>
      <w:r>
        <w:rPr>
          <w:rFonts w:hint="eastAsia" w:ascii="宋体" w:hAnsi="宋体" w:eastAsia="宋体" w:cs="宋体"/>
          <w:color w:val="000000"/>
          <w:sz w:val="28"/>
          <w:szCs w:val="28"/>
        </w:rPr>
        <w:t>%</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新增退役军人就业</w:t>
      </w:r>
      <w:r>
        <w:rPr>
          <w:rFonts w:hint="eastAsia" w:ascii="宋体" w:hAnsi="宋体" w:eastAsia="宋体" w:cs="宋体"/>
          <w:color w:val="000000"/>
          <w:sz w:val="28"/>
          <w:szCs w:val="28"/>
          <w:lang w:val="en-US" w:eastAsia="zh-CN"/>
        </w:rPr>
        <w:t>558人</w:t>
      </w:r>
      <w:r>
        <w:rPr>
          <w:rFonts w:hint="eastAsia" w:ascii="宋体" w:hAnsi="宋体" w:eastAsia="宋体" w:cs="宋体"/>
          <w:color w:val="000000"/>
          <w:sz w:val="28"/>
          <w:szCs w:val="28"/>
        </w:rPr>
        <w:t>，完成年度目标任务</w:t>
      </w:r>
      <w:r>
        <w:rPr>
          <w:rFonts w:hint="eastAsia" w:ascii="宋体" w:hAnsi="宋体" w:eastAsia="宋体" w:cs="宋体"/>
          <w:color w:val="000000"/>
          <w:sz w:val="28"/>
          <w:szCs w:val="28"/>
          <w:lang w:eastAsia="zh-CN"/>
        </w:rPr>
        <w:t>的</w:t>
      </w:r>
      <w:r>
        <w:rPr>
          <w:rFonts w:hint="eastAsia" w:ascii="宋体" w:hAnsi="宋体" w:eastAsia="宋体" w:cs="宋体"/>
          <w:color w:val="000000"/>
          <w:sz w:val="28"/>
          <w:szCs w:val="28"/>
          <w:lang w:val="en-US" w:eastAsia="zh-CN"/>
        </w:rPr>
        <w:t>111.6%</w:t>
      </w:r>
      <w:r>
        <w:rPr>
          <w:rFonts w:hint="eastAsia" w:ascii="宋体" w:hAnsi="宋体" w:eastAsia="宋体" w:cs="宋体"/>
          <w:i w:val="0"/>
          <w:iCs w:val="0"/>
          <w:caps w:val="0"/>
          <w:color w:val="000000"/>
          <w:spacing w:val="0"/>
          <w:sz w:val="28"/>
          <w:szCs w:val="28"/>
          <w:shd w:val="clear" w:color="auto" w:fill="FFFFFF"/>
        </w:rPr>
        <w:t>。</w:t>
      </w:r>
      <w:r>
        <w:rPr>
          <w:rFonts w:hint="eastAsia" w:ascii="宋体" w:hAnsi="宋体" w:eastAsia="宋体" w:cs="宋体"/>
          <w:b/>
          <w:bCs/>
          <w:i w:val="0"/>
          <w:iCs w:val="0"/>
          <w:caps w:val="0"/>
          <w:color w:val="000000"/>
          <w:spacing w:val="0"/>
          <w:sz w:val="28"/>
          <w:szCs w:val="28"/>
          <w:shd w:val="clear" w:color="auto" w:fill="FFFFFF"/>
          <w:lang w:eastAsia="zh-CN"/>
        </w:rPr>
        <w:t>三是</w:t>
      </w:r>
      <w:r>
        <w:rPr>
          <w:rFonts w:hint="eastAsia" w:ascii="宋体" w:hAnsi="宋体" w:eastAsia="宋体" w:cs="宋体"/>
          <w:b/>
          <w:bCs/>
          <w:i w:val="0"/>
          <w:iCs w:val="0"/>
          <w:caps w:val="0"/>
          <w:color w:val="000000"/>
          <w:spacing w:val="0"/>
          <w:sz w:val="28"/>
          <w:szCs w:val="28"/>
          <w:shd w:val="clear" w:color="auto" w:fill="FFFFFF"/>
          <w:vertAlign w:val="baseline"/>
        </w:rPr>
        <w:t>重点民生实事</w:t>
      </w:r>
      <w:r>
        <w:rPr>
          <w:rFonts w:hint="eastAsia" w:ascii="宋体" w:hAnsi="宋体" w:eastAsia="宋体" w:cs="宋体"/>
          <w:b/>
          <w:bCs/>
          <w:i w:val="0"/>
          <w:iCs w:val="0"/>
          <w:caps w:val="0"/>
          <w:color w:val="000000"/>
          <w:spacing w:val="0"/>
          <w:sz w:val="28"/>
          <w:szCs w:val="28"/>
          <w:shd w:val="clear" w:color="auto" w:fill="FFFFFF"/>
          <w:vertAlign w:val="baseline"/>
          <w:lang w:eastAsia="zh-CN"/>
        </w:rPr>
        <w:t>高标准完成</w:t>
      </w:r>
      <w:r>
        <w:rPr>
          <w:rFonts w:hint="eastAsia" w:ascii="宋体" w:hAnsi="宋体" w:eastAsia="宋体" w:cs="宋体"/>
          <w:b/>
          <w:bCs/>
          <w:i w:val="0"/>
          <w:iCs w:val="0"/>
          <w:caps w:val="0"/>
          <w:color w:val="000000"/>
          <w:spacing w:val="0"/>
          <w:sz w:val="28"/>
          <w:szCs w:val="28"/>
          <w:shd w:val="clear" w:color="auto" w:fill="FFFFFF"/>
          <w:vertAlign w:val="baseline"/>
        </w:rPr>
        <w:t>。</w:t>
      </w:r>
      <w:r>
        <w:rPr>
          <w:rFonts w:hint="eastAsia" w:ascii="宋体" w:hAnsi="宋体" w:eastAsia="宋体" w:cs="宋体"/>
          <w:b w:val="0"/>
          <w:bCs w:val="0"/>
          <w:i w:val="0"/>
          <w:iCs w:val="0"/>
          <w:caps w:val="0"/>
          <w:color w:val="000000"/>
          <w:spacing w:val="0"/>
          <w:sz w:val="28"/>
          <w:szCs w:val="28"/>
          <w:shd w:val="clear" w:color="auto" w:fill="FFFFFF"/>
          <w:vertAlign w:val="baseline"/>
          <w:lang w:val="en-US" w:eastAsia="zh-CN"/>
        </w:rPr>
        <w:t>2022年</w:t>
      </w:r>
      <w:r>
        <w:rPr>
          <w:rFonts w:hint="eastAsia" w:ascii="宋体" w:hAnsi="宋体" w:eastAsia="宋体" w:cs="宋体"/>
          <w:b w:val="0"/>
          <w:bCs w:val="0"/>
          <w:i w:val="0"/>
          <w:iCs w:val="0"/>
          <w:caps w:val="0"/>
          <w:color w:val="000000"/>
          <w:spacing w:val="0"/>
          <w:sz w:val="28"/>
          <w:szCs w:val="28"/>
          <w:shd w:val="clear" w:color="auto" w:fill="FFFFFF"/>
          <w:vertAlign w:val="baseline"/>
          <w:lang w:eastAsia="zh-CN"/>
        </w:rPr>
        <w:t>全市有省、湘潭市和本级</w:t>
      </w:r>
      <w:r>
        <w:rPr>
          <w:rFonts w:hint="eastAsia" w:ascii="宋体" w:hAnsi="宋体" w:eastAsia="宋体" w:cs="宋体"/>
          <w:b w:val="0"/>
          <w:bCs w:val="0"/>
          <w:color w:val="000000"/>
          <w:sz w:val="28"/>
          <w:szCs w:val="28"/>
          <w:lang w:val="en-US" w:eastAsia="zh-CN"/>
        </w:rPr>
        <w:t>37</w:t>
      </w:r>
      <w:r>
        <w:rPr>
          <w:rFonts w:hint="eastAsia" w:ascii="宋体" w:hAnsi="宋体" w:eastAsia="宋体" w:cs="宋体"/>
          <w:b w:val="0"/>
          <w:bCs w:val="0"/>
          <w:color w:val="000000"/>
          <w:sz w:val="28"/>
          <w:szCs w:val="28"/>
        </w:rPr>
        <w:t>项重点民生实事</w:t>
      </w:r>
      <w:r>
        <w:rPr>
          <w:rFonts w:hint="eastAsia" w:ascii="宋体" w:hAnsi="宋体" w:eastAsia="宋体" w:cs="宋体"/>
          <w:b w:val="0"/>
          <w:bCs w:val="0"/>
          <w:i w:val="0"/>
          <w:iCs w:val="0"/>
          <w:caps w:val="0"/>
          <w:color w:val="000000"/>
          <w:spacing w:val="0"/>
          <w:sz w:val="28"/>
          <w:szCs w:val="28"/>
          <w:shd w:val="clear" w:color="auto" w:fill="FFFFFF"/>
        </w:rPr>
        <w:t>，</w:t>
      </w:r>
      <w:r>
        <w:rPr>
          <w:rFonts w:hint="eastAsia" w:ascii="宋体" w:hAnsi="宋体" w:eastAsia="宋体" w:cs="宋体"/>
          <w:b w:val="0"/>
          <w:bCs w:val="0"/>
          <w:i w:val="0"/>
          <w:iCs w:val="0"/>
          <w:caps w:val="0"/>
          <w:color w:val="000000"/>
          <w:spacing w:val="0"/>
          <w:sz w:val="28"/>
          <w:szCs w:val="28"/>
          <w:shd w:val="clear" w:color="auto" w:fill="FFFFFF"/>
          <w:lang w:eastAsia="zh-CN"/>
        </w:rPr>
        <w:t>都高标准完成，有</w:t>
      </w:r>
      <w:r>
        <w:rPr>
          <w:rFonts w:hint="eastAsia" w:ascii="宋体" w:hAnsi="宋体" w:eastAsia="宋体" w:cs="宋体"/>
          <w:color w:val="000000"/>
          <w:sz w:val="28"/>
          <w:szCs w:val="28"/>
          <w:lang w:val="en-US" w:eastAsia="zh-CN"/>
        </w:rPr>
        <w:t>15</w:t>
      </w:r>
      <w:r>
        <w:rPr>
          <w:rFonts w:hint="eastAsia" w:ascii="宋体" w:hAnsi="宋体" w:eastAsia="宋体" w:cs="宋体"/>
          <w:color w:val="000000"/>
          <w:sz w:val="28"/>
          <w:szCs w:val="28"/>
        </w:rPr>
        <w:t>项</w:t>
      </w:r>
      <w:r>
        <w:rPr>
          <w:rFonts w:hint="eastAsia" w:ascii="宋体" w:hAnsi="宋体" w:eastAsia="宋体" w:cs="宋体"/>
          <w:color w:val="000000"/>
          <w:sz w:val="28"/>
          <w:szCs w:val="28"/>
          <w:lang w:eastAsia="zh-CN"/>
        </w:rPr>
        <w:t>超额</w:t>
      </w:r>
      <w:r>
        <w:rPr>
          <w:rFonts w:hint="eastAsia" w:ascii="宋体" w:hAnsi="宋体" w:eastAsia="宋体" w:cs="宋体"/>
          <w:color w:val="000000"/>
          <w:sz w:val="28"/>
          <w:szCs w:val="28"/>
        </w:rPr>
        <w:t>完成年度目标任务，</w:t>
      </w:r>
      <w:r>
        <w:rPr>
          <w:rFonts w:hint="eastAsia" w:ascii="宋体" w:hAnsi="宋体" w:eastAsia="宋体" w:cs="宋体"/>
          <w:color w:val="000000"/>
          <w:sz w:val="28"/>
          <w:szCs w:val="28"/>
          <w:lang w:eastAsia="zh-CN"/>
        </w:rPr>
        <w:t>其中，全市中小学教室灯光照明提质改造（间）、改造危桥（座）、城镇老旧小区改造、每个县市区至少1家定点医疗机构实现普通门诊医疗费用跨省直接结算四个项目分别完成全年任务的</w:t>
      </w:r>
      <w:r>
        <w:rPr>
          <w:rFonts w:hint="eastAsia" w:ascii="宋体" w:hAnsi="宋体" w:eastAsia="宋体" w:cs="宋体"/>
          <w:color w:val="000000"/>
          <w:sz w:val="28"/>
          <w:szCs w:val="28"/>
          <w:lang w:val="en-US" w:eastAsia="zh-CN"/>
        </w:rPr>
        <w:t>414.3%、300.0%、200%、200%</w:t>
      </w:r>
      <w:r>
        <w:rPr>
          <w:rFonts w:hint="eastAsia" w:ascii="宋体" w:hAnsi="宋体" w:eastAsia="宋体" w:cs="宋体"/>
          <w:color w:val="000000"/>
          <w:sz w:val="28"/>
          <w:szCs w:val="28"/>
          <w:lang w:eastAsia="zh-CN"/>
        </w:rPr>
        <w:t>。</w:t>
      </w:r>
      <w:r>
        <w:rPr>
          <w:rFonts w:hint="eastAsia" w:ascii="宋体" w:hAnsi="宋体" w:eastAsia="宋体" w:cs="宋体"/>
          <w:b/>
          <w:bCs/>
          <w:color w:val="000000"/>
          <w:sz w:val="28"/>
          <w:szCs w:val="28"/>
          <w:lang w:eastAsia="zh-CN"/>
        </w:rPr>
        <w:t>四是居民收入实现稳步增长。</w:t>
      </w:r>
      <w:r>
        <w:rPr>
          <w:rFonts w:hint="eastAsia" w:ascii="宋体" w:hAnsi="宋体" w:eastAsia="宋体" w:cs="宋体"/>
          <w:color w:val="000000"/>
          <w:sz w:val="28"/>
          <w:szCs w:val="28"/>
          <w:lang w:eastAsia="zh-CN"/>
        </w:rPr>
        <w:t>2022年，全市全体居民人均可支配收入</w:t>
      </w:r>
      <w:r>
        <w:rPr>
          <w:rFonts w:hint="eastAsia" w:ascii="宋体" w:hAnsi="宋体" w:eastAsia="宋体" w:cs="宋体"/>
          <w:color w:val="000000"/>
          <w:sz w:val="28"/>
          <w:szCs w:val="28"/>
          <w:lang w:val="en-US" w:eastAsia="zh-CN"/>
        </w:rPr>
        <w:t>32840元，</w:t>
      </w:r>
      <w:r>
        <w:rPr>
          <w:rFonts w:hint="eastAsia" w:ascii="宋体" w:hAnsi="宋体" w:eastAsia="宋体" w:cs="宋体"/>
          <w:color w:val="000000"/>
          <w:sz w:val="28"/>
          <w:szCs w:val="28"/>
          <w:lang w:eastAsia="zh-CN"/>
        </w:rPr>
        <w:t>同比增长</w:t>
      </w:r>
      <w:r>
        <w:rPr>
          <w:rFonts w:hint="eastAsia" w:ascii="宋体" w:hAnsi="宋体" w:eastAsia="宋体" w:cs="宋体"/>
          <w:color w:val="000000"/>
          <w:sz w:val="28"/>
          <w:szCs w:val="28"/>
          <w:lang w:val="en-US" w:eastAsia="zh-CN"/>
        </w:rPr>
        <w:t>6.7</w:t>
      </w:r>
      <w:r>
        <w:rPr>
          <w:rFonts w:hint="eastAsia" w:ascii="宋体" w:hAnsi="宋体" w:eastAsia="宋体" w:cs="宋体"/>
          <w:color w:val="000000"/>
          <w:sz w:val="28"/>
          <w:szCs w:val="28"/>
          <w:lang w:eastAsia="zh-CN"/>
        </w:rPr>
        <w:t>%，其中，城镇居民人均可支配收入</w:t>
      </w:r>
      <w:r>
        <w:rPr>
          <w:rFonts w:hint="eastAsia" w:ascii="宋体" w:hAnsi="宋体" w:eastAsia="宋体" w:cs="宋体"/>
          <w:color w:val="000000"/>
          <w:sz w:val="28"/>
          <w:szCs w:val="28"/>
          <w:lang w:val="en-US" w:eastAsia="zh-CN"/>
        </w:rPr>
        <w:t>44822元，</w:t>
      </w:r>
      <w:r>
        <w:rPr>
          <w:rFonts w:hint="eastAsia" w:ascii="宋体" w:hAnsi="宋体" w:eastAsia="宋体" w:cs="宋体"/>
          <w:color w:val="000000"/>
          <w:sz w:val="28"/>
          <w:szCs w:val="28"/>
          <w:lang w:eastAsia="zh-CN"/>
        </w:rPr>
        <w:t>增长</w:t>
      </w:r>
      <w:r>
        <w:rPr>
          <w:rFonts w:hint="eastAsia" w:ascii="宋体" w:hAnsi="宋体" w:eastAsia="宋体" w:cs="宋体"/>
          <w:color w:val="000000"/>
          <w:sz w:val="28"/>
          <w:szCs w:val="28"/>
          <w:lang w:val="en-US" w:eastAsia="zh-CN"/>
        </w:rPr>
        <w:t>4.7</w:t>
      </w:r>
      <w:r>
        <w:rPr>
          <w:rFonts w:hint="eastAsia" w:ascii="宋体" w:hAnsi="宋体" w:eastAsia="宋体" w:cs="宋体"/>
          <w:color w:val="000000"/>
          <w:sz w:val="28"/>
          <w:szCs w:val="28"/>
          <w:lang w:eastAsia="zh-CN"/>
        </w:rPr>
        <w:t>%；农村居民人均可支配收入</w:t>
      </w:r>
      <w:r>
        <w:rPr>
          <w:rFonts w:hint="eastAsia" w:ascii="宋体" w:hAnsi="宋体" w:eastAsia="宋体" w:cs="宋体"/>
          <w:color w:val="000000"/>
          <w:sz w:val="28"/>
          <w:szCs w:val="28"/>
          <w:lang w:val="en-US" w:eastAsia="zh-CN"/>
        </w:rPr>
        <w:t>25076元</w:t>
      </w:r>
      <w:r>
        <w:rPr>
          <w:rFonts w:hint="eastAsia" w:ascii="宋体" w:hAnsi="宋体" w:eastAsia="宋体" w:cs="宋体"/>
          <w:color w:val="000000"/>
          <w:sz w:val="28"/>
          <w:szCs w:val="28"/>
          <w:lang w:eastAsia="zh-CN"/>
        </w:rPr>
        <w:t>增长</w:t>
      </w:r>
      <w:r>
        <w:rPr>
          <w:rFonts w:hint="eastAsia" w:ascii="宋体" w:hAnsi="宋体" w:eastAsia="宋体" w:cs="宋体"/>
          <w:color w:val="000000"/>
          <w:sz w:val="28"/>
          <w:szCs w:val="28"/>
          <w:lang w:val="en-US" w:eastAsia="zh-CN"/>
        </w:rPr>
        <w:t>7.4</w:t>
      </w:r>
      <w:r>
        <w:rPr>
          <w:rFonts w:hint="eastAsia" w:ascii="宋体" w:hAnsi="宋体" w:eastAsia="宋体" w:cs="宋体"/>
          <w:color w:val="000000"/>
          <w:sz w:val="28"/>
          <w:szCs w:val="28"/>
          <w:lang w:eastAsia="zh-CN"/>
        </w:rPr>
        <w:t>%。城乡居民收入比为</w:t>
      </w:r>
      <w:r>
        <w:rPr>
          <w:rFonts w:hint="eastAsia" w:ascii="宋体" w:hAnsi="宋体" w:eastAsia="宋体" w:cs="宋体"/>
          <w:color w:val="000000"/>
          <w:sz w:val="28"/>
          <w:szCs w:val="28"/>
          <w:lang w:val="en-US" w:eastAsia="zh-CN"/>
        </w:rPr>
        <w:t>1.79</w:t>
      </w:r>
      <w:r>
        <w:rPr>
          <w:rFonts w:hint="eastAsia" w:ascii="宋体" w:hAnsi="宋体" w:eastAsia="宋体" w:cs="宋体"/>
          <w:color w:val="000000"/>
          <w:sz w:val="28"/>
          <w:szCs w:val="28"/>
          <w:lang w:eastAsia="zh-CN"/>
        </w:rPr>
        <w:t>，比上年缩小0.04。</w:t>
      </w:r>
    </w:p>
    <w:p>
      <w:pPr>
        <w:ind w:firstLine="1986" w:firstLineChars="588"/>
        <w:rPr>
          <w:rFonts w:hint="eastAsia" w:ascii="黑体" w:hAnsi="黑体" w:eastAsia="黑体"/>
          <w:color w:val="FF0000"/>
          <w:sz w:val="32"/>
          <w:szCs w:val="32"/>
        </w:rPr>
      </w:pPr>
    </w:p>
    <w:p>
      <w:pPr>
        <w:ind w:firstLine="1986" w:firstLineChars="588"/>
        <w:rPr>
          <w:rFonts w:hint="eastAsia" w:ascii="黑体" w:hAnsi="黑体" w:eastAsia="黑体"/>
          <w:color w:val="FF0000"/>
          <w:sz w:val="32"/>
          <w:szCs w:val="32"/>
        </w:rPr>
      </w:pPr>
    </w:p>
    <w:p>
      <w:pPr>
        <w:numPr>
          <w:ilvl w:val="0"/>
          <w:numId w:val="0"/>
        </w:numPr>
        <w:ind w:firstLine="3380" w:firstLineChars="1000"/>
        <w:rPr>
          <w:rFonts w:hint="eastAsia" w:ascii="黑体" w:eastAsia="黑体"/>
          <w:color w:val="000000" w:themeColor="text1"/>
          <w:sz w:val="32"/>
          <w:szCs w:val="32"/>
          <w:lang w:eastAsia="zh-CN"/>
        </w:rPr>
      </w:pPr>
    </w:p>
    <w:p>
      <w:pPr>
        <w:numPr>
          <w:ilvl w:val="0"/>
          <w:numId w:val="0"/>
        </w:numPr>
        <w:ind w:firstLine="3380" w:firstLineChars="1000"/>
        <w:rPr>
          <w:rFonts w:hint="eastAsia" w:ascii="黑体" w:eastAsia="黑体"/>
          <w:color w:val="FF0000"/>
          <w:sz w:val="32"/>
          <w:szCs w:val="32"/>
          <w:lang w:eastAsia="zh-CN"/>
        </w:rPr>
      </w:pPr>
    </w:p>
    <w:p>
      <w:pPr>
        <w:numPr>
          <w:ilvl w:val="0"/>
          <w:numId w:val="0"/>
        </w:numPr>
        <w:ind w:firstLine="3718" w:firstLineChars="1100"/>
        <w:rPr>
          <w:rFonts w:hint="eastAsia" w:ascii="黑体" w:eastAsia="黑体"/>
          <w:color w:val="000000" w:themeColor="text1"/>
          <w:sz w:val="32"/>
          <w:szCs w:val="32"/>
          <w:lang w:eastAsia="zh-CN"/>
        </w:rPr>
      </w:pPr>
    </w:p>
    <w:p>
      <w:pPr>
        <w:numPr>
          <w:ilvl w:val="0"/>
          <w:numId w:val="0"/>
        </w:numPr>
        <w:ind w:firstLine="3718" w:firstLineChars="1100"/>
        <w:rPr>
          <w:rFonts w:hint="eastAsia" w:ascii="黑体" w:eastAsia="黑体"/>
          <w:color w:val="000000" w:themeColor="text1"/>
          <w:sz w:val="32"/>
          <w:szCs w:val="32"/>
          <w:lang w:eastAsia="zh-CN"/>
        </w:rPr>
      </w:pPr>
    </w:p>
    <w:p>
      <w:pPr>
        <w:numPr>
          <w:ilvl w:val="0"/>
          <w:numId w:val="0"/>
        </w:numPr>
        <w:ind w:firstLine="3718" w:firstLineChars="1100"/>
        <w:rPr>
          <w:rFonts w:hint="eastAsia" w:ascii="黑体" w:eastAsia="黑体"/>
          <w:color w:val="000000" w:themeColor="text1"/>
          <w:sz w:val="32"/>
          <w:szCs w:val="32"/>
          <w:lang w:eastAsia="zh-CN"/>
        </w:rPr>
      </w:pPr>
    </w:p>
    <w:p>
      <w:pPr>
        <w:numPr>
          <w:ilvl w:val="0"/>
          <w:numId w:val="0"/>
        </w:numPr>
        <w:ind w:firstLine="3718" w:firstLineChars="1100"/>
        <w:rPr>
          <w:rFonts w:hint="eastAsia" w:ascii="黑体" w:eastAsia="黑体"/>
          <w:color w:val="000000" w:themeColor="text1"/>
          <w:sz w:val="32"/>
          <w:szCs w:val="32"/>
          <w:lang w:eastAsia="zh-CN"/>
        </w:rPr>
      </w:pPr>
    </w:p>
    <w:p>
      <w:pPr>
        <w:numPr>
          <w:ilvl w:val="0"/>
          <w:numId w:val="0"/>
        </w:numPr>
        <w:ind w:firstLine="3718" w:firstLineChars="1100"/>
        <w:rPr>
          <w:rFonts w:hint="eastAsia" w:ascii="黑体" w:eastAsia="黑体"/>
          <w:color w:val="000000" w:themeColor="text1"/>
          <w:sz w:val="32"/>
          <w:szCs w:val="32"/>
          <w:lang w:eastAsia="zh-CN"/>
        </w:rPr>
      </w:pPr>
    </w:p>
    <w:p>
      <w:pPr>
        <w:numPr>
          <w:ilvl w:val="0"/>
          <w:numId w:val="0"/>
        </w:numPr>
        <w:ind w:firstLine="3718" w:firstLineChars="1100"/>
        <w:rPr>
          <w:rFonts w:hint="eastAsia" w:ascii="黑体" w:eastAsia="黑体"/>
          <w:color w:val="000000" w:themeColor="text1"/>
          <w:sz w:val="32"/>
          <w:szCs w:val="32"/>
          <w:lang w:eastAsia="zh-CN"/>
        </w:rPr>
      </w:pPr>
    </w:p>
    <w:p>
      <w:pPr>
        <w:numPr>
          <w:ilvl w:val="0"/>
          <w:numId w:val="0"/>
        </w:numPr>
        <w:ind w:firstLine="3718" w:firstLineChars="1100"/>
        <w:rPr>
          <w:rFonts w:hint="eastAsia" w:ascii="黑体" w:eastAsia="黑体"/>
          <w:color w:val="000000" w:themeColor="text1"/>
          <w:sz w:val="32"/>
          <w:szCs w:val="32"/>
          <w:lang w:eastAsia="zh-CN"/>
        </w:rPr>
      </w:pPr>
    </w:p>
    <w:p>
      <w:pPr>
        <w:numPr>
          <w:ilvl w:val="0"/>
          <w:numId w:val="0"/>
        </w:numPr>
        <w:ind w:firstLine="3718" w:firstLineChars="1100"/>
        <w:rPr>
          <w:rFonts w:hint="eastAsia" w:ascii="黑体" w:eastAsia="黑体"/>
          <w:color w:val="000000" w:themeColor="text1"/>
          <w:sz w:val="32"/>
          <w:szCs w:val="32"/>
          <w:lang w:eastAsia="zh-CN"/>
        </w:rPr>
      </w:pPr>
    </w:p>
    <w:p>
      <w:pPr>
        <w:numPr>
          <w:ilvl w:val="0"/>
          <w:numId w:val="0"/>
        </w:numPr>
        <w:ind w:firstLine="3718" w:firstLineChars="1100"/>
        <w:rPr>
          <w:rFonts w:hint="eastAsia" w:ascii="黑体" w:eastAsia="黑体"/>
          <w:color w:val="000000" w:themeColor="text1"/>
          <w:sz w:val="32"/>
          <w:szCs w:val="32"/>
          <w:lang w:eastAsia="zh-CN"/>
        </w:rPr>
      </w:pPr>
    </w:p>
    <w:p>
      <w:pPr>
        <w:numPr>
          <w:ilvl w:val="0"/>
          <w:numId w:val="0"/>
        </w:numPr>
        <w:ind w:firstLine="3718" w:firstLineChars="1100"/>
        <w:rPr>
          <w:rFonts w:hint="eastAsia" w:ascii="黑体" w:eastAsia="黑体"/>
          <w:color w:val="000000" w:themeColor="text1"/>
          <w:sz w:val="32"/>
          <w:szCs w:val="32"/>
          <w:lang w:eastAsia="zh-CN"/>
        </w:rPr>
      </w:pPr>
    </w:p>
    <w:p>
      <w:pPr>
        <w:numPr>
          <w:ilvl w:val="0"/>
          <w:numId w:val="0"/>
        </w:numPr>
        <w:ind w:firstLine="3718" w:firstLineChars="1100"/>
        <w:rPr>
          <w:rFonts w:hint="eastAsia" w:ascii="黑体" w:eastAsia="黑体"/>
          <w:color w:val="000000" w:themeColor="text1"/>
          <w:sz w:val="32"/>
          <w:szCs w:val="32"/>
          <w:lang w:eastAsia="zh-CN"/>
        </w:rPr>
      </w:pPr>
    </w:p>
    <w:p>
      <w:pPr>
        <w:numPr>
          <w:ilvl w:val="0"/>
          <w:numId w:val="0"/>
        </w:numPr>
        <w:ind w:firstLine="3718" w:firstLineChars="1100"/>
        <w:rPr>
          <w:rFonts w:hint="eastAsia" w:ascii="黑体" w:eastAsia="黑体"/>
          <w:color w:val="000000" w:themeColor="text1"/>
          <w:sz w:val="32"/>
          <w:szCs w:val="32"/>
          <w:lang w:val="en-US" w:eastAsia="zh-CN"/>
        </w:rPr>
      </w:pPr>
      <w:r>
        <w:rPr>
          <w:rFonts w:hint="eastAsia" w:ascii="黑体" w:eastAsia="黑体"/>
          <w:color w:val="000000" w:themeColor="text1"/>
          <w:sz w:val="32"/>
          <w:szCs w:val="32"/>
          <w:lang w:eastAsia="zh-CN"/>
        </w:rPr>
        <w:t>二、</w:t>
      </w:r>
      <w:r>
        <w:rPr>
          <w:rFonts w:hint="eastAsia" w:ascii="黑体" w:eastAsia="黑体"/>
          <w:color w:val="000000" w:themeColor="text1"/>
          <w:sz w:val="32"/>
          <w:szCs w:val="32"/>
        </w:rPr>
        <w:t>综   合</w:t>
      </w:r>
      <w:r>
        <w:rPr>
          <w:rFonts w:hint="eastAsia" w:ascii="黑体" w:eastAsia="黑体"/>
          <w:color w:val="000000" w:themeColor="text1"/>
          <w:sz w:val="32"/>
          <w:szCs w:val="32"/>
          <w:lang w:val="en-US" w:eastAsia="zh-CN"/>
        </w:rPr>
        <w:t xml:space="preserve"> </w:t>
      </w:r>
    </w:p>
    <w:p>
      <w:pPr>
        <w:numPr>
          <w:ilvl w:val="0"/>
          <w:numId w:val="0"/>
        </w:numPr>
        <w:rPr>
          <w:rFonts w:hint="eastAsia" w:ascii="黑体" w:eastAsia="黑体"/>
          <w:color w:val="000000" w:themeColor="text1"/>
          <w:sz w:val="32"/>
          <w:szCs w:val="32"/>
          <w:lang w:val="en-US" w:eastAsia="zh-CN"/>
        </w:rPr>
      </w:pPr>
      <w:r>
        <w:rPr>
          <w:rFonts w:hint="eastAsia" w:ascii="黑体" w:eastAsia="黑体"/>
          <w:color w:val="000000" w:themeColor="text1"/>
          <w:sz w:val="32"/>
          <w:szCs w:val="32"/>
          <w:lang w:val="en-US" w:eastAsia="zh-CN"/>
        </w:rPr>
        <w:t xml:space="preserve">                     </w:t>
      </w:r>
    </w:p>
    <w:tbl>
      <w:tblPr>
        <w:tblStyle w:val="11"/>
        <w:tblW w:w="9396"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14"/>
        <w:gridCol w:w="1196"/>
        <w:gridCol w:w="1495"/>
        <w:gridCol w:w="1495"/>
        <w:gridCol w:w="1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vMerge w:val="restart"/>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1196" w:type="dxa"/>
            <w:vMerge w:val="restart"/>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计量</w:t>
            </w:r>
          </w:p>
          <w:p>
            <w:pPr>
              <w:spacing w:line="380" w:lineRule="exact"/>
              <w:jc w:val="center"/>
              <w:rPr>
                <w:color w:val="000000" w:themeColor="text1"/>
                <w:sz w:val="24"/>
                <w:szCs w:val="24"/>
              </w:rPr>
            </w:pPr>
            <w:r>
              <w:rPr>
                <w:rFonts w:hint="eastAsia"/>
                <w:color w:val="000000" w:themeColor="text1"/>
                <w:sz w:val="24"/>
                <w:szCs w:val="24"/>
              </w:rPr>
              <w:t>单位</w:t>
            </w:r>
          </w:p>
        </w:tc>
        <w:tc>
          <w:tcPr>
            <w:tcW w:w="1495" w:type="dxa"/>
            <w:vMerge w:val="restart"/>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市政府</w:t>
            </w:r>
          </w:p>
          <w:p>
            <w:pPr>
              <w:spacing w:line="380" w:lineRule="exact"/>
              <w:jc w:val="center"/>
              <w:rPr>
                <w:color w:val="000000" w:themeColor="text1"/>
                <w:sz w:val="24"/>
                <w:szCs w:val="24"/>
              </w:rPr>
            </w:pPr>
            <w:r>
              <w:rPr>
                <w:rFonts w:hint="eastAsia"/>
                <w:color w:val="000000" w:themeColor="text1"/>
                <w:sz w:val="24"/>
                <w:szCs w:val="24"/>
              </w:rPr>
              <w:t>工作目标</w:t>
            </w:r>
          </w:p>
        </w:tc>
        <w:tc>
          <w:tcPr>
            <w:tcW w:w="2691" w:type="dxa"/>
            <w:gridSpan w:val="2"/>
            <w:tcBorders>
              <w:top w:val="single" w:color="auto" w:sz="4" w:space="0"/>
              <w:left w:val="nil"/>
              <w:bottom w:val="single" w:color="auto" w:sz="4" w:space="0"/>
              <w:right w:val="nil"/>
            </w:tcBorders>
            <w:vAlign w:val="center"/>
          </w:tcPr>
          <w:p>
            <w:pPr>
              <w:spacing w:line="380" w:lineRule="exact"/>
              <w:jc w:val="center"/>
              <w:rPr>
                <w:color w:val="000000" w:themeColor="text1"/>
                <w:sz w:val="24"/>
                <w:szCs w:val="24"/>
              </w:rPr>
            </w:pPr>
            <w:r>
              <w:rPr>
                <w:rFonts w:hint="eastAsia"/>
                <w:color w:val="000000" w:themeColor="text1"/>
                <w:sz w:val="24"/>
                <w:szCs w:val="24"/>
                <w:lang w:eastAsia="zh-CN"/>
              </w:rPr>
              <w:t>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4" w:type="dxa"/>
            <w:vMerge w:val="continue"/>
            <w:tcBorders>
              <w:top w:val="single" w:color="auto" w:sz="4" w:space="0"/>
              <w:left w:val="nil"/>
              <w:bottom w:val="single" w:color="auto" w:sz="4" w:space="0"/>
              <w:right w:val="single" w:color="auto" w:sz="4" w:space="0"/>
            </w:tcBorders>
            <w:vAlign w:val="center"/>
          </w:tcPr>
          <w:p>
            <w:pPr>
              <w:widowControl/>
              <w:jc w:val="left"/>
              <w:rPr>
                <w:color w:val="000000" w:themeColor="text1"/>
                <w:sz w:val="24"/>
                <w:szCs w:val="24"/>
              </w:rPr>
            </w:pPr>
          </w:p>
        </w:tc>
        <w:tc>
          <w:tcPr>
            <w:tcW w:w="1196" w:type="dxa"/>
            <w:vMerge w:val="continue"/>
            <w:tcBorders>
              <w:top w:val="single" w:color="auto" w:sz="4" w:space="0"/>
              <w:left w:val="nil"/>
              <w:bottom w:val="single" w:color="auto" w:sz="4" w:space="0"/>
              <w:right w:val="single" w:color="auto" w:sz="4" w:space="0"/>
            </w:tcBorders>
            <w:vAlign w:val="center"/>
          </w:tcPr>
          <w:p>
            <w:pPr>
              <w:widowControl/>
              <w:jc w:val="left"/>
              <w:rPr>
                <w:color w:val="000000" w:themeColor="text1"/>
                <w:sz w:val="24"/>
                <w:szCs w:val="24"/>
              </w:rPr>
            </w:pPr>
          </w:p>
        </w:tc>
        <w:tc>
          <w:tcPr>
            <w:tcW w:w="1495" w:type="dxa"/>
            <w:vMerge w:val="continue"/>
            <w:tcBorders>
              <w:top w:val="single" w:color="auto" w:sz="4" w:space="0"/>
              <w:left w:val="nil"/>
              <w:bottom w:val="single" w:color="auto" w:sz="4" w:space="0"/>
              <w:right w:val="single" w:color="auto" w:sz="4" w:space="0"/>
            </w:tcBorders>
            <w:vAlign w:val="center"/>
          </w:tcPr>
          <w:p>
            <w:pPr>
              <w:widowControl/>
              <w:jc w:val="left"/>
              <w:rPr>
                <w:color w:val="000000" w:themeColor="text1"/>
                <w:sz w:val="24"/>
                <w:szCs w:val="24"/>
              </w:rPr>
            </w:pP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实际完成</w:t>
            </w:r>
          </w:p>
        </w:tc>
        <w:tc>
          <w:tcPr>
            <w:tcW w:w="1196" w:type="dxa"/>
            <w:tcBorders>
              <w:top w:val="single" w:color="auto" w:sz="4" w:space="0"/>
              <w:left w:val="nil"/>
              <w:bottom w:val="single" w:color="auto" w:sz="4" w:space="0"/>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r>
              <w:rPr>
                <w:rFonts w:hint="eastAsia" w:ascii="宋体" w:hAnsi="宋体"/>
                <w:color w:val="000000" w:themeColor="text1"/>
                <w:sz w:val="24"/>
                <w:szCs w:val="24"/>
              </w:rPr>
              <w:t>±</w:t>
            </w:r>
            <w:r>
              <w:rPr>
                <w:rFonts w:hint="eastAsia"/>
                <w:color w:val="000000" w:themeColor="text1"/>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jc w:val="left"/>
              <w:rPr>
                <w:color w:val="000000" w:themeColor="text1"/>
                <w:sz w:val="24"/>
                <w:szCs w:val="24"/>
              </w:rPr>
            </w:pPr>
            <w:r>
              <w:rPr>
                <w:rFonts w:hint="eastAsia"/>
                <w:color w:val="000000" w:themeColor="text1"/>
                <w:sz w:val="24"/>
                <w:szCs w:val="24"/>
              </w:rPr>
              <w:t>GDP</w:t>
            </w:r>
          </w:p>
        </w:tc>
        <w:tc>
          <w:tcPr>
            <w:tcW w:w="1196" w:type="dxa"/>
            <w:tcBorders>
              <w:top w:val="single" w:color="auto" w:sz="4" w:space="0"/>
              <w:left w:val="nil"/>
              <w:bottom w:val="single" w:color="auto" w:sz="4" w:space="0"/>
              <w:right w:val="single" w:color="auto" w:sz="4" w:space="0"/>
            </w:tcBorders>
          </w:tcPr>
          <w:p>
            <w:pPr>
              <w:spacing w:line="380" w:lineRule="exact"/>
              <w:jc w:val="center"/>
              <w:rPr>
                <w:color w:val="000000" w:themeColor="text1"/>
                <w:sz w:val="24"/>
                <w:szCs w:val="24"/>
              </w:rPr>
            </w:pPr>
            <w:r>
              <w:rPr>
                <w:rFonts w:hint="eastAsia"/>
                <w:color w:val="000000" w:themeColor="text1"/>
                <w:sz w:val="24"/>
                <w:szCs w:val="24"/>
              </w:rPr>
              <w:t>亿元</w:t>
            </w:r>
          </w:p>
        </w:tc>
        <w:tc>
          <w:tcPr>
            <w:tcW w:w="1495" w:type="dxa"/>
            <w:tcBorders>
              <w:top w:val="single" w:color="auto" w:sz="4" w:space="0"/>
              <w:left w:val="nil"/>
              <w:bottom w:val="single" w:color="auto" w:sz="4" w:space="0"/>
              <w:right w:val="single" w:color="auto" w:sz="4" w:space="0"/>
            </w:tcBorders>
            <w:vAlign w:val="center"/>
          </w:tcPr>
          <w:p>
            <w:pPr>
              <w:tabs>
                <w:tab w:val="left" w:pos="568"/>
              </w:tabs>
              <w:spacing w:line="380" w:lineRule="exact"/>
              <w:ind w:firstLine="258" w:firstLineChars="100"/>
              <w:jc w:val="left"/>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8%以上</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000000" w:themeColor="text1"/>
                <w:sz w:val="24"/>
                <w:szCs w:val="24"/>
                <w:lang w:val="en-US" w:eastAsia="zh-CN"/>
              </w:rPr>
            </w:pPr>
            <w:r>
              <w:rPr>
                <w:rFonts w:hint="eastAsia"/>
                <w:color w:val="000000" w:themeColor="text1"/>
                <w:sz w:val="24"/>
                <w:szCs w:val="24"/>
                <w:lang w:val="en-US" w:eastAsia="zh-CN"/>
              </w:rPr>
              <w:t>577.12</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color w:val="000000" w:themeColor="text1"/>
                <w:sz w:val="24"/>
                <w:szCs w:val="24"/>
                <w:lang w:val="en-US" w:eastAsia="zh-CN"/>
              </w:rPr>
            </w:pPr>
            <w:r>
              <w:rPr>
                <w:rFonts w:hint="eastAsia"/>
                <w:color w:val="000000" w:themeColor="text1"/>
                <w:sz w:val="24"/>
                <w:szCs w:val="24"/>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color w:val="000000" w:themeColor="text1"/>
                <w:sz w:val="24"/>
                <w:szCs w:val="24"/>
              </w:rPr>
              <w:t>工业总产值</w:t>
            </w:r>
          </w:p>
        </w:tc>
        <w:tc>
          <w:tcPr>
            <w:tcW w:w="1196" w:type="dxa"/>
            <w:tcBorders>
              <w:top w:val="single" w:color="auto" w:sz="4" w:space="0"/>
              <w:left w:val="nil"/>
              <w:bottom w:val="single" w:color="auto" w:sz="4" w:space="0"/>
              <w:right w:val="single" w:color="auto" w:sz="4" w:space="0"/>
            </w:tcBorders>
          </w:tcPr>
          <w:p>
            <w:pPr>
              <w:spacing w:line="380" w:lineRule="exact"/>
              <w:jc w:val="center"/>
              <w:rPr>
                <w:color w:val="000000" w:themeColor="text1"/>
                <w:sz w:val="24"/>
                <w:szCs w:val="24"/>
              </w:rPr>
            </w:pPr>
            <w:r>
              <w:rPr>
                <w:rFonts w:hint="eastAsia"/>
                <w:color w:val="000000" w:themeColor="text1"/>
                <w:sz w:val="24"/>
                <w:szCs w:val="24"/>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themeColor="text1"/>
                <w:sz w:val="24"/>
                <w:szCs w:val="24"/>
              </w:rPr>
            </w:pPr>
            <w:r>
              <w:rPr>
                <w:rFonts w:hint="eastAsia" w:ascii="宋体" w:hAnsi="宋体"/>
                <w:color w:val="000000" w:themeColor="text1"/>
                <w:sz w:val="24"/>
                <w:szCs w:val="24"/>
              </w:rPr>
              <w:t>—</w:t>
            </w:r>
          </w:p>
        </w:tc>
        <w:tc>
          <w:tcPr>
            <w:tcW w:w="1495" w:type="dxa"/>
            <w:tcBorders>
              <w:top w:val="single" w:color="auto" w:sz="4" w:space="0"/>
              <w:left w:val="nil"/>
              <w:bottom w:val="single" w:color="auto" w:sz="4" w:space="0"/>
              <w:right w:val="single" w:color="auto" w:sz="4" w:space="0"/>
            </w:tcBorders>
            <w:vAlign w:val="center"/>
          </w:tcPr>
          <w:p>
            <w:pPr>
              <w:spacing w:line="380" w:lineRule="exact"/>
              <w:jc w:val="both"/>
              <w:rPr>
                <w:rFonts w:hint="default" w:eastAsia="宋体"/>
                <w:color w:val="000000" w:themeColor="text1"/>
                <w:sz w:val="24"/>
                <w:szCs w:val="24"/>
                <w:lang w:val="en-US" w:eastAsia="zh-CN"/>
              </w:rPr>
            </w:pPr>
            <w:r>
              <w:rPr>
                <w:rFonts w:hint="eastAsia"/>
                <w:color w:val="000000" w:themeColor="text1"/>
                <w:sz w:val="24"/>
                <w:szCs w:val="24"/>
                <w:lang w:val="en-US" w:eastAsia="zh-CN"/>
              </w:rPr>
              <w:t xml:space="preserve">    --</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rFonts w:hint="eastAsia"/>
                <w:color w:val="000000" w:themeColor="text1"/>
                <w:sz w:val="24"/>
                <w:szCs w:val="24"/>
              </w:rPr>
              <w:t xml:space="preserve">  规模以上工业增加值</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10%以上</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color w:val="000000" w:themeColor="text1"/>
                <w:sz w:val="24"/>
                <w:szCs w:val="24"/>
              </w:rPr>
              <w:t>社会消费品零售总额</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11%以上</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000000" w:themeColor="text1"/>
                <w:sz w:val="24"/>
                <w:szCs w:val="24"/>
                <w:lang w:val="en-US" w:eastAsia="zh-CN"/>
              </w:rPr>
            </w:pPr>
            <w:r>
              <w:rPr>
                <w:rFonts w:hint="eastAsia"/>
                <w:color w:val="000000" w:themeColor="text1"/>
                <w:sz w:val="24"/>
                <w:szCs w:val="24"/>
                <w:lang w:val="en-US" w:eastAsia="zh-CN"/>
              </w:rPr>
              <w:t>156</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color w:val="000000" w:themeColor="text1"/>
                <w:sz w:val="24"/>
                <w:szCs w:val="24"/>
                <w:lang w:val="en-US" w:eastAsia="zh-CN"/>
              </w:rPr>
            </w:pPr>
            <w:r>
              <w:rPr>
                <w:rFonts w:hint="eastAsia"/>
                <w:color w:val="000000" w:themeColor="text1"/>
                <w:sz w:val="24"/>
                <w:szCs w:val="24"/>
                <w:lang w:val="en-US" w:eastAsia="zh-CN"/>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color w:val="000000" w:themeColor="text1"/>
                <w:sz w:val="24"/>
                <w:szCs w:val="24"/>
              </w:rPr>
              <w:t>固定资产投资</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11%以上</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lang w:val="en-US" w:eastAsia="zh-CN"/>
              </w:rPr>
              <w:t>--</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color w:val="000000" w:themeColor="text1"/>
                <w:sz w:val="24"/>
                <w:szCs w:val="24"/>
              </w:rPr>
              <w:t>财政总收入</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themeColor="text1"/>
                <w:sz w:val="24"/>
                <w:szCs w:val="24"/>
              </w:rPr>
            </w:pPr>
            <w:r>
              <w:rPr>
                <w:rFonts w:hint="eastAsia" w:ascii="宋体" w:hAnsi="宋体"/>
                <w:color w:val="000000" w:themeColor="text1"/>
                <w:sz w:val="24"/>
                <w:szCs w:val="24"/>
              </w:rPr>
              <w:t>—</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24.82</w:t>
            </w:r>
          </w:p>
        </w:tc>
        <w:tc>
          <w:tcPr>
            <w:tcW w:w="1196" w:type="dxa"/>
            <w:tcBorders>
              <w:top w:val="single" w:color="auto" w:sz="4" w:space="0"/>
              <w:left w:val="nil"/>
              <w:bottom w:val="single" w:color="auto" w:sz="4" w:space="0"/>
              <w:right w:val="nil"/>
            </w:tcBorders>
            <w:vAlign w:val="center"/>
          </w:tcPr>
          <w:p>
            <w:pPr>
              <w:tabs>
                <w:tab w:val="left" w:pos="203"/>
                <w:tab w:val="center" w:pos="549"/>
              </w:tabs>
              <w:spacing w:line="380" w:lineRule="exact"/>
              <w:jc w:val="left"/>
              <w:rPr>
                <w:rFonts w:hint="default" w:eastAsia="宋体"/>
                <w:color w:val="000000" w:themeColor="text1"/>
                <w:sz w:val="24"/>
                <w:szCs w:val="24"/>
                <w:lang w:val="en-US" w:eastAsia="zh-CN"/>
              </w:rPr>
            </w:pPr>
            <w:r>
              <w:rPr>
                <w:rFonts w:hint="eastAsia"/>
                <w:color w:val="000000" w:themeColor="text1"/>
                <w:sz w:val="24"/>
                <w:szCs w:val="24"/>
                <w:lang w:val="en-US" w:eastAsia="zh-CN"/>
              </w:rPr>
              <w:tab/>
            </w:r>
            <w:r>
              <w:rPr>
                <w:rFonts w:hint="eastAsia"/>
                <w:color w:val="000000" w:themeColor="text1"/>
                <w:sz w:val="24"/>
                <w:szCs w:val="24"/>
                <w:lang w:val="en-US" w:eastAsia="zh-CN"/>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op w:val="single" w:color="auto" w:sz="4" w:space="0"/>
              <w:left w:val="nil"/>
              <w:bottom w:val="single" w:color="auto" w:sz="4" w:space="0"/>
              <w:right w:val="single" w:color="auto" w:sz="4" w:space="0"/>
            </w:tcBorders>
            <w:vAlign w:val="center"/>
          </w:tcPr>
          <w:p>
            <w:pPr>
              <w:spacing w:line="380" w:lineRule="exact"/>
              <w:ind w:firstLine="252" w:firstLineChars="98"/>
              <w:rPr>
                <w:color w:val="000000" w:themeColor="text1"/>
                <w:sz w:val="24"/>
                <w:szCs w:val="24"/>
              </w:rPr>
            </w:pPr>
            <w:r>
              <w:rPr>
                <w:color w:val="000000" w:themeColor="text1"/>
                <w:sz w:val="24"/>
                <w:szCs w:val="24"/>
              </w:rPr>
              <w:t>其中：</w:t>
            </w:r>
            <w:r>
              <w:rPr>
                <w:rFonts w:hint="eastAsia"/>
                <w:color w:val="000000" w:themeColor="text1"/>
                <w:sz w:val="24"/>
                <w:szCs w:val="24"/>
              </w:rPr>
              <w:t>地方</w:t>
            </w:r>
            <w:r>
              <w:rPr>
                <w:color w:val="000000" w:themeColor="text1"/>
                <w:sz w:val="24"/>
                <w:szCs w:val="24"/>
              </w:rPr>
              <w:t>收入</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8%以上</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16.34</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4" w:type="dxa"/>
            <w:tcBorders>
              <w:top w:val="single" w:color="auto" w:sz="4" w:space="0"/>
              <w:left w:val="nil"/>
              <w:bottom w:val="single" w:color="auto" w:sz="4" w:space="0"/>
              <w:right w:val="single" w:color="auto" w:sz="4" w:space="0"/>
            </w:tcBorders>
            <w:vAlign w:val="center"/>
          </w:tcPr>
          <w:p>
            <w:pPr>
              <w:tabs>
                <w:tab w:val="left" w:pos="1353"/>
              </w:tabs>
              <w:spacing w:line="380" w:lineRule="exact"/>
              <w:ind w:firstLine="1026" w:firstLineChars="398"/>
              <w:rPr>
                <w:rFonts w:hint="eastAsia" w:eastAsia="宋体"/>
                <w:color w:val="000000" w:themeColor="text1"/>
                <w:sz w:val="24"/>
                <w:szCs w:val="24"/>
                <w:lang w:eastAsia="zh-CN"/>
              </w:rPr>
            </w:pPr>
            <w:r>
              <w:rPr>
                <w:rFonts w:hint="eastAsia"/>
                <w:color w:val="000000" w:themeColor="text1"/>
                <w:sz w:val="24"/>
                <w:szCs w:val="24"/>
                <w:lang w:eastAsia="zh-CN"/>
              </w:rPr>
              <w:t>地方税收收入</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color w:val="000000" w:themeColor="text1"/>
                <w:sz w:val="24"/>
                <w:szCs w:val="24"/>
              </w:rPr>
            </w:pPr>
            <w:r>
              <w:rPr>
                <w:rFonts w:hint="eastAsia"/>
                <w:color w:val="000000" w:themeColor="text1"/>
                <w:sz w:val="24"/>
                <w:szCs w:val="24"/>
              </w:rPr>
              <w:t>亿元</w:t>
            </w:r>
          </w:p>
        </w:tc>
        <w:tc>
          <w:tcPr>
            <w:tcW w:w="1495" w:type="dxa"/>
            <w:tcBorders>
              <w:top w:val="single" w:color="auto" w:sz="4" w:space="0"/>
              <w:left w:val="nil"/>
              <w:bottom w:val="single" w:color="auto" w:sz="4" w:space="0"/>
              <w:right w:val="single" w:color="auto" w:sz="4" w:space="0"/>
            </w:tcBorders>
            <w:vAlign w:val="center"/>
          </w:tcPr>
          <w:p>
            <w:pPr>
              <w:tabs>
                <w:tab w:val="left" w:pos="538"/>
              </w:tabs>
              <w:spacing w:line="380" w:lineRule="exact"/>
              <w:jc w:val="left"/>
              <w:rPr>
                <w:rFonts w:hint="eastAsia" w:ascii="宋体" w:hAnsi="宋体"/>
                <w:color w:val="000000" w:themeColor="text1"/>
                <w:sz w:val="24"/>
                <w:szCs w:val="24"/>
                <w:lang w:val="en-US" w:eastAsia="zh-CN"/>
              </w:rPr>
            </w:pPr>
            <w:r>
              <w:rPr>
                <w:rFonts w:hint="eastAsia" w:ascii="宋体" w:hAnsi="宋体"/>
                <w:color w:val="000000" w:themeColor="text1"/>
                <w:sz w:val="24"/>
                <w:szCs w:val="24"/>
                <w:lang w:val="en-US" w:eastAsia="zh-CN"/>
              </w:rPr>
              <w:tab/>
            </w:r>
            <w:r>
              <w:rPr>
                <w:rFonts w:hint="eastAsia" w:ascii="宋体" w:hAnsi="宋体"/>
                <w:color w:val="000000" w:themeColor="text1"/>
                <w:sz w:val="24"/>
                <w:szCs w:val="24"/>
              </w:rPr>
              <w:t>—</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000000" w:themeColor="text1"/>
                <w:sz w:val="24"/>
                <w:szCs w:val="24"/>
                <w:lang w:val="en-US" w:eastAsia="zh-CN"/>
              </w:rPr>
            </w:pPr>
            <w:r>
              <w:rPr>
                <w:rFonts w:hint="eastAsia"/>
                <w:color w:val="000000" w:themeColor="text1"/>
                <w:sz w:val="24"/>
                <w:szCs w:val="24"/>
                <w:lang w:val="en-US" w:eastAsia="zh-CN"/>
              </w:rPr>
              <w:t>11.39</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color w:val="000000" w:themeColor="text1"/>
                <w:sz w:val="24"/>
                <w:szCs w:val="24"/>
                <w:lang w:val="en-US" w:eastAsia="zh-CN"/>
              </w:rPr>
            </w:pPr>
            <w:r>
              <w:rPr>
                <w:rFonts w:hint="eastAsia"/>
                <w:color w:val="000000" w:themeColor="text1"/>
                <w:sz w:val="24"/>
                <w:szCs w:val="24"/>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ind w:firstLine="1032" w:firstLineChars="400"/>
              <w:rPr>
                <w:color w:val="000000" w:themeColor="text1"/>
                <w:sz w:val="24"/>
                <w:szCs w:val="24"/>
              </w:rPr>
            </w:pPr>
            <w:r>
              <w:rPr>
                <w:color w:val="000000" w:themeColor="text1"/>
                <w:sz w:val="24"/>
                <w:szCs w:val="24"/>
              </w:rPr>
              <w:t>税收占</w:t>
            </w:r>
            <w:r>
              <w:rPr>
                <w:rFonts w:hint="eastAsia"/>
                <w:color w:val="000000" w:themeColor="text1"/>
                <w:sz w:val="24"/>
                <w:szCs w:val="24"/>
              </w:rPr>
              <w:t>财政</w:t>
            </w:r>
            <w:r>
              <w:rPr>
                <w:color w:val="000000" w:themeColor="text1"/>
                <w:sz w:val="24"/>
                <w:szCs w:val="24"/>
              </w:rPr>
              <w:t>收入</w:t>
            </w:r>
            <w:r>
              <w:rPr>
                <w:rFonts w:hint="eastAsia"/>
                <w:color w:val="000000" w:themeColor="text1"/>
                <w:sz w:val="24"/>
                <w:szCs w:val="24"/>
              </w:rPr>
              <w:t>的</w:t>
            </w:r>
            <w:r>
              <w:rPr>
                <w:color w:val="000000" w:themeColor="text1"/>
                <w:sz w:val="24"/>
                <w:szCs w:val="24"/>
              </w:rPr>
              <w:t>比重</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themeColor="text1"/>
                <w:sz w:val="24"/>
                <w:szCs w:val="24"/>
              </w:rPr>
            </w:pPr>
            <w:r>
              <w:rPr>
                <w:rFonts w:hint="eastAsia" w:ascii="宋体" w:hAnsi="宋体"/>
                <w:color w:val="000000" w:themeColor="text1"/>
                <w:sz w:val="24"/>
                <w:szCs w:val="24"/>
              </w:rPr>
              <w:t>—</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80.1</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1"/>
                <w:szCs w:val="21"/>
              </w:rPr>
            </w:pPr>
            <w:r>
              <w:rPr>
                <w:rFonts w:hint="eastAsia"/>
                <w:color w:val="000000" w:themeColor="text1"/>
                <w:sz w:val="24"/>
                <w:szCs w:val="24"/>
              </w:rPr>
              <w:t>财政总支出</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亿元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color w:val="000000" w:themeColor="text1"/>
                <w:sz w:val="24"/>
                <w:szCs w:val="24"/>
              </w:rPr>
            </w:pPr>
            <w:r>
              <w:rPr>
                <w:rFonts w:hint="eastAsia" w:ascii="宋体" w:hAnsi="宋体"/>
                <w:color w:val="000000" w:themeColor="text1"/>
                <w:sz w:val="24"/>
                <w:szCs w:val="24"/>
              </w:rPr>
              <w:t>—</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77.63</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rFonts w:hint="eastAsia" w:eastAsia="宋体"/>
                <w:color w:val="000000" w:themeColor="text1"/>
                <w:sz w:val="24"/>
                <w:szCs w:val="24"/>
                <w:lang w:eastAsia="zh-CN"/>
              </w:rPr>
            </w:pPr>
            <w:r>
              <w:rPr>
                <w:color w:val="000000" w:themeColor="text1"/>
                <w:sz w:val="24"/>
                <w:szCs w:val="24"/>
              </w:rPr>
              <w:t>出口创汇</w:t>
            </w:r>
            <w:r>
              <w:rPr>
                <w:rFonts w:hint="eastAsia"/>
                <w:color w:val="000000" w:themeColor="text1"/>
                <w:sz w:val="24"/>
                <w:szCs w:val="24"/>
                <w:lang w:eastAsia="zh-CN"/>
              </w:rPr>
              <w:t>（</w:t>
            </w:r>
            <w:r>
              <w:rPr>
                <w:rFonts w:hint="eastAsia"/>
                <w:color w:val="000000" w:themeColor="text1"/>
                <w:sz w:val="24"/>
                <w:szCs w:val="24"/>
                <w:lang w:val="en-US" w:eastAsia="zh-CN"/>
              </w:rPr>
              <w:t>1-11月</w:t>
            </w:r>
            <w:r>
              <w:rPr>
                <w:rFonts w:hint="eastAsia"/>
                <w:color w:val="000000" w:themeColor="text1"/>
                <w:sz w:val="24"/>
                <w:szCs w:val="24"/>
                <w:lang w:eastAsia="zh-CN"/>
              </w:rPr>
              <w:t>）</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lang w:eastAsia="zh-CN"/>
              </w:rPr>
              <w:t>亿</w:t>
            </w:r>
            <w:r>
              <w:rPr>
                <w:rFonts w:hint="eastAsia"/>
                <w:color w:val="000000" w:themeColor="text1"/>
                <w:sz w:val="24"/>
                <w:szCs w:val="24"/>
              </w:rPr>
              <w:t>元</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14%以上</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13.17</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rFonts w:hint="eastAsia"/>
                <w:color w:val="000000" w:themeColor="text1"/>
                <w:sz w:val="24"/>
                <w:szCs w:val="24"/>
              </w:rPr>
              <w:t>城镇居民人均可支配收入</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元</w:t>
            </w:r>
          </w:p>
        </w:tc>
        <w:tc>
          <w:tcPr>
            <w:tcW w:w="1495" w:type="dxa"/>
            <w:tcBorders>
              <w:top w:val="single" w:color="auto" w:sz="4" w:space="0"/>
              <w:left w:val="nil"/>
              <w:bottom w:val="single" w:color="auto" w:sz="4" w:space="0"/>
              <w:right w:val="single" w:color="auto" w:sz="4" w:space="0"/>
            </w:tcBorders>
            <w:vAlign w:val="center"/>
          </w:tcPr>
          <w:p>
            <w:pPr>
              <w:tabs>
                <w:tab w:val="left" w:pos="568"/>
              </w:tabs>
              <w:spacing w:line="380" w:lineRule="exact"/>
              <w:ind w:firstLine="516" w:firstLineChars="200"/>
              <w:jc w:val="left"/>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8%</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44822</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4"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rFonts w:hint="eastAsia"/>
                <w:color w:val="000000" w:themeColor="text1"/>
                <w:sz w:val="24"/>
                <w:szCs w:val="24"/>
              </w:rPr>
              <w:t>农村居民人均可支配收入</w:t>
            </w:r>
          </w:p>
        </w:tc>
        <w:tc>
          <w:tcPr>
            <w:tcW w:w="1196"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元</w:t>
            </w:r>
          </w:p>
        </w:tc>
        <w:tc>
          <w:tcPr>
            <w:tcW w:w="1495" w:type="dxa"/>
            <w:tcBorders>
              <w:top w:val="single" w:color="auto" w:sz="4" w:space="0"/>
              <w:left w:val="nil"/>
              <w:bottom w:val="single" w:color="auto" w:sz="4" w:space="0"/>
              <w:right w:val="single" w:color="auto" w:sz="4" w:space="0"/>
            </w:tcBorders>
            <w:vAlign w:val="center"/>
          </w:tcPr>
          <w:p>
            <w:pPr>
              <w:spacing w:line="380" w:lineRule="exact"/>
              <w:ind w:firstLine="516" w:firstLineChars="200"/>
              <w:jc w:val="both"/>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9%</w:t>
            </w:r>
          </w:p>
        </w:tc>
        <w:tc>
          <w:tcPr>
            <w:tcW w:w="149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25076</w:t>
            </w:r>
          </w:p>
        </w:tc>
        <w:tc>
          <w:tcPr>
            <w:tcW w:w="1196"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7.4</w:t>
            </w:r>
          </w:p>
        </w:tc>
      </w:tr>
    </w:tbl>
    <w:p>
      <w:pPr>
        <w:ind w:firstLine="2311" w:firstLineChars="684"/>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ind w:firstLine="2704" w:firstLineChars="800"/>
        <w:outlineLvl w:val="0"/>
        <w:rPr>
          <w:rFonts w:hint="eastAsia" w:ascii="黑体" w:hAnsi="黑体" w:eastAsia="黑体"/>
          <w:color w:val="FF0000"/>
          <w:sz w:val="32"/>
          <w:szCs w:val="32"/>
        </w:rPr>
      </w:pPr>
    </w:p>
    <w:p>
      <w:pPr>
        <w:spacing w:line="380" w:lineRule="exact"/>
        <w:ind w:firstLine="2704" w:firstLineChars="800"/>
        <w:outlineLvl w:val="0"/>
        <w:rPr>
          <w:rFonts w:hint="eastAsia" w:ascii="黑体" w:hAnsi="黑体" w:eastAsia="黑体"/>
          <w:color w:val="FF0000"/>
          <w:sz w:val="32"/>
          <w:szCs w:val="32"/>
        </w:rPr>
      </w:pPr>
    </w:p>
    <w:p>
      <w:pPr>
        <w:spacing w:line="380" w:lineRule="exact"/>
        <w:ind w:firstLine="2704" w:firstLineChars="800"/>
        <w:outlineLvl w:val="0"/>
        <w:rPr>
          <w:rFonts w:hint="eastAsia" w:ascii="黑体" w:hAnsi="黑体" w:eastAsia="黑体"/>
          <w:color w:val="FF0000"/>
          <w:sz w:val="32"/>
          <w:szCs w:val="32"/>
        </w:rPr>
      </w:pPr>
    </w:p>
    <w:p>
      <w:pPr>
        <w:spacing w:line="380" w:lineRule="exact"/>
        <w:ind w:firstLine="2704" w:firstLineChars="800"/>
        <w:outlineLvl w:val="0"/>
        <w:rPr>
          <w:rFonts w:hint="eastAsia" w:ascii="黑体" w:hAnsi="黑体" w:eastAsia="黑体"/>
          <w:color w:val="FF0000"/>
          <w:sz w:val="32"/>
          <w:szCs w:val="32"/>
        </w:rPr>
      </w:pPr>
    </w:p>
    <w:p>
      <w:pPr>
        <w:spacing w:line="380" w:lineRule="exact"/>
        <w:ind w:firstLine="3042" w:firstLineChars="900"/>
        <w:outlineLvl w:val="0"/>
        <w:rPr>
          <w:rFonts w:hint="eastAsia" w:ascii="黑体" w:hAnsi="黑体" w:eastAsia="黑体"/>
          <w:color w:val="000000" w:themeColor="text1"/>
          <w:sz w:val="32"/>
          <w:szCs w:val="32"/>
        </w:rPr>
      </w:pPr>
    </w:p>
    <w:p>
      <w:pPr>
        <w:spacing w:line="380" w:lineRule="exact"/>
        <w:ind w:firstLine="3042" w:firstLineChars="900"/>
        <w:outlineLvl w:val="0"/>
        <w:rPr>
          <w:rFonts w:hint="eastAsia" w:ascii="黑体" w:hAnsi="黑体" w:eastAsia="黑体"/>
          <w:color w:val="000000" w:themeColor="text1"/>
          <w:sz w:val="32"/>
          <w:szCs w:val="32"/>
        </w:rPr>
      </w:pPr>
    </w:p>
    <w:p>
      <w:pPr>
        <w:spacing w:line="380" w:lineRule="exact"/>
        <w:ind w:firstLine="3042" w:firstLineChars="900"/>
        <w:outlineLvl w:val="0"/>
        <w:rPr>
          <w:rFonts w:ascii="黑体" w:hAnsi="黑体" w:eastAsia="黑体"/>
          <w:color w:val="000000" w:themeColor="text1"/>
          <w:sz w:val="32"/>
          <w:szCs w:val="32"/>
        </w:rPr>
      </w:pPr>
      <w:r>
        <w:rPr>
          <w:rFonts w:hint="eastAsia" w:ascii="黑体" w:hAnsi="黑体" w:eastAsia="黑体"/>
          <w:color w:val="000000" w:themeColor="text1"/>
          <w:sz w:val="32"/>
          <w:szCs w:val="32"/>
        </w:rPr>
        <w:t>三、</w:t>
      </w:r>
      <w:r>
        <w:rPr>
          <w:rFonts w:hint="eastAsia" w:ascii="黑体" w:hAnsi="黑体" w:eastAsia="黑体"/>
          <w:color w:val="000000" w:themeColor="text1"/>
          <w:sz w:val="32"/>
          <w:szCs w:val="32"/>
          <w:lang w:eastAsia="zh-CN"/>
        </w:rPr>
        <w:t>地区</w:t>
      </w:r>
      <w:r>
        <w:rPr>
          <w:rFonts w:hint="eastAsia" w:ascii="黑体" w:hAnsi="黑体" w:eastAsia="黑体"/>
          <w:color w:val="000000" w:themeColor="text1"/>
          <w:sz w:val="32"/>
          <w:szCs w:val="32"/>
        </w:rPr>
        <w:t>生产总值（GDP）</w:t>
      </w:r>
    </w:p>
    <w:p>
      <w:pPr>
        <w:spacing w:line="380" w:lineRule="exact"/>
        <w:ind w:firstLine="6870" w:firstLineChars="2663"/>
        <w:outlineLvl w:val="0"/>
        <w:rPr>
          <w:rFonts w:ascii="宋体" w:hAnsi="宋体"/>
          <w:color w:val="000000" w:themeColor="text1"/>
          <w:sz w:val="24"/>
          <w:szCs w:val="24"/>
        </w:rPr>
      </w:pPr>
      <w:r>
        <w:rPr>
          <w:rFonts w:hint="eastAsia" w:ascii="宋体" w:hAnsi="宋体"/>
          <w:color w:val="000000" w:themeColor="text1"/>
          <w:sz w:val="24"/>
          <w:szCs w:val="24"/>
        </w:rPr>
        <w:t>单位：万元</w:t>
      </w:r>
    </w:p>
    <w:tbl>
      <w:tblPr>
        <w:tblStyle w:val="12"/>
        <w:tblW w:w="8372" w:type="dxa"/>
        <w:tblInd w:w="4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2"/>
        <w:gridCol w:w="1570"/>
        <w:gridCol w:w="1794"/>
        <w:gridCol w:w="1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3812"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1570" w:type="dxa"/>
            <w:vAlign w:val="center"/>
          </w:tcPr>
          <w:p>
            <w:pPr>
              <w:spacing w:line="380" w:lineRule="exact"/>
              <w:ind w:firstLine="510" w:firstLineChars="198"/>
              <w:rPr>
                <w:rFonts w:hint="eastAsia" w:eastAsia="宋体"/>
                <w:color w:val="000000" w:themeColor="text1"/>
                <w:sz w:val="24"/>
                <w:szCs w:val="24"/>
                <w:lang w:eastAsia="zh-CN"/>
              </w:rPr>
            </w:pPr>
            <w:r>
              <w:rPr>
                <w:rFonts w:hint="eastAsia"/>
                <w:color w:val="000000" w:themeColor="text1"/>
                <w:sz w:val="24"/>
                <w:szCs w:val="24"/>
                <w:lang w:eastAsia="zh-CN"/>
              </w:rPr>
              <w:t>全</w:t>
            </w:r>
            <w:r>
              <w:rPr>
                <w:rFonts w:hint="eastAsia"/>
                <w:color w:val="000000" w:themeColor="text1"/>
                <w:sz w:val="24"/>
                <w:szCs w:val="24"/>
                <w:lang w:val="en-US" w:eastAsia="zh-CN"/>
              </w:rPr>
              <w:t xml:space="preserve"> </w:t>
            </w:r>
            <w:r>
              <w:rPr>
                <w:rFonts w:hint="eastAsia"/>
                <w:color w:val="000000" w:themeColor="text1"/>
                <w:sz w:val="24"/>
                <w:szCs w:val="24"/>
                <w:lang w:eastAsia="zh-CN"/>
              </w:rPr>
              <w:t>年</w:t>
            </w:r>
          </w:p>
        </w:tc>
        <w:tc>
          <w:tcPr>
            <w:tcW w:w="1794" w:type="dxa"/>
            <w:vAlign w:val="center"/>
          </w:tcPr>
          <w:p>
            <w:pPr>
              <w:spacing w:line="380" w:lineRule="exact"/>
              <w:jc w:val="center"/>
              <w:rPr>
                <w:color w:val="000000" w:themeColor="text1"/>
                <w:sz w:val="24"/>
                <w:szCs w:val="24"/>
              </w:rPr>
            </w:pPr>
            <w:r>
              <w:rPr>
                <w:rFonts w:hint="eastAsia"/>
                <w:color w:val="000000" w:themeColor="text1"/>
                <w:sz w:val="24"/>
                <w:szCs w:val="24"/>
              </w:rPr>
              <w:t>上年同期</w:t>
            </w:r>
          </w:p>
        </w:tc>
        <w:tc>
          <w:tcPr>
            <w:tcW w:w="1196" w:type="dxa"/>
            <w:tcBorders>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3812" w:type="dxa"/>
            <w:tcBorders>
              <w:left w:val="nil"/>
            </w:tcBorders>
            <w:vAlign w:val="center"/>
          </w:tcPr>
          <w:p>
            <w:pPr>
              <w:spacing w:line="380" w:lineRule="exact"/>
              <w:ind w:firstLine="378" w:firstLineChars="147"/>
              <w:rPr>
                <w:color w:val="000000" w:themeColor="text1"/>
                <w:sz w:val="24"/>
                <w:szCs w:val="24"/>
              </w:rPr>
            </w:pPr>
            <w:r>
              <w:rPr>
                <w:rFonts w:hint="eastAsia"/>
                <w:color w:val="000000" w:themeColor="text1"/>
                <w:sz w:val="24"/>
                <w:szCs w:val="24"/>
              </w:rPr>
              <w:t>地区生产总值</w:t>
            </w:r>
          </w:p>
        </w:tc>
        <w:tc>
          <w:tcPr>
            <w:tcW w:w="1570" w:type="dxa"/>
            <w:vAlign w:val="center"/>
          </w:tcPr>
          <w:p>
            <w:pPr>
              <w:widowControl/>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5771161</w:t>
            </w:r>
          </w:p>
        </w:tc>
        <w:tc>
          <w:tcPr>
            <w:tcW w:w="1794" w:type="dxa"/>
            <w:vAlign w:val="center"/>
          </w:tcPr>
          <w:p>
            <w:pPr>
              <w:widowControl/>
              <w:jc w:val="center"/>
              <w:textAlignment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5407209</w:t>
            </w:r>
          </w:p>
        </w:tc>
        <w:tc>
          <w:tcPr>
            <w:tcW w:w="1196" w:type="dxa"/>
            <w:tcBorders>
              <w:right w:val="nil"/>
            </w:tcBorders>
            <w:vAlign w:val="center"/>
          </w:tcPr>
          <w:p>
            <w:pPr>
              <w:widowControl/>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3812" w:type="dxa"/>
            <w:tcBorders>
              <w:left w:val="nil"/>
            </w:tcBorders>
            <w:vAlign w:val="center"/>
          </w:tcPr>
          <w:p>
            <w:pPr>
              <w:spacing w:line="380" w:lineRule="exact"/>
              <w:ind w:firstLine="632" w:firstLineChars="245"/>
              <w:rPr>
                <w:color w:val="000000" w:themeColor="text1"/>
                <w:sz w:val="24"/>
                <w:szCs w:val="24"/>
              </w:rPr>
            </w:pPr>
            <w:r>
              <w:rPr>
                <w:rFonts w:hint="eastAsia"/>
                <w:color w:val="000000" w:themeColor="text1"/>
                <w:sz w:val="24"/>
                <w:szCs w:val="24"/>
              </w:rPr>
              <w:t xml:space="preserve"> 农林牧渔业</w:t>
            </w:r>
          </w:p>
        </w:tc>
        <w:tc>
          <w:tcPr>
            <w:tcW w:w="1570" w:type="dxa"/>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762365</w:t>
            </w:r>
          </w:p>
        </w:tc>
        <w:tc>
          <w:tcPr>
            <w:tcW w:w="1794" w:type="dxa"/>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717197</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812" w:type="dxa"/>
            <w:tcBorders>
              <w:left w:val="nil"/>
            </w:tcBorders>
            <w:vAlign w:val="center"/>
          </w:tcPr>
          <w:p>
            <w:pPr>
              <w:spacing w:line="380" w:lineRule="exact"/>
              <w:ind w:firstLine="757" w:firstLineChars="294"/>
              <w:rPr>
                <w:color w:val="000000" w:themeColor="text1"/>
                <w:sz w:val="24"/>
                <w:szCs w:val="24"/>
              </w:rPr>
            </w:pPr>
            <w:r>
              <w:rPr>
                <w:rFonts w:hint="eastAsia"/>
                <w:color w:val="000000" w:themeColor="text1"/>
                <w:sz w:val="24"/>
                <w:szCs w:val="24"/>
              </w:rPr>
              <w:t>工业</w:t>
            </w:r>
          </w:p>
        </w:tc>
        <w:tc>
          <w:tcPr>
            <w:tcW w:w="1570" w:type="dxa"/>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2540326</w:t>
            </w:r>
          </w:p>
        </w:tc>
        <w:tc>
          <w:tcPr>
            <w:tcW w:w="1794" w:type="dxa"/>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2377207</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3812" w:type="dxa"/>
            <w:tcBorders>
              <w:left w:val="nil"/>
            </w:tcBorders>
            <w:vAlign w:val="center"/>
          </w:tcPr>
          <w:p>
            <w:pPr>
              <w:spacing w:line="380" w:lineRule="exact"/>
              <w:ind w:firstLine="757" w:firstLineChars="294"/>
              <w:rPr>
                <w:color w:val="000000" w:themeColor="text1"/>
                <w:sz w:val="24"/>
                <w:szCs w:val="24"/>
              </w:rPr>
            </w:pPr>
            <w:r>
              <w:rPr>
                <w:rFonts w:hint="eastAsia"/>
                <w:color w:val="000000" w:themeColor="text1"/>
                <w:sz w:val="24"/>
                <w:szCs w:val="24"/>
              </w:rPr>
              <w:t>建筑业</w:t>
            </w:r>
          </w:p>
        </w:tc>
        <w:tc>
          <w:tcPr>
            <w:tcW w:w="1570" w:type="dxa"/>
            <w:shd w:val="clear" w:color="auto" w:fill="FFFFFF" w:themeFill="background1"/>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483142</w:t>
            </w:r>
          </w:p>
        </w:tc>
        <w:tc>
          <w:tcPr>
            <w:tcW w:w="1794" w:type="dxa"/>
            <w:shd w:val="clear" w:color="auto" w:fill="FFFFFF" w:themeFill="background1"/>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477690</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3812" w:type="dxa"/>
            <w:tcBorders>
              <w:left w:val="nil"/>
            </w:tcBorders>
            <w:vAlign w:val="center"/>
          </w:tcPr>
          <w:p>
            <w:pPr>
              <w:spacing w:line="380" w:lineRule="exact"/>
              <w:ind w:firstLine="757" w:firstLineChars="294"/>
              <w:rPr>
                <w:color w:val="000000" w:themeColor="text1"/>
                <w:sz w:val="24"/>
                <w:szCs w:val="24"/>
              </w:rPr>
            </w:pPr>
            <w:r>
              <w:rPr>
                <w:rFonts w:hint="eastAsia"/>
                <w:color w:val="000000" w:themeColor="text1"/>
                <w:sz w:val="24"/>
                <w:szCs w:val="24"/>
              </w:rPr>
              <w:t>批发和零售业</w:t>
            </w:r>
          </w:p>
        </w:tc>
        <w:tc>
          <w:tcPr>
            <w:tcW w:w="1570" w:type="dxa"/>
            <w:shd w:val="clear" w:color="auto" w:fill="FFFFFF" w:themeFill="background1"/>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486051</w:t>
            </w:r>
          </w:p>
        </w:tc>
        <w:tc>
          <w:tcPr>
            <w:tcW w:w="1794" w:type="dxa"/>
            <w:shd w:val="clear" w:color="auto" w:fill="FFFFFF" w:themeFill="background1"/>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442358</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3812"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交通运输、仓储和邮政业</w:t>
            </w:r>
          </w:p>
        </w:tc>
        <w:tc>
          <w:tcPr>
            <w:tcW w:w="1570" w:type="dxa"/>
            <w:shd w:val="clear" w:color="auto" w:fill="FFFFFF" w:themeFill="background1"/>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104415</w:t>
            </w:r>
          </w:p>
        </w:tc>
        <w:tc>
          <w:tcPr>
            <w:tcW w:w="1794" w:type="dxa"/>
            <w:shd w:val="clear" w:color="auto" w:fill="FFFFFF" w:themeFill="background1"/>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105191</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3812" w:type="dxa"/>
            <w:tcBorders>
              <w:left w:val="nil"/>
            </w:tcBorders>
            <w:vAlign w:val="center"/>
          </w:tcPr>
          <w:p>
            <w:pPr>
              <w:spacing w:line="380" w:lineRule="exact"/>
              <w:ind w:firstLine="752" w:firstLineChars="292"/>
              <w:rPr>
                <w:color w:val="000000" w:themeColor="text1"/>
                <w:sz w:val="24"/>
                <w:szCs w:val="24"/>
              </w:rPr>
            </w:pPr>
            <w:r>
              <w:rPr>
                <w:rFonts w:hint="eastAsia"/>
                <w:color w:val="000000" w:themeColor="text1"/>
                <w:sz w:val="24"/>
                <w:szCs w:val="24"/>
              </w:rPr>
              <w:t>住宿和餐饮业</w:t>
            </w:r>
          </w:p>
        </w:tc>
        <w:tc>
          <w:tcPr>
            <w:tcW w:w="1570" w:type="dxa"/>
            <w:shd w:val="clear" w:color="auto" w:fill="FFFFFF" w:themeFill="background1"/>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100434</w:t>
            </w:r>
          </w:p>
        </w:tc>
        <w:tc>
          <w:tcPr>
            <w:tcW w:w="1794" w:type="dxa"/>
            <w:shd w:val="clear" w:color="auto" w:fill="FFFFFF" w:themeFill="background1"/>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92305</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3812" w:type="dxa"/>
            <w:tcBorders>
              <w:left w:val="nil"/>
            </w:tcBorders>
            <w:vAlign w:val="center"/>
          </w:tcPr>
          <w:p>
            <w:pPr>
              <w:spacing w:line="380" w:lineRule="exact"/>
              <w:ind w:firstLine="752" w:firstLineChars="292"/>
              <w:rPr>
                <w:color w:val="000000" w:themeColor="text1"/>
                <w:sz w:val="24"/>
                <w:szCs w:val="24"/>
              </w:rPr>
            </w:pPr>
            <w:r>
              <w:rPr>
                <w:rFonts w:hint="eastAsia"/>
                <w:color w:val="000000" w:themeColor="text1"/>
                <w:sz w:val="24"/>
                <w:szCs w:val="24"/>
              </w:rPr>
              <w:t>金融业</w:t>
            </w:r>
          </w:p>
        </w:tc>
        <w:tc>
          <w:tcPr>
            <w:tcW w:w="1570" w:type="dxa"/>
            <w:shd w:val="clear" w:color="auto" w:fill="FFFFFF" w:themeFill="background1"/>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140395</w:t>
            </w:r>
          </w:p>
        </w:tc>
        <w:tc>
          <w:tcPr>
            <w:tcW w:w="1794" w:type="dxa"/>
            <w:shd w:val="clear" w:color="auto" w:fill="FFFFFF" w:themeFill="background1"/>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129342</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3812" w:type="dxa"/>
            <w:tcBorders>
              <w:left w:val="nil"/>
            </w:tcBorders>
            <w:vAlign w:val="center"/>
          </w:tcPr>
          <w:p>
            <w:pPr>
              <w:spacing w:line="380" w:lineRule="exact"/>
              <w:ind w:firstLine="632" w:firstLineChars="245"/>
              <w:rPr>
                <w:color w:val="000000" w:themeColor="text1"/>
                <w:sz w:val="24"/>
                <w:szCs w:val="24"/>
              </w:rPr>
            </w:pPr>
            <w:r>
              <w:rPr>
                <w:rFonts w:hint="eastAsia"/>
                <w:color w:val="000000" w:themeColor="text1"/>
                <w:sz w:val="24"/>
                <w:szCs w:val="24"/>
              </w:rPr>
              <w:t xml:space="preserve"> 房地产业</w:t>
            </w:r>
          </w:p>
        </w:tc>
        <w:tc>
          <w:tcPr>
            <w:tcW w:w="1570" w:type="dxa"/>
            <w:shd w:val="clear" w:color="auto" w:fill="FFFFFF" w:themeFill="background1"/>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272882</w:t>
            </w:r>
          </w:p>
        </w:tc>
        <w:tc>
          <w:tcPr>
            <w:tcW w:w="1794" w:type="dxa"/>
            <w:shd w:val="clear" w:color="auto" w:fill="FFFFFF" w:themeFill="background1"/>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267604</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812" w:type="dxa"/>
            <w:tcBorders>
              <w:left w:val="nil"/>
            </w:tcBorders>
            <w:vAlign w:val="center"/>
          </w:tcPr>
          <w:p>
            <w:pPr>
              <w:spacing w:line="380" w:lineRule="exact"/>
              <w:ind w:firstLine="632" w:firstLineChars="245"/>
              <w:rPr>
                <w:color w:val="000000" w:themeColor="text1"/>
                <w:sz w:val="24"/>
                <w:szCs w:val="24"/>
              </w:rPr>
            </w:pPr>
            <w:r>
              <w:rPr>
                <w:rFonts w:hint="eastAsia"/>
                <w:color w:val="000000" w:themeColor="text1"/>
                <w:sz w:val="24"/>
                <w:szCs w:val="24"/>
              </w:rPr>
              <w:t xml:space="preserve"> 营利性服务业</w:t>
            </w:r>
          </w:p>
        </w:tc>
        <w:tc>
          <w:tcPr>
            <w:tcW w:w="1570" w:type="dxa"/>
            <w:shd w:val="clear" w:color="auto" w:fill="FFFFFF" w:themeFill="background1"/>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448016</w:t>
            </w:r>
          </w:p>
        </w:tc>
        <w:tc>
          <w:tcPr>
            <w:tcW w:w="1794" w:type="dxa"/>
            <w:shd w:val="clear" w:color="auto" w:fill="FFFFFF" w:themeFill="background1"/>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401290</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812" w:type="dxa"/>
            <w:tcBorders>
              <w:left w:val="nil"/>
            </w:tcBorders>
            <w:vAlign w:val="center"/>
          </w:tcPr>
          <w:p>
            <w:pPr>
              <w:spacing w:line="380" w:lineRule="exact"/>
              <w:ind w:firstLine="752" w:firstLineChars="292"/>
              <w:rPr>
                <w:color w:val="000000" w:themeColor="text1"/>
                <w:sz w:val="24"/>
                <w:szCs w:val="24"/>
              </w:rPr>
            </w:pPr>
            <w:r>
              <w:rPr>
                <w:rFonts w:hint="eastAsia"/>
                <w:color w:val="000000" w:themeColor="text1"/>
                <w:sz w:val="24"/>
                <w:szCs w:val="24"/>
              </w:rPr>
              <w:t>非营利性服务业</w:t>
            </w:r>
          </w:p>
        </w:tc>
        <w:tc>
          <w:tcPr>
            <w:tcW w:w="1570" w:type="dxa"/>
            <w:shd w:val="clear" w:color="auto" w:fill="FFFFFF" w:themeFill="background1"/>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433135</w:t>
            </w:r>
          </w:p>
        </w:tc>
        <w:tc>
          <w:tcPr>
            <w:tcW w:w="1794" w:type="dxa"/>
            <w:shd w:val="clear" w:color="auto" w:fill="FFFFFF" w:themeFill="background1"/>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397026</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12" w:type="dxa"/>
            <w:tcBorders>
              <w:left w:val="nil"/>
            </w:tcBorders>
            <w:vAlign w:val="center"/>
          </w:tcPr>
          <w:p>
            <w:pPr>
              <w:spacing w:line="380" w:lineRule="exact"/>
              <w:ind w:firstLine="378" w:firstLineChars="147"/>
              <w:rPr>
                <w:color w:val="000000" w:themeColor="text1"/>
                <w:sz w:val="24"/>
                <w:szCs w:val="24"/>
              </w:rPr>
            </w:pPr>
            <w:r>
              <w:rPr>
                <w:rFonts w:hint="eastAsia"/>
                <w:color w:val="000000" w:themeColor="text1"/>
                <w:sz w:val="24"/>
                <w:szCs w:val="24"/>
              </w:rPr>
              <w:t xml:space="preserve"> 一产业</w:t>
            </w:r>
          </w:p>
        </w:tc>
        <w:tc>
          <w:tcPr>
            <w:tcW w:w="1570" w:type="dxa"/>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730335</w:t>
            </w:r>
          </w:p>
        </w:tc>
        <w:tc>
          <w:tcPr>
            <w:tcW w:w="1794" w:type="dxa"/>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689038</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812" w:type="dxa"/>
            <w:tcBorders>
              <w:left w:val="nil"/>
            </w:tcBorders>
            <w:vAlign w:val="center"/>
          </w:tcPr>
          <w:p>
            <w:pPr>
              <w:spacing w:line="380" w:lineRule="exact"/>
              <w:ind w:firstLine="252" w:firstLineChars="98"/>
              <w:rPr>
                <w:color w:val="000000" w:themeColor="text1"/>
                <w:sz w:val="24"/>
                <w:szCs w:val="24"/>
              </w:rPr>
            </w:pPr>
            <w:r>
              <w:rPr>
                <w:rFonts w:hint="eastAsia"/>
                <w:color w:val="000000" w:themeColor="text1"/>
                <w:sz w:val="24"/>
                <w:szCs w:val="24"/>
              </w:rPr>
              <w:t xml:space="preserve">  二产业</w:t>
            </w:r>
          </w:p>
        </w:tc>
        <w:tc>
          <w:tcPr>
            <w:tcW w:w="1570" w:type="dxa"/>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3017111</w:t>
            </w:r>
          </w:p>
        </w:tc>
        <w:tc>
          <w:tcPr>
            <w:tcW w:w="1794" w:type="dxa"/>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2851074</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812" w:type="dxa"/>
            <w:tcBorders>
              <w:left w:val="nil"/>
            </w:tcBorders>
            <w:vAlign w:val="center"/>
          </w:tcPr>
          <w:p>
            <w:pPr>
              <w:spacing w:line="380" w:lineRule="exact"/>
              <w:ind w:firstLine="252" w:firstLineChars="98"/>
              <w:rPr>
                <w:color w:val="000000" w:themeColor="text1"/>
                <w:sz w:val="24"/>
                <w:szCs w:val="24"/>
              </w:rPr>
            </w:pPr>
            <w:r>
              <w:rPr>
                <w:rFonts w:hint="eastAsia"/>
                <w:color w:val="000000" w:themeColor="text1"/>
                <w:sz w:val="24"/>
                <w:szCs w:val="24"/>
              </w:rPr>
              <w:t xml:space="preserve">  三产业</w:t>
            </w:r>
          </w:p>
        </w:tc>
        <w:tc>
          <w:tcPr>
            <w:tcW w:w="1570" w:type="dxa"/>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2023715</w:t>
            </w:r>
          </w:p>
        </w:tc>
        <w:tc>
          <w:tcPr>
            <w:tcW w:w="1794" w:type="dxa"/>
            <w:vAlign w:val="center"/>
          </w:tcPr>
          <w:p>
            <w:pPr>
              <w:widowControl/>
              <w:spacing w:line="380" w:lineRule="exact"/>
              <w:jc w:val="center"/>
              <w:textAlignment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1867097</w:t>
            </w:r>
          </w:p>
        </w:tc>
        <w:tc>
          <w:tcPr>
            <w:tcW w:w="1196" w:type="dxa"/>
            <w:tcBorders>
              <w:right w:val="nil"/>
            </w:tcBorders>
            <w:vAlign w:val="center"/>
          </w:tcPr>
          <w:p>
            <w:pPr>
              <w:widowControl/>
              <w:spacing w:line="380" w:lineRule="exact"/>
              <w:jc w:val="center"/>
              <w:textAlignment w:val="center"/>
              <w:rPr>
                <w:rFonts w:hint="default" w:eastAsia="宋体"/>
                <w:color w:val="000000" w:themeColor="text1"/>
                <w:sz w:val="24"/>
                <w:szCs w:val="24"/>
                <w:lang w:val="en-US" w:eastAsia="zh-CN"/>
              </w:rPr>
            </w:pPr>
            <w:r>
              <w:rPr>
                <w:rFonts w:hint="eastAsia"/>
                <w:color w:val="000000" w:themeColor="text1"/>
                <w:sz w:val="24"/>
                <w:szCs w:val="24"/>
                <w:lang w:val="en-US" w:eastAsia="zh-CN"/>
              </w:rPr>
              <w:t>5.4</w:t>
            </w:r>
          </w:p>
        </w:tc>
      </w:tr>
    </w:tbl>
    <w:p>
      <w:pPr>
        <w:spacing w:line="380" w:lineRule="exact"/>
        <w:ind w:firstLine="912" w:firstLineChars="400"/>
        <w:rPr>
          <w:rFonts w:hint="eastAsia"/>
          <w:color w:val="000000" w:themeColor="text1"/>
          <w:sz w:val="21"/>
          <w:szCs w:val="21"/>
          <w:lang w:eastAsia="zh-CN"/>
        </w:rPr>
      </w:pPr>
      <w:r>
        <w:rPr>
          <w:rFonts w:hint="eastAsia"/>
          <w:color w:val="000000" w:themeColor="text1"/>
          <w:sz w:val="21"/>
          <w:szCs w:val="21"/>
        </w:rPr>
        <w:t>注：绝对值按现价计算，增速按不变价格计算</w:t>
      </w:r>
      <w:r>
        <w:rPr>
          <w:rFonts w:hint="eastAsia"/>
          <w:color w:val="000000" w:themeColor="text1"/>
          <w:sz w:val="21"/>
          <w:szCs w:val="21"/>
          <w:lang w:eastAsia="zh-CN"/>
        </w:rPr>
        <w:t>。</w:t>
      </w:r>
    </w:p>
    <w:p>
      <w:pPr>
        <w:spacing w:line="380" w:lineRule="exact"/>
        <w:ind w:firstLine="1368" w:firstLineChars="600"/>
        <w:rPr>
          <w:color w:val="000000" w:themeColor="text1"/>
          <w:sz w:val="21"/>
          <w:szCs w:val="21"/>
        </w:rPr>
      </w:pPr>
      <w:r>
        <w:rPr>
          <w:rFonts w:hint="eastAsia" w:ascii="宋体" w:hAnsi="宋体"/>
          <w:b w:val="0"/>
          <w:bCs w:val="0"/>
          <w:color w:val="000000" w:themeColor="text1"/>
          <w:sz w:val="21"/>
          <w:szCs w:val="21"/>
        </w:rPr>
        <w:t>因四舍五入的原因，部分数据总计不等于分项之和</w:t>
      </w:r>
      <w:r>
        <w:rPr>
          <w:rFonts w:hint="eastAsia"/>
          <w:b w:val="0"/>
          <w:bCs w:val="0"/>
          <w:color w:val="000000" w:themeColor="text1"/>
          <w:sz w:val="21"/>
          <w:szCs w:val="21"/>
        </w:rPr>
        <w:t>。</w:t>
      </w: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hint="eastAsia" w:ascii="黑体" w:eastAsia="黑体"/>
          <w:color w:val="FF0000"/>
          <w:sz w:val="32"/>
          <w:szCs w:val="32"/>
        </w:rPr>
      </w:pPr>
    </w:p>
    <w:p>
      <w:pPr>
        <w:spacing w:line="380" w:lineRule="exact"/>
        <w:jc w:val="center"/>
        <w:outlineLvl w:val="0"/>
        <w:rPr>
          <w:rFonts w:hint="eastAsia" w:ascii="黑体" w:eastAsia="黑体"/>
          <w:color w:val="FF0000"/>
          <w:sz w:val="32"/>
          <w:szCs w:val="32"/>
        </w:rPr>
      </w:pPr>
    </w:p>
    <w:p>
      <w:pPr>
        <w:spacing w:line="380" w:lineRule="exact"/>
        <w:jc w:val="center"/>
        <w:outlineLvl w:val="0"/>
        <w:rPr>
          <w:rFonts w:ascii="黑体" w:eastAsia="黑体"/>
          <w:color w:val="000000" w:themeColor="text1"/>
          <w:sz w:val="32"/>
          <w:szCs w:val="32"/>
        </w:rPr>
      </w:pPr>
      <w:r>
        <w:rPr>
          <w:rFonts w:hint="eastAsia" w:ascii="黑体" w:eastAsia="黑体"/>
          <w:color w:val="000000" w:themeColor="text1"/>
          <w:sz w:val="32"/>
          <w:szCs w:val="32"/>
        </w:rPr>
        <w:t>四、财    税</w:t>
      </w:r>
    </w:p>
    <w:p>
      <w:pPr>
        <w:spacing w:line="380" w:lineRule="exact"/>
        <w:ind w:right="516" w:firstLine="6364" w:firstLineChars="2467"/>
        <w:jc w:val="both"/>
        <w:outlineLvl w:val="0"/>
        <w:rPr>
          <w:rFonts w:ascii="黑体" w:eastAsia="黑体"/>
          <w:color w:val="000000" w:themeColor="text1"/>
          <w:sz w:val="24"/>
          <w:szCs w:val="24"/>
        </w:rPr>
      </w:pPr>
      <w:r>
        <w:rPr>
          <w:rFonts w:hint="eastAsia" w:ascii="宋体" w:hAnsi="宋体"/>
          <w:color w:val="000000" w:themeColor="text1"/>
          <w:sz w:val="24"/>
          <w:szCs w:val="24"/>
        </w:rPr>
        <w:t>（单位：万元）</w:t>
      </w:r>
    </w:p>
    <w:tbl>
      <w:tblPr>
        <w:tblStyle w:val="11"/>
        <w:tblW w:w="7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88"/>
        <w:gridCol w:w="1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510"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1888" w:type="dxa"/>
            <w:vAlign w:val="center"/>
          </w:tcPr>
          <w:p>
            <w:pPr>
              <w:spacing w:line="380" w:lineRule="exact"/>
              <w:jc w:val="center"/>
              <w:rPr>
                <w:color w:val="000000" w:themeColor="text1"/>
                <w:sz w:val="24"/>
                <w:szCs w:val="24"/>
              </w:rPr>
            </w:pPr>
            <w:r>
              <w:rPr>
                <w:rFonts w:hint="eastAsia"/>
                <w:color w:val="000000" w:themeColor="text1"/>
                <w:sz w:val="24"/>
                <w:szCs w:val="24"/>
              </w:rPr>
              <w:t>累计</w:t>
            </w:r>
          </w:p>
        </w:tc>
        <w:tc>
          <w:tcPr>
            <w:tcW w:w="1888" w:type="dxa"/>
            <w:tcBorders>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r>
              <w:rPr>
                <w:rFonts w:hint="eastAsia" w:ascii="宋体" w:hAnsi="宋体"/>
                <w:color w:val="000000" w:themeColor="text1"/>
                <w:sz w:val="24"/>
                <w:szCs w:val="24"/>
              </w:rPr>
              <w:t>±</w:t>
            </w:r>
            <w:r>
              <w:rPr>
                <w:rFonts w:hint="eastAsia"/>
                <w:color w:val="000000" w:themeColor="text1"/>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一、财政总收入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248194</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（一）地方收入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163377</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3510" w:type="dxa"/>
            <w:tcBorders>
              <w:left w:val="nil"/>
            </w:tcBorders>
          </w:tcPr>
          <w:p>
            <w:pPr>
              <w:spacing w:line="380" w:lineRule="exact"/>
              <w:ind w:firstLine="258" w:firstLineChars="100"/>
              <w:rPr>
                <w:color w:val="000000" w:themeColor="text1"/>
                <w:sz w:val="24"/>
                <w:szCs w:val="24"/>
              </w:rPr>
            </w:pPr>
            <w:r>
              <w:rPr>
                <w:rFonts w:hint="eastAsia"/>
                <w:color w:val="000000" w:themeColor="text1"/>
                <w:sz w:val="24"/>
                <w:szCs w:val="24"/>
              </w:rPr>
              <w:t>1、税收收入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113871</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ind w:firstLine="378" w:firstLineChars="147"/>
              <w:rPr>
                <w:color w:val="000000" w:themeColor="text1"/>
                <w:sz w:val="24"/>
                <w:szCs w:val="24"/>
              </w:rPr>
            </w:pPr>
            <w:r>
              <w:rPr>
                <w:rFonts w:hint="eastAsia"/>
                <w:color w:val="000000" w:themeColor="text1"/>
                <w:sz w:val="24"/>
                <w:szCs w:val="24"/>
              </w:rPr>
              <w:t>其中：增值税</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49073</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企业所得税</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7322</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个人所得税</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4404</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53.1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耕地占用税</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841</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契税</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14282</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8.92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ind w:firstLine="258" w:firstLineChars="100"/>
              <w:rPr>
                <w:color w:val="000000" w:themeColor="text1"/>
                <w:sz w:val="24"/>
                <w:szCs w:val="24"/>
              </w:rPr>
            </w:pPr>
            <w:r>
              <w:rPr>
                <w:rFonts w:hint="eastAsia"/>
                <w:color w:val="000000" w:themeColor="text1"/>
                <w:sz w:val="24"/>
                <w:szCs w:val="24"/>
              </w:rPr>
              <w:t>2、非税收入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49506</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10" w:type="dxa"/>
            <w:tcBorders>
              <w:left w:val="nil"/>
            </w:tcBorders>
          </w:tcPr>
          <w:p>
            <w:pPr>
              <w:spacing w:line="380" w:lineRule="exact"/>
              <w:ind w:firstLine="378" w:firstLineChars="147"/>
              <w:rPr>
                <w:color w:val="000000" w:themeColor="text1"/>
                <w:sz w:val="24"/>
                <w:szCs w:val="24"/>
              </w:rPr>
            </w:pPr>
            <w:r>
              <w:rPr>
                <w:rFonts w:hint="eastAsia"/>
                <w:color w:val="000000" w:themeColor="text1"/>
                <w:sz w:val="24"/>
                <w:szCs w:val="24"/>
              </w:rPr>
              <w:t>其中：行政性收费收入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3071</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罚没收入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8081</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专项收入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7809</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（二）上划中央收入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76024</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（三）上划省级收入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8793</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财政总收入中：纯税收</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198688</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二、财政总支出</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776274</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其中：一般预算支出</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541944</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2.7</w:t>
            </w:r>
          </w:p>
        </w:tc>
      </w:tr>
    </w:tbl>
    <w:p>
      <w:pPr>
        <w:spacing w:line="380" w:lineRule="exact"/>
        <w:jc w:val="center"/>
        <w:rPr>
          <w:rFonts w:ascii="黑体" w:eastAsia="黑体"/>
          <w:color w:val="FF0000"/>
          <w:sz w:val="32"/>
          <w:szCs w:val="32"/>
        </w:rPr>
      </w:pPr>
    </w:p>
    <w:p>
      <w:pPr>
        <w:spacing w:line="380" w:lineRule="exact"/>
        <w:jc w:val="center"/>
        <w:outlineLvl w:val="0"/>
        <w:rPr>
          <w:rFonts w:ascii="黑体" w:eastAsia="黑体"/>
          <w:color w:val="000000" w:themeColor="text1"/>
          <w:sz w:val="32"/>
          <w:szCs w:val="32"/>
        </w:rPr>
      </w:pPr>
      <w:r>
        <w:rPr>
          <w:rFonts w:ascii="黑体" w:eastAsia="黑体"/>
          <w:color w:val="FF0000"/>
          <w:sz w:val="32"/>
          <w:szCs w:val="32"/>
        </w:rPr>
        <w:br w:type="page"/>
      </w:r>
    </w:p>
    <w:p>
      <w:pPr>
        <w:spacing w:line="380" w:lineRule="exact"/>
        <w:ind w:firstLine="3042" w:firstLineChars="900"/>
        <w:outlineLvl w:val="0"/>
        <w:rPr>
          <w:rFonts w:ascii="黑体" w:eastAsia="黑体"/>
          <w:color w:val="000000" w:themeColor="text1"/>
          <w:sz w:val="32"/>
          <w:szCs w:val="32"/>
        </w:rPr>
      </w:pPr>
      <w:r>
        <w:rPr>
          <w:rFonts w:hint="eastAsia" w:ascii="黑体" w:hAnsi="黑体" w:eastAsia="黑体"/>
          <w:color w:val="000000" w:themeColor="text1"/>
          <w:sz w:val="32"/>
          <w:szCs w:val="32"/>
        </w:rPr>
        <w:t>五、固定资产投资</w:t>
      </w:r>
    </w:p>
    <w:tbl>
      <w:tblPr>
        <w:tblStyle w:val="11"/>
        <w:tblpPr w:leftFromText="180" w:rightFromText="180" w:vertAnchor="text" w:horzAnchor="page" w:tblpX="1870" w:tblpY="149"/>
        <w:tblOverlap w:val="never"/>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8"/>
        <w:gridCol w:w="3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color w:val="000000" w:themeColor="text1"/>
                <w:sz w:val="24"/>
                <w:szCs w:val="24"/>
              </w:rPr>
            </w:pPr>
            <w:r>
              <w:rPr>
                <w:rFonts w:hint="eastAsia"/>
                <w:color w:val="000000" w:themeColor="text1"/>
                <w:sz w:val="24"/>
                <w:szCs w:val="24"/>
              </w:rPr>
              <w:t>指标名称</w:t>
            </w:r>
          </w:p>
        </w:tc>
        <w:tc>
          <w:tcPr>
            <w:tcW w:w="3892" w:type="dxa"/>
            <w:tcBorders>
              <w:top w:val="single" w:color="auto" w:sz="4" w:space="0"/>
              <w:left w:val="nil"/>
              <w:bottom w:val="single" w:color="auto" w:sz="4" w:space="0"/>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757" w:firstLineChars="294"/>
              <w:rPr>
                <w:color w:val="000000" w:themeColor="text1"/>
                <w:sz w:val="24"/>
                <w:szCs w:val="24"/>
              </w:rPr>
            </w:pPr>
            <w:r>
              <w:rPr>
                <w:rFonts w:hint="eastAsia"/>
                <w:color w:val="000000" w:themeColor="text1"/>
                <w:sz w:val="24"/>
                <w:szCs w:val="24"/>
              </w:rPr>
              <w:t>固定资产投资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rFonts w:hint="eastAsia"/>
                <w:color w:val="000000" w:themeColor="text1"/>
                <w:sz w:val="24"/>
                <w:szCs w:val="24"/>
              </w:rPr>
              <w:t xml:space="preserve">      其中：房地产开发</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-28.9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rFonts w:hint="eastAsia"/>
                <w:color w:val="000000" w:themeColor="text1"/>
                <w:sz w:val="24"/>
                <w:szCs w:val="24"/>
              </w:rPr>
              <w:t xml:space="preserve">            产业投资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632" w:firstLineChars="245"/>
              <w:rPr>
                <w:color w:val="000000" w:themeColor="text1"/>
                <w:sz w:val="24"/>
                <w:szCs w:val="24"/>
              </w:rPr>
            </w:pPr>
            <w:r>
              <w:rPr>
                <w:rFonts w:hint="eastAsia"/>
                <w:color w:val="000000" w:themeColor="text1"/>
                <w:sz w:val="24"/>
                <w:szCs w:val="24"/>
              </w:rPr>
              <w:t>一、按经济类型分</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color w:val="000000" w:themeColor="text1"/>
                <w:sz w:val="24"/>
                <w:szCs w:val="24"/>
              </w:rPr>
            </w:pPr>
            <w:r>
              <w:rPr>
                <w:rFonts w:hint="eastAsia"/>
                <w:color w:val="000000" w:themeColor="text1"/>
                <w:sz w:val="24"/>
                <w:szCs w:val="24"/>
              </w:rPr>
              <w:t>国有投资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color w:val="000000" w:themeColor="text1"/>
                <w:sz w:val="24"/>
                <w:szCs w:val="24"/>
              </w:rPr>
            </w:pPr>
            <w:r>
              <w:rPr>
                <w:rFonts w:hint="eastAsia"/>
                <w:color w:val="000000" w:themeColor="text1"/>
                <w:sz w:val="24"/>
                <w:szCs w:val="24"/>
              </w:rPr>
              <w:t>非国有投资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color w:val="000000" w:themeColor="text1"/>
                <w:sz w:val="24"/>
                <w:szCs w:val="24"/>
              </w:rPr>
            </w:pPr>
            <w:r>
              <w:rPr>
                <w:rFonts w:hint="eastAsia"/>
                <w:color w:val="000000" w:themeColor="text1"/>
                <w:sz w:val="24"/>
                <w:szCs w:val="24"/>
              </w:rPr>
              <w:t>民间投资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757" w:firstLineChars="294"/>
              <w:rPr>
                <w:color w:val="000000" w:themeColor="text1"/>
                <w:sz w:val="24"/>
                <w:szCs w:val="24"/>
              </w:rPr>
            </w:pPr>
            <w:r>
              <w:rPr>
                <w:rFonts w:hint="eastAsia"/>
                <w:color w:val="000000" w:themeColor="text1"/>
                <w:sz w:val="24"/>
                <w:szCs w:val="24"/>
              </w:rPr>
              <w:t>二、按产业结构分</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rFonts w:hint="eastAsia"/>
                <w:color w:val="000000" w:themeColor="text1"/>
                <w:sz w:val="24"/>
                <w:szCs w:val="24"/>
              </w:rPr>
              <w:t xml:space="preserve">       （一）一产业</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rFonts w:hint="eastAsia"/>
                <w:color w:val="000000" w:themeColor="text1"/>
                <w:sz w:val="24"/>
                <w:szCs w:val="24"/>
              </w:rPr>
              <w:t xml:space="preserve">       （二）二产业</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rFonts w:hint="eastAsia"/>
                <w:color w:val="000000" w:themeColor="text1"/>
                <w:sz w:val="24"/>
                <w:szCs w:val="24"/>
              </w:rPr>
              <w:t xml:space="preserve">       （三）三产业</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757" w:firstLineChars="294"/>
              <w:rPr>
                <w:color w:val="000000" w:themeColor="text1"/>
                <w:sz w:val="24"/>
                <w:szCs w:val="24"/>
              </w:rPr>
            </w:pPr>
            <w:r>
              <w:rPr>
                <w:rFonts w:hint="eastAsia"/>
                <w:color w:val="000000" w:themeColor="text1"/>
                <w:sz w:val="24"/>
                <w:szCs w:val="24"/>
              </w:rPr>
              <w:t>三、按投资方向分</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color w:val="000000" w:themeColor="text1"/>
                <w:sz w:val="24"/>
                <w:szCs w:val="24"/>
              </w:rPr>
            </w:pPr>
            <w:r>
              <w:rPr>
                <w:rFonts w:hint="eastAsia"/>
                <w:color w:val="000000" w:themeColor="text1"/>
                <w:sz w:val="24"/>
                <w:szCs w:val="24"/>
              </w:rPr>
              <w:t>工业投资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61" w:firstLineChars="450"/>
              <w:rPr>
                <w:color w:val="000000" w:themeColor="text1"/>
                <w:sz w:val="24"/>
                <w:szCs w:val="24"/>
              </w:rPr>
            </w:pPr>
            <w:r>
              <w:rPr>
                <w:rFonts w:hint="eastAsia"/>
                <w:color w:val="000000" w:themeColor="text1"/>
                <w:sz w:val="24"/>
                <w:szCs w:val="24"/>
              </w:rPr>
              <w:t>高新技术产业投资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61" w:firstLineChars="450"/>
              <w:rPr>
                <w:color w:val="000000" w:themeColor="text1"/>
                <w:sz w:val="24"/>
                <w:szCs w:val="24"/>
              </w:rPr>
            </w:pPr>
            <w:r>
              <w:rPr>
                <w:rFonts w:hint="eastAsia"/>
                <w:color w:val="000000" w:themeColor="text1"/>
                <w:sz w:val="24"/>
                <w:szCs w:val="24"/>
              </w:rPr>
              <w:t>民生工程</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61" w:firstLineChars="450"/>
              <w:rPr>
                <w:color w:val="000000" w:themeColor="text1"/>
                <w:sz w:val="24"/>
                <w:szCs w:val="24"/>
              </w:rPr>
            </w:pPr>
            <w:r>
              <w:rPr>
                <w:rFonts w:hint="eastAsia"/>
                <w:color w:val="000000" w:themeColor="text1"/>
                <w:sz w:val="24"/>
                <w:szCs w:val="24"/>
              </w:rPr>
              <w:t>生态环境</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61" w:firstLineChars="450"/>
              <w:rPr>
                <w:color w:val="000000" w:themeColor="text1"/>
                <w:sz w:val="24"/>
                <w:szCs w:val="24"/>
              </w:rPr>
            </w:pPr>
            <w:r>
              <w:rPr>
                <w:rFonts w:hint="eastAsia"/>
                <w:color w:val="000000" w:themeColor="text1"/>
                <w:sz w:val="24"/>
                <w:szCs w:val="24"/>
              </w:rPr>
              <w:t>基础设施</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rFonts w:hint="eastAsia" w:ascii="Times New Roman" w:hAnsi="Times New Roman" w:cs="Times New Roman"/>
                <w:color w:val="000000" w:themeColor="text1"/>
                <w:sz w:val="24"/>
                <w:szCs w:val="24"/>
              </w:rPr>
            </w:pPr>
            <w:r>
              <w:rPr>
                <w:rFonts w:hint="eastAsia" w:ascii="Times New Roman" w:hAnsi="Times New Roman" w:cs="Times New Roman"/>
                <w:color w:val="000000" w:themeColor="text1"/>
                <w:sz w:val="24"/>
                <w:szCs w:val="24"/>
              </w:rPr>
              <w:t>四、高新技术产业投资占</w:t>
            </w:r>
            <w:r>
              <w:rPr>
                <w:rFonts w:hint="eastAsia" w:ascii="Times New Roman" w:hAnsi="Times New Roman" w:cs="Times New Roman"/>
                <w:color w:val="000000" w:themeColor="text1"/>
                <w:sz w:val="24"/>
                <w:szCs w:val="24"/>
                <w:lang w:eastAsia="zh-CN"/>
              </w:rPr>
              <w:t>固定资产</w:t>
            </w:r>
            <w:r>
              <w:rPr>
                <w:rFonts w:hint="eastAsia" w:ascii="Times New Roman" w:hAnsi="Times New Roman" w:cs="Times New Roman"/>
                <w:color w:val="000000" w:themeColor="text1"/>
                <w:sz w:val="24"/>
                <w:szCs w:val="24"/>
              </w:rPr>
              <w:t>投资比重</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rFonts w:hint="eastAsia" w:ascii="Times New Roman" w:hAnsi="Times New Roman" w:cs="Times New Roman"/>
                <w:color w:val="000000" w:themeColor="text1"/>
                <w:sz w:val="24"/>
                <w:szCs w:val="24"/>
                <w:lang w:eastAsia="zh-CN"/>
              </w:rPr>
            </w:pPr>
            <w:r>
              <w:rPr>
                <w:rFonts w:hint="eastAsia" w:ascii="Times New Roman" w:hAnsi="Times New Roman" w:cs="Times New Roman"/>
                <w:color w:val="000000" w:themeColor="text1"/>
                <w:sz w:val="24"/>
                <w:szCs w:val="24"/>
                <w:lang w:eastAsia="zh-CN"/>
              </w:rPr>
              <w:t>五、</w:t>
            </w:r>
            <w:r>
              <w:rPr>
                <w:rFonts w:hint="eastAsia" w:ascii="Times New Roman" w:hAnsi="Times New Roman" w:cs="Times New Roman"/>
                <w:color w:val="000000" w:themeColor="text1"/>
                <w:sz w:val="24"/>
                <w:szCs w:val="24"/>
              </w:rPr>
              <w:t>民间投资占</w:t>
            </w:r>
            <w:r>
              <w:rPr>
                <w:rFonts w:hint="eastAsia" w:ascii="Times New Roman" w:hAnsi="Times New Roman" w:cs="Times New Roman"/>
                <w:color w:val="000000" w:themeColor="text1"/>
                <w:sz w:val="24"/>
                <w:szCs w:val="24"/>
                <w:lang w:eastAsia="zh-CN"/>
              </w:rPr>
              <w:t>固定资产</w:t>
            </w:r>
            <w:r>
              <w:rPr>
                <w:rFonts w:hint="eastAsia" w:ascii="Times New Roman" w:hAnsi="Times New Roman" w:cs="Times New Roman"/>
                <w:color w:val="000000" w:themeColor="text1"/>
                <w:sz w:val="24"/>
                <w:szCs w:val="24"/>
              </w:rPr>
              <w:t>投资比重</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color w:val="000000" w:themeColor="text1"/>
                <w:sz w:val="24"/>
                <w:szCs w:val="24"/>
                <w:lang w:val="en-US" w:eastAsia="zh-CN"/>
              </w:rPr>
            </w:pPr>
            <w:r>
              <w:rPr>
                <w:rFonts w:hint="eastAsia" w:ascii="宋体" w:hAnsi="宋体"/>
                <w:color w:val="000000" w:themeColor="text1"/>
                <w:sz w:val="24"/>
                <w:szCs w:val="24"/>
                <w:lang w:val="en-US" w:eastAsia="zh-CN"/>
              </w:rPr>
              <w:t>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rFonts w:hint="eastAsia" w:ascii="Times New Roman" w:hAnsi="Times New Roman" w:cs="Times New Roman"/>
                <w:color w:val="000000" w:themeColor="text1"/>
                <w:sz w:val="24"/>
                <w:szCs w:val="24"/>
                <w:lang w:eastAsia="zh-CN"/>
              </w:rPr>
            </w:pPr>
            <w:r>
              <w:rPr>
                <w:rFonts w:hint="eastAsia" w:ascii="Times New Roman" w:hAnsi="Times New Roman" w:cs="Times New Roman"/>
                <w:color w:val="000000" w:themeColor="text1"/>
                <w:sz w:val="24"/>
                <w:szCs w:val="24"/>
                <w:lang w:eastAsia="zh-CN"/>
              </w:rPr>
              <w:t>六、</w:t>
            </w:r>
            <w:r>
              <w:rPr>
                <w:rFonts w:hint="eastAsia" w:ascii="Times New Roman" w:hAnsi="Times New Roman" w:cs="Times New Roman"/>
                <w:color w:val="000000" w:themeColor="text1"/>
                <w:sz w:val="24"/>
                <w:szCs w:val="24"/>
              </w:rPr>
              <w:t>产业投资占</w:t>
            </w:r>
            <w:r>
              <w:rPr>
                <w:rFonts w:hint="eastAsia" w:ascii="Times New Roman" w:hAnsi="Times New Roman" w:cs="Times New Roman"/>
                <w:color w:val="000000" w:themeColor="text1"/>
                <w:sz w:val="24"/>
                <w:szCs w:val="24"/>
                <w:lang w:eastAsia="zh-CN"/>
              </w:rPr>
              <w:t>固定资产</w:t>
            </w:r>
            <w:r>
              <w:rPr>
                <w:rFonts w:hint="eastAsia" w:ascii="Times New Roman" w:hAnsi="Times New Roman" w:cs="Times New Roman"/>
                <w:color w:val="000000" w:themeColor="text1"/>
                <w:sz w:val="24"/>
                <w:szCs w:val="24"/>
              </w:rPr>
              <w:t>投资比重</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color w:val="000000" w:themeColor="text1"/>
                <w:sz w:val="24"/>
                <w:szCs w:val="24"/>
                <w:lang w:val="en-US" w:eastAsia="zh-CN"/>
              </w:rPr>
            </w:pPr>
            <w:r>
              <w:rPr>
                <w:rFonts w:hint="eastAsia" w:ascii="宋体" w:hAnsi="宋体"/>
                <w:color w:val="000000" w:themeColor="text1"/>
                <w:sz w:val="24"/>
                <w:szCs w:val="24"/>
                <w:lang w:val="en-US" w:eastAsia="zh-CN"/>
              </w:rPr>
              <w:t>78.2</w:t>
            </w:r>
          </w:p>
        </w:tc>
      </w:tr>
    </w:tbl>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hAnsi="黑体" w:eastAsia="黑体"/>
          <w:color w:val="FF0000"/>
          <w:sz w:val="32"/>
          <w:szCs w:val="32"/>
        </w:rPr>
      </w:pPr>
    </w:p>
    <w:p>
      <w:pPr>
        <w:spacing w:line="380" w:lineRule="exact"/>
        <w:ind w:firstLine="3467" w:firstLineChars="1026"/>
        <w:rPr>
          <w:rFonts w:ascii="黑体" w:eastAsia="黑体"/>
          <w:color w:val="000000" w:themeColor="text1"/>
          <w:sz w:val="32"/>
          <w:szCs w:val="32"/>
        </w:rPr>
      </w:pPr>
      <w:r>
        <w:rPr>
          <w:rFonts w:hint="eastAsia" w:ascii="黑体" w:hAnsi="黑体" w:eastAsia="黑体"/>
          <w:color w:val="000000" w:themeColor="text1"/>
          <w:sz w:val="32"/>
          <w:szCs w:val="32"/>
        </w:rPr>
        <w:t>六、房地产、建筑业</w:t>
      </w:r>
    </w:p>
    <w:p>
      <w:pPr>
        <w:spacing w:line="380" w:lineRule="exact"/>
        <w:ind w:right="516"/>
        <w:jc w:val="right"/>
        <w:outlineLvl w:val="0"/>
        <w:rPr>
          <w:rFonts w:hint="eastAsia" w:ascii="宋体" w:hAnsi="宋体"/>
          <w:color w:val="000000" w:themeColor="text1"/>
          <w:sz w:val="24"/>
          <w:szCs w:val="24"/>
        </w:rPr>
      </w:pPr>
    </w:p>
    <w:tbl>
      <w:tblPr>
        <w:tblStyle w:val="11"/>
        <w:tblW w:w="8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03"/>
        <w:gridCol w:w="1380"/>
        <w:gridCol w:w="1245"/>
        <w:gridCol w:w="1275"/>
        <w:gridCol w:w="1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单位</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累计</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上年同期</w:t>
            </w:r>
          </w:p>
        </w:tc>
        <w:tc>
          <w:tcPr>
            <w:tcW w:w="1137" w:type="dxa"/>
            <w:tcBorders>
              <w:top w:val="single" w:color="auto" w:sz="4" w:space="0"/>
              <w:left w:val="nil"/>
              <w:bottom w:val="single" w:color="auto" w:sz="4" w:space="0"/>
              <w:right w:val="nil"/>
            </w:tcBorders>
            <w:vAlign w:val="center"/>
          </w:tcPr>
          <w:p>
            <w:pPr>
              <w:spacing w:line="380" w:lineRule="exact"/>
              <w:jc w:val="center"/>
              <w:rPr>
                <w:color w:val="000000" w:themeColor="text1"/>
                <w:sz w:val="24"/>
                <w:szCs w:val="24"/>
              </w:rPr>
            </w:pPr>
            <w:r>
              <w:rPr>
                <w:rFonts w:hint="eastAsia" w:ascii="宋体" w:hAnsi="宋体"/>
                <w:color w:val="000000" w:themeColor="text1"/>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rFonts w:hint="eastAsia"/>
                <w:color w:val="000000" w:themeColor="text1"/>
                <w:sz w:val="24"/>
                <w:szCs w:val="24"/>
              </w:rPr>
              <w:t>一、本年完成投资</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万元</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192443</w:t>
            </w:r>
          </w:p>
        </w:tc>
        <w:tc>
          <w:tcPr>
            <w:tcW w:w="1275" w:type="dxa"/>
            <w:tcBorders>
              <w:top w:val="single" w:color="auto" w:sz="4" w:space="0"/>
              <w:left w:val="nil"/>
              <w:bottom w:val="single" w:color="auto" w:sz="4" w:space="0"/>
              <w:right w:val="single" w:color="auto" w:sz="4" w:space="0"/>
            </w:tcBorders>
            <w:vAlign w:val="center"/>
          </w:tcPr>
          <w:p>
            <w:pPr>
              <w:spacing w:line="380" w:lineRule="exact"/>
              <w:ind w:firstLine="258" w:firstLineChars="100"/>
              <w:jc w:val="both"/>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270664</w:t>
            </w:r>
          </w:p>
        </w:tc>
        <w:tc>
          <w:tcPr>
            <w:tcW w:w="1137"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rPr>
              <w:t>（一）商品房销售额</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万元</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274268</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347539</w:t>
            </w:r>
          </w:p>
        </w:tc>
        <w:tc>
          <w:tcPr>
            <w:tcW w:w="1137" w:type="dxa"/>
            <w:tcBorders>
              <w:top w:val="single" w:color="auto" w:sz="4" w:space="0"/>
              <w:left w:val="nil"/>
              <w:bottom w:val="single" w:color="auto" w:sz="4" w:space="0"/>
              <w:right w:val="nil"/>
            </w:tcBorders>
            <w:vAlign w:val="bottom"/>
          </w:tcPr>
          <w:p>
            <w:pPr>
              <w:tabs>
                <w:tab w:val="left" w:pos="417"/>
              </w:tabs>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ind w:firstLine="516" w:firstLineChars="200"/>
              <w:rPr>
                <w:color w:val="000000" w:themeColor="text1"/>
                <w:sz w:val="24"/>
                <w:szCs w:val="24"/>
              </w:rPr>
            </w:pPr>
            <w:r>
              <w:rPr>
                <w:rFonts w:hint="eastAsia"/>
                <w:color w:val="000000" w:themeColor="text1"/>
                <w:sz w:val="24"/>
                <w:szCs w:val="24"/>
              </w:rPr>
              <w:t>其中：住宅销售额</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万元</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248195</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281540</w:t>
            </w:r>
          </w:p>
        </w:tc>
        <w:tc>
          <w:tcPr>
            <w:tcW w:w="1137" w:type="dxa"/>
            <w:tcBorders>
              <w:top w:val="single" w:color="auto" w:sz="4" w:space="0"/>
              <w:left w:val="nil"/>
              <w:bottom w:val="single" w:color="auto" w:sz="4" w:space="0"/>
              <w:right w:val="nil"/>
            </w:tcBorders>
            <w:vAlign w:val="bottom"/>
          </w:tcPr>
          <w:p>
            <w:pPr>
              <w:tabs>
                <w:tab w:val="left" w:pos="207"/>
              </w:tabs>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rPr>
              <w:t>（二）商品房屋销售面积</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万平方米</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olor w:val="000000" w:themeColor="text1"/>
                <w:sz w:val="24"/>
                <w:szCs w:val="24"/>
                <w:lang w:val="en-US" w:eastAsia="zh-CN"/>
              </w:rPr>
              <w:t>51.08</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63.32</w:t>
            </w:r>
          </w:p>
        </w:tc>
        <w:tc>
          <w:tcPr>
            <w:tcW w:w="1137" w:type="dxa"/>
            <w:tcBorders>
              <w:top w:val="single" w:color="auto" w:sz="4" w:space="0"/>
              <w:left w:val="nil"/>
              <w:bottom w:val="single" w:color="auto" w:sz="4" w:space="0"/>
              <w:right w:val="nil"/>
            </w:tcBorders>
            <w:vAlign w:val="bottom"/>
          </w:tcPr>
          <w:p>
            <w:pPr>
              <w:tabs>
                <w:tab w:val="left" w:pos="417"/>
              </w:tabs>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olor w:val="000000" w:themeColor="text1"/>
                <w:sz w:val="24"/>
                <w:szCs w:val="24"/>
                <w:lang w:val="en-US" w:eastAsia="zh-CN"/>
              </w:rPr>
              <w:t>-19.3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其中：住宅销售面积</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万平方米</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45.86</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49.25</w:t>
            </w:r>
          </w:p>
        </w:tc>
        <w:tc>
          <w:tcPr>
            <w:tcW w:w="1137"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rPr>
              <w:t>（三）房屋施工面积</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万平方米</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127.76</w:t>
            </w:r>
          </w:p>
        </w:tc>
        <w:tc>
          <w:tcPr>
            <w:tcW w:w="1275" w:type="dxa"/>
            <w:tcBorders>
              <w:top w:val="single" w:color="auto" w:sz="4" w:space="0"/>
              <w:left w:val="nil"/>
              <w:bottom w:val="single" w:color="auto" w:sz="4" w:space="0"/>
              <w:right w:val="single" w:color="auto" w:sz="4" w:space="0"/>
            </w:tcBorders>
            <w:vAlign w:val="center"/>
          </w:tcPr>
          <w:p>
            <w:pPr>
              <w:tabs>
                <w:tab w:val="left" w:pos="357"/>
              </w:tabs>
              <w:spacing w:line="380" w:lineRule="exact"/>
              <w:ind w:firstLine="258" w:firstLineChars="100"/>
              <w:jc w:val="left"/>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208.62</w:t>
            </w:r>
          </w:p>
        </w:tc>
        <w:tc>
          <w:tcPr>
            <w:tcW w:w="1137"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其中：房屋新开工面积</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万平方米</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127.76</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156.07</w:t>
            </w:r>
          </w:p>
        </w:tc>
        <w:tc>
          <w:tcPr>
            <w:tcW w:w="1137"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rPr>
              <w:t>（四）房屋竣工面积</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万平方米</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48.02</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109.93</w:t>
            </w:r>
          </w:p>
        </w:tc>
        <w:tc>
          <w:tcPr>
            <w:tcW w:w="1137"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rFonts w:hint="eastAsia"/>
                <w:color w:val="000000" w:themeColor="text1"/>
                <w:sz w:val="24"/>
                <w:szCs w:val="24"/>
              </w:rPr>
              <w:t>二、建筑业总产值</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eastAsia="宋体"/>
                <w:color w:val="000000" w:themeColor="text1"/>
                <w:sz w:val="24"/>
                <w:szCs w:val="24"/>
                <w:lang w:eastAsia="zh-CN"/>
              </w:rPr>
            </w:pPr>
            <w:r>
              <w:rPr>
                <w:rFonts w:hint="eastAsia"/>
                <w:color w:val="000000" w:themeColor="text1"/>
                <w:sz w:val="24"/>
                <w:szCs w:val="24"/>
                <w:lang w:eastAsia="zh-CN"/>
              </w:rPr>
              <w:t>亿元</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default" w:eastAsia="宋体"/>
                <w:color w:val="000000" w:themeColor="text1"/>
                <w:sz w:val="24"/>
                <w:szCs w:val="24"/>
                <w:lang w:val="en-US" w:eastAsia="zh-CN"/>
              </w:rPr>
              <w:t>151.92</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default" w:ascii="Times New Roman" w:hAnsi="Times New Roman" w:eastAsia="宋体" w:cs="Times New Roman"/>
                <w:color w:val="000000" w:themeColor="text1"/>
                <w:kern w:val="2"/>
                <w:sz w:val="24"/>
                <w:szCs w:val="24"/>
                <w:lang w:val="en-US" w:eastAsia="zh-CN" w:bidi="ar-SA"/>
              </w:rPr>
              <w:t>137.16</w:t>
            </w:r>
          </w:p>
        </w:tc>
        <w:tc>
          <w:tcPr>
            <w:tcW w:w="1137"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rPr>
                <w:rFonts w:hint="default" w:eastAsia="宋体"/>
                <w:color w:val="000000" w:themeColor="text1"/>
                <w:sz w:val="24"/>
                <w:szCs w:val="24"/>
                <w:lang w:val="en-US" w:eastAsia="zh-CN"/>
              </w:rPr>
            </w:pPr>
            <w:r>
              <w:rPr>
                <w:rFonts w:hint="eastAsia"/>
                <w:color w:val="000000" w:themeColor="text1"/>
                <w:sz w:val="24"/>
                <w:szCs w:val="24"/>
                <w:lang w:val="en-US" w:eastAsia="zh-CN"/>
              </w:rPr>
              <w:t>三、建安投资：建筑工程</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color w:val="000000" w:themeColor="text1"/>
                <w:sz w:val="24"/>
                <w:szCs w:val="24"/>
                <w:lang w:eastAsia="zh-CN"/>
              </w:rPr>
            </w:pPr>
            <w:r>
              <w:rPr>
                <w:rFonts w:hint="eastAsia"/>
                <w:color w:val="000000" w:themeColor="text1"/>
                <w:sz w:val="24"/>
                <w:szCs w:val="24"/>
                <w:lang w:eastAsia="zh-CN"/>
              </w:rPr>
              <w:t>亿元</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000000" w:themeColor="text1"/>
                <w:sz w:val="24"/>
                <w:szCs w:val="24"/>
                <w:lang w:val="en-US" w:eastAsia="zh-CN"/>
              </w:rPr>
            </w:pPr>
            <w:r>
              <w:rPr>
                <w:rFonts w:hint="default"/>
                <w:color w:val="000000" w:themeColor="text1"/>
                <w:sz w:val="24"/>
                <w:szCs w:val="24"/>
                <w:lang w:val="en-US" w:eastAsia="zh-CN"/>
              </w:rPr>
              <w:t>168</w:t>
            </w:r>
            <w:r>
              <w:rPr>
                <w:rFonts w:hint="eastAsia"/>
                <w:color w:val="000000" w:themeColor="text1"/>
                <w:sz w:val="24"/>
                <w:szCs w:val="24"/>
                <w:lang w:val="en-US" w:eastAsia="zh-CN"/>
              </w:rPr>
              <w:t>.</w:t>
            </w:r>
            <w:r>
              <w:rPr>
                <w:rFonts w:hint="default"/>
                <w:color w:val="000000" w:themeColor="text1"/>
                <w:sz w:val="24"/>
                <w:szCs w:val="24"/>
                <w:lang w:val="en-US" w:eastAsia="zh-CN"/>
              </w:rPr>
              <w:t>1</w:t>
            </w:r>
            <w:r>
              <w:rPr>
                <w:rFonts w:hint="eastAsia"/>
                <w:color w:val="000000" w:themeColor="text1"/>
                <w:sz w:val="24"/>
                <w:szCs w:val="24"/>
                <w:lang w:val="en-US" w:eastAsia="zh-CN"/>
              </w:rPr>
              <w:t>7</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default" w:eastAsia="宋体"/>
                <w:color w:val="000000" w:themeColor="text1"/>
                <w:sz w:val="24"/>
                <w:szCs w:val="24"/>
                <w:lang w:val="en-US" w:eastAsia="zh-CN"/>
              </w:rPr>
              <w:t>193</w:t>
            </w:r>
            <w:r>
              <w:rPr>
                <w:rFonts w:hint="eastAsia"/>
                <w:color w:val="000000" w:themeColor="text1"/>
                <w:sz w:val="24"/>
                <w:szCs w:val="24"/>
                <w:lang w:val="en-US" w:eastAsia="zh-CN"/>
              </w:rPr>
              <w:t>.</w:t>
            </w:r>
            <w:r>
              <w:rPr>
                <w:rFonts w:hint="default" w:eastAsia="宋体"/>
                <w:color w:val="000000" w:themeColor="text1"/>
                <w:sz w:val="24"/>
                <w:szCs w:val="24"/>
                <w:lang w:val="en-US" w:eastAsia="zh-CN"/>
              </w:rPr>
              <w:t>5</w:t>
            </w:r>
            <w:r>
              <w:rPr>
                <w:rFonts w:hint="eastAsia"/>
                <w:color w:val="000000" w:themeColor="text1"/>
                <w:sz w:val="24"/>
                <w:szCs w:val="24"/>
                <w:lang w:val="en-US" w:eastAsia="zh-CN"/>
              </w:rPr>
              <w:t>1</w:t>
            </w:r>
          </w:p>
        </w:tc>
        <w:tc>
          <w:tcPr>
            <w:tcW w:w="1137" w:type="dxa"/>
            <w:tcBorders>
              <w:top w:val="single" w:color="auto" w:sz="4" w:space="0"/>
              <w:left w:val="nil"/>
              <w:bottom w:val="single" w:color="auto" w:sz="4" w:space="0"/>
              <w:right w:val="nil"/>
            </w:tcBorders>
            <w:vAlign w:val="bottom"/>
          </w:tcPr>
          <w:p>
            <w:pPr>
              <w:spacing w:line="380" w:lineRule="exact"/>
              <w:jc w:val="center"/>
              <w:rPr>
                <w:rFonts w:hint="default"/>
                <w:color w:val="000000" w:themeColor="text1"/>
                <w:sz w:val="24"/>
                <w:szCs w:val="24"/>
                <w:lang w:val="en-US" w:eastAsia="zh-CN"/>
              </w:rPr>
            </w:pPr>
            <w:r>
              <w:rPr>
                <w:rFonts w:hint="eastAsia"/>
                <w:color w:val="000000" w:themeColor="text1"/>
                <w:sz w:val="24"/>
                <w:szCs w:val="24"/>
                <w:lang w:val="en-US" w:eastAsia="zh-CN"/>
              </w:rPr>
              <w:t>-13.1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603" w:type="dxa"/>
            <w:tcBorders>
              <w:top w:val="single" w:color="auto" w:sz="4" w:space="0"/>
              <w:left w:val="nil"/>
              <w:bottom w:val="single" w:color="auto" w:sz="4" w:space="0"/>
              <w:right w:val="single" w:color="auto" w:sz="4" w:space="0"/>
            </w:tcBorders>
            <w:vAlign w:val="center"/>
          </w:tcPr>
          <w:p>
            <w:pPr>
              <w:spacing w:line="380" w:lineRule="exact"/>
              <w:rPr>
                <w:rFonts w:hint="default"/>
                <w:color w:val="000000" w:themeColor="text1"/>
                <w:sz w:val="24"/>
                <w:szCs w:val="24"/>
                <w:lang w:val="en-US" w:eastAsia="zh-CN"/>
              </w:rPr>
            </w:pPr>
            <w:r>
              <w:rPr>
                <w:rFonts w:hint="eastAsia"/>
                <w:color w:val="000000" w:themeColor="text1"/>
                <w:sz w:val="24"/>
                <w:szCs w:val="24"/>
                <w:lang w:val="en-US" w:eastAsia="zh-CN"/>
              </w:rPr>
              <w:t xml:space="preserve">              安装工程      </w:t>
            </w:r>
          </w:p>
        </w:tc>
        <w:tc>
          <w:tcPr>
            <w:tcW w:w="1380"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color w:val="000000" w:themeColor="text1"/>
                <w:sz w:val="24"/>
                <w:szCs w:val="24"/>
                <w:lang w:eastAsia="zh-CN"/>
              </w:rPr>
            </w:pPr>
            <w:r>
              <w:rPr>
                <w:rFonts w:hint="eastAsia"/>
                <w:color w:val="000000" w:themeColor="text1"/>
                <w:sz w:val="24"/>
                <w:szCs w:val="24"/>
                <w:lang w:eastAsia="zh-CN"/>
              </w:rPr>
              <w:t>亿元</w:t>
            </w:r>
          </w:p>
        </w:tc>
        <w:tc>
          <w:tcPr>
            <w:tcW w:w="124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000000" w:themeColor="text1"/>
                <w:sz w:val="24"/>
                <w:szCs w:val="24"/>
                <w:lang w:val="en-US" w:eastAsia="zh-CN"/>
              </w:rPr>
            </w:pPr>
            <w:r>
              <w:rPr>
                <w:rFonts w:hint="default"/>
                <w:color w:val="000000" w:themeColor="text1"/>
                <w:sz w:val="24"/>
                <w:szCs w:val="24"/>
                <w:lang w:val="en-US" w:eastAsia="zh-CN"/>
              </w:rPr>
              <w:t>18</w:t>
            </w:r>
            <w:r>
              <w:rPr>
                <w:rFonts w:hint="eastAsia"/>
                <w:color w:val="000000" w:themeColor="text1"/>
                <w:sz w:val="24"/>
                <w:szCs w:val="24"/>
                <w:lang w:val="en-US" w:eastAsia="zh-CN"/>
              </w:rPr>
              <w:t>.</w:t>
            </w:r>
            <w:r>
              <w:rPr>
                <w:rFonts w:hint="default"/>
                <w:color w:val="000000" w:themeColor="text1"/>
                <w:sz w:val="24"/>
                <w:szCs w:val="24"/>
                <w:lang w:val="en-US" w:eastAsia="zh-CN"/>
              </w:rPr>
              <w:t>1</w:t>
            </w:r>
            <w:r>
              <w:rPr>
                <w:rFonts w:hint="eastAsia"/>
                <w:color w:val="000000" w:themeColor="text1"/>
                <w:sz w:val="24"/>
                <w:szCs w:val="24"/>
                <w:lang w:val="en-US" w:eastAsia="zh-CN"/>
              </w:rPr>
              <w:t>7</w:t>
            </w:r>
          </w:p>
        </w:tc>
        <w:tc>
          <w:tcPr>
            <w:tcW w:w="1275"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default" w:eastAsia="宋体"/>
                <w:color w:val="000000" w:themeColor="text1"/>
                <w:sz w:val="24"/>
                <w:szCs w:val="24"/>
                <w:lang w:val="en-US" w:eastAsia="zh-CN"/>
              </w:rPr>
              <w:t>13</w:t>
            </w:r>
            <w:r>
              <w:rPr>
                <w:rFonts w:hint="eastAsia"/>
                <w:color w:val="000000" w:themeColor="text1"/>
                <w:sz w:val="24"/>
                <w:szCs w:val="24"/>
                <w:lang w:val="en-US" w:eastAsia="zh-CN"/>
              </w:rPr>
              <w:t>.</w:t>
            </w:r>
            <w:r>
              <w:rPr>
                <w:rFonts w:hint="default" w:eastAsia="宋体"/>
                <w:color w:val="000000" w:themeColor="text1"/>
                <w:sz w:val="24"/>
                <w:szCs w:val="24"/>
                <w:lang w:val="en-US" w:eastAsia="zh-CN"/>
              </w:rPr>
              <w:t>73</w:t>
            </w:r>
          </w:p>
        </w:tc>
        <w:tc>
          <w:tcPr>
            <w:tcW w:w="1137" w:type="dxa"/>
            <w:tcBorders>
              <w:top w:val="single" w:color="auto" w:sz="4" w:space="0"/>
              <w:left w:val="nil"/>
              <w:bottom w:val="single" w:color="auto" w:sz="4" w:space="0"/>
              <w:right w:val="nil"/>
            </w:tcBorders>
            <w:vAlign w:val="bottom"/>
          </w:tcPr>
          <w:p>
            <w:pPr>
              <w:spacing w:line="380" w:lineRule="exact"/>
              <w:jc w:val="center"/>
              <w:rPr>
                <w:rFonts w:hint="default"/>
                <w:color w:val="000000" w:themeColor="text1"/>
                <w:sz w:val="24"/>
                <w:szCs w:val="24"/>
                <w:lang w:val="en-US" w:eastAsia="zh-CN"/>
              </w:rPr>
            </w:pPr>
            <w:r>
              <w:rPr>
                <w:rFonts w:hint="eastAsia"/>
                <w:color w:val="000000" w:themeColor="text1"/>
                <w:sz w:val="24"/>
                <w:szCs w:val="24"/>
                <w:lang w:val="en-US" w:eastAsia="zh-CN"/>
              </w:rPr>
              <w:t>32.3</w:t>
            </w:r>
          </w:p>
        </w:tc>
      </w:tr>
    </w:tbl>
    <w:p>
      <w:pPr>
        <w:spacing w:line="380" w:lineRule="exact"/>
        <w:outlineLvl w:val="0"/>
        <w:rPr>
          <w:rFonts w:hint="eastAsia" w:ascii="黑体" w:eastAsia="黑体"/>
          <w:color w:val="000000" w:themeColor="text1"/>
          <w:sz w:val="21"/>
          <w:szCs w:val="21"/>
          <w:lang w:eastAsia="zh-CN"/>
        </w:rPr>
      </w:pPr>
      <w:r>
        <w:rPr>
          <w:rFonts w:hint="eastAsia" w:ascii="黑体" w:eastAsia="黑体"/>
          <w:color w:val="000000" w:themeColor="text1"/>
          <w:sz w:val="21"/>
          <w:szCs w:val="21"/>
          <w:lang w:eastAsia="zh-CN"/>
        </w:rPr>
        <w:t>注：建安投资是全市全部投资中的建筑工程投资和</w:t>
      </w:r>
      <w:r>
        <w:rPr>
          <w:rFonts w:hint="eastAsia" w:ascii="黑体" w:eastAsia="黑体"/>
          <w:color w:val="000000" w:themeColor="text1"/>
          <w:sz w:val="21"/>
          <w:szCs w:val="21"/>
          <w:lang w:val="en-US" w:eastAsia="zh-CN"/>
        </w:rPr>
        <w:t>安装工程投资总和。</w:t>
      </w:r>
    </w:p>
    <w:p>
      <w:pPr>
        <w:spacing w:line="380" w:lineRule="exact"/>
        <w:outlineLvl w:val="0"/>
        <w:rPr>
          <w:rFonts w:hint="eastAsia" w:ascii="黑体" w:eastAsia="黑体"/>
          <w:color w:val="000000" w:themeColor="text1"/>
          <w:sz w:val="21"/>
          <w:szCs w:val="21"/>
          <w:lang w:eastAsia="zh-CN"/>
        </w:rPr>
      </w:pPr>
    </w:p>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hint="eastAsia" w:ascii="黑体" w:hAnsi="黑体" w:eastAsia="黑体"/>
          <w:color w:val="FF0000"/>
          <w:sz w:val="32"/>
          <w:szCs w:val="32"/>
          <w:lang w:eastAsia="zh-CN"/>
        </w:rPr>
      </w:pPr>
    </w:p>
    <w:p>
      <w:pPr>
        <w:spacing w:line="380" w:lineRule="exact"/>
        <w:ind w:firstLine="1821" w:firstLineChars="539"/>
        <w:outlineLvl w:val="0"/>
        <w:rPr>
          <w:rFonts w:hint="eastAsia" w:ascii="黑体" w:hAnsi="黑体" w:eastAsia="黑体"/>
          <w:color w:val="FF0000"/>
          <w:sz w:val="32"/>
          <w:szCs w:val="32"/>
        </w:rPr>
      </w:pPr>
    </w:p>
    <w:p>
      <w:pPr>
        <w:spacing w:line="380" w:lineRule="exact"/>
        <w:ind w:firstLine="1821" w:firstLineChars="539"/>
        <w:outlineLvl w:val="0"/>
        <w:rPr>
          <w:rFonts w:hint="eastAsia" w:ascii="黑体" w:hAnsi="黑体" w:eastAsia="黑体"/>
          <w:color w:val="FF0000"/>
          <w:sz w:val="32"/>
          <w:szCs w:val="32"/>
        </w:rPr>
      </w:pPr>
    </w:p>
    <w:p>
      <w:pPr>
        <w:spacing w:line="380" w:lineRule="exact"/>
        <w:ind w:firstLine="1821" w:firstLineChars="539"/>
        <w:outlineLvl w:val="0"/>
        <w:rPr>
          <w:rFonts w:hint="eastAsia" w:ascii="黑体" w:eastAsia="黑体"/>
          <w:color w:val="000000" w:themeColor="text1"/>
          <w:sz w:val="32"/>
          <w:szCs w:val="32"/>
          <w:lang w:eastAsia="zh-CN"/>
        </w:rPr>
      </w:pPr>
      <w:r>
        <w:rPr>
          <w:rFonts w:hint="eastAsia" w:ascii="黑体" w:hAnsi="黑体" w:eastAsia="黑体"/>
          <w:color w:val="000000" w:themeColor="text1"/>
          <w:sz w:val="32"/>
          <w:szCs w:val="32"/>
        </w:rPr>
        <w:t>亿元以上房地产投资项目完成进度表</w:t>
      </w:r>
      <w:r>
        <w:rPr>
          <w:rFonts w:hint="eastAsia" w:ascii="黑体" w:hAnsi="黑体" w:eastAsia="黑体"/>
          <w:color w:val="000000" w:themeColor="text1"/>
          <w:sz w:val="32"/>
          <w:szCs w:val="32"/>
          <w:lang w:eastAsia="zh-CN"/>
        </w:rPr>
        <w:t>（二）</w:t>
      </w:r>
    </w:p>
    <w:p>
      <w:pPr>
        <w:spacing w:line="380" w:lineRule="exact"/>
        <w:ind w:firstLine="7301" w:firstLineChars="2830"/>
        <w:outlineLvl w:val="0"/>
        <w:rPr>
          <w:rFonts w:hint="eastAsia" w:ascii="黑体" w:eastAsia="黑体"/>
          <w:color w:val="000000" w:themeColor="text1"/>
          <w:sz w:val="24"/>
          <w:szCs w:val="24"/>
        </w:rPr>
      </w:pPr>
      <w:r>
        <w:rPr>
          <w:rFonts w:hint="eastAsia" w:ascii="宋体" w:hAnsi="宋体"/>
          <w:color w:val="000000" w:themeColor="text1"/>
          <w:sz w:val="24"/>
          <w:szCs w:val="24"/>
        </w:rPr>
        <w:t>（单位：万元）</w:t>
      </w:r>
    </w:p>
    <w:p>
      <w:pPr>
        <w:spacing w:line="380" w:lineRule="exact"/>
        <w:jc w:val="center"/>
        <w:outlineLvl w:val="0"/>
        <w:rPr>
          <w:rFonts w:hint="eastAsia" w:ascii="黑体" w:eastAsia="黑体"/>
          <w:color w:val="FF0000"/>
          <w:sz w:val="32"/>
          <w:szCs w:val="32"/>
        </w:rPr>
      </w:pPr>
    </w:p>
    <w:tbl>
      <w:tblPr>
        <w:tblStyle w:val="12"/>
        <w:tblpPr w:leftFromText="180" w:rightFromText="180" w:vertAnchor="text" w:horzAnchor="page" w:tblpX="1825" w:tblpY="79"/>
        <w:tblOverlap w:val="never"/>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2"/>
        <w:gridCol w:w="1281"/>
        <w:gridCol w:w="1873"/>
        <w:gridCol w:w="1872"/>
        <w:gridCol w:w="1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项目名称</w:t>
            </w:r>
          </w:p>
        </w:tc>
        <w:tc>
          <w:tcPr>
            <w:tcW w:w="1281"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建设性质</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计划总投资</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累计完成投资</w:t>
            </w:r>
          </w:p>
        </w:tc>
        <w:tc>
          <w:tcPr>
            <w:tcW w:w="1872" w:type="dxa"/>
            <w:tcBorders>
              <w:top w:val="single" w:color="auto" w:sz="4" w:space="0"/>
              <w:left w:val="nil"/>
              <w:bottom w:val="single" w:color="auto" w:sz="4" w:space="0"/>
              <w:right w:val="nil"/>
            </w:tcBorders>
            <w:vAlign w:val="center"/>
          </w:tcPr>
          <w:p>
            <w:pPr>
              <w:spacing w:line="380" w:lineRule="exact"/>
              <w:jc w:val="center"/>
              <w:rPr>
                <w:color w:val="auto"/>
                <w:sz w:val="24"/>
                <w:szCs w:val="24"/>
              </w:rPr>
            </w:pPr>
            <w:r>
              <w:rPr>
                <w:rFonts w:hint="eastAsia"/>
                <w:color w:val="auto"/>
                <w:sz w:val="24"/>
                <w:szCs w:val="24"/>
              </w:rPr>
              <w:t>本年完成投资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燕兴华城七期</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color w:val="auto"/>
                <w:sz w:val="24"/>
                <w:szCs w:val="24"/>
              </w:rPr>
            </w:pPr>
            <w:r>
              <w:rPr>
                <w:rFonts w:hint="eastAsia"/>
                <w:color w:val="auto"/>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62000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default" w:eastAsia="宋体"/>
                <w:color w:val="auto"/>
                <w:sz w:val="24"/>
                <w:szCs w:val="24"/>
                <w:lang w:val="en-US" w:eastAsia="zh-CN"/>
              </w:rPr>
              <w:t>40616</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auto"/>
                <w:sz w:val="24"/>
                <w:szCs w:val="24"/>
                <w:lang w:val="en-US" w:eastAsia="zh-CN"/>
              </w:rPr>
            </w:pPr>
            <w:r>
              <w:rPr>
                <w:rFonts w:hint="default" w:eastAsia="宋体"/>
                <w:color w:val="auto"/>
                <w:sz w:val="24"/>
                <w:szCs w:val="24"/>
                <w:lang w:val="en-US" w:eastAsia="zh-CN"/>
              </w:rPr>
              <w:t>35636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盛悦天骄</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color w:val="auto"/>
                <w:sz w:val="24"/>
                <w:szCs w:val="24"/>
              </w:rPr>
            </w:pPr>
            <w:r>
              <w:rPr>
                <w:rFonts w:hint="eastAsia"/>
                <w:color w:val="auto"/>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60000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default" w:eastAsia="宋体"/>
                <w:color w:val="auto"/>
                <w:sz w:val="24"/>
                <w:szCs w:val="24"/>
                <w:lang w:val="en-US" w:eastAsia="zh-CN"/>
              </w:rPr>
              <w:t>64616</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auto"/>
                <w:sz w:val="24"/>
                <w:szCs w:val="24"/>
                <w:lang w:val="en-US" w:eastAsia="zh-CN"/>
              </w:rPr>
            </w:pPr>
            <w:r>
              <w:rPr>
                <w:rFonts w:hint="default" w:eastAsia="宋体"/>
                <w:color w:val="auto"/>
                <w:sz w:val="24"/>
                <w:szCs w:val="24"/>
                <w:lang w:val="en-US" w:eastAsia="zh-CN"/>
              </w:rPr>
              <w:t>29395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金域缇香</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8" w:firstLineChars="100"/>
              <w:jc w:val="both"/>
              <w:rPr>
                <w:color w:val="auto"/>
                <w:sz w:val="24"/>
                <w:szCs w:val="24"/>
              </w:rPr>
            </w:pPr>
            <w:r>
              <w:rPr>
                <w:rFonts w:hint="eastAsia"/>
                <w:color w:val="auto"/>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26000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default" w:eastAsia="宋体"/>
                <w:color w:val="auto"/>
                <w:sz w:val="24"/>
                <w:szCs w:val="24"/>
                <w:lang w:val="en-US" w:eastAsia="zh-CN"/>
              </w:rPr>
              <w:t>29350</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auto"/>
                <w:sz w:val="24"/>
                <w:szCs w:val="24"/>
                <w:lang w:val="en-US" w:eastAsia="zh-CN"/>
              </w:rPr>
            </w:pPr>
            <w:r>
              <w:rPr>
                <w:rFonts w:hint="default" w:eastAsia="宋体"/>
                <w:color w:val="auto"/>
                <w:sz w:val="24"/>
                <w:szCs w:val="24"/>
                <w:lang w:val="en-US" w:eastAsia="zh-CN"/>
              </w:rPr>
              <w:t>14540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东台御景二期</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color w:val="auto"/>
                <w:sz w:val="24"/>
                <w:szCs w:val="24"/>
              </w:rPr>
            </w:pPr>
            <w:r>
              <w:rPr>
                <w:rFonts w:hint="eastAsia"/>
                <w:color w:val="auto"/>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12000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default" w:eastAsia="宋体"/>
                <w:color w:val="auto"/>
                <w:sz w:val="24"/>
                <w:szCs w:val="24"/>
                <w:lang w:val="en-US" w:eastAsia="zh-CN"/>
              </w:rPr>
              <w:t>13547</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3623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长河湾二期</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color w:val="auto"/>
                <w:sz w:val="24"/>
                <w:szCs w:val="24"/>
              </w:rPr>
            </w:pPr>
            <w:r>
              <w:rPr>
                <w:rFonts w:hint="eastAsia"/>
                <w:color w:val="auto"/>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60000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64844</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13471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auto"/>
                <w:sz w:val="24"/>
                <w:szCs w:val="24"/>
              </w:rPr>
            </w:pPr>
            <w:r>
              <w:rPr>
                <w:rFonts w:hint="eastAsia"/>
                <w:color w:val="auto"/>
                <w:sz w:val="24"/>
                <w:szCs w:val="24"/>
              </w:rPr>
              <w:t>霞光华府</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color w:val="auto"/>
                <w:sz w:val="24"/>
                <w:szCs w:val="24"/>
              </w:rPr>
            </w:pPr>
            <w:r>
              <w:rPr>
                <w:rFonts w:hint="eastAsia"/>
                <w:color w:val="auto"/>
                <w:sz w:val="24"/>
                <w:szCs w:val="24"/>
              </w:rPr>
              <w:t>续建</w:t>
            </w:r>
          </w:p>
        </w:tc>
        <w:tc>
          <w:tcPr>
            <w:tcW w:w="1873" w:type="dxa"/>
            <w:tcBorders>
              <w:top w:val="single" w:color="auto" w:sz="4" w:space="0"/>
              <w:left w:val="nil"/>
              <w:bottom w:val="single" w:color="auto" w:sz="4" w:space="0"/>
              <w:right w:val="single" w:color="auto" w:sz="4" w:space="0"/>
            </w:tcBorders>
            <w:vAlign w:val="center"/>
          </w:tcPr>
          <w:p>
            <w:pPr>
              <w:tabs>
                <w:tab w:val="left" w:pos="592"/>
              </w:tabs>
              <w:spacing w:line="380" w:lineRule="exact"/>
              <w:ind w:firstLine="516" w:firstLineChars="200"/>
              <w:jc w:val="left"/>
              <w:rPr>
                <w:rFonts w:hint="default" w:eastAsia="宋体"/>
                <w:color w:val="auto"/>
                <w:sz w:val="24"/>
                <w:szCs w:val="24"/>
                <w:lang w:val="en-US" w:eastAsia="zh-CN"/>
              </w:rPr>
            </w:pPr>
            <w:r>
              <w:rPr>
                <w:rFonts w:hint="eastAsia"/>
                <w:color w:val="auto"/>
                <w:sz w:val="24"/>
                <w:szCs w:val="24"/>
                <w:lang w:val="en-US" w:eastAsia="zh-CN"/>
              </w:rPr>
              <w:t>43000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47882</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8195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color w:val="auto"/>
                <w:sz w:val="24"/>
                <w:szCs w:val="24"/>
              </w:rPr>
            </w:pPr>
            <w:r>
              <w:rPr>
                <w:rFonts w:hint="eastAsia"/>
                <w:color w:val="auto"/>
                <w:sz w:val="24"/>
                <w:szCs w:val="24"/>
              </w:rPr>
              <w:t>裕源晋府</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rFonts w:hint="eastAsia"/>
                <w:color w:val="auto"/>
                <w:sz w:val="24"/>
                <w:szCs w:val="24"/>
              </w:rPr>
            </w:pPr>
            <w:r>
              <w:rPr>
                <w:rFonts w:hint="eastAsia"/>
                <w:color w:val="auto"/>
                <w:sz w:val="24"/>
                <w:szCs w:val="24"/>
                <w:lang w:eastAsia="zh-CN"/>
              </w:rPr>
              <w:t>新</w:t>
            </w:r>
            <w:r>
              <w:rPr>
                <w:rFonts w:hint="eastAsia"/>
                <w:color w:val="auto"/>
                <w:sz w:val="24"/>
                <w:szCs w:val="24"/>
              </w:rPr>
              <w:t>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167000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37085</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36964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color w:val="auto"/>
                <w:sz w:val="24"/>
                <w:szCs w:val="24"/>
              </w:rPr>
            </w:pPr>
            <w:r>
              <w:rPr>
                <w:rFonts w:hint="eastAsia" w:eastAsia="宋体"/>
                <w:color w:val="auto"/>
                <w:sz w:val="24"/>
                <w:szCs w:val="24"/>
              </w:rPr>
              <w:t>星荟龙城</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rFonts w:hint="eastAsia"/>
                <w:color w:val="auto"/>
                <w:sz w:val="24"/>
                <w:szCs w:val="24"/>
                <w:lang w:eastAsia="zh-CN"/>
              </w:rPr>
            </w:pPr>
            <w:r>
              <w:rPr>
                <w:rFonts w:hint="eastAsia"/>
                <w:color w:val="auto"/>
                <w:sz w:val="24"/>
                <w:szCs w:val="24"/>
                <w:lang w:eastAsia="zh-CN"/>
              </w:rPr>
              <w:t>新建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19800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14780</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14780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color w:val="auto"/>
                <w:sz w:val="24"/>
                <w:szCs w:val="24"/>
              </w:rPr>
            </w:pPr>
            <w:r>
              <w:rPr>
                <w:rFonts w:hint="eastAsia"/>
                <w:color w:val="auto"/>
                <w:sz w:val="24"/>
                <w:szCs w:val="24"/>
              </w:rPr>
              <w:t>万里行新天地</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rFonts w:hint="eastAsia"/>
                <w:color w:val="auto"/>
                <w:sz w:val="24"/>
                <w:szCs w:val="24"/>
                <w:lang w:eastAsia="zh-CN"/>
              </w:rPr>
            </w:pPr>
            <w:r>
              <w:rPr>
                <w:rFonts w:hint="eastAsia"/>
                <w:color w:val="auto"/>
                <w:sz w:val="24"/>
                <w:szCs w:val="24"/>
                <w:lang w:eastAsia="zh-CN"/>
              </w:rPr>
              <w:t>新建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12000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9660</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9660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rFonts w:hint="eastAsia"/>
                <w:color w:val="auto"/>
                <w:sz w:val="24"/>
                <w:szCs w:val="24"/>
              </w:rPr>
            </w:pPr>
            <w:r>
              <w:rPr>
                <w:rFonts w:hint="eastAsia"/>
                <w:color w:val="auto"/>
                <w:sz w:val="24"/>
                <w:szCs w:val="24"/>
              </w:rPr>
              <w:t>克拉春风里一期</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rFonts w:hint="eastAsia"/>
                <w:color w:val="auto"/>
                <w:sz w:val="24"/>
                <w:szCs w:val="24"/>
                <w:lang w:eastAsia="zh-CN"/>
              </w:rPr>
            </w:pPr>
            <w:r>
              <w:rPr>
                <w:rFonts w:hint="eastAsia"/>
                <w:color w:val="auto"/>
                <w:sz w:val="24"/>
                <w:szCs w:val="24"/>
                <w:lang w:eastAsia="zh-CN"/>
              </w:rPr>
              <w:t>新建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40386</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9600</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color w:val="auto"/>
                <w:sz w:val="24"/>
                <w:szCs w:val="24"/>
                <w:lang w:val="en-US" w:eastAsia="zh-CN"/>
              </w:rPr>
            </w:pPr>
            <w:r>
              <w:rPr>
                <w:rFonts w:hint="eastAsia"/>
                <w:color w:val="auto"/>
                <w:sz w:val="24"/>
                <w:szCs w:val="24"/>
                <w:lang w:val="en-US" w:eastAsia="zh-CN"/>
              </w:rPr>
              <w:t>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3743" w:type="dxa"/>
            <w:gridSpan w:val="2"/>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rFonts w:hint="default" w:eastAsia="宋体"/>
                <w:color w:val="auto"/>
                <w:sz w:val="24"/>
                <w:szCs w:val="24"/>
                <w:lang w:val="en-US" w:eastAsia="zh-CN"/>
              </w:rPr>
            </w:pPr>
            <w:r>
              <w:rPr>
                <w:rFonts w:hint="eastAsia"/>
                <w:color w:val="auto"/>
                <w:sz w:val="24"/>
                <w:szCs w:val="24"/>
                <w:lang w:val="en-US" w:eastAsia="zh-CN"/>
              </w:rPr>
              <w:t xml:space="preserve">           合计</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512086</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331980</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auto"/>
                <w:sz w:val="24"/>
                <w:szCs w:val="24"/>
                <w:lang w:val="en-US" w:eastAsia="zh-CN"/>
              </w:rPr>
            </w:pPr>
            <w:r>
              <w:rPr>
                <w:rFonts w:hint="eastAsia"/>
                <w:color w:val="auto"/>
                <w:sz w:val="24"/>
                <w:szCs w:val="24"/>
                <w:lang w:val="en-US" w:eastAsia="zh-CN"/>
              </w:rPr>
              <w:t>175864</w:t>
            </w:r>
          </w:p>
        </w:tc>
      </w:tr>
    </w:tbl>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318" w:firstLineChars="686"/>
        <w:outlineLvl w:val="0"/>
        <w:rPr>
          <w:rFonts w:ascii="黑体" w:hAnsi="黑体" w:eastAsia="黑体"/>
          <w:color w:val="FF0000"/>
          <w:sz w:val="32"/>
          <w:szCs w:val="32"/>
        </w:rPr>
      </w:pPr>
    </w:p>
    <w:p>
      <w:pPr>
        <w:spacing w:line="380" w:lineRule="exact"/>
        <w:ind w:firstLine="2484" w:firstLineChars="735"/>
        <w:outlineLvl w:val="0"/>
        <w:rPr>
          <w:rFonts w:ascii="黑体" w:hAns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ind w:firstLine="3143" w:firstLineChars="930"/>
        <w:rPr>
          <w:rFonts w:hint="eastAsia" w:ascii="黑体" w:eastAsia="黑体"/>
          <w:color w:val="FF0000"/>
          <w:sz w:val="32"/>
          <w:szCs w:val="32"/>
        </w:rPr>
      </w:pPr>
    </w:p>
    <w:p>
      <w:pPr>
        <w:pStyle w:val="2"/>
        <w:rPr>
          <w:rFonts w:hint="eastAsia" w:ascii="黑体" w:eastAsia="黑体"/>
          <w:color w:val="FF0000"/>
          <w:sz w:val="32"/>
          <w:szCs w:val="32"/>
        </w:rPr>
      </w:pPr>
    </w:p>
    <w:p>
      <w:pPr>
        <w:pStyle w:val="2"/>
        <w:rPr>
          <w:rFonts w:hint="eastAsia" w:ascii="黑体" w:eastAsia="黑体"/>
          <w:color w:val="FF0000"/>
          <w:sz w:val="32"/>
          <w:szCs w:val="32"/>
        </w:rPr>
      </w:pPr>
    </w:p>
    <w:p>
      <w:pPr>
        <w:spacing w:line="380" w:lineRule="exact"/>
        <w:ind w:firstLine="3143" w:firstLineChars="930"/>
        <w:rPr>
          <w:rFonts w:hint="eastAsia" w:ascii="黑体" w:eastAsia="黑体"/>
          <w:color w:val="FF0000"/>
          <w:sz w:val="32"/>
          <w:szCs w:val="32"/>
        </w:rPr>
      </w:pPr>
    </w:p>
    <w:p>
      <w:pPr>
        <w:spacing w:line="380" w:lineRule="exact"/>
        <w:ind w:firstLine="3143" w:firstLineChars="930"/>
        <w:rPr>
          <w:rFonts w:hint="eastAsia" w:ascii="黑体" w:eastAsia="黑体"/>
          <w:color w:val="FF0000"/>
          <w:sz w:val="32"/>
          <w:szCs w:val="32"/>
        </w:rPr>
      </w:pPr>
    </w:p>
    <w:p>
      <w:pPr>
        <w:spacing w:line="380" w:lineRule="exact"/>
        <w:ind w:firstLine="3143" w:firstLineChars="930"/>
        <w:rPr>
          <w:rFonts w:hint="eastAsia" w:ascii="黑体" w:eastAsia="黑体"/>
          <w:color w:val="FF0000"/>
          <w:sz w:val="32"/>
          <w:szCs w:val="32"/>
        </w:rPr>
      </w:pPr>
    </w:p>
    <w:p>
      <w:pPr>
        <w:spacing w:line="380" w:lineRule="exact"/>
        <w:ind w:firstLine="3143" w:firstLineChars="930"/>
        <w:rPr>
          <w:rFonts w:hint="eastAsia" w:ascii="黑体" w:eastAsia="黑体"/>
          <w:color w:val="FF0000"/>
          <w:sz w:val="32"/>
          <w:szCs w:val="32"/>
        </w:rPr>
      </w:pPr>
    </w:p>
    <w:p>
      <w:pPr>
        <w:spacing w:line="380" w:lineRule="exact"/>
        <w:jc w:val="center"/>
        <w:rPr>
          <w:rFonts w:hint="eastAsia" w:ascii="Times New Roman" w:hAnsi="Times New Roman" w:cs="Times New Roman"/>
          <w:color w:val="auto"/>
          <w:sz w:val="24"/>
          <w:szCs w:val="24"/>
          <w:lang w:eastAsia="zh-CN"/>
        </w:rPr>
      </w:pPr>
    </w:p>
    <w:p>
      <w:pPr>
        <w:spacing w:line="380" w:lineRule="exact"/>
        <w:jc w:val="center"/>
        <w:rPr>
          <w:rFonts w:hint="default" w:ascii="黑体" w:eastAsia="黑体"/>
          <w:color w:val="FF0000"/>
          <w:sz w:val="32"/>
          <w:szCs w:val="32"/>
          <w:lang w:val="en-US" w:eastAsia="zh-CN"/>
        </w:rPr>
      </w:pPr>
      <w:r>
        <w:rPr>
          <w:rFonts w:hint="eastAsia" w:ascii="黑体" w:hAnsi="黑体" w:eastAsia="黑体" w:cs="Times New Roman"/>
          <w:color w:val="000000" w:themeColor="text1"/>
          <w:sz w:val="32"/>
          <w:szCs w:val="32"/>
          <w:lang w:eastAsia="zh-CN"/>
        </w:rPr>
        <w:t>七、</w:t>
      </w:r>
      <w:r>
        <w:rPr>
          <w:rFonts w:hint="eastAsia" w:ascii="黑体" w:hAnsi="黑体" w:eastAsia="黑体" w:cs="Times New Roman"/>
          <w:color w:val="000000" w:themeColor="text1"/>
          <w:sz w:val="32"/>
          <w:szCs w:val="32"/>
        </w:rPr>
        <w:t xml:space="preserve">工    业 </w:t>
      </w:r>
      <w:r>
        <w:rPr>
          <w:rFonts w:hint="eastAsia" w:ascii="黑体" w:hAnsi="黑体" w:eastAsia="黑体" w:cs="Times New Roman"/>
          <w:color w:val="000000" w:themeColor="text1"/>
          <w:sz w:val="32"/>
          <w:szCs w:val="32"/>
          <w:lang w:val="en-US" w:eastAsia="zh-CN"/>
        </w:rPr>
        <w:t xml:space="preserve">  </w:t>
      </w:r>
      <w:r>
        <w:rPr>
          <w:rFonts w:hint="eastAsia" w:ascii="Times New Roman" w:hAnsi="Times New Roman" w:cs="Times New Roman"/>
          <w:color w:val="auto"/>
          <w:sz w:val="24"/>
          <w:szCs w:val="24"/>
          <w:lang w:val="en-US" w:eastAsia="zh-CN"/>
        </w:rPr>
        <w:t xml:space="preserve"> </w:t>
      </w:r>
      <w:r>
        <w:rPr>
          <w:rFonts w:hint="eastAsia" w:ascii="黑体" w:eastAsia="黑体"/>
          <w:color w:val="FF0000"/>
          <w:sz w:val="32"/>
          <w:szCs w:val="32"/>
          <w:lang w:val="en-US" w:eastAsia="zh-CN"/>
        </w:rPr>
        <w:t xml:space="preserve">         </w:t>
      </w:r>
    </w:p>
    <w:p>
      <w:pPr>
        <w:pStyle w:val="2"/>
        <w:rPr>
          <w:rFonts w:hint="default" w:ascii="黑体" w:eastAsia="黑体"/>
          <w:color w:val="FF0000"/>
          <w:sz w:val="32"/>
          <w:szCs w:val="32"/>
          <w:lang w:val="en-US" w:eastAsia="zh-CN"/>
        </w:rPr>
      </w:pPr>
    </w:p>
    <w:p>
      <w:pPr>
        <w:numPr>
          <w:ilvl w:val="0"/>
          <w:numId w:val="0"/>
        </w:numPr>
        <w:spacing w:line="380" w:lineRule="exact"/>
        <w:ind w:firstLine="3380" w:firstLineChars="1000"/>
        <w:jc w:val="both"/>
        <w:rPr>
          <w:rFonts w:hint="eastAsia" w:ascii="黑体" w:eastAsia="黑体"/>
          <w:color w:val="auto"/>
          <w:sz w:val="32"/>
          <w:szCs w:val="32"/>
          <w:lang w:val="en-US" w:eastAsia="zh-CN"/>
        </w:rPr>
      </w:pPr>
      <w:r>
        <w:rPr>
          <w:rFonts w:hint="eastAsia" w:ascii="黑体" w:eastAsia="黑体"/>
          <w:color w:val="auto"/>
          <w:sz w:val="32"/>
          <w:szCs w:val="32"/>
          <w:lang w:val="en-US" w:eastAsia="zh-CN"/>
        </w:rPr>
        <w:t>(一）全市工业</w:t>
      </w:r>
    </w:p>
    <w:p>
      <w:pPr>
        <w:numPr>
          <w:ilvl w:val="0"/>
          <w:numId w:val="0"/>
        </w:numPr>
        <w:spacing w:line="380" w:lineRule="exact"/>
        <w:rPr>
          <w:rFonts w:hint="default" w:ascii="黑体" w:eastAsia="黑体"/>
          <w:color w:val="auto"/>
          <w:sz w:val="32"/>
          <w:szCs w:val="32"/>
          <w:lang w:val="en-US" w:eastAsia="zh-CN"/>
        </w:rPr>
      </w:pPr>
    </w:p>
    <w:tbl>
      <w:tblPr>
        <w:tblStyle w:val="11"/>
        <w:tblW w:w="9488"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3"/>
        <w:gridCol w:w="3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 w:hRule="atLeast"/>
        </w:trPr>
        <w:tc>
          <w:tcPr>
            <w:tcW w:w="5733" w:type="dxa"/>
            <w:tcBorders>
              <w:left w:val="nil"/>
            </w:tcBorders>
            <w:vAlign w:val="center"/>
          </w:tcPr>
          <w:p>
            <w:pPr>
              <w:spacing w:line="380" w:lineRule="exact"/>
              <w:jc w:val="center"/>
              <w:rPr>
                <w:color w:val="auto"/>
                <w:sz w:val="24"/>
                <w:szCs w:val="24"/>
              </w:rPr>
            </w:pPr>
            <w:r>
              <w:rPr>
                <w:rFonts w:hint="eastAsia"/>
                <w:color w:val="auto"/>
                <w:sz w:val="24"/>
                <w:szCs w:val="24"/>
              </w:rPr>
              <w:t>指标名称</w:t>
            </w:r>
          </w:p>
        </w:tc>
        <w:tc>
          <w:tcPr>
            <w:tcW w:w="3755" w:type="dxa"/>
            <w:tcBorders>
              <w:right w:val="nil"/>
            </w:tcBorders>
            <w:vAlign w:val="center"/>
          </w:tcPr>
          <w:p>
            <w:pPr>
              <w:spacing w:line="380" w:lineRule="exact"/>
              <w:jc w:val="center"/>
              <w:rPr>
                <w:color w:val="auto"/>
                <w:sz w:val="24"/>
                <w:szCs w:val="24"/>
              </w:rPr>
            </w:pPr>
            <w:r>
              <w:rPr>
                <w:rFonts w:hint="eastAsia"/>
                <w:color w:val="auto"/>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5733" w:type="dxa"/>
            <w:tcBorders>
              <w:left w:val="nil"/>
            </w:tcBorders>
            <w:vAlign w:val="center"/>
          </w:tcPr>
          <w:p>
            <w:pPr>
              <w:spacing w:line="380" w:lineRule="exact"/>
              <w:ind w:firstLine="770" w:firstLineChars="299"/>
              <w:rPr>
                <w:color w:val="auto"/>
                <w:sz w:val="24"/>
                <w:szCs w:val="24"/>
              </w:rPr>
            </w:pPr>
            <w:r>
              <w:rPr>
                <w:rFonts w:hint="eastAsia"/>
                <w:color w:val="auto"/>
                <w:sz w:val="24"/>
                <w:szCs w:val="24"/>
              </w:rPr>
              <w:t>全部工业总产值</w:t>
            </w:r>
          </w:p>
        </w:tc>
        <w:tc>
          <w:tcPr>
            <w:tcW w:w="3755" w:type="dxa"/>
            <w:tcBorders>
              <w:right w:val="nil"/>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jc w:val="center"/>
              <w:rPr>
                <w:color w:val="auto"/>
                <w:sz w:val="24"/>
                <w:szCs w:val="24"/>
              </w:rPr>
            </w:pPr>
            <w:r>
              <w:rPr>
                <w:rFonts w:hint="eastAsia"/>
                <w:color w:val="auto"/>
                <w:sz w:val="24"/>
                <w:szCs w:val="24"/>
              </w:rPr>
              <w:t xml:space="preserve"> 其中：（一）规模以上工业</w:t>
            </w:r>
          </w:p>
        </w:tc>
        <w:tc>
          <w:tcPr>
            <w:tcW w:w="3755" w:type="dxa"/>
            <w:tcBorders>
              <w:right w:val="nil"/>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5733" w:type="dxa"/>
            <w:tcBorders>
              <w:left w:val="nil"/>
            </w:tcBorders>
            <w:vAlign w:val="center"/>
          </w:tcPr>
          <w:p>
            <w:pPr>
              <w:spacing w:line="380" w:lineRule="exact"/>
              <w:jc w:val="center"/>
              <w:rPr>
                <w:color w:val="auto"/>
                <w:sz w:val="24"/>
                <w:szCs w:val="24"/>
              </w:rPr>
            </w:pPr>
            <w:r>
              <w:rPr>
                <w:rFonts w:hint="eastAsia"/>
                <w:color w:val="auto"/>
                <w:sz w:val="24"/>
                <w:szCs w:val="24"/>
              </w:rPr>
              <w:t xml:space="preserve">    其中：工业园</w:t>
            </w:r>
          </w:p>
        </w:tc>
        <w:tc>
          <w:tcPr>
            <w:tcW w:w="3755" w:type="dxa"/>
            <w:tcBorders>
              <w:right w:val="nil"/>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pPr>
              <w:spacing w:line="380" w:lineRule="exact"/>
              <w:jc w:val="center"/>
              <w:rPr>
                <w:color w:val="auto"/>
                <w:sz w:val="24"/>
                <w:szCs w:val="24"/>
              </w:rPr>
            </w:pPr>
            <w:r>
              <w:rPr>
                <w:rFonts w:hint="eastAsia"/>
                <w:color w:val="auto"/>
                <w:sz w:val="24"/>
                <w:szCs w:val="24"/>
              </w:rPr>
              <w:t xml:space="preserve">      （二）规模以下工业</w:t>
            </w:r>
          </w:p>
        </w:tc>
        <w:tc>
          <w:tcPr>
            <w:tcW w:w="3755" w:type="dxa"/>
            <w:tcBorders>
              <w:right w:val="nil"/>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6.2</w:t>
            </w:r>
          </w:p>
        </w:tc>
      </w:tr>
    </w:tbl>
    <w:p>
      <w:pPr>
        <w:spacing w:line="380" w:lineRule="exact"/>
        <w:ind w:firstLine="3494" w:firstLineChars="1034"/>
        <w:outlineLvl w:val="0"/>
        <w:rPr>
          <w:rFonts w:ascii="黑体" w:eastAsia="黑体"/>
          <w:color w:val="FF0000"/>
          <w:sz w:val="32"/>
          <w:szCs w:val="32"/>
        </w:rPr>
      </w:pPr>
    </w:p>
    <w:p>
      <w:pPr>
        <w:spacing w:line="380" w:lineRule="exact"/>
        <w:ind w:firstLine="3143" w:firstLineChars="930"/>
        <w:rPr>
          <w:rFonts w:hint="eastAsia" w:ascii="黑体" w:eastAsia="黑体"/>
          <w:color w:val="FF0000"/>
          <w:sz w:val="32"/>
          <w:szCs w:val="32"/>
        </w:rPr>
      </w:pPr>
    </w:p>
    <w:p>
      <w:pPr>
        <w:spacing w:line="380" w:lineRule="exact"/>
        <w:ind w:firstLine="3143" w:firstLineChars="930"/>
        <w:rPr>
          <w:rFonts w:hint="eastAsia" w:ascii="黑体" w:eastAsia="黑体"/>
          <w:color w:val="FF0000"/>
          <w:sz w:val="32"/>
          <w:szCs w:val="32"/>
        </w:rPr>
      </w:pPr>
    </w:p>
    <w:p>
      <w:pPr>
        <w:spacing w:line="380" w:lineRule="exact"/>
        <w:rPr>
          <w:color w:val="FF0000"/>
          <w:sz w:val="24"/>
          <w:szCs w:val="24"/>
        </w:rPr>
      </w:pPr>
    </w:p>
    <w:p>
      <w:pPr>
        <w:spacing w:line="380" w:lineRule="exact"/>
        <w:ind w:firstLine="3494" w:firstLineChars="1034"/>
        <w:outlineLvl w:val="0"/>
        <w:rPr>
          <w:rFonts w:hint="eastAsia" w:ascii="黑体" w:eastAsia="黑体"/>
          <w:color w:val="FF0000"/>
          <w:sz w:val="32"/>
          <w:szCs w:val="32"/>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eastAsia="zh-CN"/>
        </w:rPr>
      </w:pPr>
    </w:p>
    <w:p>
      <w:pPr>
        <w:numPr>
          <w:ilvl w:val="0"/>
          <w:numId w:val="0"/>
        </w:numPr>
        <w:spacing w:line="380" w:lineRule="exact"/>
        <w:ind w:firstLine="3380" w:firstLineChars="1000"/>
        <w:rPr>
          <w:rFonts w:hint="eastAsia" w:ascii="黑体" w:eastAsia="黑体"/>
          <w:color w:val="auto"/>
          <w:sz w:val="32"/>
          <w:szCs w:val="32"/>
          <w:lang w:val="en-US" w:eastAsia="zh-CN"/>
        </w:rPr>
      </w:pPr>
      <w:r>
        <w:rPr>
          <w:rFonts w:hint="eastAsia" w:ascii="黑体" w:eastAsia="黑体"/>
          <w:color w:val="auto"/>
          <w:sz w:val="32"/>
          <w:szCs w:val="32"/>
          <w:lang w:eastAsia="zh-CN"/>
        </w:rPr>
        <w:t>（二）</w:t>
      </w:r>
      <w:r>
        <w:rPr>
          <w:rFonts w:hint="eastAsia" w:ascii="黑体" w:eastAsia="黑体"/>
          <w:color w:val="auto"/>
          <w:sz w:val="32"/>
          <w:szCs w:val="32"/>
        </w:rPr>
        <w:t>规模以上工业</w:t>
      </w:r>
      <w:r>
        <w:rPr>
          <w:rFonts w:hint="eastAsia" w:ascii="黑体" w:eastAsia="黑体"/>
          <w:color w:val="auto"/>
          <w:sz w:val="32"/>
          <w:szCs w:val="32"/>
          <w:lang w:val="en-US" w:eastAsia="zh-CN"/>
        </w:rPr>
        <w:t xml:space="preserve">   </w:t>
      </w:r>
    </w:p>
    <w:p>
      <w:pPr>
        <w:numPr>
          <w:ilvl w:val="0"/>
          <w:numId w:val="0"/>
        </w:numPr>
        <w:spacing w:line="380" w:lineRule="exact"/>
        <w:ind w:left="3576" w:leftChars="0"/>
        <w:rPr>
          <w:rFonts w:hint="eastAsia" w:ascii="黑体" w:eastAsia="黑体"/>
          <w:color w:val="auto"/>
          <w:sz w:val="32"/>
          <w:szCs w:val="32"/>
          <w:lang w:val="en-US" w:eastAsia="zh-CN"/>
        </w:rPr>
      </w:pPr>
      <w:r>
        <w:rPr>
          <w:rFonts w:hint="eastAsia" w:ascii="黑体" w:eastAsia="黑体"/>
          <w:color w:val="auto"/>
          <w:sz w:val="32"/>
          <w:szCs w:val="32"/>
          <w:lang w:val="en-US" w:eastAsia="zh-CN"/>
        </w:rPr>
        <w:t xml:space="preserve">          </w:t>
      </w:r>
    </w:p>
    <w:tbl>
      <w:tblPr>
        <w:tblStyle w:val="11"/>
        <w:tblW w:w="9488"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3"/>
        <w:gridCol w:w="1775"/>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5733" w:type="dxa"/>
            <w:tcBorders>
              <w:left w:val="nil"/>
            </w:tcBorders>
            <w:vAlign w:val="center"/>
          </w:tcPr>
          <w:p>
            <w:pPr>
              <w:spacing w:line="380" w:lineRule="exact"/>
              <w:ind w:firstLine="258" w:firstLineChars="100"/>
              <w:rPr>
                <w:rFonts w:hint="eastAsia" w:eastAsia="宋体"/>
                <w:color w:val="auto"/>
                <w:sz w:val="24"/>
                <w:szCs w:val="24"/>
                <w:lang w:eastAsia="zh-CN"/>
              </w:rPr>
            </w:pPr>
            <w:r>
              <w:rPr>
                <w:rFonts w:hint="eastAsia"/>
                <w:color w:val="auto"/>
                <w:sz w:val="24"/>
                <w:szCs w:val="24"/>
                <w:lang w:eastAsia="zh-CN"/>
              </w:rPr>
              <w:t>指标名称</w:t>
            </w:r>
          </w:p>
        </w:tc>
        <w:tc>
          <w:tcPr>
            <w:tcW w:w="1775" w:type="dxa"/>
            <w:tcBorders>
              <w:right w:val="single" w:color="auto" w:sz="4" w:space="0"/>
            </w:tcBorders>
            <w:vAlign w:val="center"/>
          </w:tcPr>
          <w:p>
            <w:pPr>
              <w:spacing w:line="380" w:lineRule="exact"/>
              <w:jc w:val="center"/>
              <w:rPr>
                <w:rFonts w:hint="eastAsia" w:eastAsia="宋体"/>
                <w:color w:val="auto"/>
                <w:sz w:val="24"/>
                <w:szCs w:val="24"/>
                <w:lang w:eastAsia="zh-CN"/>
              </w:rPr>
            </w:pPr>
            <w:r>
              <w:rPr>
                <w:rFonts w:hint="eastAsia"/>
                <w:color w:val="auto"/>
                <w:sz w:val="24"/>
                <w:szCs w:val="24"/>
                <w:lang w:eastAsia="zh-CN"/>
              </w:rPr>
              <w:t>本月累计</w:t>
            </w:r>
          </w:p>
        </w:tc>
        <w:tc>
          <w:tcPr>
            <w:tcW w:w="1980" w:type="dxa"/>
            <w:tcBorders>
              <w:right w:val="nil"/>
            </w:tcBorders>
            <w:vAlign w:val="center"/>
          </w:tcPr>
          <w:p>
            <w:pPr>
              <w:spacing w:line="380" w:lineRule="exact"/>
              <w:jc w:val="center"/>
              <w:rPr>
                <w:color w:val="auto"/>
                <w:sz w:val="24"/>
                <w:szCs w:val="24"/>
              </w:rPr>
            </w:pPr>
            <w:r>
              <w:rPr>
                <w:rFonts w:hint="eastAsia"/>
                <w:color w:val="auto"/>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ind w:firstLine="258" w:firstLineChars="100"/>
              <w:rPr>
                <w:rFonts w:hint="eastAsia"/>
                <w:color w:val="auto"/>
                <w:sz w:val="24"/>
                <w:szCs w:val="24"/>
              </w:rPr>
            </w:pPr>
            <w:r>
              <w:rPr>
                <w:rFonts w:hint="eastAsia"/>
                <w:color w:val="auto"/>
                <w:sz w:val="24"/>
                <w:szCs w:val="24"/>
                <w:lang w:eastAsia="zh-CN"/>
              </w:rPr>
              <w:t>一</w:t>
            </w:r>
            <w:r>
              <w:rPr>
                <w:rFonts w:hint="eastAsia"/>
                <w:color w:val="auto"/>
                <w:sz w:val="24"/>
                <w:szCs w:val="24"/>
              </w:rPr>
              <w:t>、规模以上工业按行业分：</w:t>
            </w:r>
          </w:p>
        </w:tc>
        <w:tc>
          <w:tcPr>
            <w:tcW w:w="1775" w:type="dxa"/>
            <w:tcBorders>
              <w:right w:val="single" w:color="auto" w:sz="4" w:space="0"/>
            </w:tcBorders>
            <w:vAlign w:val="center"/>
          </w:tcPr>
          <w:p>
            <w:pPr>
              <w:spacing w:line="380" w:lineRule="exact"/>
              <w:jc w:val="center"/>
              <w:rPr>
                <w:color w:val="auto"/>
                <w:sz w:val="24"/>
                <w:szCs w:val="24"/>
              </w:rPr>
            </w:pPr>
          </w:p>
        </w:tc>
        <w:tc>
          <w:tcPr>
            <w:tcW w:w="1980" w:type="dxa"/>
            <w:tcBorders>
              <w:right w:val="nil"/>
            </w:tcBorders>
            <w:vAlign w:val="center"/>
          </w:tcPr>
          <w:p>
            <w:pPr>
              <w:spacing w:line="380" w:lineRule="exact"/>
              <w:jc w:val="center"/>
              <w:rPr>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jc w:val="center"/>
              <w:rPr>
                <w:color w:val="auto"/>
                <w:sz w:val="24"/>
                <w:szCs w:val="24"/>
              </w:rPr>
            </w:pPr>
            <w:r>
              <w:rPr>
                <w:rFonts w:hint="eastAsia"/>
                <w:color w:val="auto"/>
                <w:sz w:val="24"/>
                <w:szCs w:val="24"/>
              </w:rPr>
              <w:t>（一）采矿业</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pPr>
              <w:spacing w:line="380" w:lineRule="exact"/>
              <w:jc w:val="center"/>
              <w:rPr>
                <w:color w:val="auto"/>
                <w:sz w:val="24"/>
                <w:szCs w:val="24"/>
              </w:rPr>
            </w:pPr>
            <w:r>
              <w:rPr>
                <w:rFonts w:hint="eastAsia"/>
                <w:color w:val="auto"/>
                <w:sz w:val="24"/>
                <w:szCs w:val="24"/>
              </w:rPr>
              <w:t>（二）制造业</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jc w:val="center"/>
              <w:rPr>
                <w:rFonts w:hint="eastAsia" w:eastAsia="宋体"/>
                <w:color w:val="auto"/>
                <w:sz w:val="24"/>
                <w:szCs w:val="24"/>
                <w:lang w:val="en-US" w:eastAsia="zh-CN"/>
              </w:rPr>
            </w:pPr>
            <w:r>
              <w:rPr>
                <w:rFonts w:hint="eastAsia"/>
                <w:color w:val="auto"/>
                <w:sz w:val="24"/>
                <w:szCs w:val="24"/>
              </w:rPr>
              <w:t>其中：1、</w:t>
            </w:r>
            <w:r>
              <w:rPr>
                <w:rFonts w:hint="eastAsia"/>
                <w:color w:val="auto"/>
                <w:sz w:val="24"/>
                <w:szCs w:val="24"/>
                <w:lang w:eastAsia="zh-CN"/>
              </w:rPr>
              <w:t>电工电气（电子信息）</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jc w:val="center"/>
              <w:rPr>
                <w:rFonts w:hint="eastAsia" w:eastAsia="宋体"/>
                <w:color w:val="auto"/>
                <w:sz w:val="24"/>
                <w:szCs w:val="24"/>
                <w:lang w:eastAsia="zh-CN"/>
              </w:rPr>
            </w:pPr>
            <w:r>
              <w:rPr>
                <w:rFonts w:hint="eastAsia"/>
                <w:color w:val="auto"/>
                <w:sz w:val="24"/>
                <w:szCs w:val="24"/>
                <w:lang w:val="en-US" w:eastAsia="zh-CN"/>
              </w:rPr>
              <w:t>2、</w:t>
            </w:r>
            <w:r>
              <w:rPr>
                <w:rFonts w:hint="eastAsia"/>
                <w:color w:val="auto"/>
                <w:sz w:val="24"/>
                <w:szCs w:val="24"/>
                <w:lang w:eastAsia="zh-CN"/>
              </w:rPr>
              <w:t>绿色建材</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jc w:val="center"/>
              <w:rPr>
                <w:rFonts w:hint="eastAsia" w:eastAsia="宋体"/>
                <w:color w:val="auto"/>
                <w:sz w:val="24"/>
                <w:szCs w:val="24"/>
                <w:lang w:eastAsia="zh-CN"/>
              </w:rPr>
            </w:pPr>
            <w:r>
              <w:rPr>
                <w:rFonts w:hint="eastAsia"/>
                <w:color w:val="auto"/>
                <w:sz w:val="24"/>
                <w:szCs w:val="24"/>
                <w:lang w:val="en-US" w:eastAsia="zh-CN"/>
              </w:rPr>
              <w:t>3、</w:t>
            </w:r>
            <w:r>
              <w:rPr>
                <w:rFonts w:hint="eastAsia"/>
                <w:color w:val="auto"/>
                <w:sz w:val="24"/>
                <w:szCs w:val="24"/>
                <w:lang w:eastAsia="zh-CN"/>
              </w:rPr>
              <w:t>医疗器械</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25.7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5733" w:type="dxa"/>
            <w:tcBorders>
              <w:left w:val="nil"/>
            </w:tcBorders>
            <w:vAlign w:val="center"/>
          </w:tcPr>
          <w:p>
            <w:pPr>
              <w:spacing w:line="380" w:lineRule="exact"/>
              <w:ind w:firstLine="2064" w:firstLineChars="800"/>
              <w:jc w:val="both"/>
              <w:rPr>
                <w:rFonts w:hint="eastAsia" w:eastAsia="宋体"/>
                <w:color w:val="auto"/>
                <w:sz w:val="24"/>
                <w:szCs w:val="24"/>
                <w:lang w:eastAsia="zh-CN"/>
              </w:rPr>
            </w:pPr>
            <w:r>
              <w:rPr>
                <w:rFonts w:hint="eastAsia"/>
                <w:color w:val="auto"/>
                <w:sz w:val="24"/>
                <w:szCs w:val="24"/>
                <w:lang w:val="en-US" w:eastAsia="zh-CN"/>
              </w:rPr>
              <w:t>4、皮革</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pPr>
              <w:spacing w:line="380" w:lineRule="exact"/>
              <w:ind w:firstLine="2064" w:firstLineChars="800"/>
              <w:jc w:val="both"/>
              <w:rPr>
                <w:color w:val="auto"/>
                <w:sz w:val="24"/>
                <w:szCs w:val="24"/>
              </w:rPr>
            </w:pPr>
            <w:r>
              <w:rPr>
                <w:rFonts w:hint="eastAsia"/>
                <w:color w:val="auto"/>
                <w:sz w:val="24"/>
                <w:szCs w:val="24"/>
                <w:lang w:val="en-US" w:eastAsia="zh-CN"/>
              </w:rPr>
              <w:t>5、食品</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733" w:type="dxa"/>
            <w:tcBorders>
              <w:left w:val="nil"/>
            </w:tcBorders>
            <w:vAlign w:val="center"/>
          </w:tcPr>
          <w:p>
            <w:pPr>
              <w:spacing w:line="380" w:lineRule="exact"/>
              <w:ind w:firstLine="2064" w:firstLineChars="800"/>
              <w:jc w:val="both"/>
              <w:rPr>
                <w:rFonts w:hint="eastAsia" w:eastAsia="宋体"/>
                <w:color w:val="auto"/>
                <w:sz w:val="24"/>
                <w:szCs w:val="24"/>
                <w:lang w:val="en-US" w:eastAsia="zh-CN"/>
              </w:rPr>
            </w:pPr>
            <w:r>
              <w:rPr>
                <w:rFonts w:hint="eastAsia"/>
                <w:color w:val="auto"/>
                <w:sz w:val="24"/>
                <w:szCs w:val="24"/>
                <w:lang w:val="en-US" w:eastAsia="zh-CN"/>
              </w:rPr>
              <w:t>6、化工</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pPr>
              <w:spacing w:line="380" w:lineRule="exact"/>
              <w:ind w:firstLine="2064" w:firstLineChars="800"/>
              <w:jc w:val="both"/>
              <w:rPr>
                <w:rFonts w:hint="eastAsia" w:eastAsia="宋体"/>
                <w:color w:val="auto"/>
                <w:sz w:val="24"/>
                <w:szCs w:val="24"/>
                <w:lang w:eastAsia="zh-CN"/>
              </w:rPr>
            </w:pPr>
            <w:r>
              <w:rPr>
                <w:rFonts w:hint="eastAsia"/>
                <w:color w:val="auto"/>
                <w:sz w:val="24"/>
                <w:szCs w:val="24"/>
                <w:lang w:val="en-US" w:eastAsia="zh-CN"/>
              </w:rPr>
              <w:t>7、</w:t>
            </w:r>
            <w:r>
              <w:rPr>
                <w:rFonts w:hint="eastAsia"/>
                <w:color w:val="auto"/>
                <w:sz w:val="24"/>
                <w:szCs w:val="24"/>
              </w:rPr>
              <w:t xml:space="preserve"> </w:t>
            </w:r>
            <w:r>
              <w:rPr>
                <w:rFonts w:hint="eastAsia"/>
                <w:color w:val="auto"/>
                <w:sz w:val="24"/>
                <w:szCs w:val="24"/>
                <w:lang w:eastAsia="zh-CN"/>
              </w:rPr>
              <w:t>冶金</w:t>
            </w:r>
          </w:p>
        </w:tc>
        <w:tc>
          <w:tcPr>
            <w:tcW w:w="1775" w:type="dxa"/>
            <w:tcBorders>
              <w:right w:val="single" w:color="auto" w:sz="4" w:space="0"/>
            </w:tcBorders>
            <w:vAlign w:val="center"/>
          </w:tcPr>
          <w:p>
            <w:pPr>
              <w:widowControl/>
              <w:jc w:val="both"/>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 xml:space="preserve">     --</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733" w:type="dxa"/>
            <w:tcBorders>
              <w:left w:val="nil"/>
            </w:tcBorders>
            <w:vAlign w:val="center"/>
          </w:tcPr>
          <w:p>
            <w:pPr>
              <w:spacing w:line="380" w:lineRule="exact"/>
              <w:jc w:val="center"/>
              <w:rPr>
                <w:color w:val="auto"/>
                <w:sz w:val="24"/>
                <w:szCs w:val="24"/>
              </w:rPr>
            </w:pPr>
            <w:r>
              <w:rPr>
                <w:rFonts w:hint="eastAsia"/>
                <w:color w:val="auto"/>
                <w:sz w:val="24"/>
                <w:szCs w:val="24"/>
              </w:rPr>
              <w:t xml:space="preserve">           （三）电力及水生产和供应业</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733" w:type="dxa"/>
            <w:tcBorders>
              <w:left w:val="nil"/>
            </w:tcBorders>
            <w:vAlign w:val="center"/>
          </w:tcPr>
          <w:p>
            <w:pPr>
              <w:spacing w:line="380" w:lineRule="exact"/>
              <w:ind w:firstLine="252" w:firstLineChars="98"/>
              <w:rPr>
                <w:color w:val="auto"/>
                <w:sz w:val="24"/>
                <w:szCs w:val="24"/>
              </w:rPr>
            </w:pPr>
            <w:r>
              <w:rPr>
                <w:rFonts w:hint="eastAsia"/>
                <w:color w:val="auto"/>
                <w:sz w:val="24"/>
                <w:szCs w:val="24"/>
              </w:rPr>
              <w:t xml:space="preserve"> </w:t>
            </w:r>
            <w:r>
              <w:rPr>
                <w:rFonts w:hint="eastAsia"/>
                <w:color w:val="auto"/>
                <w:sz w:val="24"/>
                <w:szCs w:val="24"/>
                <w:lang w:eastAsia="zh-CN"/>
              </w:rPr>
              <w:t>二、</w:t>
            </w:r>
            <w:r>
              <w:rPr>
                <w:rFonts w:hint="eastAsia"/>
                <w:color w:val="auto"/>
                <w:sz w:val="24"/>
                <w:szCs w:val="24"/>
              </w:rPr>
              <w:t>规模以上工业产品销售率（%）</w:t>
            </w:r>
          </w:p>
        </w:tc>
        <w:tc>
          <w:tcPr>
            <w:tcW w:w="1775" w:type="dxa"/>
            <w:tcBorders>
              <w:right w:val="single" w:color="auto" w:sz="4" w:space="0"/>
            </w:tcBorders>
            <w:vAlign w:val="center"/>
          </w:tcPr>
          <w:p>
            <w:pPr>
              <w:widowControl/>
              <w:jc w:val="both"/>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 xml:space="preserve">     --</w:t>
            </w:r>
          </w:p>
        </w:tc>
        <w:tc>
          <w:tcPr>
            <w:tcW w:w="1980" w:type="dxa"/>
            <w:tcBorders>
              <w:right w:val="nil"/>
            </w:tcBorders>
            <w:vAlign w:val="center"/>
          </w:tcPr>
          <w:p>
            <w:pPr>
              <w:widowControl/>
              <w:jc w:val="center"/>
              <w:textAlignment w:val="center"/>
              <w:rPr>
                <w:rFonts w:hint="default"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33" w:type="dxa"/>
            <w:tcBorders>
              <w:left w:val="nil"/>
            </w:tcBorders>
            <w:vAlign w:val="center"/>
          </w:tcPr>
          <w:p>
            <w:pPr>
              <w:spacing w:line="380" w:lineRule="exact"/>
              <w:ind w:firstLine="383" w:firstLineChars="149"/>
              <w:rPr>
                <w:color w:val="auto"/>
                <w:sz w:val="24"/>
                <w:szCs w:val="24"/>
              </w:rPr>
            </w:pPr>
            <w:r>
              <w:rPr>
                <w:rFonts w:hint="eastAsia"/>
                <w:color w:val="auto"/>
                <w:sz w:val="24"/>
                <w:szCs w:val="24"/>
              </w:rPr>
              <w:t>三、规模以上工业增加值</w:t>
            </w:r>
          </w:p>
        </w:tc>
        <w:tc>
          <w:tcPr>
            <w:tcW w:w="1775" w:type="dxa"/>
            <w:tcBorders>
              <w:right w:val="single" w:color="auto" w:sz="4" w:space="0"/>
            </w:tcBorders>
            <w:vAlign w:val="center"/>
          </w:tcPr>
          <w:p>
            <w:pPr>
              <w:widowControl/>
              <w:jc w:val="center"/>
              <w:textAlignment w:val="center"/>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szCs w:val="24"/>
                <w:lang w:val="en-US" w:eastAsia="zh-CN" w:bidi="ar-SA"/>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33" w:type="dxa"/>
            <w:tcBorders>
              <w:left w:val="nil"/>
            </w:tcBorders>
            <w:vAlign w:val="center"/>
          </w:tcPr>
          <w:p>
            <w:pPr>
              <w:spacing w:line="380" w:lineRule="exact"/>
              <w:ind w:firstLine="383" w:firstLineChars="149"/>
              <w:rPr>
                <w:rFonts w:hint="default" w:eastAsia="宋体"/>
                <w:color w:val="auto"/>
                <w:sz w:val="24"/>
                <w:szCs w:val="24"/>
                <w:lang w:val="en-US" w:eastAsia="zh-CN"/>
              </w:rPr>
            </w:pPr>
            <w:r>
              <w:rPr>
                <w:rFonts w:hint="eastAsia"/>
                <w:color w:val="auto"/>
                <w:sz w:val="24"/>
                <w:szCs w:val="24"/>
                <w:lang w:val="en-US" w:eastAsia="zh-CN"/>
              </w:rPr>
              <w:t xml:space="preserve">    其中：</w:t>
            </w:r>
            <w:r>
              <w:rPr>
                <w:rFonts w:hint="eastAsia"/>
                <w:color w:val="auto"/>
                <w:sz w:val="24"/>
                <w:szCs w:val="24"/>
              </w:rPr>
              <w:t>工业园规模以上工业增加值</w:t>
            </w:r>
          </w:p>
        </w:tc>
        <w:tc>
          <w:tcPr>
            <w:tcW w:w="1775" w:type="dxa"/>
            <w:tcBorders>
              <w:right w:val="single" w:color="auto" w:sz="4" w:space="0"/>
            </w:tcBorders>
            <w:vAlign w:val="center"/>
          </w:tcPr>
          <w:p>
            <w:pPr>
              <w:widowControl/>
              <w:jc w:val="center"/>
              <w:textAlignment w:val="center"/>
              <w:rPr>
                <w:rFonts w:hint="eastAsia"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w:t>
            </w:r>
          </w:p>
        </w:tc>
        <w:tc>
          <w:tcPr>
            <w:tcW w:w="1980" w:type="dxa"/>
            <w:tcBorders>
              <w:right w:val="nil"/>
            </w:tcBorders>
            <w:vAlign w:val="center"/>
          </w:tcPr>
          <w:p>
            <w:pPr>
              <w:widowControl/>
              <w:jc w:val="center"/>
              <w:textAlignment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szCs w:val="24"/>
                <w:lang w:val="en-US" w:eastAsia="zh-CN" w:bidi="ar-SA"/>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33" w:type="dxa"/>
            <w:tcBorders>
              <w:left w:val="nil"/>
            </w:tcBorders>
            <w:vAlign w:val="center"/>
          </w:tcPr>
          <w:p>
            <w:pPr>
              <w:spacing w:line="380" w:lineRule="exact"/>
              <w:ind w:firstLine="383" w:firstLineChars="149"/>
              <w:rPr>
                <w:rFonts w:hint="eastAsia"/>
                <w:color w:val="auto"/>
                <w:sz w:val="24"/>
                <w:szCs w:val="24"/>
              </w:rPr>
            </w:pPr>
            <w:r>
              <w:rPr>
                <w:rFonts w:hint="eastAsia"/>
                <w:color w:val="auto"/>
                <w:sz w:val="24"/>
                <w:szCs w:val="24"/>
              </w:rPr>
              <w:t>四、规模以上</w:t>
            </w:r>
            <w:r>
              <w:rPr>
                <w:color w:val="auto"/>
                <w:sz w:val="24"/>
                <w:szCs w:val="24"/>
              </w:rPr>
              <w:t>工业</w:t>
            </w:r>
            <w:r>
              <w:rPr>
                <w:rFonts w:hint="eastAsia"/>
                <w:color w:val="auto"/>
                <w:sz w:val="24"/>
                <w:szCs w:val="24"/>
              </w:rPr>
              <w:t>企业实缴税金(万元)</w:t>
            </w:r>
          </w:p>
        </w:tc>
        <w:tc>
          <w:tcPr>
            <w:tcW w:w="1775" w:type="dxa"/>
            <w:tcBorders>
              <w:right w:val="single" w:color="auto" w:sz="4" w:space="0"/>
            </w:tcBorders>
            <w:vAlign w:val="center"/>
          </w:tcPr>
          <w:p>
            <w:pPr>
              <w:widowControl/>
              <w:jc w:val="center"/>
              <w:textAlignment w:val="center"/>
              <w:rPr>
                <w:rFonts w:hint="default" w:ascii="宋体" w:hAnsi="宋体" w:cs="宋体"/>
                <w:color w:val="auto"/>
                <w:kern w:val="0"/>
                <w:sz w:val="24"/>
                <w:szCs w:val="24"/>
                <w:lang w:val="en-US" w:eastAsia="zh-CN"/>
              </w:rPr>
            </w:pPr>
            <w:r>
              <w:rPr>
                <w:rFonts w:hint="default" w:ascii="宋体" w:hAnsi="宋体" w:cs="宋体"/>
                <w:color w:val="auto"/>
                <w:kern w:val="0"/>
                <w:sz w:val="24"/>
                <w:szCs w:val="24"/>
                <w:lang w:val="en-US" w:eastAsia="zh-CN"/>
              </w:rPr>
              <w:t>17466</w:t>
            </w:r>
          </w:p>
        </w:tc>
        <w:tc>
          <w:tcPr>
            <w:tcW w:w="1980" w:type="dxa"/>
            <w:tcBorders>
              <w:right w:val="nil"/>
            </w:tcBorders>
            <w:vAlign w:val="center"/>
          </w:tcPr>
          <w:p>
            <w:pPr>
              <w:widowControl/>
              <w:jc w:val="center"/>
              <w:textAlignment w:val="center"/>
              <w:rPr>
                <w:rFonts w:hint="default"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-52.8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33" w:type="dxa"/>
            <w:tcBorders>
              <w:left w:val="nil"/>
            </w:tcBorders>
            <w:vAlign w:val="center"/>
          </w:tcPr>
          <w:p>
            <w:pPr>
              <w:spacing w:line="380" w:lineRule="exact"/>
              <w:ind w:firstLine="383" w:firstLineChars="149"/>
              <w:rPr>
                <w:rFonts w:hint="eastAsia"/>
                <w:color w:val="auto"/>
                <w:sz w:val="24"/>
                <w:szCs w:val="24"/>
              </w:rPr>
            </w:pPr>
            <w:r>
              <w:rPr>
                <w:rFonts w:hint="eastAsia"/>
                <w:color w:val="auto"/>
                <w:sz w:val="24"/>
                <w:szCs w:val="24"/>
                <w:lang w:eastAsia="zh-CN"/>
              </w:rPr>
              <w:t>五、</w:t>
            </w:r>
            <w:r>
              <w:rPr>
                <w:rFonts w:hint="eastAsia"/>
                <w:color w:val="auto"/>
                <w:sz w:val="24"/>
                <w:szCs w:val="24"/>
              </w:rPr>
              <w:t>规模以上</w:t>
            </w:r>
            <w:r>
              <w:rPr>
                <w:color w:val="auto"/>
                <w:sz w:val="24"/>
                <w:szCs w:val="24"/>
              </w:rPr>
              <w:t>工业</w:t>
            </w:r>
            <w:r>
              <w:rPr>
                <w:rFonts w:hint="eastAsia"/>
                <w:color w:val="auto"/>
                <w:sz w:val="24"/>
                <w:szCs w:val="24"/>
              </w:rPr>
              <w:t>企业</w:t>
            </w:r>
            <w:r>
              <w:rPr>
                <w:color w:val="auto"/>
                <w:sz w:val="24"/>
                <w:szCs w:val="24"/>
              </w:rPr>
              <w:t>用电量（万千瓦·时）</w:t>
            </w:r>
          </w:p>
        </w:tc>
        <w:tc>
          <w:tcPr>
            <w:tcW w:w="1775" w:type="dxa"/>
            <w:tcBorders>
              <w:right w:val="single" w:color="auto" w:sz="4" w:space="0"/>
            </w:tcBorders>
            <w:vAlign w:val="center"/>
          </w:tcPr>
          <w:p>
            <w:pPr>
              <w:widowControl/>
              <w:jc w:val="center"/>
              <w:textAlignment w:val="center"/>
              <w:rPr>
                <w:rFonts w:hint="default" w:ascii="宋体" w:hAnsi="宋体" w:cs="宋体"/>
                <w:color w:val="auto"/>
                <w:kern w:val="0"/>
                <w:sz w:val="24"/>
                <w:szCs w:val="24"/>
                <w:lang w:val="en-US" w:eastAsia="zh-CN"/>
              </w:rPr>
            </w:pPr>
            <w:r>
              <w:rPr>
                <w:rFonts w:hint="default" w:ascii="宋体" w:hAnsi="宋体" w:cs="宋体"/>
                <w:color w:val="auto"/>
                <w:kern w:val="0"/>
                <w:sz w:val="24"/>
                <w:szCs w:val="24"/>
                <w:lang w:val="en-US" w:eastAsia="zh-CN"/>
              </w:rPr>
              <w:t>90582</w:t>
            </w:r>
          </w:p>
        </w:tc>
        <w:tc>
          <w:tcPr>
            <w:tcW w:w="1980" w:type="dxa"/>
            <w:tcBorders>
              <w:right w:val="nil"/>
            </w:tcBorders>
            <w:vAlign w:val="center"/>
          </w:tcPr>
          <w:p>
            <w:pPr>
              <w:widowControl/>
              <w:jc w:val="center"/>
              <w:textAlignment w:val="center"/>
              <w:rPr>
                <w:rFonts w:hint="default"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-1.7</w:t>
            </w:r>
          </w:p>
        </w:tc>
      </w:tr>
    </w:tbl>
    <w:p>
      <w:pPr>
        <w:spacing w:line="380" w:lineRule="exact"/>
        <w:ind w:firstLine="3494" w:firstLineChars="1034"/>
        <w:outlineLvl w:val="0"/>
        <w:rPr>
          <w:rFonts w:hint="eastAsia" w:ascii="黑体" w:eastAsia="黑体"/>
          <w:color w:val="FF0000"/>
          <w:sz w:val="32"/>
          <w:szCs w:val="32"/>
        </w:rPr>
      </w:pPr>
    </w:p>
    <w:p>
      <w:pPr>
        <w:spacing w:line="380" w:lineRule="exact"/>
        <w:ind w:firstLine="3494" w:firstLineChars="1034"/>
        <w:outlineLvl w:val="0"/>
        <w:rPr>
          <w:rFonts w:hint="eastAsia" w:ascii="黑体" w:eastAsia="黑体"/>
          <w:color w:val="FF0000"/>
          <w:sz w:val="32"/>
          <w:szCs w:val="32"/>
        </w:rPr>
      </w:pPr>
    </w:p>
    <w:p>
      <w:pPr>
        <w:spacing w:line="380" w:lineRule="exact"/>
        <w:ind w:firstLine="3494" w:firstLineChars="1034"/>
        <w:outlineLvl w:val="0"/>
        <w:rPr>
          <w:rFonts w:hint="eastAsia" w:ascii="黑体" w:eastAsia="黑体"/>
          <w:color w:val="FF0000"/>
          <w:sz w:val="32"/>
          <w:szCs w:val="32"/>
        </w:rPr>
      </w:pPr>
    </w:p>
    <w:p>
      <w:pPr>
        <w:spacing w:line="380" w:lineRule="exact"/>
        <w:ind w:firstLine="3494" w:firstLineChars="1034"/>
        <w:outlineLvl w:val="0"/>
        <w:rPr>
          <w:rFonts w:hint="eastAsia" w:ascii="黑体" w:eastAsia="黑体"/>
          <w:color w:val="FF0000"/>
          <w:sz w:val="32"/>
          <w:szCs w:val="32"/>
        </w:rPr>
      </w:pPr>
    </w:p>
    <w:p>
      <w:pPr>
        <w:spacing w:line="380" w:lineRule="exact"/>
        <w:ind w:firstLine="3494" w:firstLineChars="1034"/>
        <w:outlineLvl w:val="0"/>
        <w:rPr>
          <w:rFonts w:hint="eastAsia" w:ascii="黑体" w:eastAsia="黑体"/>
          <w:color w:val="FF0000"/>
          <w:sz w:val="32"/>
          <w:szCs w:val="32"/>
        </w:rPr>
      </w:pPr>
    </w:p>
    <w:p>
      <w:pPr>
        <w:spacing w:line="380" w:lineRule="exact"/>
        <w:ind w:firstLine="3718" w:firstLineChars="1100"/>
        <w:outlineLvl w:val="0"/>
        <w:rPr>
          <w:rFonts w:ascii="黑体" w:eastAsia="黑体"/>
          <w:color w:val="000000" w:themeColor="text1"/>
          <w:sz w:val="32"/>
          <w:szCs w:val="32"/>
        </w:rPr>
      </w:pPr>
      <w:r>
        <w:rPr>
          <w:rFonts w:hint="eastAsia" w:ascii="黑体" w:eastAsia="黑体"/>
          <w:color w:val="000000" w:themeColor="text1"/>
          <w:sz w:val="32"/>
          <w:szCs w:val="32"/>
        </w:rPr>
        <w:t>八、贸易外经</w:t>
      </w:r>
    </w:p>
    <w:p>
      <w:pPr>
        <w:spacing w:line="380" w:lineRule="exact"/>
        <w:ind w:firstLine="3324" w:firstLineChars="1116"/>
        <w:outlineLvl w:val="0"/>
        <w:rPr>
          <w:rFonts w:ascii="黑体" w:hAnsi="黑体" w:eastAsia="黑体"/>
          <w:color w:val="000000" w:themeColor="text1"/>
        </w:rPr>
      </w:pPr>
    </w:p>
    <w:p>
      <w:pPr>
        <w:spacing w:line="380" w:lineRule="exact"/>
        <w:ind w:firstLine="3576" w:firstLineChars="1200"/>
        <w:outlineLvl w:val="0"/>
        <w:rPr>
          <w:rFonts w:ascii="黑体" w:hAnsi="黑体" w:eastAsia="黑体"/>
          <w:color w:val="000000" w:themeColor="text1"/>
        </w:rPr>
      </w:pPr>
      <w:r>
        <w:rPr>
          <w:rFonts w:hint="eastAsia" w:ascii="黑体" w:hAnsi="黑体" w:eastAsia="黑体"/>
          <w:color w:val="000000" w:themeColor="text1"/>
        </w:rPr>
        <w:t>（一）国内贸易</w:t>
      </w:r>
    </w:p>
    <w:p>
      <w:pPr>
        <w:spacing w:line="380" w:lineRule="exact"/>
        <w:jc w:val="center"/>
        <w:rPr>
          <w:rFonts w:ascii="黑体" w:eastAsia="黑体"/>
          <w:color w:val="000000" w:themeColor="text1"/>
          <w:sz w:val="32"/>
          <w:szCs w:val="32"/>
        </w:rPr>
      </w:pPr>
      <w:r>
        <w:rPr>
          <w:rFonts w:hint="eastAsia" w:ascii="宋体" w:hAnsi="宋体"/>
          <w:color w:val="000000" w:themeColor="text1"/>
          <w:sz w:val="24"/>
          <w:szCs w:val="24"/>
          <w:lang w:val="en-US" w:eastAsia="zh-CN"/>
        </w:rPr>
        <w:t xml:space="preserve">                                                     </w:t>
      </w:r>
      <w:r>
        <w:rPr>
          <w:rFonts w:hint="eastAsia" w:ascii="宋体" w:hAnsi="宋体"/>
          <w:color w:val="000000" w:themeColor="text1"/>
          <w:sz w:val="24"/>
          <w:szCs w:val="24"/>
        </w:rPr>
        <w:t>（单位：万元）</w:t>
      </w:r>
    </w:p>
    <w:tbl>
      <w:tblPr>
        <w:tblStyle w:val="11"/>
        <w:tblW w:w="914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6"/>
        <w:gridCol w:w="2063"/>
        <w:gridCol w:w="1781"/>
        <w:gridCol w:w="2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2846"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2063" w:type="dxa"/>
            <w:vAlign w:val="center"/>
          </w:tcPr>
          <w:p>
            <w:pPr>
              <w:spacing w:line="380" w:lineRule="exact"/>
              <w:jc w:val="center"/>
              <w:rPr>
                <w:color w:val="000000" w:themeColor="text1"/>
                <w:sz w:val="24"/>
                <w:szCs w:val="24"/>
              </w:rPr>
            </w:pPr>
            <w:r>
              <w:rPr>
                <w:rFonts w:hint="eastAsia"/>
                <w:color w:val="000000" w:themeColor="text1"/>
                <w:sz w:val="24"/>
                <w:szCs w:val="24"/>
                <w:lang w:eastAsia="zh-CN"/>
              </w:rPr>
              <w:t>本期</w:t>
            </w:r>
            <w:r>
              <w:rPr>
                <w:rFonts w:hint="eastAsia"/>
                <w:color w:val="000000" w:themeColor="text1"/>
                <w:sz w:val="24"/>
                <w:szCs w:val="24"/>
              </w:rPr>
              <w:t>累计</w:t>
            </w:r>
          </w:p>
        </w:tc>
        <w:tc>
          <w:tcPr>
            <w:tcW w:w="1781" w:type="dxa"/>
            <w:vAlign w:val="center"/>
          </w:tcPr>
          <w:p>
            <w:pPr>
              <w:spacing w:line="380" w:lineRule="exact"/>
              <w:jc w:val="center"/>
              <w:rPr>
                <w:color w:val="000000" w:themeColor="text1"/>
                <w:sz w:val="24"/>
                <w:szCs w:val="24"/>
              </w:rPr>
            </w:pPr>
            <w:r>
              <w:rPr>
                <w:rFonts w:hint="eastAsia"/>
                <w:color w:val="000000" w:themeColor="text1"/>
                <w:sz w:val="24"/>
                <w:szCs w:val="24"/>
              </w:rPr>
              <w:t>同期累计</w:t>
            </w:r>
          </w:p>
        </w:tc>
        <w:tc>
          <w:tcPr>
            <w:tcW w:w="2456" w:type="dxa"/>
            <w:tcBorders>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r>
              <w:rPr>
                <w:rFonts w:hint="eastAsia" w:ascii="宋体" w:hAnsi="宋体"/>
                <w:color w:val="000000" w:themeColor="text1"/>
                <w:sz w:val="24"/>
                <w:szCs w:val="24"/>
              </w:rPr>
              <w:t>±</w:t>
            </w:r>
            <w:r>
              <w:rPr>
                <w:rFonts w:hint="eastAsia"/>
                <w:color w:val="000000" w:themeColor="text1"/>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社会消费品零售总额</w:t>
            </w:r>
          </w:p>
        </w:tc>
        <w:tc>
          <w:tcPr>
            <w:tcW w:w="2063"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1559898</w:t>
            </w:r>
          </w:p>
        </w:tc>
        <w:tc>
          <w:tcPr>
            <w:tcW w:w="1781"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1517399</w:t>
            </w:r>
          </w:p>
        </w:tc>
        <w:tc>
          <w:tcPr>
            <w:tcW w:w="245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1、分区域</w:t>
            </w:r>
          </w:p>
        </w:tc>
        <w:tc>
          <w:tcPr>
            <w:tcW w:w="2063" w:type="dxa"/>
            <w:vAlign w:val="center"/>
          </w:tcPr>
          <w:p>
            <w:pPr>
              <w:spacing w:line="380" w:lineRule="exact"/>
              <w:jc w:val="center"/>
              <w:rPr>
                <w:rFonts w:hint="default" w:eastAsia="宋体"/>
                <w:color w:val="000000" w:themeColor="text1"/>
                <w:sz w:val="24"/>
                <w:szCs w:val="24"/>
                <w:lang w:val="en-US" w:eastAsia="zh-CN"/>
              </w:rPr>
            </w:pPr>
          </w:p>
        </w:tc>
        <w:tc>
          <w:tcPr>
            <w:tcW w:w="1781" w:type="dxa"/>
            <w:vAlign w:val="center"/>
          </w:tcPr>
          <w:p>
            <w:pPr>
              <w:spacing w:line="380" w:lineRule="exact"/>
              <w:jc w:val="center"/>
              <w:rPr>
                <w:rFonts w:hint="default" w:eastAsia="宋体"/>
                <w:color w:val="000000" w:themeColor="text1"/>
                <w:sz w:val="24"/>
                <w:szCs w:val="24"/>
                <w:lang w:val="en-US" w:eastAsia="zh-CN"/>
              </w:rPr>
            </w:pPr>
          </w:p>
        </w:tc>
        <w:tc>
          <w:tcPr>
            <w:tcW w:w="2456" w:type="dxa"/>
            <w:tcBorders>
              <w:right w:val="nil"/>
            </w:tcBorders>
            <w:vAlign w:val="center"/>
          </w:tcPr>
          <w:p>
            <w:pPr>
              <w:spacing w:line="380" w:lineRule="exact"/>
              <w:jc w:val="center"/>
              <w:rPr>
                <w:rFonts w:hint="default" w:eastAsia="宋体"/>
                <w:color w:val="000000" w:themeColor="text1"/>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 xml:space="preserve">   城镇</w:t>
            </w:r>
          </w:p>
        </w:tc>
        <w:tc>
          <w:tcPr>
            <w:tcW w:w="2063"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1229364</w:t>
            </w:r>
          </w:p>
        </w:tc>
        <w:tc>
          <w:tcPr>
            <w:tcW w:w="1781" w:type="dxa"/>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1197579</w:t>
            </w:r>
          </w:p>
        </w:tc>
        <w:tc>
          <w:tcPr>
            <w:tcW w:w="245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748" w:firstLineChars="290"/>
              <w:rPr>
                <w:color w:val="000000" w:themeColor="text1"/>
                <w:sz w:val="24"/>
                <w:szCs w:val="24"/>
              </w:rPr>
            </w:pPr>
            <w:r>
              <w:rPr>
                <w:rFonts w:hint="eastAsia"/>
                <w:color w:val="000000" w:themeColor="text1"/>
                <w:sz w:val="24"/>
                <w:szCs w:val="24"/>
              </w:rPr>
              <w:t>其中：市区</w:t>
            </w:r>
          </w:p>
        </w:tc>
        <w:tc>
          <w:tcPr>
            <w:tcW w:w="2063"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829214</w:t>
            </w:r>
          </w:p>
        </w:tc>
        <w:tc>
          <w:tcPr>
            <w:tcW w:w="1781" w:type="dxa"/>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803871</w:t>
            </w:r>
          </w:p>
        </w:tc>
        <w:tc>
          <w:tcPr>
            <w:tcW w:w="245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 xml:space="preserve">   乡村</w:t>
            </w:r>
          </w:p>
        </w:tc>
        <w:tc>
          <w:tcPr>
            <w:tcW w:w="2063" w:type="dxa"/>
            <w:vAlign w:val="center"/>
          </w:tcPr>
          <w:p>
            <w:pPr>
              <w:spacing w:line="380" w:lineRule="exact"/>
              <w:ind w:firstLine="505" w:firstLineChars="196"/>
              <w:rPr>
                <w:rFonts w:hint="default" w:eastAsia="宋体"/>
                <w:color w:val="000000" w:themeColor="text1"/>
                <w:sz w:val="24"/>
                <w:szCs w:val="24"/>
                <w:lang w:val="en-US" w:eastAsia="zh-CN"/>
              </w:rPr>
            </w:pPr>
            <w:r>
              <w:rPr>
                <w:rFonts w:hint="eastAsia"/>
                <w:color w:val="000000" w:themeColor="text1"/>
                <w:sz w:val="24"/>
                <w:szCs w:val="24"/>
                <w:lang w:val="en-US" w:eastAsia="zh-CN"/>
              </w:rPr>
              <w:t>330534</w:t>
            </w:r>
          </w:p>
        </w:tc>
        <w:tc>
          <w:tcPr>
            <w:tcW w:w="1781" w:type="dxa"/>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319820</w:t>
            </w:r>
          </w:p>
        </w:tc>
        <w:tc>
          <w:tcPr>
            <w:tcW w:w="245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2、分行业</w:t>
            </w:r>
          </w:p>
        </w:tc>
        <w:tc>
          <w:tcPr>
            <w:tcW w:w="2063" w:type="dxa"/>
            <w:vAlign w:val="center"/>
          </w:tcPr>
          <w:p>
            <w:pPr>
              <w:spacing w:line="380" w:lineRule="exact"/>
              <w:jc w:val="center"/>
              <w:rPr>
                <w:color w:val="000000" w:themeColor="text1"/>
                <w:sz w:val="24"/>
                <w:szCs w:val="24"/>
              </w:rPr>
            </w:pPr>
          </w:p>
        </w:tc>
        <w:tc>
          <w:tcPr>
            <w:tcW w:w="1781" w:type="dxa"/>
            <w:vAlign w:val="center"/>
          </w:tcPr>
          <w:p>
            <w:pPr>
              <w:spacing w:line="380" w:lineRule="exact"/>
              <w:jc w:val="center"/>
              <w:rPr>
                <w:color w:val="000000" w:themeColor="text1"/>
                <w:sz w:val="24"/>
                <w:szCs w:val="24"/>
              </w:rPr>
            </w:pPr>
          </w:p>
        </w:tc>
        <w:tc>
          <w:tcPr>
            <w:tcW w:w="2456" w:type="dxa"/>
            <w:tcBorders>
              <w:right w:val="nil"/>
            </w:tcBorders>
            <w:vAlign w:val="center"/>
          </w:tcPr>
          <w:p>
            <w:pPr>
              <w:spacing w:line="380" w:lineRule="exact"/>
              <w:jc w:val="center"/>
              <w:rPr>
                <w:rFonts w:hint="default" w:eastAsia="宋体"/>
                <w:color w:val="000000" w:themeColor="text1"/>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rPr>
              <w:t>批发业</w:t>
            </w:r>
          </w:p>
        </w:tc>
        <w:tc>
          <w:tcPr>
            <w:tcW w:w="2063"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287263</w:t>
            </w:r>
          </w:p>
        </w:tc>
        <w:tc>
          <w:tcPr>
            <w:tcW w:w="1781"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284590</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rPr>
              <w:t xml:space="preserve">    限额以上</w:t>
            </w:r>
          </w:p>
        </w:tc>
        <w:tc>
          <w:tcPr>
            <w:tcW w:w="2063"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46306</w:t>
            </w:r>
          </w:p>
        </w:tc>
        <w:tc>
          <w:tcPr>
            <w:tcW w:w="1781"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40327</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765" w:firstLineChars="297"/>
              <w:rPr>
                <w:color w:val="000000" w:themeColor="text1"/>
                <w:sz w:val="24"/>
                <w:szCs w:val="24"/>
              </w:rPr>
            </w:pPr>
            <w:r>
              <w:rPr>
                <w:rFonts w:hint="eastAsia"/>
                <w:color w:val="000000" w:themeColor="text1"/>
                <w:sz w:val="24"/>
                <w:szCs w:val="24"/>
              </w:rPr>
              <w:t>限额以下</w:t>
            </w:r>
          </w:p>
        </w:tc>
        <w:tc>
          <w:tcPr>
            <w:tcW w:w="2063"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240957</w:t>
            </w:r>
          </w:p>
        </w:tc>
        <w:tc>
          <w:tcPr>
            <w:tcW w:w="1781"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244263</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rPr>
              <w:t>零售业</w:t>
            </w:r>
          </w:p>
        </w:tc>
        <w:tc>
          <w:tcPr>
            <w:tcW w:w="2063"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1069889</w:t>
            </w:r>
          </w:p>
        </w:tc>
        <w:tc>
          <w:tcPr>
            <w:tcW w:w="1781"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1035829</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763" w:firstLineChars="296"/>
              <w:rPr>
                <w:color w:val="000000" w:themeColor="text1"/>
                <w:sz w:val="24"/>
                <w:szCs w:val="24"/>
              </w:rPr>
            </w:pPr>
            <w:r>
              <w:rPr>
                <w:rFonts w:hint="eastAsia"/>
                <w:color w:val="000000" w:themeColor="text1"/>
                <w:sz w:val="24"/>
                <w:szCs w:val="24"/>
              </w:rPr>
              <w:t>限额以上</w:t>
            </w:r>
          </w:p>
        </w:tc>
        <w:tc>
          <w:tcPr>
            <w:tcW w:w="2063"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192760</w:t>
            </w:r>
          </w:p>
        </w:tc>
        <w:tc>
          <w:tcPr>
            <w:tcW w:w="1781"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156191</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739" w:firstLineChars="287"/>
              <w:rPr>
                <w:color w:val="000000" w:themeColor="text1"/>
                <w:sz w:val="24"/>
                <w:szCs w:val="24"/>
              </w:rPr>
            </w:pPr>
            <w:r>
              <w:rPr>
                <w:rFonts w:hint="eastAsia"/>
                <w:color w:val="000000" w:themeColor="text1"/>
                <w:sz w:val="24"/>
                <w:szCs w:val="24"/>
              </w:rPr>
              <w:t>限额以下</w:t>
            </w:r>
          </w:p>
        </w:tc>
        <w:tc>
          <w:tcPr>
            <w:tcW w:w="2063"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877129</w:t>
            </w:r>
          </w:p>
        </w:tc>
        <w:tc>
          <w:tcPr>
            <w:tcW w:w="1781"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579638</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rPr>
              <w:t>住宿业</w:t>
            </w:r>
          </w:p>
        </w:tc>
        <w:tc>
          <w:tcPr>
            <w:tcW w:w="2063"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29036</w:t>
            </w:r>
          </w:p>
        </w:tc>
        <w:tc>
          <w:tcPr>
            <w:tcW w:w="1781"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28859</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757" w:firstLineChars="294"/>
              <w:rPr>
                <w:color w:val="000000" w:themeColor="text1"/>
                <w:sz w:val="24"/>
                <w:szCs w:val="24"/>
              </w:rPr>
            </w:pPr>
            <w:r>
              <w:rPr>
                <w:rFonts w:hint="eastAsia"/>
                <w:color w:val="000000" w:themeColor="text1"/>
                <w:sz w:val="24"/>
                <w:szCs w:val="24"/>
              </w:rPr>
              <w:t>限额以上</w:t>
            </w:r>
          </w:p>
        </w:tc>
        <w:tc>
          <w:tcPr>
            <w:tcW w:w="2063"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1813</w:t>
            </w:r>
          </w:p>
        </w:tc>
        <w:tc>
          <w:tcPr>
            <w:tcW w:w="1781"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1481</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 xml:space="preserve">      限额以下</w:t>
            </w:r>
          </w:p>
        </w:tc>
        <w:tc>
          <w:tcPr>
            <w:tcW w:w="2063"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27223</w:t>
            </w:r>
          </w:p>
        </w:tc>
        <w:tc>
          <w:tcPr>
            <w:tcW w:w="1781"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27378</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252" w:firstLineChars="98"/>
              <w:rPr>
                <w:color w:val="000000" w:themeColor="text1"/>
                <w:sz w:val="24"/>
                <w:szCs w:val="24"/>
              </w:rPr>
            </w:pPr>
            <w:r>
              <w:rPr>
                <w:rFonts w:hint="eastAsia"/>
                <w:color w:val="000000" w:themeColor="text1"/>
                <w:sz w:val="24"/>
                <w:szCs w:val="24"/>
              </w:rPr>
              <w:t>餐饮业</w:t>
            </w:r>
          </w:p>
        </w:tc>
        <w:tc>
          <w:tcPr>
            <w:tcW w:w="2063"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173710</w:t>
            </w:r>
          </w:p>
        </w:tc>
        <w:tc>
          <w:tcPr>
            <w:tcW w:w="1781"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168121</w:t>
            </w:r>
          </w:p>
        </w:tc>
        <w:tc>
          <w:tcPr>
            <w:tcW w:w="2456" w:type="dxa"/>
            <w:tcBorders>
              <w:right w:val="nil"/>
            </w:tcBorders>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ind w:firstLine="757" w:firstLineChars="294"/>
              <w:rPr>
                <w:color w:val="000000" w:themeColor="text1"/>
                <w:sz w:val="24"/>
                <w:szCs w:val="24"/>
              </w:rPr>
            </w:pPr>
            <w:r>
              <w:rPr>
                <w:rFonts w:hint="eastAsia"/>
                <w:color w:val="000000" w:themeColor="text1"/>
                <w:sz w:val="24"/>
                <w:szCs w:val="24"/>
              </w:rPr>
              <w:t>限额以上</w:t>
            </w:r>
          </w:p>
        </w:tc>
        <w:tc>
          <w:tcPr>
            <w:tcW w:w="2063"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18167</w:t>
            </w:r>
          </w:p>
        </w:tc>
        <w:tc>
          <w:tcPr>
            <w:tcW w:w="1781"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11543</w:t>
            </w:r>
          </w:p>
        </w:tc>
        <w:tc>
          <w:tcPr>
            <w:tcW w:w="245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 xml:space="preserve">      限额以下</w:t>
            </w:r>
          </w:p>
        </w:tc>
        <w:tc>
          <w:tcPr>
            <w:tcW w:w="2063"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155543</w:t>
            </w:r>
          </w:p>
        </w:tc>
        <w:tc>
          <w:tcPr>
            <w:tcW w:w="1781"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156578</w:t>
            </w:r>
          </w:p>
        </w:tc>
        <w:tc>
          <w:tcPr>
            <w:tcW w:w="245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-0.7</w:t>
            </w:r>
          </w:p>
        </w:tc>
      </w:tr>
    </w:tbl>
    <w:p>
      <w:pPr>
        <w:spacing w:line="380" w:lineRule="exact"/>
        <w:rPr>
          <w:rFonts w:ascii="黑体" w:eastAsia="黑体"/>
          <w:color w:val="000000" w:themeColor="text1"/>
          <w:sz w:val="32"/>
          <w:szCs w:val="32"/>
        </w:rPr>
      </w:pPr>
    </w:p>
    <w:p>
      <w:pPr>
        <w:spacing w:line="380" w:lineRule="exact"/>
        <w:ind w:firstLine="3486" w:firstLineChars="1170"/>
        <w:outlineLvl w:val="0"/>
        <w:rPr>
          <w:rFonts w:hint="eastAsia" w:ascii="黑体" w:hAnsi="黑体" w:eastAsia="黑体"/>
          <w:color w:val="000000" w:themeColor="text1"/>
          <w:lang w:eastAsia="zh-CN"/>
        </w:rPr>
      </w:pPr>
      <w:r>
        <w:rPr>
          <w:rFonts w:hint="eastAsia" w:ascii="黑体" w:hAnsi="黑体" w:eastAsia="黑体"/>
          <w:color w:val="000000" w:themeColor="text1"/>
        </w:rPr>
        <w:t>（</w:t>
      </w:r>
      <w:r>
        <w:rPr>
          <w:rFonts w:hint="eastAsia" w:ascii="黑体" w:hAnsi="黑体" w:eastAsia="黑体"/>
          <w:b w:val="0"/>
          <w:bCs w:val="0"/>
          <w:color w:val="000000" w:themeColor="text1"/>
        </w:rPr>
        <w:t>二</w:t>
      </w:r>
      <w:r>
        <w:rPr>
          <w:rFonts w:hint="eastAsia" w:ascii="黑体" w:hAnsi="黑体" w:eastAsia="黑体"/>
          <w:color w:val="000000" w:themeColor="text1"/>
        </w:rPr>
        <w:t>）对外贸易</w:t>
      </w:r>
      <w:r>
        <w:rPr>
          <w:rFonts w:hint="eastAsia" w:ascii="黑体" w:hAnsi="黑体" w:eastAsia="黑体"/>
          <w:color w:val="000000" w:themeColor="text1"/>
          <w:lang w:eastAsia="zh-CN"/>
        </w:rPr>
        <w:t>（</w:t>
      </w:r>
      <w:r>
        <w:rPr>
          <w:rFonts w:hint="eastAsia"/>
          <w:color w:val="000000" w:themeColor="text1"/>
          <w:sz w:val="24"/>
          <w:szCs w:val="24"/>
          <w:lang w:val="en-US" w:eastAsia="zh-CN"/>
        </w:rPr>
        <w:t>1-11月</w:t>
      </w:r>
      <w:r>
        <w:rPr>
          <w:rFonts w:hint="eastAsia" w:ascii="黑体" w:hAnsi="黑体" w:eastAsia="黑体"/>
          <w:color w:val="000000" w:themeColor="text1"/>
          <w:lang w:eastAsia="zh-CN"/>
        </w:rPr>
        <w:t>）</w:t>
      </w:r>
    </w:p>
    <w:p>
      <w:pPr>
        <w:spacing w:line="380" w:lineRule="exact"/>
        <w:jc w:val="center"/>
        <w:rPr>
          <w:rFonts w:ascii="黑体" w:eastAsia="黑体"/>
          <w:color w:val="000000" w:themeColor="text1"/>
          <w:sz w:val="32"/>
          <w:szCs w:val="32"/>
        </w:rPr>
      </w:pPr>
    </w:p>
    <w:p>
      <w:pPr>
        <w:spacing w:line="380" w:lineRule="exact"/>
        <w:ind w:right="129"/>
        <w:jc w:val="right"/>
        <w:rPr>
          <w:rFonts w:ascii="黑体" w:eastAsia="黑体"/>
          <w:color w:val="000000" w:themeColor="text1"/>
          <w:sz w:val="32"/>
          <w:szCs w:val="32"/>
        </w:rPr>
      </w:pPr>
      <w:r>
        <w:rPr>
          <w:rFonts w:hint="eastAsia" w:ascii="宋体" w:hAnsi="宋体"/>
          <w:color w:val="000000" w:themeColor="text1"/>
          <w:sz w:val="24"/>
          <w:szCs w:val="24"/>
        </w:rPr>
        <w:t>（单位：万</w:t>
      </w:r>
      <w:r>
        <w:rPr>
          <w:rFonts w:hint="eastAsia" w:ascii="宋体" w:hAnsi="宋体"/>
          <w:color w:val="000000" w:themeColor="text1"/>
          <w:sz w:val="24"/>
          <w:szCs w:val="24"/>
          <w:lang w:eastAsia="zh-CN"/>
        </w:rPr>
        <w:t>元</w:t>
      </w:r>
      <w:r>
        <w:rPr>
          <w:rFonts w:hint="eastAsia" w:ascii="宋体" w:hAnsi="宋体"/>
          <w:color w:val="000000" w:themeColor="text1"/>
          <w:sz w:val="24"/>
          <w:szCs w:val="24"/>
        </w:rPr>
        <w:t>）</w:t>
      </w:r>
    </w:p>
    <w:tbl>
      <w:tblPr>
        <w:tblStyle w:val="11"/>
        <w:tblW w:w="90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1997"/>
        <w:gridCol w:w="1998"/>
        <w:gridCol w:w="1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3085"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1997" w:type="dxa"/>
            <w:vAlign w:val="center"/>
          </w:tcPr>
          <w:p>
            <w:pPr>
              <w:spacing w:line="380" w:lineRule="exact"/>
              <w:jc w:val="center"/>
              <w:rPr>
                <w:color w:val="000000" w:themeColor="text1"/>
                <w:sz w:val="24"/>
                <w:szCs w:val="24"/>
              </w:rPr>
            </w:pPr>
            <w:r>
              <w:rPr>
                <w:rFonts w:hint="eastAsia"/>
                <w:color w:val="000000" w:themeColor="text1"/>
                <w:sz w:val="24"/>
                <w:szCs w:val="24"/>
              </w:rPr>
              <w:t>本月</w:t>
            </w:r>
          </w:p>
        </w:tc>
        <w:tc>
          <w:tcPr>
            <w:tcW w:w="1998" w:type="dxa"/>
            <w:vAlign w:val="center"/>
          </w:tcPr>
          <w:p>
            <w:pPr>
              <w:spacing w:line="380" w:lineRule="exact"/>
              <w:jc w:val="center"/>
              <w:rPr>
                <w:color w:val="000000" w:themeColor="text1"/>
                <w:sz w:val="24"/>
                <w:szCs w:val="24"/>
              </w:rPr>
            </w:pPr>
            <w:r>
              <w:rPr>
                <w:rFonts w:hint="eastAsia"/>
                <w:color w:val="000000" w:themeColor="text1"/>
                <w:sz w:val="24"/>
                <w:szCs w:val="24"/>
              </w:rPr>
              <w:t>本年累计</w:t>
            </w:r>
          </w:p>
        </w:tc>
        <w:tc>
          <w:tcPr>
            <w:tcW w:w="1998" w:type="dxa"/>
            <w:tcBorders>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r>
              <w:rPr>
                <w:rFonts w:hint="eastAsia" w:ascii="宋体" w:hAnsi="宋体"/>
                <w:color w:val="000000" w:themeColor="text1"/>
                <w:sz w:val="24"/>
                <w:szCs w:val="24"/>
              </w:rPr>
              <w:t>±</w:t>
            </w:r>
            <w:r>
              <w:rPr>
                <w:rFonts w:hint="eastAsia"/>
                <w:color w:val="000000" w:themeColor="text1"/>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进出口总值</w:t>
            </w:r>
          </w:p>
        </w:tc>
        <w:tc>
          <w:tcPr>
            <w:tcW w:w="1997"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eastAsia="宋体"/>
                <w:color w:val="000000" w:themeColor="text1"/>
                <w:sz w:val="24"/>
                <w:szCs w:val="24"/>
                <w:lang w:val="en-US" w:eastAsia="zh-CN"/>
              </w:rPr>
              <w:t>8845</w:t>
            </w:r>
          </w:p>
        </w:tc>
        <w:tc>
          <w:tcPr>
            <w:tcW w:w="199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eastAsia="宋体"/>
                <w:color w:val="000000" w:themeColor="text1"/>
                <w:sz w:val="24"/>
                <w:szCs w:val="24"/>
                <w:lang w:val="en-US" w:eastAsia="zh-CN"/>
              </w:rPr>
              <w:t>131674</w:t>
            </w:r>
          </w:p>
        </w:tc>
        <w:tc>
          <w:tcPr>
            <w:tcW w:w="199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eastAsia="宋体"/>
                <w:color w:val="000000" w:themeColor="text1"/>
                <w:sz w:val="24"/>
                <w:szCs w:val="24"/>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85" w:type="dxa"/>
            <w:tcBorders>
              <w:left w:val="nil"/>
            </w:tcBorders>
            <w:vAlign w:val="center"/>
          </w:tcPr>
          <w:p>
            <w:pPr>
              <w:spacing w:line="380" w:lineRule="exact"/>
              <w:ind w:firstLine="1137" w:firstLineChars="441"/>
              <w:rPr>
                <w:color w:val="000000" w:themeColor="text1"/>
                <w:sz w:val="24"/>
                <w:szCs w:val="24"/>
              </w:rPr>
            </w:pPr>
            <w:r>
              <w:rPr>
                <w:rFonts w:hint="eastAsia"/>
                <w:color w:val="000000" w:themeColor="text1"/>
                <w:sz w:val="24"/>
                <w:szCs w:val="24"/>
              </w:rPr>
              <w:t>出口</w:t>
            </w:r>
          </w:p>
        </w:tc>
        <w:tc>
          <w:tcPr>
            <w:tcW w:w="1997"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eastAsia="宋体"/>
                <w:color w:val="000000" w:themeColor="text1"/>
                <w:sz w:val="24"/>
                <w:szCs w:val="24"/>
                <w:lang w:val="en-US" w:eastAsia="zh-CN"/>
              </w:rPr>
              <w:t>7594</w:t>
            </w:r>
          </w:p>
        </w:tc>
        <w:tc>
          <w:tcPr>
            <w:tcW w:w="199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eastAsia="宋体"/>
                <w:color w:val="000000" w:themeColor="text1"/>
                <w:sz w:val="24"/>
                <w:szCs w:val="24"/>
                <w:lang w:val="en-US" w:eastAsia="zh-CN"/>
              </w:rPr>
              <w:t>116508</w:t>
            </w:r>
          </w:p>
        </w:tc>
        <w:tc>
          <w:tcPr>
            <w:tcW w:w="199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eastAsia="宋体"/>
                <w:color w:val="000000" w:themeColor="text1"/>
                <w:sz w:val="24"/>
                <w:szCs w:val="24"/>
                <w:lang w:val="en-US" w:eastAsia="zh-CN"/>
              </w:rPr>
              <w:t>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Borders>
              <w:left w:val="nil"/>
            </w:tcBorders>
            <w:vAlign w:val="center"/>
          </w:tcPr>
          <w:p>
            <w:pPr>
              <w:spacing w:line="380" w:lineRule="exact"/>
              <w:ind w:firstLine="1137" w:firstLineChars="441"/>
              <w:rPr>
                <w:color w:val="000000" w:themeColor="text1"/>
                <w:sz w:val="24"/>
                <w:szCs w:val="24"/>
              </w:rPr>
            </w:pPr>
            <w:r>
              <w:rPr>
                <w:rFonts w:hint="eastAsia"/>
                <w:color w:val="000000" w:themeColor="text1"/>
                <w:sz w:val="24"/>
                <w:szCs w:val="24"/>
              </w:rPr>
              <w:t>进口</w:t>
            </w:r>
          </w:p>
        </w:tc>
        <w:tc>
          <w:tcPr>
            <w:tcW w:w="1997"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eastAsia="宋体"/>
                <w:color w:val="000000" w:themeColor="text1"/>
                <w:sz w:val="24"/>
                <w:szCs w:val="24"/>
                <w:lang w:val="en-US" w:eastAsia="zh-CN"/>
              </w:rPr>
              <w:t>1251</w:t>
            </w:r>
          </w:p>
        </w:tc>
        <w:tc>
          <w:tcPr>
            <w:tcW w:w="199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eastAsia="宋体"/>
                <w:color w:val="000000" w:themeColor="text1"/>
                <w:sz w:val="24"/>
                <w:szCs w:val="24"/>
                <w:lang w:val="en-US" w:eastAsia="zh-CN"/>
              </w:rPr>
              <w:t>15166</w:t>
            </w:r>
          </w:p>
        </w:tc>
        <w:tc>
          <w:tcPr>
            <w:tcW w:w="199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eastAsia="宋体"/>
                <w:color w:val="000000" w:themeColor="text1"/>
                <w:sz w:val="24"/>
                <w:szCs w:val="24"/>
                <w:lang w:val="en-US" w:eastAsia="zh-CN"/>
              </w:rPr>
              <w:t>-68.9</w:t>
            </w:r>
          </w:p>
        </w:tc>
      </w:tr>
    </w:tbl>
    <w:p>
      <w:pPr>
        <w:spacing w:line="380" w:lineRule="exact"/>
        <w:outlineLvl w:val="0"/>
        <w:rPr>
          <w:rFonts w:ascii="宋体" w:hAnsi="宋体"/>
          <w:color w:val="000000" w:themeColor="text1"/>
          <w:sz w:val="21"/>
          <w:szCs w:val="21"/>
        </w:rPr>
      </w:pPr>
      <w:r>
        <w:rPr>
          <w:rFonts w:hint="eastAsia" w:ascii="宋体" w:hAnsi="宋体"/>
          <w:color w:val="000000" w:themeColor="text1"/>
          <w:sz w:val="21"/>
          <w:szCs w:val="21"/>
        </w:rPr>
        <w:t>注：因四舍五入的原因，部分数据总计不等于分项之和。</w:t>
      </w: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hint="eastAsia" w:ascii="黑体" w:eastAsia="黑体"/>
          <w:color w:val="FF0000"/>
          <w:sz w:val="32"/>
          <w:szCs w:val="32"/>
        </w:rPr>
      </w:pPr>
    </w:p>
    <w:p>
      <w:pPr>
        <w:spacing w:line="380" w:lineRule="exact"/>
        <w:jc w:val="center"/>
        <w:rPr>
          <w:rFonts w:hint="eastAsia" w:ascii="黑体" w:eastAsia="黑体"/>
          <w:color w:val="FF0000"/>
          <w:sz w:val="32"/>
          <w:szCs w:val="32"/>
        </w:rPr>
      </w:pPr>
    </w:p>
    <w:p>
      <w:pPr>
        <w:spacing w:line="380" w:lineRule="exact"/>
        <w:jc w:val="center"/>
        <w:rPr>
          <w:rFonts w:hint="eastAsia" w:ascii="黑体" w:eastAsia="黑体"/>
          <w:color w:val="000000" w:themeColor="text1"/>
          <w:sz w:val="32"/>
          <w:szCs w:val="32"/>
        </w:rPr>
      </w:pPr>
    </w:p>
    <w:p>
      <w:pPr>
        <w:spacing w:line="380" w:lineRule="exact"/>
        <w:jc w:val="center"/>
        <w:rPr>
          <w:rFonts w:hint="eastAsia" w:ascii="黑体" w:eastAsia="黑体"/>
          <w:color w:val="000000" w:themeColor="text1"/>
          <w:sz w:val="32"/>
          <w:szCs w:val="32"/>
        </w:rPr>
      </w:pPr>
    </w:p>
    <w:p>
      <w:pPr>
        <w:spacing w:line="380" w:lineRule="exact"/>
        <w:jc w:val="center"/>
        <w:rPr>
          <w:rFonts w:hint="eastAsia" w:ascii="黑体" w:eastAsia="黑体"/>
          <w:color w:val="000000" w:themeColor="text1"/>
          <w:sz w:val="32"/>
          <w:szCs w:val="32"/>
        </w:rPr>
      </w:pPr>
    </w:p>
    <w:p>
      <w:pPr>
        <w:spacing w:line="380" w:lineRule="exact"/>
        <w:jc w:val="center"/>
        <w:rPr>
          <w:rFonts w:hint="eastAsia" w:ascii="黑体" w:eastAsia="黑体"/>
          <w:color w:val="000000" w:themeColor="text1"/>
          <w:sz w:val="32"/>
          <w:szCs w:val="32"/>
        </w:rPr>
      </w:pPr>
    </w:p>
    <w:p>
      <w:pPr>
        <w:spacing w:line="380" w:lineRule="exact"/>
        <w:jc w:val="center"/>
        <w:rPr>
          <w:rFonts w:hint="eastAsia" w:ascii="黑体" w:eastAsia="黑体"/>
          <w:color w:val="000000" w:themeColor="text1"/>
          <w:sz w:val="32"/>
          <w:szCs w:val="32"/>
        </w:rPr>
      </w:pPr>
    </w:p>
    <w:p>
      <w:pPr>
        <w:spacing w:line="380" w:lineRule="exact"/>
        <w:jc w:val="center"/>
        <w:rPr>
          <w:rFonts w:ascii="黑体" w:eastAsia="黑体"/>
          <w:color w:val="000000" w:themeColor="text1"/>
          <w:sz w:val="32"/>
          <w:szCs w:val="32"/>
        </w:rPr>
      </w:pPr>
      <w:r>
        <w:rPr>
          <w:rFonts w:hint="eastAsia" w:ascii="黑体" w:eastAsia="黑体"/>
          <w:color w:val="000000" w:themeColor="text1"/>
          <w:sz w:val="32"/>
          <w:szCs w:val="32"/>
        </w:rPr>
        <w:t>九、金    融</w:t>
      </w:r>
    </w:p>
    <w:p>
      <w:pPr>
        <w:spacing w:line="380" w:lineRule="exact"/>
        <w:jc w:val="right"/>
        <w:outlineLvl w:val="0"/>
        <w:rPr>
          <w:rFonts w:ascii="黑体" w:eastAsia="黑体"/>
          <w:color w:val="000000" w:themeColor="text1"/>
          <w:sz w:val="24"/>
          <w:szCs w:val="24"/>
        </w:rPr>
      </w:pPr>
      <w:r>
        <w:rPr>
          <w:rFonts w:hint="eastAsia" w:ascii="宋体" w:hAnsi="宋体"/>
          <w:color w:val="000000" w:themeColor="text1"/>
          <w:sz w:val="24"/>
          <w:szCs w:val="24"/>
        </w:rPr>
        <w:t>（单位：万元）</w:t>
      </w:r>
    </w:p>
    <w:tbl>
      <w:tblPr>
        <w:tblStyle w:val="11"/>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9"/>
        <w:gridCol w:w="2480"/>
        <w:gridCol w:w="2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4219"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2480" w:type="dxa"/>
            <w:vAlign w:val="center"/>
          </w:tcPr>
          <w:p>
            <w:pPr>
              <w:spacing w:line="380" w:lineRule="exact"/>
              <w:jc w:val="center"/>
              <w:rPr>
                <w:color w:val="000000" w:themeColor="text1"/>
                <w:sz w:val="24"/>
                <w:szCs w:val="24"/>
              </w:rPr>
            </w:pPr>
            <w:r>
              <w:rPr>
                <w:rFonts w:hint="eastAsia"/>
                <w:color w:val="000000" w:themeColor="text1"/>
                <w:sz w:val="24"/>
                <w:szCs w:val="24"/>
              </w:rPr>
              <w:t>本月余额</w:t>
            </w:r>
          </w:p>
        </w:tc>
        <w:tc>
          <w:tcPr>
            <w:tcW w:w="2481" w:type="dxa"/>
            <w:tcBorders>
              <w:right w:val="nil"/>
            </w:tcBorders>
            <w:vAlign w:val="center"/>
          </w:tcPr>
          <w:p>
            <w:pPr>
              <w:spacing w:line="380" w:lineRule="exact"/>
              <w:jc w:val="center"/>
              <w:rPr>
                <w:color w:val="000000" w:themeColor="text1"/>
                <w:sz w:val="24"/>
                <w:szCs w:val="24"/>
              </w:rPr>
            </w:pPr>
            <w:r>
              <w:rPr>
                <w:rFonts w:hint="eastAsia"/>
                <w:color w:val="000000" w:themeColor="text1"/>
                <w:sz w:val="24"/>
                <w:szCs w:val="24"/>
              </w:rPr>
              <w:t>比年初</w:t>
            </w:r>
            <w:r>
              <w:rPr>
                <w:rFonts w:hint="eastAsia" w:ascii="宋体" w:hAnsi="宋体"/>
                <w:color w:val="000000" w:themeColor="text1"/>
                <w:sz w:val="24"/>
                <w:szCs w:val="24"/>
              </w:rPr>
              <w:t>±额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color w:val="000000" w:themeColor="text1"/>
                <w:sz w:val="24"/>
                <w:szCs w:val="24"/>
              </w:rPr>
            </w:pPr>
            <w:r>
              <w:rPr>
                <w:rFonts w:hint="eastAsia"/>
                <w:color w:val="000000" w:themeColor="text1"/>
                <w:sz w:val="24"/>
                <w:szCs w:val="24"/>
              </w:rPr>
              <w:t>一、金融机构各项存款余额</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4955931</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608764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ind w:firstLine="626" w:firstLineChars="243"/>
              <w:rPr>
                <w:color w:val="000000" w:themeColor="text1"/>
                <w:sz w:val="24"/>
                <w:szCs w:val="24"/>
              </w:rPr>
            </w:pPr>
            <w:r>
              <w:rPr>
                <w:rFonts w:hint="eastAsia"/>
                <w:color w:val="000000" w:themeColor="text1"/>
                <w:sz w:val="24"/>
                <w:szCs w:val="24"/>
              </w:rPr>
              <w:t>住户存款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4280523</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544443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非金融企业存款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429348</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47089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广义政府存款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244271</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17079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ind w:firstLine="645" w:firstLineChars="250"/>
              <w:rPr>
                <w:color w:val="000000" w:themeColor="text1"/>
                <w:sz w:val="24"/>
                <w:szCs w:val="24"/>
              </w:rPr>
            </w:pPr>
            <w:r>
              <w:rPr>
                <w:rFonts w:hint="eastAsia"/>
                <w:color w:val="000000" w:themeColor="text1"/>
                <w:sz w:val="24"/>
                <w:szCs w:val="24"/>
              </w:rPr>
              <w:t>非银行金融机构存款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1010</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color w:val="000000" w:themeColor="text1"/>
                <w:sz w:val="24"/>
                <w:szCs w:val="24"/>
              </w:rPr>
            </w:pPr>
            <w:r>
              <w:rPr>
                <w:rFonts w:hint="eastAsia"/>
                <w:color w:val="000000" w:themeColor="text1"/>
                <w:sz w:val="24"/>
                <w:szCs w:val="24"/>
              </w:rPr>
              <w:t>二、金融机构各项贷款余额</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3620853</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452061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tabs>
                <w:tab w:val="left" w:pos="495"/>
              </w:tabs>
              <w:spacing w:line="380" w:lineRule="exact"/>
              <w:rPr>
                <w:color w:val="000000" w:themeColor="text1"/>
                <w:sz w:val="24"/>
                <w:szCs w:val="24"/>
              </w:rPr>
            </w:pPr>
            <w:r>
              <w:rPr>
                <w:rFonts w:hint="eastAsia"/>
                <w:color w:val="000000" w:themeColor="text1"/>
                <w:sz w:val="24"/>
                <w:szCs w:val="24"/>
              </w:rPr>
              <w:t xml:space="preserve">    住户贷款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1397236</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126178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ind w:firstLine="1010" w:firstLineChars="392"/>
              <w:rPr>
                <w:color w:val="000000" w:themeColor="text1"/>
                <w:sz w:val="24"/>
                <w:szCs w:val="24"/>
              </w:rPr>
            </w:pPr>
            <w:r>
              <w:rPr>
                <w:rFonts w:hint="eastAsia"/>
                <w:color w:val="000000" w:themeColor="text1"/>
                <w:sz w:val="24"/>
                <w:szCs w:val="24"/>
              </w:rPr>
              <w:t>其中：短期贷款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553421</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90392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tabs>
                <w:tab w:val="left" w:pos="1365"/>
              </w:tabs>
              <w:spacing w:line="380" w:lineRule="exact"/>
              <w:rPr>
                <w:color w:val="000000" w:themeColor="text1"/>
                <w:sz w:val="24"/>
                <w:szCs w:val="24"/>
              </w:rPr>
            </w:pPr>
            <w:r>
              <w:rPr>
                <w:rFonts w:hint="eastAsia"/>
                <w:color w:val="000000" w:themeColor="text1"/>
                <w:sz w:val="24"/>
                <w:szCs w:val="24"/>
              </w:rPr>
              <w:t xml:space="preserve">              中长期贷款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843815</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35786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tabs>
                <w:tab w:val="left" w:pos="1335"/>
              </w:tabs>
              <w:spacing w:line="380" w:lineRule="exact"/>
              <w:ind w:firstLine="505" w:firstLineChars="196"/>
              <w:rPr>
                <w:color w:val="000000" w:themeColor="text1"/>
                <w:sz w:val="24"/>
                <w:szCs w:val="24"/>
              </w:rPr>
            </w:pPr>
            <w:r>
              <w:rPr>
                <w:rFonts w:hint="eastAsia"/>
                <w:color w:val="000000" w:themeColor="text1"/>
                <w:sz w:val="24"/>
                <w:szCs w:val="24"/>
              </w:rPr>
              <w:t>非金融企业及机关团体贷款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2184054</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286387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其中：短期贷款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624001</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-17643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中长期贷款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1528125</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276736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ind w:firstLine="1795" w:firstLineChars="696"/>
              <w:rPr>
                <w:color w:val="000000" w:themeColor="text1"/>
                <w:sz w:val="24"/>
                <w:szCs w:val="24"/>
              </w:rPr>
            </w:pPr>
            <w:r>
              <w:rPr>
                <w:rFonts w:hint="eastAsia"/>
                <w:color w:val="000000" w:themeColor="text1"/>
                <w:sz w:val="24"/>
                <w:szCs w:val="24"/>
              </w:rPr>
              <w:t>票据融资</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31928</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27294</w:t>
            </w:r>
          </w:p>
        </w:tc>
      </w:tr>
    </w:tbl>
    <w:p>
      <w:pPr>
        <w:spacing w:line="380" w:lineRule="exact"/>
        <w:rPr>
          <w:b/>
          <w:color w:val="000000" w:themeColor="text1"/>
          <w:sz w:val="21"/>
          <w:szCs w:val="21"/>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bookmarkStart w:id="0" w:name="_GoBack"/>
      <w:bookmarkEnd w:id="0"/>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hint="eastAsia" w:ascii="黑体" w:eastAsia="黑体"/>
          <w:color w:val="FF0000"/>
          <w:sz w:val="32"/>
          <w:szCs w:val="32"/>
        </w:rPr>
      </w:pPr>
    </w:p>
    <w:p>
      <w:pPr>
        <w:spacing w:line="380" w:lineRule="exact"/>
        <w:ind w:firstLine="3629" w:firstLineChars="1074"/>
        <w:outlineLvl w:val="0"/>
        <w:rPr>
          <w:rFonts w:ascii="黑体" w:eastAsia="黑体"/>
          <w:color w:val="000000" w:themeColor="text1"/>
          <w:sz w:val="32"/>
          <w:szCs w:val="32"/>
        </w:rPr>
      </w:pPr>
      <w:r>
        <w:rPr>
          <w:rFonts w:hint="eastAsia" w:ascii="黑体" w:eastAsia="黑体"/>
          <w:color w:val="000000" w:themeColor="text1"/>
          <w:sz w:val="32"/>
          <w:szCs w:val="32"/>
        </w:rPr>
        <w:t>十、社会保障</w:t>
      </w:r>
    </w:p>
    <w:tbl>
      <w:tblPr>
        <w:tblStyle w:val="11"/>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1345"/>
        <w:gridCol w:w="448"/>
        <w:gridCol w:w="897"/>
        <w:gridCol w:w="896"/>
        <w:gridCol w:w="449"/>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top w:val="nil"/>
              <w:left w:val="nil"/>
              <w:right w:val="nil"/>
            </w:tcBorders>
            <w:vAlign w:val="center"/>
          </w:tcPr>
          <w:p>
            <w:pPr>
              <w:spacing w:line="380" w:lineRule="exact"/>
              <w:jc w:val="center"/>
              <w:rPr>
                <w:rFonts w:ascii="黑体" w:hAnsi="黑体" w:eastAsia="黑体"/>
                <w:color w:val="000000" w:themeColor="text1"/>
              </w:rPr>
            </w:pPr>
            <w:r>
              <w:rPr>
                <w:rFonts w:hint="eastAsia" w:ascii="黑体" w:hAnsi="黑体" w:eastAsia="黑体"/>
                <w:color w:val="000000" w:themeColor="text1"/>
              </w:rPr>
              <w:t>（一）企业职工养老保险情况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1345" w:type="dxa"/>
            <w:vAlign w:val="center"/>
          </w:tcPr>
          <w:p>
            <w:pPr>
              <w:spacing w:line="380" w:lineRule="exact"/>
              <w:jc w:val="center"/>
              <w:rPr>
                <w:color w:val="000000" w:themeColor="text1"/>
                <w:sz w:val="24"/>
                <w:szCs w:val="24"/>
              </w:rPr>
            </w:pPr>
            <w:r>
              <w:rPr>
                <w:rFonts w:hint="eastAsia"/>
                <w:color w:val="000000" w:themeColor="text1"/>
                <w:sz w:val="24"/>
                <w:szCs w:val="24"/>
              </w:rPr>
              <w:t>本月</w:t>
            </w:r>
          </w:p>
        </w:tc>
        <w:tc>
          <w:tcPr>
            <w:tcW w:w="1345" w:type="dxa"/>
            <w:gridSpan w:val="2"/>
            <w:vAlign w:val="center"/>
          </w:tcPr>
          <w:p>
            <w:pPr>
              <w:spacing w:line="380" w:lineRule="exact"/>
              <w:jc w:val="center"/>
              <w:rPr>
                <w:color w:val="000000" w:themeColor="text1"/>
                <w:sz w:val="24"/>
                <w:szCs w:val="24"/>
              </w:rPr>
            </w:pPr>
            <w:r>
              <w:rPr>
                <w:rFonts w:hint="eastAsia"/>
                <w:color w:val="000000" w:themeColor="text1"/>
                <w:sz w:val="24"/>
                <w:szCs w:val="24"/>
              </w:rPr>
              <w:t>累计</w:t>
            </w:r>
          </w:p>
        </w:tc>
        <w:tc>
          <w:tcPr>
            <w:tcW w:w="1345" w:type="dxa"/>
            <w:gridSpan w:val="2"/>
            <w:vAlign w:val="center"/>
          </w:tcPr>
          <w:p>
            <w:pPr>
              <w:spacing w:line="380" w:lineRule="exact"/>
              <w:jc w:val="center"/>
              <w:rPr>
                <w:color w:val="000000" w:themeColor="text1"/>
                <w:sz w:val="24"/>
                <w:szCs w:val="24"/>
              </w:rPr>
            </w:pPr>
            <w:r>
              <w:rPr>
                <w:rFonts w:hint="eastAsia"/>
                <w:color w:val="000000" w:themeColor="text1"/>
                <w:sz w:val="24"/>
                <w:szCs w:val="24"/>
              </w:rPr>
              <w:t>同期累计</w:t>
            </w:r>
          </w:p>
        </w:tc>
        <w:tc>
          <w:tcPr>
            <w:tcW w:w="1351" w:type="dxa"/>
            <w:tcBorders>
              <w:righ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同比±%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参保单位数（户）</w:t>
            </w:r>
          </w:p>
        </w:tc>
        <w:tc>
          <w:tcPr>
            <w:tcW w:w="1345"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w:t>
            </w:r>
          </w:p>
        </w:tc>
        <w:tc>
          <w:tcPr>
            <w:tcW w:w="1345" w:type="dxa"/>
            <w:gridSpan w:val="2"/>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1388</w:t>
            </w:r>
          </w:p>
        </w:tc>
        <w:tc>
          <w:tcPr>
            <w:tcW w:w="1345" w:type="dxa"/>
            <w:gridSpan w:val="2"/>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w:t>
            </w:r>
          </w:p>
        </w:tc>
        <w:tc>
          <w:tcPr>
            <w:tcW w:w="1351"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参保人数（人）</w:t>
            </w:r>
          </w:p>
        </w:tc>
        <w:tc>
          <w:tcPr>
            <w:tcW w:w="1345"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w:t>
            </w:r>
          </w:p>
        </w:tc>
        <w:tc>
          <w:tcPr>
            <w:tcW w:w="1345" w:type="dxa"/>
            <w:gridSpan w:val="2"/>
            <w:vAlign w:val="center"/>
          </w:tcPr>
          <w:p>
            <w:pPr>
              <w:spacing w:line="380" w:lineRule="exact"/>
              <w:ind w:firstLine="254" w:firstLineChars="99"/>
              <w:rPr>
                <w:rFonts w:hint="default" w:eastAsia="宋体"/>
                <w:color w:val="000000" w:themeColor="text1"/>
                <w:sz w:val="24"/>
                <w:szCs w:val="24"/>
                <w:lang w:val="en-US" w:eastAsia="zh-CN"/>
              </w:rPr>
            </w:pPr>
            <w:r>
              <w:rPr>
                <w:rFonts w:hint="eastAsia"/>
                <w:color w:val="000000" w:themeColor="text1"/>
                <w:sz w:val="24"/>
                <w:szCs w:val="24"/>
                <w:lang w:val="en-US" w:eastAsia="zh-CN"/>
              </w:rPr>
              <w:t>80388</w:t>
            </w:r>
          </w:p>
        </w:tc>
        <w:tc>
          <w:tcPr>
            <w:tcW w:w="1345" w:type="dxa"/>
            <w:gridSpan w:val="2"/>
            <w:vAlign w:val="center"/>
          </w:tcPr>
          <w:p>
            <w:pPr>
              <w:spacing w:line="380" w:lineRule="exact"/>
              <w:ind w:firstLine="512" w:firstLineChars="199"/>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w:t>
            </w:r>
          </w:p>
        </w:tc>
        <w:tc>
          <w:tcPr>
            <w:tcW w:w="1351"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离退休人数（人）</w:t>
            </w:r>
          </w:p>
        </w:tc>
        <w:tc>
          <w:tcPr>
            <w:tcW w:w="1345"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w:t>
            </w:r>
          </w:p>
        </w:tc>
        <w:tc>
          <w:tcPr>
            <w:tcW w:w="1345" w:type="dxa"/>
            <w:gridSpan w:val="2"/>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32898</w:t>
            </w:r>
          </w:p>
        </w:tc>
        <w:tc>
          <w:tcPr>
            <w:tcW w:w="1345" w:type="dxa"/>
            <w:gridSpan w:val="2"/>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w:t>
            </w:r>
          </w:p>
        </w:tc>
        <w:tc>
          <w:tcPr>
            <w:tcW w:w="1351"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实收保费（万元）</w:t>
            </w:r>
          </w:p>
        </w:tc>
        <w:tc>
          <w:tcPr>
            <w:tcW w:w="1345"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8029</w:t>
            </w:r>
          </w:p>
        </w:tc>
        <w:tc>
          <w:tcPr>
            <w:tcW w:w="1345" w:type="dxa"/>
            <w:gridSpan w:val="2"/>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40400</w:t>
            </w:r>
          </w:p>
        </w:tc>
        <w:tc>
          <w:tcPr>
            <w:tcW w:w="1345" w:type="dxa"/>
            <w:gridSpan w:val="2"/>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w:t>
            </w:r>
          </w:p>
        </w:tc>
        <w:tc>
          <w:tcPr>
            <w:tcW w:w="1351"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实付养老金（万元）</w:t>
            </w:r>
          </w:p>
        </w:tc>
        <w:tc>
          <w:tcPr>
            <w:tcW w:w="1345"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w:t>
            </w:r>
          </w:p>
        </w:tc>
        <w:tc>
          <w:tcPr>
            <w:tcW w:w="1345" w:type="dxa"/>
            <w:gridSpan w:val="2"/>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91855</w:t>
            </w:r>
          </w:p>
        </w:tc>
        <w:tc>
          <w:tcPr>
            <w:tcW w:w="1345" w:type="dxa"/>
            <w:gridSpan w:val="2"/>
            <w:vAlign w:val="center"/>
          </w:tcPr>
          <w:p>
            <w:pPr>
              <w:spacing w:line="380" w:lineRule="exact"/>
              <w:jc w:val="center"/>
              <w:rPr>
                <w:rFonts w:hint="default" w:ascii="Times New Roman" w:hAnsi="Times New Roman" w:eastAsia="宋体" w:cs="Times New Roman"/>
                <w:color w:val="000000" w:themeColor="text1"/>
                <w:kern w:val="2"/>
                <w:sz w:val="24"/>
                <w:szCs w:val="24"/>
                <w:lang w:val="en-US" w:eastAsia="zh-CN" w:bidi="ar-SA"/>
              </w:rPr>
            </w:pPr>
            <w:r>
              <w:rPr>
                <w:rFonts w:hint="eastAsia" w:cs="Times New Roman"/>
                <w:color w:val="000000" w:themeColor="text1"/>
                <w:kern w:val="2"/>
                <w:sz w:val="24"/>
                <w:szCs w:val="24"/>
                <w:lang w:val="en-US" w:eastAsia="zh-CN" w:bidi="ar-SA"/>
              </w:rPr>
              <w:t>-</w:t>
            </w:r>
          </w:p>
        </w:tc>
        <w:tc>
          <w:tcPr>
            <w:tcW w:w="1351"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top w:val="nil"/>
              <w:left w:val="nil"/>
              <w:bottom w:val="single" w:color="auto" w:sz="4" w:space="0"/>
              <w:right w:val="nil"/>
            </w:tcBorders>
            <w:vAlign w:val="center"/>
          </w:tcPr>
          <w:p>
            <w:pPr>
              <w:spacing w:line="380" w:lineRule="exact"/>
              <w:ind w:firstLine="2467" w:firstLineChars="828"/>
              <w:rPr>
                <w:rFonts w:ascii="黑体" w:hAnsi="黑体" w:eastAsia="黑体"/>
                <w:color w:val="000000" w:themeColor="text1"/>
              </w:rPr>
            </w:pPr>
            <w:r>
              <w:rPr>
                <w:rFonts w:hint="eastAsia" w:ascii="黑体" w:hAnsi="黑体" w:eastAsia="黑体"/>
                <w:color w:val="000000" w:themeColor="text1"/>
              </w:rPr>
              <w:t>（二）机关事业单位养老保险情况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1345" w:type="dxa"/>
            <w:tcBorders>
              <w:left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本月</w:t>
            </w:r>
          </w:p>
        </w:tc>
        <w:tc>
          <w:tcPr>
            <w:tcW w:w="1345" w:type="dxa"/>
            <w:gridSpan w:val="2"/>
            <w:tcBorders>
              <w:left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累计</w:t>
            </w:r>
          </w:p>
        </w:tc>
        <w:tc>
          <w:tcPr>
            <w:tcW w:w="1345" w:type="dxa"/>
            <w:gridSpan w:val="2"/>
            <w:tcBorders>
              <w:left w:val="single" w:color="auto" w:sz="4" w:space="0"/>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同期累计</w:t>
            </w:r>
          </w:p>
        </w:tc>
        <w:tc>
          <w:tcPr>
            <w:tcW w:w="1351" w:type="dxa"/>
            <w:tcBorders>
              <w:left w:val="single" w:color="auto" w:sz="4" w:space="0"/>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市本级参保人数（人）</w:t>
            </w:r>
          </w:p>
        </w:tc>
        <w:tc>
          <w:tcPr>
            <w:tcW w:w="1345" w:type="dxa"/>
            <w:tcBorders>
              <w:lef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w:t>
            </w:r>
          </w:p>
        </w:tc>
        <w:tc>
          <w:tcPr>
            <w:tcW w:w="1345" w:type="dxa"/>
            <w:gridSpan w:val="2"/>
            <w:tcBorders>
              <w:left w:val="nil"/>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15337</w:t>
            </w:r>
          </w:p>
        </w:tc>
        <w:tc>
          <w:tcPr>
            <w:tcW w:w="1345" w:type="dxa"/>
            <w:gridSpan w:val="2"/>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16689</w:t>
            </w:r>
          </w:p>
        </w:tc>
        <w:tc>
          <w:tcPr>
            <w:tcW w:w="1351"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市本级养老保险基金收入(万元)</w:t>
            </w:r>
          </w:p>
        </w:tc>
        <w:tc>
          <w:tcPr>
            <w:tcW w:w="1345" w:type="dxa"/>
            <w:tcBorders>
              <w:left w:val="nil"/>
            </w:tcBorders>
            <w:vAlign w:val="center"/>
          </w:tcPr>
          <w:p>
            <w:pPr>
              <w:tabs>
                <w:tab w:val="left" w:pos="523"/>
              </w:tabs>
              <w:spacing w:line="380" w:lineRule="exact"/>
              <w:ind w:firstLine="125" w:firstLineChars="49"/>
              <w:jc w:val="left"/>
              <w:rPr>
                <w:rFonts w:hint="default" w:eastAsia="宋体"/>
                <w:color w:val="000000" w:themeColor="text1"/>
                <w:sz w:val="24"/>
                <w:szCs w:val="24"/>
                <w:lang w:val="en-US" w:eastAsia="zh-CN"/>
              </w:rPr>
            </w:pPr>
            <w:r>
              <w:rPr>
                <w:rFonts w:hint="eastAsia"/>
                <w:color w:val="000000" w:themeColor="text1"/>
                <w:sz w:val="24"/>
                <w:szCs w:val="24"/>
                <w:lang w:val="en-US" w:eastAsia="zh-CN"/>
              </w:rPr>
              <w:t>7007.59</w:t>
            </w:r>
          </w:p>
        </w:tc>
        <w:tc>
          <w:tcPr>
            <w:tcW w:w="1345" w:type="dxa"/>
            <w:gridSpan w:val="2"/>
            <w:tcBorders>
              <w:left w:val="nil"/>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54010.03</w:t>
            </w:r>
          </w:p>
        </w:tc>
        <w:tc>
          <w:tcPr>
            <w:tcW w:w="1345" w:type="dxa"/>
            <w:gridSpan w:val="2"/>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50678.9</w:t>
            </w:r>
          </w:p>
        </w:tc>
        <w:tc>
          <w:tcPr>
            <w:tcW w:w="1351"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市级养老保险基金支出（万元）</w:t>
            </w:r>
          </w:p>
        </w:tc>
        <w:tc>
          <w:tcPr>
            <w:tcW w:w="1345" w:type="dxa"/>
            <w:tcBorders>
              <w:lef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4518.07</w:t>
            </w:r>
          </w:p>
        </w:tc>
        <w:tc>
          <w:tcPr>
            <w:tcW w:w="1345" w:type="dxa"/>
            <w:gridSpan w:val="2"/>
            <w:tcBorders>
              <w:left w:val="nil"/>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53402.95</w:t>
            </w:r>
          </w:p>
        </w:tc>
        <w:tc>
          <w:tcPr>
            <w:tcW w:w="1345" w:type="dxa"/>
            <w:gridSpan w:val="2"/>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51445.37</w:t>
            </w:r>
          </w:p>
        </w:tc>
        <w:tc>
          <w:tcPr>
            <w:tcW w:w="1351"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期末养老保险金结余（万元）</w:t>
            </w:r>
          </w:p>
        </w:tc>
        <w:tc>
          <w:tcPr>
            <w:tcW w:w="1345" w:type="dxa"/>
            <w:tcBorders>
              <w:lef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2489.52</w:t>
            </w:r>
          </w:p>
        </w:tc>
        <w:tc>
          <w:tcPr>
            <w:tcW w:w="1345" w:type="dxa"/>
            <w:gridSpan w:val="2"/>
            <w:tcBorders>
              <w:left w:val="nil"/>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607.08</w:t>
            </w:r>
          </w:p>
        </w:tc>
        <w:tc>
          <w:tcPr>
            <w:tcW w:w="1345" w:type="dxa"/>
            <w:gridSpan w:val="2"/>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-766.47</w:t>
            </w:r>
          </w:p>
        </w:tc>
        <w:tc>
          <w:tcPr>
            <w:tcW w:w="1351"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left w:val="nil"/>
              <w:right w:val="nil"/>
            </w:tcBorders>
            <w:vAlign w:val="center"/>
          </w:tcPr>
          <w:p>
            <w:pPr>
              <w:spacing w:line="360" w:lineRule="exact"/>
              <w:ind w:firstLine="2753" w:firstLineChars="924"/>
              <w:rPr>
                <w:rFonts w:ascii="黑体" w:hAnsi="黑体" w:eastAsia="黑体"/>
                <w:color w:val="000000" w:themeColor="text1"/>
              </w:rPr>
            </w:pPr>
            <w:r>
              <w:rPr>
                <w:rFonts w:hint="eastAsia" w:ascii="黑体" w:hAnsi="黑体" w:eastAsia="黑体"/>
                <w:color w:val="000000" w:themeColor="text1"/>
              </w:rPr>
              <w:t>（三）失业保险情况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jc w:val="center"/>
              <w:rPr>
                <w:color w:val="000000" w:themeColor="text1"/>
                <w:sz w:val="24"/>
                <w:szCs w:val="24"/>
              </w:rPr>
            </w:pPr>
            <w:r>
              <w:rPr>
                <w:rFonts w:hint="eastAsia"/>
                <w:color w:val="000000" w:themeColor="text1"/>
                <w:sz w:val="24"/>
                <w:szCs w:val="24"/>
              </w:rPr>
              <w:t>指标名称</w:t>
            </w:r>
          </w:p>
        </w:tc>
        <w:tc>
          <w:tcPr>
            <w:tcW w:w="2690" w:type="dxa"/>
            <w:gridSpan w:val="3"/>
            <w:tcBorders>
              <w:left w:val="nil"/>
              <w:right w:val="single" w:color="auto" w:sz="4" w:space="0"/>
            </w:tcBorders>
            <w:vAlign w:val="center"/>
          </w:tcPr>
          <w:p>
            <w:pPr>
              <w:spacing w:line="360" w:lineRule="exact"/>
              <w:jc w:val="center"/>
              <w:rPr>
                <w:color w:val="000000" w:themeColor="text1"/>
                <w:sz w:val="24"/>
                <w:szCs w:val="24"/>
              </w:rPr>
            </w:pPr>
            <w:r>
              <w:rPr>
                <w:rFonts w:hint="eastAsia"/>
                <w:color w:val="000000" w:themeColor="text1"/>
                <w:sz w:val="24"/>
                <w:szCs w:val="24"/>
              </w:rPr>
              <w:t>本月</w:t>
            </w:r>
          </w:p>
        </w:tc>
        <w:tc>
          <w:tcPr>
            <w:tcW w:w="2696" w:type="dxa"/>
            <w:gridSpan w:val="3"/>
            <w:tcBorders>
              <w:left w:val="single" w:color="auto" w:sz="4" w:space="0"/>
              <w:right w:val="nil"/>
            </w:tcBorders>
            <w:vAlign w:val="center"/>
          </w:tcPr>
          <w:p>
            <w:pPr>
              <w:spacing w:line="360" w:lineRule="exact"/>
              <w:jc w:val="center"/>
              <w:rPr>
                <w:color w:val="000000" w:themeColor="text1"/>
                <w:sz w:val="24"/>
                <w:szCs w:val="24"/>
              </w:rPr>
            </w:pPr>
            <w:r>
              <w:rPr>
                <w:rFonts w:hint="eastAsia"/>
                <w:color w:val="000000" w:themeColor="text1"/>
                <w:sz w:val="24"/>
                <w:szCs w:val="24"/>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期末参保人数（人）</w:t>
            </w:r>
          </w:p>
        </w:tc>
        <w:tc>
          <w:tcPr>
            <w:tcW w:w="2690" w:type="dxa"/>
            <w:gridSpan w:val="3"/>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37600</w:t>
            </w:r>
          </w:p>
        </w:tc>
        <w:tc>
          <w:tcPr>
            <w:tcW w:w="2696" w:type="dxa"/>
            <w:gridSpan w:val="3"/>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458077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失业保险基金收入（万元）</w:t>
            </w:r>
          </w:p>
        </w:tc>
        <w:tc>
          <w:tcPr>
            <w:tcW w:w="2690" w:type="dxa"/>
            <w:gridSpan w:val="3"/>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314.55</w:t>
            </w:r>
          </w:p>
        </w:tc>
        <w:tc>
          <w:tcPr>
            <w:tcW w:w="2696" w:type="dxa"/>
            <w:gridSpan w:val="3"/>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2051.41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失业保险基金支出（万元）</w:t>
            </w:r>
          </w:p>
        </w:tc>
        <w:tc>
          <w:tcPr>
            <w:tcW w:w="2690" w:type="dxa"/>
            <w:gridSpan w:val="3"/>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274.71</w:t>
            </w:r>
          </w:p>
        </w:tc>
        <w:tc>
          <w:tcPr>
            <w:tcW w:w="2696" w:type="dxa"/>
            <w:gridSpan w:val="3"/>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1939.72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领取失业保险金人数（人）</w:t>
            </w:r>
          </w:p>
        </w:tc>
        <w:tc>
          <w:tcPr>
            <w:tcW w:w="2690" w:type="dxa"/>
            <w:gridSpan w:val="3"/>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832</w:t>
            </w:r>
          </w:p>
        </w:tc>
        <w:tc>
          <w:tcPr>
            <w:tcW w:w="2696" w:type="dxa"/>
            <w:gridSpan w:val="3"/>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失业保险基金结余（万元）</w:t>
            </w:r>
          </w:p>
        </w:tc>
        <w:tc>
          <w:tcPr>
            <w:tcW w:w="2690" w:type="dxa"/>
            <w:gridSpan w:val="3"/>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39.84</w:t>
            </w:r>
          </w:p>
        </w:tc>
        <w:tc>
          <w:tcPr>
            <w:tcW w:w="2696" w:type="dxa"/>
            <w:gridSpan w:val="3"/>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2811.75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left w:val="nil"/>
              <w:right w:val="nil"/>
            </w:tcBorders>
            <w:vAlign w:val="center"/>
          </w:tcPr>
          <w:p>
            <w:pPr>
              <w:spacing w:line="360" w:lineRule="exact"/>
              <w:ind w:firstLine="2741" w:firstLineChars="920"/>
              <w:rPr>
                <w:rFonts w:ascii="黑体" w:hAnsi="黑体" w:eastAsia="黑体"/>
                <w:color w:val="000000" w:themeColor="text1"/>
              </w:rPr>
            </w:pPr>
            <w:r>
              <w:rPr>
                <w:rFonts w:hint="eastAsia" w:ascii="黑体" w:hAnsi="黑体" w:eastAsia="黑体"/>
                <w:color w:val="000000" w:themeColor="text1"/>
              </w:rPr>
              <w:t>（四）最低生活保障情况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jc w:val="center"/>
              <w:rPr>
                <w:color w:val="000000" w:themeColor="text1"/>
                <w:sz w:val="24"/>
                <w:szCs w:val="24"/>
              </w:rPr>
            </w:pPr>
            <w:r>
              <w:rPr>
                <w:rFonts w:hint="eastAsia"/>
                <w:color w:val="000000" w:themeColor="text1"/>
                <w:sz w:val="24"/>
                <w:szCs w:val="24"/>
              </w:rPr>
              <w:t>指标名称</w:t>
            </w:r>
          </w:p>
        </w:tc>
        <w:tc>
          <w:tcPr>
            <w:tcW w:w="1793" w:type="dxa"/>
            <w:gridSpan w:val="2"/>
            <w:tcBorders>
              <w:left w:val="nil"/>
            </w:tcBorders>
            <w:vAlign w:val="center"/>
          </w:tcPr>
          <w:p>
            <w:pPr>
              <w:spacing w:line="360" w:lineRule="exact"/>
              <w:jc w:val="center"/>
              <w:rPr>
                <w:color w:val="000000" w:themeColor="text1"/>
                <w:sz w:val="24"/>
                <w:szCs w:val="24"/>
              </w:rPr>
            </w:pPr>
            <w:r>
              <w:rPr>
                <w:rFonts w:hint="eastAsia"/>
                <w:color w:val="000000" w:themeColor="text1"/>
                <w:sz w:val="24"/>
                <w:szCs w:val="24"/>
              </w:rPr>
              <w:t>当月发放</w:t>
            </w:r>
          </w:p>
          <w:p>
            <w:pPr>
              <w:spacing w:line="360" w:lineRule="exact"/>
              <w:jc w:val="center"/>
              <w:rPr>
                <w:color w:val="000000" w:themeColor="text1"/>
                <w:sz w:val="24"/>
                <w:szCs w:val="24"/>
              </w:rPr>
            </w:pPr>
            <w:r>
              <w:rPr>
                <w:rFonts w:hint="eastAsia"/>
                <w:color w:val="000000" w:themeColor="text1"/>
                <w:sz w:val="24"/>
                <w:szCs w:val="24"/>
              </w:rPr>
              <w:t>户数（户）</w:t>
            </w:r>
          </w:p>
        </w:tc>
        <w:tc>
          <w:tcPr>
            <w:tcW w:w="1793" w:type="dxa"/>
            <w:gridSpan w:val="2"/>
            <w:tcBorders>
              <w:left w:val="nil"/>
            </w:tcBorders>
            <w:vAlign w:val="center"/>
          </w:tcPr>
          <w:p>
            <w:pPr>
              <w:spacing w:line="360" w:lineRule="exact"/>
              <w:jc w:val="center"/>
              <w:rPr>
                <w:color w:val="000000" w:themeColor="text1"/>
                <w:sz w:val="24"/>
                <w:szCs w:val="24"/>
              </w:rPr>
            </w:pPr>
            <w:r>
              <w:rPr>
                <w:rFonts w:hint="eastAsia"/>
                <w:color w:val="000000" w:themeColor="text1"/>
                <w:sz w:val="24"/>
                <w:szCs w:val="24"/>
              </w:rPr>
              <w:t>当月发放</w:t>
            </w:r>
          </w:p>
          <w:p>
            <w:pPr>
              <w:spacing w:line="360" w:lineRule="exact"/>
              <w:jc w:val="center"/>
              <w:rPr>
                <w:color w:val="000000" w:themeColor="text1"/>
                <w:sz w:val="24"/>
                <w:szCs w:val="24"/>
              </w:rPr>
            </w:pPr>
            <w:r>
              <w:rPr>
                <w:rFonts w:hint="eastAsia"/>
                <w:color w:val="000000" w:themeColor="text1"/>
                <w:sz w:val="24"/>
                <w:szCs w:val="24"/>
              </w:rPr>
              <w:t>人数（人）</w:t>
            </w:r>
          </w:p>
        </w:tc>
        <w:tc>
          <w:tcPr>
            <w:tcW w:w="1800" w:type="dxa"/>
            <w:gridSpan w:val="2"/>
            <w:tcBorders>
              <w:left w:val="nil"/>
              <w:right w:val="nil"/>
            </w:tcBorders>
            <w:vAlign w:val="center"/>
          </w:tcPr>
          <w:p>
            <w:pPr>
              <w:spacing w:line="360" w:lineRule="exact"/>
              <w:jc w:val="center"/>
              <w:rPr>
                <w:color w:val="000000" w:themeColor="text1"/>
                <w:sz w:val="24"/>
                <w:szCs w:val="24"/>
              </w:rPr>
            </w:pPr>
            <w:r>
              <w:rPr>
                <w:rFonts w:hint="eastAsia"/>
                <w:color w:val="000000" w:themeColor="text1"/>
                <w:sz w:val="24"/>
                <w:szCs w:val="24"/>
              </w:rPr>
              <w:t>当月发放</w:t>
            </w:r>
          </w:p>
          <w:p>
            <w:pPr>
              <w:spacing w:line="360" w:lineRule="exact"/>
              <w:jc w:val="center"/>
              <w:rPr>
                <w:color w:val="000000" w:themeColor="text1"/>
                <w:sz w:val="24"/>
                <w:szCs w:val="24"/>
              </w:rPr>
            </w:pPr>
            <w:r>
              <w:rPr>
                <w:rFonts w:hint="eastAsia"/>
                <w:color w:val="000000" w:themeColor="text1"/>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 xml:space="preserve">       总 计</w:t>
            </w:r>
          </w:p>
        </w:tc>
        <w:tc>
          <w:tcPr>
            <w:tcW w:w="1793" w:type="dxa"/>
            <w:gridSpan w:val="2"/>
            <w:tcBorders>
              <w:left w:val="nil"/>
            </w:tcBorders>
            <w:vAlign w:val="center"/>
          </w:tcPr>
          <w:p>
            <w:pPr>
              <w:spacing w:line="380" w:lineRule="exact"/>
              <w:jc w:val="center"/>
              <w:rPr>
                <w:rFonts w:hint="default" w:eastAsia="宋体"/>
                <w:b/>
                <w:bCs/>
                <w:color w:val="000000" w:themeColor="text1"/>
                <w:sz w:val="24"/>
                <w:szCs w:val="24"/>
                <w:lang w:val="en-US" w:eastAsia="zh-CN"/>
              </w:rPr>
            </w:pPr>
            <w:r>
              <w:rPr>
                <w:rFonts w:hint="eastAsia"/>
                <w:b w:val="0"/>
                <w:bCs w:val="0"/>
                <w:color w:val="000000" w:themeColor="text1"/>
                <w:sz w:val="24"/>
                <w:szCs w:val="24"/>
                <w:lang w:val="en-US" w:eastAsia="zh-CN"/>
              </w:rPr>
              <w:t>10006</w:t>
            </w:r>
          </w:p>
        </w:tc>
        <w:tc>
          <w:tcPr>
            <w:tcW w:w="1793" w:type="dxa"/>
            <w:gridSpan w:val="2"/>
            <w:tcBorders>
              <w:lef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17729</w:t>
            </w:r>
          </w:p>
        </w:tc>
        <w:tc>
          <w:tcPr>
            <w:tcW w:w="1800" w:type="dxa"/>
            <w:gridSpan w:val="2"/>
            <w:tcBorders>
              <w:left w:val="nil"/>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569.1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 xml:space="preserve">      </w:t>
            </w:r>
            <w:r>
              <w:rPr>
                <w:rFonts w:hint="eastAsia"/>
                <w:color w:val="000000" w:themeColor="text1"/>
                <w:sz w:val="24"/>
                <w:szCs w:val="24"/>
                <w:lang w:eastAsia="zh-CN"/>
              </w:rPr>
              <w:t>其中：</w:t>
            </w:r>
            <w:r>
              <w:rPr>
                <w:rFonts w:hint="eastAsia"/>
                <w:color w:val="000000" w:themeColor="text1"/>
                <w:sz w:val="24"/>
                <w:szCs w:val="24"/>
              </w:rPr>
              <w:t>城 镇</w:t>
            </w:r>
          </w:p>
        </w:tc>
        <w:tc>
          <w:tcPr>
            <w:tcW w:w="1793" w:type="dxa"/>
            <w:gridSpan w:val="2"/>
            <w:tcBorders>
              <w:lef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2455</w:t>
            </w:r>
          </w:p>
        </w:tc>
        <w:tc>
          <w:tcPr>
            <w:tcW w:w="1793" w:type="dxa"/>
            <w:gridSpan w:val="2"/>
            <w:tcBorders>
              <w:lef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3398</w:t>
            </w:r>
          </w:p>
        </w:tc>
        <w:tc>
          <w:tcPr>
            <w:tcW w:w="1800" w:type="dxa"/>
            <w:gridSpan w:val="2"/>
            <w:tcBorders>
              <w:left w:val="nil"/>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130.83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94" w:type="dxa"/>
            <w:tcBorders>
              <w:left w:val="nil"/>
              <w:bottom w:val="single" w:color="auto" w:sz="4" w:space="0"/>
            </w:tcBorders>
            <w:vAlign w:val="center"/>
          </w:tcPr>
          <w:p>
            <w:pPr>
              <w:spacing w:line="360" w:lineRule="exact"/>
              <w:ind w:firstLine="1548" w:firstLineChars="600"/>
              <w:rPr>
                <w:color w:val="000000" w:themeColor="text1"/>
                <w:sz w:val="24"/>
                <w:szCs w:val="24"/>
              </w:rPr>
            </w:pPr>
            <w:r>
              <w:rPr>
                <w:rFonts w:hint="eastAsia"/>
                <w:color w:val="000000" w:themeColor="text1"/>
                <w:sz w:val="24"/>
                <w:szCs w:val="24"/>
              </w:rPr>
              <w:t>农 村</w:t>
            </w:r>
          </w:p>
        </w:tc>
        <w:tc>
          <w:tcPr>
            <w:tcW w:w="1793" w:type="dxa"/>
            <w:gridSpan w:val="2"/>
            <w:tcBorders>
              <w:left w:val="nil"/>
              <w:bottom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7551</w:t>
            </w:r>
          </w:p>
        </w:tc>
        <w:tc>
          <w:tcPr>
            <w:tcW w:w="1793" w:type="dxa"/>
            <w:gridSpan w:val="2"/>
            <w:tcBorders>
              <w:left w:val="nil"/>
              <w:bottom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14331</w:t>
            </w:r>
          </w:p>
        </w:tc>
        <w:tc>
          <w:tcPr>
            <w:tcW w:w="1800" w:type="dxa"/>
            <w:gridSpan w:val="2"/>
            <w:tcBorders>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438.27</w:t>
            </w:r>
          </w:p>
        </w:tc>
      </w:tr>
    </w:tbl>
    <w:p>
      <w:pPr>
        <w:spacing w:line="380" w:lineRule="exact"/>
        <w:jc w:val="center"/>
        <w:rPr>
          <w:rFonts w:ascii="黑体" w:hAnsi="黑体" w:eastAsia="黑体"/>
          <w:color w:val="FF0000"/>
        </w:rPr>
      </w:pPr>
    </w:p>
    <w:p>
      <w:pPr>
        <w:spacing w:line="380" w:lineRule="exact"/>
        <w:ind w:firstLine="2895" w:firstLineChars="972"/>
        <w:rPr>
          <w:rFonts w:ascii="黑体" w:hAnsi="黑体" w:eastAsia="黑体"/>
          <w:color w:val="FF0000"/>
        </w:rPr>
      </w:pPr>
    </w:p>
    <w:p>
      <w:pPr>
        <w:spacing w:line="380" w:lineRule="exact"/>
        <w:ind w:firstLine="2980" w:firstLineChars="1000"/>
        <w:rPr>
          <w:rFonts w:ascii="黑体" w:hAnsi="黑体" w:eastAsia="黑体"/>
          <w:color w:val="000000" w:themeColor="text1"/>
        </w:rPr>
      </w:pPr>
      <w:r>
        <w:rPr>
          <w:rFonts w:hint="eastAsia" w:ascii="黑体" w:hAnsi="黑体" w:eastAsia="黑体"/>
          <w:color w:val="000000" w:themeColor="text1"/>
        </w:rPr>
        <w:t>（</w:t>
      </w:r>
      <w:r>
        <w:rPr>
          <w:rFonts w:hint="eastAsia" w:ascii="黑体" w:hAnsi="黑体" w:eastAsia="黑体"/>
          <w:color w:val="000000" w:themeColor="text1"/>
          <w:lang w:eastAsia="zh-CN"/>
        </w:rPr>
        <w:t>五</w:t>
      </w:r>
      <w:r>
        <w:rPr>
          <w:rFonts w:hint="eastAsia" w:ascii="黑体" w:hAnsi="黑体" w:eastAsia="黑体"/>
          <w:color w:val="000000" w:themeColor="text1"/>
        </w:rPr>
        <w:t>）职工工伤保险情况</w:t>
      </w:r>
    </w:p>
    <w:tbl>
      <w:tblPr>
        <w:tblStyle w:val="11"/>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1345"/>
        <w:gridCol w:w="1345"/>
        <w:gridCol w:w="1345"/>
        <w:gridCol w:w="1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1345" w:type="dxa"/>
            <w:tcBorders>
              <w:left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本月</w:t>
            </w:r>
          </w:p>
        </w:tc>
        <w:tc>
          <w:tcPr>
            <w:tcW w:w="1345" w:type="dxa"/>
            <w:tcBorders>
              <w:left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累计</w:t>
            </w:r>
          </w:p>
        </w:tc>
        <w:tc>
          <w:tcPr>
            <w:tcW w:w="1345" w:type="dxa"/>
            <w:tcBorders>
              <w:left w:val="single" w:color="auto" w:sz="4" w:space="0"/>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同期累计</w:t>
            </w:r>
          </w:p>
        </w:tc>
        <w:tc>
          <w:tcPr>
            <w:tcW w:w="1345" w:type="dxa"/>
            <w:tcBorders>
              <w:left w:val="single" w:color="auto" w:sz="4" w:space="0"/>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参保人数（人）</w:t>
            </w:r>
          </w:p>
        </w:tc>
        <w:tc>
          <w:tcPr>
            <w:tcW w:w="1345" w:type="dxa"/>
            <w:tcBorders>
              <w:lef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-211</w:t>
            </w:r>
          </w:p>
        </w:tc>
        <w:tc>
          <w:tcPr>
            <w:tcW w:w="1345" w:type="dxa"/>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42963</w:t>
            </w:r>
          </w:p>
        </w:tc>
        <w:tc>
          <w:tcPr>
            <w:tcW w:w="1345" w:type="dxa"/>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41406</w:t>
            </w:r>
          </w:p>
        </w:tc>
        <w:tc>
          <w:tcPr>
            <w:tcW w:w="1345" w:type="dxa"/>
            <w:tcBorders>
              <w:left w:val="single" w:color="auto" w:sz="4" w:space="0"/>
              <w:right w:val="nil"/>
            </w:tcBorders>
            <w:vAlign w:val="center"/>
          </w:tcPr>
          <w:p>
            <w:pPr>
              <w:tabs>
                <w:tab w:val="left" w:pos="421"/>
              </w:tabs>
              <w:spacing w:line="360" w:lineRule="exact"/>
              <w:ind w:firstLine="258" w:firstLineChars="100"/>
              <w:jc w:val="left"/>
              <w:rPr>
                <w:rFonts w:hint="default" w:eastAsia="宋体"/>
                <w:color w:val="000000" w:themeColor="text1"/>
                <w:sz w:val="24"/>
                <w:szCs w:val="24"/>
                <w:lang w:val="en-US" w:eastAsia="zh-CN"/>
              </w:rPr>
            </w:pPr>
            <w:r>
              <w:rPr>
                <w:rFonts w:hint="eastAsia"/>
                <w:color w:val="000000" w:themeColor="text1"/>
                <w:sz w:val="24"/>
                <w:szCs w:val="24"/>
                <w:lang w:val="en-US" w:eastAsia="zh-CN"/>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保费收入(万元)</w:t>
            </w:r>
          </w:p>
        </w:tc>
        <w:tc>
          <w:tcPr>
            <w:tcW w:w="1345" w:type="dxa"/>
            <w:tcBorders>
              <w:lef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585</w:t>
            </w:r>
          </w:p>
        </w:tc>
        <w:tc>
          <w:tcPr>
            <w:tcW w:w="1345" w:type="dxa"/>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4678</w:t>
            </w:r>
          </w:p>
        </w:tc>
        <w:tc>
          <w:tcPr>
            <w:tcW w:w="1345" w:type="dxa"/>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3005</w:t>
            </w:r>
          </w:p>
        </w:tc>
        <w:tc>
          <w:tcPr>
            <w:tcW w:w="1345" w:type="dxa"/>
            <w:tcBorders>
              <w:left w:val="single" w:color="auto" w:sz="4" w:space="0"/>
              <w:right w:val="nil"/>
            </w:tcBorders>
            <w:vAlign w:val="center"/>
          </w:tcPr>
          <w:p>
            <w:pPr>
              <w:spacing w:line="360" w:lineRule="exact"/>
              <w:ind w:firstLine="258" w:firstLineChars="100"/>
              <w:jc w:val="both"/>
              <w:rPr>
                <w:rFonts w:hint="default" w:eastAsia="宋体"/>
                <w:color w:val="000000" w:themeColor="text1"/>
                <w:sz w:val="24"/>
                <w:szCs w:val="24"/>
                <w:lang w:val="en-US" w:eastAsia="zh-CN"/>
              </w:rPr>
            </w:pPr>
            <w:r>
              <w:rPr>
                <w:rFonts w:hint="eastAsia"/>
                <w:color w:val="000000" w:themeColor="text1"/>
                <w:sz w:val="24"/>
                <w:szCs w:val="24"/>
                <w:lang w:val="en-US" w:eastAsia="zh-CN"/>
              </w:rPr>
              <w:t>55.7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保费支出（万元）</w:t>
            </w:r>
          </w:p>
        </w:tc>
        <w:tc>
          <w:tcPr>
            <w:tcW w:w="1345" w:type="dxa"/>
            <w:tcBorders>
              <w:lef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810</w:t>
            </w:r>
          </w:p>
        </w:tc>
        <w:tc>
          <w:tcPr>
            <w:tcW w:w="1345" w:type="dxa"/>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5047</w:t>
            </w:r>
          </w:p>
        </w:tc>
        <w:tc>
          <w:tcPr>
            <w:tcW w:w="1345" w:type="dxa"/>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12578</w:t>
            </w:r>
          </w:p>
        </w:tc>
        <w:tc>
          <w:tcPr>
            <w:tcW w:w="1345" w:type="dxa"/>
            <w:tcBorders>
              <w:left w:val="single" w:color="auto" w:sz="4" w:space="0"/>
              <w:right w:val="nil"/>
            </w:tcBorders>
            <w:vAlign w:val="center"/>
          </w:tcPr>
          <w:p>
            <w:pPr>
              <w:spacing w:line="360" w:lineRule="exact"/>
              <w:ind w:firstLine="258" w:firstLineChars="100"/>
              <w:jc w:val="both"/>
              <w:rPr>
                <w:rFonts w:hint="default" w:eastAsia="宋体"/>
                <w:color w:val="000000" w:themeColor="text1"/>
                <w:sz w:val="24"/>
                <w:szCs w:val="24"/>
                <w:lang w:val="en-US" w:eastAsia="zh-CN"/>
              </w:rPr>
            </w:pPr>
            <w:r>
              <w:rPr>
                <w:rFonts w:hint="eastAsia"/>
                <w:color w:val="000000" w:themeColor="text1"/>
                <w:sz w:val="24"/>
                <w:szCs w:val="24"/>
                <w:lang w:val="en-US" w:eastAsia="zh-CN"/>
              </w:rPr>
              <w:t>-59.9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保费结余（万元）</w:t>
            </w:r>
          </w:p>
        </w:tc>
        <w:tc>
          <w:tcPr>
            <w:tcW w:w="1345" w:type="dxa"/>
            <w:tcBorders>
              <w:lef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-225</w:t>
            </w:r>
          </w:p>
        </w:tc>
        <w:tc>
          <w:tcPr>
            <w:tcW w:w="1345" w:type="dxa"/>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-369</w:t>
            </w:r>
          </w:p>
        </w:tc>
        <w:tc>
          <w:tcPr>
            <w:tcW w:w="1345" w:type="dxa"/>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-9573</w:t>
            </w:r>
          </w:p>
        </w:tc>
        <w:tc>
          <w:tcPr>
            <w:tcW w:w="1345" w:type="dxa"/>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-96.2</w:t>
            </w:r>
          </w:p>
        </w:tc>
      </w:tr>
    </w:tbl>
    <w:p>
      <w:pPr>
        <w:jc w:val="left"/>
        <w:outlineLvl w:val="0"/>
        <w:rPr>
          <w:rFonts w:ascii="宋体" w:hAnsi="宋体" w:cs="宋体"/>
          <w:color w:val="FF0000"/>
          <w:sz w:val="24"/>
          <w:szCs w:val="24"/>
        </w:rPr>
      </w:pPr>
    </w:p>
    <w:sectPr>
      <w:pgSz w:w="11906" w:h="16838"/>
      <w:pgMar w:top="1701" w:right="843" w:bottom="1361" w:left="1701" w:header="851" w:footer="1361" w:gutter="0"/>
      <w:pgBorders>
        <w:top w:val="none" w:sz="0" w:space="0"/>
        <w:left w:val="none" w:sz="0" w:space="0"/>
        <w:bottom w:val="none" w:sz="0" w:space="0"/>
        <w:right w:val="none" w:sz="0" w:space="0"/>
      </w:pgBorders>
      <w:cols w:space="720" w:num="1"/>
      <w:docGrid w:type="linesAndChars" w:linePitch="574" w:charSpace="38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swiss"/>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299"/>
  <w:drawingGridVerticalSpacing w:val="287"/>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TA1NzAyNTgyMTAxN2ViODE1YWQ2NWRlNWMxOTc3MDEifQ=="/>
  </w:docVars>
  <w:rsids>
    <w:rsidRoot w:val="00172A27"/>
    <w:rsid w:val="00000804"/>
    <w:rsid w:val="00000B21"/>
    <w:rsid w:val="00000CBE"/>
    <w:rsid w:val="00001BF2"/>
    <w:rsid w:val="00001EC5"/>
    <w:rsid w:val="0000277D"/>
    <w:rsid w:val="00003598"/>
    <w:rsid w:val="000038D0"/>
    <w:rsid w:val="000053A4"/>
    <w:rsid w:val="00010492"/>
    <w:rsid w:val="00010C6C"/>
    <w:rsid w:val="0001169F"/>
    <w:rsid w:val="00011D0D"/>
    <w:rsid w:val="00012BA7"/>
    <w:rsid w:val="00013028"/>
    <w:rsid w:val="000130D7"/>
    <w:rsid w:val="00013B0F"/>
    <w:rsid w:val="00013B8D"/>
    <w:rsid w:val="00013E0C"/>
    <w:rsid w:val="00014BD5"/>
    <w:rsid w:val="000156F7"/>
    <w:rsid w:val="0001628D"/>
    <w:rsid w:val="0001661B"/>
    <w:rsid w:val="000205D6"/>
    <w:rsid w:val="00020757"/>
    <w:rsid w:val="00021E38"/>
    <w:rsid w:val="00022385"/>
    <w:rsid w:val="00023C06"/>
    <w:rsid w:val="00023FE5"/>
    <w:rsid w:val="00024107"/>
    <w:rsid w:val="000244A9"/>
    <w:rsid w:val="00024905"/>
    <w:rsid w:val="00024DBB"/>
    <w:rsid w:val="00025AE5"/>
    <w:rsid w:val="00026063"/>
    <w:rsid w:val="00027653"/>
    <w:rsid w:val="00027D25"/>
    <w:rsid w:val="000300BC"/>
    <w:rsid w:val="0003024D"/>
    <w:rsid w:val="000303B9"/>
    <w:rsid w:val="00030ACB"/>
    <w:rsid w:val="00030F6A"/>
    <w:rsid w:val="000317E6"/>
    <w:rsid w:val="00032136"/>
    <w:rsid w:val="000328BE"/>
    <w:rsid w:val="00032AC6"/>
    <w:rsid w:val="00032CFA"/>
    <w:rsid w:val="00033498"/>
    <w:rsid w:val="000348F1"/>
    <w:rsid w:val="00034A77"/>
    <w:rsid w:val="00034BC0"/>
    <w:rsid w:val="00035416"/>
    <w:rsid w:val="0003762B"/>
    <w:rsid w:val="00037BD3"/>
    <w:rsid w:val="00042616"/>
    <w:rsid w:val="00042A93"/>
    <w:rsid w:val="0004514D"/>
    <w:rsid w:val="00045433"/>
    <w:rsid w:val="000457B8"/>
    <w:rsid w:val="0004592C"/>
    <w:rsid w:val="0004611C"/>
    <w:rsid w:val="00046448"/>
    <w:rsid w:val="000469ED"/>
    <w:rsid w:val="00047BAC"/>
    <w:rsid w:val="0005127A"/>
    <w:rsid w:val="0005153B"/>
    <w:rsid w:val="000533AD"/>
    <w:rsid w:val="000536C2"/>
    <w:rsid w:val="0005377B"/>
    <w:rsid w:val="000537B1"/>
    <w:rsid w:val="00053FF2"/>
    <w:rsid w:val="00054C40"/>
    <w:rsid w:val="000559FE"/>
    <w:rsid w:val="00056CC2"/>
    <w:rsid w:val="00060069"/>
    <w:rsid w:val="00061348"/>
    <w:rsid w:val="00063589"/>
    <w:rsid w:val="0006418D"/>
    <w:rsid w:val="000642CB"/>
    <w:rsid w:val="000646DC"/>
    <w:rsid w:val="00064A15"/>
    <w:rsid w:val="000661CA"/>
    <w:rsid w:val="0006639D"/>
    <w:rsid w:val="000665E0"/>
    <w:rsid w:val="000666D3"/>
    <w:rsid w:val="00066B44"/>
    <w:rsid w:val="00066DA7"/>
    <w:rsid w:val="00066F22"/>
    <w:rsid w:val="00067995"/>
    <w:rsid w:val="00070010"/>
    <w:rsid w:val="000704E1"/>
    <w:rsid w:val="00070609"/>
    <w:rsid w:val="000707E0"/>
    <w:rsid w:val="00071022"/>
    <w:rsid w:val="00071E9C"/>
    <w:rsid w:val="00072701"/>
    <w:rsid w:val="000740E3"/>
    <w:rsid w:val="00074C6F"/>
    <w:rsid w:val="00074D7C"/>
    <w:rsid w:val="00075DA8"/>
    <w:rsid w:val="00080EB6"/>
    <w:rsid w:val="00081000"/>
    <w:rsid w:val="0008119F"/>
    <w:rsid w:val="0008152F"/>
    <w:rsid w:val="000818BA"/>
    <w:rsid w:val="00082E10"/>
    <w:rsid w:val="00083E16"/>
    <w:rsid w:val="00084F58"/>
    <w:rsid w:val="000857C3"/>
    <w:rsid w:val="00086BA3"/>
    <w:rsid w:val="00087ABC"/>
    <w:rsid w:val="0009115F"/>
    <w:rsid w:val="00091D1A"/>
    <w:rsid w:val="00092195"/>
    <w:rsid w:val="000928A0"/>
    <w:rsid w:val="0009292C"/>
    <w:rsid w:val="00092DE8"/>
    <w:rsid w:val="0009392B"/>
    <w:rsid w:val="00094C7C"/>
    <w:rsid w:val="00095831"/>
    <w:rsid w:val="00096D2C"/>
    <w:rsid w:val="000A0B14"/>
    <w:rsid w:val="000A4069"/>
    <w:rsid w:val="000A422E"/>
    <w:rsid w:val="000A4ADE"/>
    <w:rsid w:val="000A4BEC"/>
    <w:rsid w:val="000A4D62"/>
    <w:rsid w:val="000A7930"/>
    <w:rsid w:val="000A7B4D"/>
    <w:rsid w:val="000B0609"/>
    <w:rsid w:val="000B0CC0"/>
    <w:rsid w:val="000B0F42"/>
    <w:rsid w:val="000B14B2"/>
    <w:rsid w:val="000B150C"/>
    <w:rsid w:val="000B2A1B"/>
    <w:rsid w:val="000B2CD2"/>
    <w:rsid w:val="000B2FB6"/>
    <w:rsid w:val="000B34C3"/>
    <w:rsid w:val="000B36D6"/>
    <w:rsid w:val="000B4AEC"/>
    <w:rsid w:val="000B4B18"/>
    <w:rsid w:val="000B58C7"/>
    <w:rsid w:val="000B5AA7"/>
    <w:rsid w:val="000B6491"/>
    <w:rsid w:val="000B6647"/>
    <w:rsid w:val="000B7634"/>
    <w:rsid w:val="000C027D"/>
    <w:rsid w:val="000C0554"/>
    <w:rsid w:val="000C08F6"/>
    <w:rsid w:val="000C2462"/>
    <w:rsid w:val="000C258D"/>
    <w:rsid w:val="000C3739"/>
    <w:rsid w:val="000C3AD1"/>
    <w:rsid w:val="000C420E"/>
    <w:rsid w:val="000C56DD"/>
    <w:rsid w:val="000C5A22"/>
    <w:rsid w:val="000C5A65"/>
    <w:rsid w:val="000C5B9B"/>
    <w:rsid w:val="000C6A62"/>
    <w:rsid w:val="000C6F21"/>
    <w:rsid w:val="000C7C9E"/>
    <w:rsid w:val="000C7E13"/>
    <w:rsid w:val="000D283F"/>
    <w:rsid w:val="000D37C7"/>
    <w:rsid w:val="000D3A31"/>
    <w:rsid w:val="000D51A0"/>
    <w:rsid w:val="000D52C0"/>
    <w:rsid w:val="000D60F1"/>
    <w:rsid w:val="000D6288"/>
    <w:rsid w:val="000D721C"/>
    <w:rsid w:val="000D7F2C"/>
    <w:rsid w:val="000E06EB"/>
    <w:rsid w:val="000E1A2C"/>
    <w:rsid w:val="000E270A"/>
    <w:rsid w:val="000E3560"/>
    <w:rsid w:val="000E36E6"/>
    <w:rsid w:val="000E375E"/>
    <w:rsid w:val="000E44FF"/>
    <w:rsid w:val="000E6727"/>
    <w:rsid w:val="000E68E6"/>
    <w:rsid w:val="000E7002"/>
    <w:rsid w:val="000E7B73"/>
    <w:rsid w:val="000E7ED5"/>
    <w:rsid w:val="000F0668"/>
    <w:rsid w:val="000F1334"/>
    <w:rsid w:val="000F1730"/>
    <w:rsid w:val="000F24EF"/>
    <w:rsid w:val="000F32B8"/>
    <w:rsid w:val="000F360F"/>
    <w:rsid w:val="000F36F3"/>
    <w:rsid w:val="000F409D"/>
    <w:rsid w:val="000F4986"/>
    <w:rsid w:val="000F4C24"/>
    <w:rsid w:val="000F5963"/>
    <w:rsid w:val="000F6161"/>
    <w:rsid w:val="000F6FAC"/>
    <w:rsid w:val="000F7724"/>
    <w:rsid w:val="000F77B2"/>
    <w:rsid w:val="000F7BAB"/>
    <w:rsid w:val="000F7C12"/>
    <w:rsid w:val="001006D5"/>
    <w:rsid w:val="00101382"/>
    <w:rsid w:val="00101A55"/>
    <w:rsid w:val="001028AB"/>
    <w:rsid w:val="001045E0"/>
    <w:rsid w:val="00104ECD"/>
    <w:rsid w:val="00104F84"/>
    <w:rsid w:val="0010542F"/>
    <w:rsid w:val="001054DE"/>
    <w:rsid w:val="001057A2"/>
    <w:rsid w:val="00106124"/>
    <w:rsid w:val="001070E6"/>
    <w:rsid w:val="001071D6"/>
    <w:rsid w:val="00111762"/>
    <w:rsid w:val="001135F0"/>
    <w:rsid w:val="00113B94"/>
    <w:rsid w:val="00115658"/>
    <w:rsid w:val="0011585C"/>
    <w:rsid w:val="001162B7"/>
    <w:rsid w:val="0011660F"/>
    <w:rsid w:val="00116B1F"/>
    <w:rsid w:val="00117314"/>
    <w:rsid w:val="00117397"/>
    <w:rsid w:val="00117CB3"/>
    <w:rsid w:val="001202E5"/>
    <w:rsid w:val="00121122"/>
    <w:rsid w:val="0012118A"/>
    <w:rsid w:val="001211C0"/>
    <w:rsid w:val="00121ADD"/>
    <w:rsid w:val="0012226F"/>
    <w:rsid w:val="00122D2C"/>
    <w:rsid w:val="00122F03"/>
    <w:rsid w:val="00123C3C"/>
    <w:rsid w:val="0012611E"/>
    <w:rsid w:val="00126378"/>
    <w:rsid w:val="00130202"/>
    <w:rsid w:val="0013033B"/>
    <w:rsid w:val="0013145E"/>
    <w:rsid w:val="00131B7E"/>
    <w:rsid w:val="00131FFE"/>
    <w:rsid w:val="001325E0"/>
    <w:rsid w:val="001325E4"/>
    <w:rsid w:val="00132C13"/>
    <w:rsid w:val="00132E19"/>
    <w:rsid w:val="00133065"/>
    <w:rsid w:val="001330D6"/>
    <w:rsid w:val="0013461A"/>
    <w:rsid w:val="00134C6C"/>
    <w:rsid w:val="00134D68"/>
    <w:rsid w:val="001351FE"/>
    <w:rsid w:val="001352E0"/>
    <w:rsid w:val="001358FC"/>
    <w:rsid w:val="001366C4"/>
    <w:rsid w:val="00137817"/>
    <w:rsid w:val="00137A71"/>
    <w:rsid w:val="0014158F"/>
    <w:rsid w:val="001428E5"/>
    <w:rsid w:val="00142CE2"/>
    <w:rsid w:val="00142FDD"/>
    <w:rsid w:val="001439ED"/>
    <w:rsid w:val="00143A4E"/>
    <w:rsid w:val="00143E62"/>
    <w:rsid w:val="0014429B"/>
    <w:rsid w:val="0014444D"/>
    <w:rsid w:val="00144849"/>
    <w:rsid w:val="001457A0"/>
    <w:rsid w:val="00145B66"/>
    <w:rsid w:val="00145D91"/>
    <w:rsid w:val="001465A3"/>
    <w:rsid w:val="001468A9"/>
    <w:rsid w:val="00146C7F"/>
    <w:rsid w:val="00146DBA"/>
    <w:rsid w:val="00147320"/>
    <w:rsid w:val="001477A6"/>
    <w:rsid w:val="00150776"/>
    <w:rsid w:val="00151609"/>
    <w:rsid w:val="00152A8E"/>
    <w:rsid w:val="0015377C"/>
    <w:rsid w:val="0015485C"/>
    <w:rsid w:val="00154B0B"/>
    <w:rsid w:val="00155504"/>
    <w:rsid w:val="001577E4"/>
    <w:rsid w:val="001621AA"/>
    <w:rsid w:val="001639A9"/>
    <w:rsid w:val="00164820"/>
    <w:rsid w:val="00164F8D"/>
    <w:rsid w:val="001658CD"/>
    <w:rsid w:val="00165AD5"/>
    <w:rsid w:val="0016605A"/>
    <w:rsid w:val="00167CBD"/>
    <w:rsid w:val="00170159"/>
    <w:rsid w:val="001704A4"/>
    <w:rsid w:val="00171439"/>
    <w:rsid w:val="0017177E"/>
    <w:rsid w:val="001726CB"/>
    <w:rsid w:val="001729D4"/>
    <w:rsid w:val="00172A27"/>
    <w:rsid w:val="00172BF0"/>
    <w:rsid w:val="00172C9F"/>
    <w:rsid w:val="001735C0"/>
    <w:rsid w:val="00175D97"/>
    <w:rsid w:val="00176A3E"/>
    <w:rsid w:val="00176A47"/>
    <w:rsid w:val="00177605"/>
    <w:rsid w:val="00177E28"/>
    <w:rsid w:val="00180C78"/>
    <w:rsid w:val="00180CE4"/>
    <w:rsid w:val="0018151D"/>
    <w:rsid w:val="001815B3"/>
    <w:rsid w:val="00181B73"/>
    <w:rsid w:val="001828BF"/>
    <w:rsid w:val="00182A15"/>
    <w:rsid w:val="00182C2B"/>
    <w:rsid w:val="00183104"/>
    <w:rsid w:val="00184C8E"/>
    <w:rsid w:val="00185B0F"/>
    <w:rsid w:val="00186383"/>
    <w:rsid w:val="0019016B"/>
    <w:rsid w:val="00190AD4"/>
    <w:rsid w:val="00190D37"/>
    <w:rsid w:val="00191056"/>
    <w:rsid w:val="00191309"/>
    <w:rsid w:val="001914DD"/>
    <w:rsid w:val="0019177E"/>
    <w:rsid w:val="00191A53"/>
    <w:rsid w:val="00192C1F"/>
    <w:rsid w:val="0019346B"/>
    <w:rsid w:val="001934B7"/>
    <w:rsid w:val="0019407C"/>
    <w:rsid w:val="001942B7"/>
    <w:rsid w:val="00194CA7"/>
    <w:rsid w:val="0019594C"/>
    <w:rsid w:val="00195C5A"/>
    <w:rsid w:val="001964DE"/>
    <w:rsid w:val="00196654"/>
    <w:rsid w:val="00196743"/>
    <w:rsid w:val="0019679A"/>
    <w:rsid w:val="0019688B"/>
    <w:rsid w:val="00196D44"/>
    <w:rsid w:val="0019788B"/>
    <w:rsid w:val="001A0208"/>
    <w:rsid w:val="001A06AC"/>
    <w:rsid w:val="001A0BEE"/>
    <w:rsid w:val="001A1842"/>
    <w:rsid w:val="001A242A"/>
    <w:rsid w:val="001A2959"/>
    <w:rsid w:val="001A4CCF"/>
    <w:rsid w:val="001A4CD6"/>
    <w:rsid w:val="001A7821"/>
    <w:rsid w:val="001B0076"/>
    <w:rsid w:val="001B0467"/>
    <w:rsid w:val="001B10F5"/>
    <w:rsid w:val="001B1CF0"/>
    <w:rsid w:val="001B2F1E"/>
    <w:rsid w:val="001B2F69"/>
    <w:rsid w:val="001B31F2"/>
    <w:rsid w:val="001B381C"/>
    <w:rsid w:val="001B4095"/>
    <w:rsid w:val="001B503E"/>
    <w:rsid w:val="001B61B9"/>
    <w:rsid w:val="001B7C78"/>
    <w:rsid w:val="001C038C"/>
    <w:rsid w:val="001C0CBC"/>
    <w:rsid w:val="001C1361"/>
    <w:rsid w:val="001C163A"/>
    <w:rsid w:val="001C171F"/>
    <w:rsid w:val="001C22F7"/>
    <w:rsid w:val="001C40F3"/>
    <w:rsid w:val="001C43C3"/>
    <w:rsid w:val="001C47B8"/>
    <w:rsid w:val="001C5A5E"/>
    <w:rsid w:val="001C6F96"/>
    <w:rsid w:val="001C74A2"/>
    <w:rsid w:val="001C7945"/>
    <w:rsid w:val="001C7CE4"/>
    <w:rsid w:val="001C7E54"/>
    <w:rsid w:val="001D00E3"/>
    <w:rsid w:val="001D02D7"/>
    <w:rsid w:val="001D176C"/>
    <w:rsid w:val="001D1A60"/>
    <w:rsid w:val="001D2793"/>
    <w:rsid w:val="001D29C1"/>
    <w:rsid w:val="001D371A"/>
    <w:rsid w:val="001D4DA3"/>
    <w:rsid w:val="001D4E7E"/>
    <w:rsid w:val="001D4E9C"/>
    <w:rsid w:val="001D51F1"/>
    <w:rsid w:val="001D52D5"/>
    <w:rsid w:val="001D5364"/>
    <w:rsid w:val="001D5454"/>
    <w:rsid w:val="001D54B6"/>
    <w:rsid w:val="001D552C"/>
    <w:rsid w:val="001D57EB"/>
    <w:rsid w:val="001D66F6"/>
    <w:rsid w:val="001D6DF2"/>
    <w:rsid w:val="001D7516"/>
    <w:rsid w:val="001D7B68"/>
    <w:rsid w:val="001E03E1"/>
    <w:rsid w:val="001E04C9"/>
    <w:rsid w:val="001E0836"/>
    <w:rsid w:val="001E1B71"/>
    <w:rsid w:val="001E245E"/>
    <w:rsid w:val="001E2820"/>
    <w:rsid w:val="001E2994"/>
    <w:rsid w:val="001E359C"/>
    <w:rsid w:val="001E4936"/>
    <w:rsid w:val="001E5196"/>
    <w:rsid w:val="001E61DD"/>
    <w:rsid w:val="001E6B7C"/>
    <w:rsid w:val="001E6EC0"/>
    <w:rsid w:val="001F1F60"/>
    <w:rsid w:val="001F2024"/>
    <w:rsid w:val="001F22E3"/>
    <w:rsid w:val="001F2477"/>
    <w:rsid w:val="001F25F0"/>
    <w:rsid w:val="001F2836"/>
    <w:rsid w:val="001F302F"/>
    <w:rsid w:val="001F331B"/>
    <w:rsid w:val="001F3736"/>
    <w:rsid w:val="001F3A50"/>
    <w:rsid w:val="001F3E48"/>
    <w:rsid w:val="001F4297"/>
    <w:rsid w:val="001F45E5"/>
    <w:rsid w:val="001F5131"/>
    <w:rsid w:val="001F6A8E"/>
    <w:rsid w:val="001F6BE7"/>
    <w:rsid w:val="00200DD8"/>
    <w:rsid w:val="00201628"/>
    <w:rsid w:val="00201990"/>
    <w:rsid w:val="0020264F"/>
    <w:rsid w:val="00203EDC"/>
    <w:rsid w:val="002040D8"/>
    <w:rsid w:val="00204568"/>
    <w:rsid w:val="002052A8"/>
    <w:rsid w:val="0020574A"/>
    <w:rsid w:val="00205E45"/>
    <w:rsid w:val="00207B10"/>
    <w:rsid w:val="0021065D"/>
    <w:rsid w:val="00210D06"/>
    <w:rsid w:val="002129DD"/>
    <w:rsid w:val="00212EB5"/>
    <w:rsid w:val="00214724"/>
    <w:rsid w:val="0021540B"/>
    <w:rsid w:val="002167A8"/>
    <w:rsid w:val="00216B5F"/>
    <w:rsid w:val="00217946"/>
    <w:rsid w:val="002205E9"/>
    <w:rsid w:val="00221AE6"/>
    <w:rsid w:val="002226E4"/>
    <w:rsid w:val="0022358F"/>
    <w:rsid w:val="00224097"/>
    <w:rsid w:val="00224176"/>
    <w:rsid w:val="0022422C"/>
    <w:rsid w:val="00224789"/>
    <w:rsid w:val="00224865"/>
    <w:rsid w:val="002259D0"/>
    <w:rsid w:val="00225DC2"/>
    <w:rsid w:val="00225E00"/>
    <w:rsid w:val="00225FAD"/>
    <w:rsid w:val="00227401"/>
    <w:rsid w:val="00227DBB"/>
    <w:rsid w:val="002308E0"/>
    <w:rsid w:val="00231863"/>
    <w:rsid w:val="00232020"/>
    <w:rsid w:val="002332EA"/>
    <w:rsid w:val="0023525E"/>
    <w:rsid w:val="00235E87"/>
    <w:rsid w:val="002373FC"/>
    <w:rsid w:val="00237874"/>
    <w:rsid w:val="00237DC9"/>
    <w:rsid w:val="002409F0"/>
    <w:rsid w:val="00240E02"/>
    <w:rsid w:val="002413DC"/>
    <w:rsid w:val="002426D1"/>
    <w:rsid w:val="00242C5D"/>
    <w:rsid w:val="00242E93"/>
    <w:rsid w:val="002434E3"/>
    <w:rsid w:val="00243ECF"/>
    <w:rsid w:val="00244187"/>
    <w:rsid w:val="00244E46"/>
    <w:rsid w:val="00245240"/>
    <w:rsid w:val="00245336"/>
    <w:rsid w:val="002457EA"/>
    <w:rsid w:val="002459EC"/>
    <w:rsid w:val="002462FA"/>
    <w:rsid w:val="002479BC"/>
    <w:rsid w:val="00250BF7"/>
    <w:rsid w:val="00250EA6"/>
    <w:rsid w:val="00251A4C"/>
    <w:rsid w:val="00253676"/>
    <w:rsid w:val="0025377F"/>
    <w:rsid w:val="00254703"/>
    <w:rsid w:val="002549EC"/>
    <w:rsid w:val="00254AE4"/>
    <w:rsid w:val="00254F74"/>
    <w:rsid w:val="002553E6"/>
    <w:rsid w:val="002574D0"/>
    <w:rsid w:val="002611E1"/>
    <w:rsid w:val="00261332"/>
    <w:rsid w:val="002616AE"/>
    <w:rsid w:val="00261BF5"/>
    <w:rsid w:val="002638C7"/>
    <w:rsid w:val="00264625"/>
    <w:rsid w:val="00264824"/>
    <w:rsid w:val="00264C74"/>
    <w:rsid w:val="00264D12"/>
    <w:rsid w:val="00265AB1"/>
    <w:rsid w:val="00266C68"/>
    <w:rsid w:val="002704F0"/>
    <w:rsid w:val="0027109E"/>
    <w:rsid w:val="002718B5"/>
    <w:rsid w:val="0027220A"/>
    <w:rsid w:val="00274A23"/>
    <w:rsid w:val="00274C62"/>
    <w:rsid w:val="002759F3"/>
    <w:rsid w:val="00275ED2"/>
    <w:rsid w:val="0027628C"/>
    <w:rsid w:val="00276CD3"/>
    <w:rsid w:val="00276DD4"/>
    <w:rsid w:val="002770D8"/>
    <w:rsid w:val="00277358"/>
    <w:rsid w:val="00277CFC"/>
    <w:rsid w:val="002804D6"/>
    <w:rsid w:val="002804E5"/>
    <w:rsid w:val="00280631"/>
    <w:rsid w:val="002812A7"/>
    <w:rsid w:val="002812E9"/>
    <w:rsid w:val="00281859"/>
    <w:rsid w:val="00281946"/>
    <w:rsid w:val="00281A2A"/>
    <w:rsid w:val="00281A42"/>
    <w:rsid w:val="00281D0A"/>
    <w:rsid w:val="00282C26"/>
    <w:rsid w:val="00282DA0"/>
    <w:rsid w:val="002835C1"/>
    <w:rsid w:val="00283DFA"/>
    <w:rsid w:val="00285CD7"/>
    <w:rsid w:val="00285CFD"/>
    <w:rsid w:val="002861C3"/>
    <w:rsid w:val="002868EF"/>
    <w:rsid w:val="0028734D"/>
    <w:rsid w:val="00287C7C"/>
    <w:rsid w:val="002912A4"/>
    <w:rsid w:val="002927C0"/>
    <w:rsid w:val="002928C8"/>
    <w:rsid w:val="00293548"/>
    <w:rsid w:val="00293E11"/>
    <w:rsid w:val="002941E8"/>
    <w:rsid w:val="00294749"/>
    <w:rsid w:val="00294D94"/>
    <w:rsid w:val="0029504B"/>
    <w:rsid w:val="002967A6"/>
    <w:rsid w:val="00297599"/>
    <w:rsid w:val="002975E3"/>
    <w:rsid w:val="002A0258"/>
    <w:rsid w:val="002A1519"/>
    <w:rsid w:val="002A173C"/>
    <w:rsid w:val="002A38C3"/>
    <w:rsid w:val="002A3B11"/>
    <w:rsid w:val="002A3C98"/>
    <w:rsid w:val="002A3F30"/>
    <w:rsid w:val="002A44DE"/>
    <w:rsid w:val="002A4675"/>
    <w:rsid w:val="002A4AB0"/>
    <w:rsid w:val="002A4B4F"/>
    <w:rsid w:val="002A4E19"/>
    <w:rsid w:val="002A51FD"/>
    <w:rsid w:val="002A57E2"/>
    <w:rsid w:val="002A64FA"/>
    <w:rsid w:val="002A6F3D"/>
    <w:rsid w:val="002A73A1"/>
    <w:rsid w:val="002A78B3"/>
    <w:rsid w:val="002A7D6C"/>
    <w:rsid w:val="002B008E"/>
    <w:rsid w:val="002B0BCB"/>
    <w:rsid w:val="002B1621"/>
    <w:rsid w:val="002B18BA"/>
    <w:rsid w:val="002B1DE4"/>
    <w:rsid w:val="002B3081"/>
    <w:rsid w:val="002B4121"/>
    <w:rsid w:val="002B453F"/>
    <w:rsid w:val="002B4F52"/>
    <w:rsid w:val="002B5525"/>
    <w:rsid w:val="002B5EE4"/>
    <w:rsid w:val="002B646A"/>
    <w:rsid w:val="002B69E4"/>
    <w:rsid w:val="002C0463"/>
    <w:rsid w:val="002C073A"/>
    <w:rsid w:val="002C3D0F"/>
    <w:rsid w:val="002C3D88"/>
    <w:rsid w:val="002C4707"/>
    <w:rsid w:val="002C5075"/>
    <w:rsid w:val="002C5CDD"/>
    <w:rsid w:val="002C5DAF"/>
    <w:rsid w:val="002C68CC"/>
    <w:rsid w:val="002C6CFE"/>
    <w:rsid w:val="002D05B0"/>
    <w:rsid w:val="002D0F39"/>
    <w:rsid w:val="002D1521"/>
    <w:rsid w:val="002D32D2"/>
    <w:rsid w:val="002D3563"/>
    <w:rsid w:val="002D3646"/>
    <w:rsid w:val="002D4289"/>
    <w:rsid w:val="002D45E3"/>
    <w:rsid w:val="002D4EB7"/>
    <w:rsid w:val="002D5213"/>
    <w:rsid w:val="002D5C84"/>
    <w:rsid w:val="002D5D79"/>
    <w:rsid w:val="002D630A"/>
    <w:rsid w:val="002D6C31"/>
    <w:rsid w:val="002D6F58"/>
    <w:rsid w:val="002E1240"/>
    <w:rsid w:val="002E1794"/>
    <w:rsid w:val="002E1FDA"/>
    <w:rsid w:val="002E318B"/>
    <w:rsid w:val="002E3282"/>
    <w:rsid w:val="002E36F6"/>
    <w:rsid w:val="002E38EF"/>
    <w:rsid w:val="002E3CF6"/>
    <w:rsid w:val="002E3F6F"/>
    <w:rsid w:val="002E40C6"/>
    <w:rsid w:val="002E4499"/>
    <w:rsid w:val="002E459B"/>
    <w:rsid w:val="002E51F0"/>
    <w:rsid w:val="002E5271"/>
    <w:rsid w:val="002E54E2"/>
    <w:rsid w:val="002E55A4"/>
    <w:rsid w:val="002E6155"/>
    <w:rsid w:val="002E66BD"/>
    <w:rsid w:val="002E6EF1"/>
    <w:rsid w:val="002F0338"/>
    <w:rsid w:val="002F08CB"/>
    <w:rsid w:val="002F099D"/>
    <w:rsid w:val="002F169C"/>
    <w:rsid w:val="002F1F7C"/>
    <w:rsid w:val="002F2D77"/>
    <w:rsid w:val="002F35DE"/>
    <w:rsid w:val="002F3D41"/>
    <w:rsid w:val="002F4417"/>
    <w:rsid w:val="002F458E"/>
    <w:rsid w:val="002F4BC4"/>
    <w:rsid w:val="002F55EF"/>
    <w:rsid w:val="002F5B2B"/>
    <w:rsid w:val="002F6220"/>
    <w:rsid w:val="002F6760"/>
    <w:rsid w:val="002F6B74"/>
    <w:rsid w:val="002F755C"/>
    <w:rsid w:val="002F780A"/>
    <w:rsid w:val="002F7BB0"/>
    <w:rsid w:val="00300197"/>
    <w:rsid w:val="003003AD"/>
    <w:rsid w:val="00300AE8"/>
    <w:rsid w:val="0030117B"/>
    <w:rsid w:val="00302BE7"/>
    <w:rsid w:val="00302C39"/>
    <w:rsid w:val="00303856"/>
    <w:rsid w:val="00303DE1"/>
    <w:rsid w:val="003042F2"/>
    <w:rsid w:val="00304982"/>
    <w:rsid w:val="00306C3F"/>
    <w:rsid w:val="0030723C"/>
    <w:rsid w:val="003102BE"/>
    <w:rsid w:val="003103AD"/>
    <w:rsid w:val="00310927"/>
    <w:rsid w:val="003129A4"/>
    <w:rsid w:val="003133C4"/>
    <w:rsid w:val="00314905"/>
    <w:rsid w:val="00316DBE"/>
    <w:rsid w:val="00316E7B"/>
    <w:rsid w:val="0031717B"/>
    <w:rsid w:val="00317257"/>
    <w:rsid w:val="00317731"/>
    <w:rsid w:val="00317AEC"/>
    <w:rsid w:val="0032050B"/>
    <w:rsid w:val="00320CD9"/>
    <w:rsid w:val="00320E50"/>
    <w:rsid w:val="00320ED2"/>
    <w:rsid w:val="00321EB0"/>
    <w:rsid w:val="00321ECF"/>
    <w:rsid w:val="003220A5"/>
    <w:rsid w:val="00322338"/>
    <w:rsid w:val="00322593"/>
    <w:rsid w:val="003227EB"/>
    <w:rsid w:val="00323767"/>
    <w:rsid w:val="00324C9A"/>
    <w:rsid w:val="00324CDC"/>
    <w:rsid w:val="00324EC0"/>
    <w:rsid w:val="003257AD"/>
    <w:rsid w:val="003267C7"/>
    <w:rsid w:val="0032690D"/>
    <w:rsid w:val="00327178"/>
    <w:rsid w:val="003272A5"/>
    <w:rsid w:val="00330378"/>
    <w:rsid w:val="00330D07"/>
    <w:rsid w:val="003315B9"/>
    <w:rsid w:val="0033229C"/>
    <w:rsid w:val="0033338F"/>
    <w:rsid w:val="00333667"/>
    <w:rsid w:val="00334CC4"/>
    <w:rsid w:val="00335162"/>
    <w:rsid w:val="00335366"/>
    <w:rsid w:val="00337447"/>
    <w:rsid w:val="00337FC7"/>
    <w:rsid w:val="0034017A"/>
    <w:rsid w:val="00340893"/>
    <w:rsid w:val="0034121A"/>
    <w:rsid w:val="00341730"/>
    <w:rsid w:val="00342411"/>
    <w:rsid w:val="00342A83"/>
    <w:rsid w:val="003435E5"/>
    <w:rsid w:val="00343643"/>
    <w:rsid w:val="00343A64"/>
    <w:rsid w:val="00343B35"/>
    <w:rsid w:val="00343CBD"/>
    <w:rsid w:val="003442CF"/>
    <w:rsid w:val="00344417"/>
    <w:rsid w:val="003444FB"/>
    <w:rsid w:val="003447AD"/>
    <w:rsid w:val="00344842"/>
    <w:rsid w:val="00346AE7"/>
    <w:rsid w:val="00346EB0"/>
    <w:rsid w:val="003475DC"/>
    <w:rsid w:val="00347B3C"/>
    <w:rsid w:val="003514F0"/>
    <w:rsid w:val="003515EE"/>
    <w:rsid w:val="00351BD0"/>
    <w:rsid w:val="00351C04"/>
    <w:rsid w:val="003529CF"/>
    <w:rsid w:val="00352C4E"/>
    <w:rsid w:val="00353667"/>
    <w:rsid w:val="0035406F"/>
    <w:rsid w:val="00354094"/>
    <w:rsid w:val="0035433D"/>
    <w:rsid w:val="003547CC"/>
    <w:rsid w:val="00354E97"/>
    <w:rsid w:val="00355064"/>
    <w:rsid w:val="00355211"/>
    <w:rsid w:val="00357132"/>
    <w:rsid w:val="00357AB0"/>
    <w:rsid w:val="00357BA3"/>
    <w:rsid w:val="00360320"/>
    <w:rsid w:val="003612B8"/>
    <w:rsid w:val="00361CA3"/>
    <w:rsid w:val="0036267F"/>
    <w:rsid w:val="003628B3"/>
    <w:rsid w:val="00362E7D"/>
    <w:rsid w:val="003631BA"/>
    <w:rsid w:val="003632F3"/>
    <w:rsid w:val="00363740"/>
    <w:rsid w:val="00363E32"/>
    <w:rsid w:val="00364A58"/>
    <w:rsid w:val="00364B28"/>
    <w:rsid w:val="0036557B"/>
    <w:rsid w:val="00365CF3"/>
    <w:rsid w:val="00365F0C"/>
    <w:rsid w:val="00366D55"/>
    <w:rsid w:val="0037018E"/>
    <w:rsid w:val="0037105C"/>
    <w:rsid w:val="00371F2E"/>
    <w:rsid w:val="00372503"/>
    <w:rsid w:val="0037262D"/>
    <w:rsid w:val="0037298E"/>
    <w:rsid w:val="0037299D"/>
    <w:rsid w:val="00372F11"/>
    <w:rsid w:val="003732F7"/>
    <w:rsid w:val="00373F67"/>
    <w:rsid w:val="00374386"/>
    <w:rsid w:val="003751B1"/>
    <w:rsid w:val="00375873"/>
    <w:rsid w:val="00375BA0"/>
    <w:rsid w:val="00376336"/>
    <w:rsid w:val="003771EC"/>
    <w:rsid w:val="003778DF"/>
    <w:rsid w:val="00377B23"/>
    <w:rsid w:val="00380F18"/>
    <w:rsid w:val="00381096"/>
    <w:rsid w:val="0038116A"/>
    <w:rsid w:val="00382BE2"/>
    <w:rsid w:val="00382C54"/>
    <w:rsid w:val="00382D04"/>
    <w:rsid w:val="00382EEF"/>
    <w:rsid w:val="00383F9C"/>
    <w:rsid w:val="00384660"/>
    <w:rsid w:val="003854C8"/>
    <w:rsid w:val="003857B1"/>
    <w:rsid w:val="00385F2D"/>
    <w:rsid w:val="00385F75"/>
    <w:rsid w:val="00385FB6"/>
    <w:rsid w:val="003871EB"/>
    <w:rsid w:val="00387310"/>
    <w:rsid w:val="00387DE4"/>
    <w:rsid w:val="0039065E"/>
    <w:rsid w:val="00390EFA"/>
    <w:rsid w:val="003910EA"/>
    <w:rsid w:val="00391A14"/>
    <w:rsid w:val="0039284B"/>
    <w:rsid w:val="00392A34"/>
    <w:rsid w:val="00392DFD"/>
    <w:rsid w:val="00393885"/>
    <w:rsid w:val="00393CD9"/>
    <w:rsid w:val="0039434C"/>
    <w:rsid w:val="00394D6F"/>
    <w:rsid w:val="003A0AC8"/>
    <w:rsid w:val="003A0C45"/>
    <w:rsid w:val="003A2013"/>
    <w:rsid w:val="003A3218"/>
    <w:rsid w:val="003A39DA"/>
    <w:rsid w:val="003A48FF"/>
    <w:rsid w:val="003A4963"/>
    <w:rsid w:val="003A4F88"/>
    <w:rsid w:val="003A57CA"/>
    <w:rsid w:val="003A5DFD"/>
    <w:rsid w:val="003B0A45"/>
    <w:rsid w:val="003B0E7D"/>
    <w:rsid w:val="003B13BB"/>
    <w:rsid w:val="003B148D"/>
    <w:rsid w:val="003B2D4F"/>
    <w:rsid w:val="003B3A21"/>
    <w:rsid w:val="003B424C"/>
    <w:rsid w:val="003B4353"/>
    <w:rsid w:val="003B48B6"/>
    <w:rsid w:val="003B5FB9"/>
    <w:rsid w:val="003B6619"/>
    <w:rsid w:val="003B6BAA"/>
    <w:rsid w:val="003C028F"/>
    <w:rsid w:val="003C139B"/>
    <w:rsid w:val="003C1403"/>
    <w:rsid w:val="003C1639"/>
    <w:rsid w:val="003C22BA"/>
    <w:rsid w:val="003C3B9B"/>
    <w:rsid w:val="003C4BD9"/>
    <w:rsid w:val="003C52B9"/>
    <w:rsid w:val="003C5718"/>
    <w:rsid w:val="003C573F"/>
    <w:rsid w:val="003C5878"/>
    <w:rsid w:val="003C5A71"/>
    <w:rsid w:val="003C6958"/>
    <w:rsid w:val="003C6E45"/>
    <w:rsid w:val="003C6E9E"/>
    <w:rsid w:val="003D030B"/>
    <w:rsid w:val="003D08A7"/>
    <w:rsid w:val="003D0D7A"/>
    <w:rsid w:val="003D122F"/>
    <w:rsid w:val="003D2524"/>
    <w:rsid w:val="003D2DF6"/>
    <w:rsid w:val="003D30D7"/>
    <w:rsid w:val="003D4954"/>
    <w:rsid w:val="003D4FAE"/>
    <w:rsid w:val="003D515D"/>
    <w:rsid w:val="003D5691"/>
    <w:rsid w:val="003D5B6A"/>
    <w:rsid w:val="003D5BFC"/>
    <w:rsid w:val="003D659F"/>
    <w:rsid w:val="003D6AE1"/>
    <w:rsid w:val="003D75F0"/>
    <w:rsid w:val="003E0119"/>
    <w:rsid w:val="003E0B1C"/>
    <w:rsid w:val="003E0F15"/>
    <w:rsid w:val="003E13C1"/>
    <w:rsid w:val="003E13FD"/>
    <w:rsid w:val="003E2551"/>
    <w:rsid w:val="003E2962"/>
    <w:rsid w:val="003E31CE"/>
    <w:rsid w:val="003E4162"/>
    <w:rsid w:val="003E4313"/>
    <w:rsid w:val="003E441E"/>
    <w:rsid w:val="003E4463"/>
    <w:rsid w:val="003E6ABC"/>
    <w:rsid w:val="003E7747"/>
    <w:rsid w:val="003E7B85"/>
    <w:rsid w:val="003E7BBF"/>
    <w:rsid w:val="003E7F6D"/>
    <w:rsid w:val="003F00BB"/>
    <w:rsid w:val="003F3917"/>
    <w:rsid w:val="003F41EB"/>
    <w:rsid w:val="003F4BE7"/>
    <w:rsid w:val="003F4E1F"/>
    <w:rsid w:val="003F4F09"/>
    <w:rsid w:val="003F632B"/>
    <w:rsid w:val="003F7EC2"/>
    <w:rsid w:val="00401EF2"/>
    <w:rsid w:val="004028AE"/>
    <w:rsid w:val="00402C4D"/>
    <w:rsid w:val="004049B9"/>
    <w:rsid w:val="004049DA"/>
    <w:rsid w:val="004056D3"/>
    <w:rsid w:val="00406334"/>
    <w:rsid w:val="0040646E"/>
    <w:rsid w:val="0040775C"/>
    <w:rsid w:val="00410137"/>
    <w:rsid w:val="004108D4"/>
    <w:rsid w:val="004110D1"/>
    <w:rsid w:val="00412BC9"/>
    <w:rsid w:val="00412CB6"/>
    <w:rsid w:val="00413825"/>
    <w:rsid w:val="0041386C"/>
    <w:rsid w:val="00413ED7"/>
    <w:rsid w:val="00415322"/>
    <w:rsid w:val="00415899"/>
    <w:rsid w:val="00415A3A"/>
    <w:rsid w:val="004164B1"/>
    <w:rsid w:val="0041685E"/>
    <w:rsid w:val="0041725C"/>
    <w:rsid w:val="00417789"/>
    <w:rsid w:val="004178AF"/>
    <w:rsid w:val="00417EAA"/>
    <w:rsid w:val="00420E94"/>
    <w:rsid w:val="00423A9A"/>
    <w:rsid w:val="0042405F"/>
    <w:rsid w:val="00424373"/>
    <w:rsid w:val="00424793"/>
    <w:rsid w:val="00424C85"/>
    <w:rsid w:val="00425040"/>
    <w:rsid w:val="0042569C"/>
    <w:rsid w:val="00426A3E"/>
    <w:rsid w:val="00430CB5"/>
    <w:rsid w:val="004313EB"/>
    <w:rsid w:val="00431B03"/>
    <w:rsid w:val="00432172"/>
    <w:rsid w:val="00432F99"/>
    <w:rsid w:val="004333B9"/>
    <w:rsid w:val="004347DF"/>
    <w:rsid w:val="00434A63"/>
    <w:rsid w:val="0043594B"/>
    <w:rsid w:val="00437151"/>
    <w:rsid w:val="004372B5"/>
    <w:rsid w:val="0043756D"/>
    <w:rsid w:val="0043764D"/>
    <w:rsid w:val="00440987"/>
    <w:rsid w:val="00440D69"/>
    <w:rsid w:val="0044141D"/>
    <w:rsid w:val="00442BE0"/>
    <w:rsid w:val="00442BF0"/>
    <w:rsid w:val="00443CB1"/>
    <w:rsid w:val="00444474"/>
    <w:rsid w:val="0044464F"/>
    <w:rsid w:val="004448A9"/>
    <w:rsid w:val="00445186"/>
    <w:rsid w:val="004465E7"/>
    <w:rsid w:val="00446A6B"/>
    <w:rsid w:val="00446F16"/>
    <w:rsid w:val="004473A6"/>
    <w:rsid w:val="0044761B"/>
    <w:rsid w:val="00447B97"/>
    <w:rsid w:val="00447D8A"/>
    <w:rsid w:val="00450665"/>
    <w:rsid w:val="00450BEB"/>
    <w:rsid w:val="00450D01"/>
    <w:rsid w:val="004515B6"/>
    <w:rsid w:val="00452230"/>
    <w:rsid w:val="004526B7"/>
    <w:rsid w:val="00452CED"/>
    <w:rsid w:val="00453137"/>
    <w:rsid w:val="004538C5"/>
    <w:rsid w:val="00454EBE"/>
    <w:rsid w:val="00455A20"/>
    <w:rsid w:val="00455E42"/>
    <w:rsid w:val="00456978"/>
    <w:rsid w:val="00456D00"/>
    <w:rsid w:val="004579C9"/>
    <w:rsid w:val="004579D6"/>
    <w:rsid w:val="00457D00"/>
    <w:rsid w:val="00460D30"/>
    <w:rsid w:val="00460EA5"/>
    <w:rsid w:val="00460FF2"/>
    <w:rsid w:val="004613D6"/>
    <w:rsid w:val="00461D03"/>
    <w:rsid w:val="004626CF"/>
    <w:rsid w:val="00463A17"/>
    <w:rsid w:val="00464004"/>
    <w:rsid w:val="0046409D"/>
    <w:rsid w:val="00465324"/>
    <w:rsid w:val="00465398"/>
    <w:rsid w:val="00465D51"/>
    <w:rsid w:val="00465FB5"/>
    <w:rsid w:val="004677FD"/>
    <w:rsid w:val="00467AF0"/>
    <w:rsid w:val="00467C94"/>
    <w:rsid w:val="0047108D"/>
    <w:rsid w:val="004710AF"/>
    <w:rsid w:val="00471297"/>
    <w:rsid w:val="004713ED"/>
    <w:rsid w:val="004716DE"/>
    <w:rsid w:val="00471D10"/>
    <w:rsid w:val="004729DE"/>
    <w:rsid w:val="0047308C"/>
    <w:rsid w:val="0047348F"/>
    <w:rsid w:val="00474087"/>
    <w:rsid w:val="004746CD"/>
    <w:rsid w:val="0047473D"/>
    <w:rsid w:val="004747C9"/>
    <w:rsid w:val="00474F22"/>
    <w:rsid w:val="004775E6"/>
    <w:rsid w:val="00480457"/>
    <w:rsid w:val="0048158E"/>
    <w:rsid w:val="004815E3"/>
    <w:rsid w:val="00481611"/>
    <w:rsid w:val="004831F3"/>
    <w:rsid w:val="00483B1D"/>
    <w:rsid w:val="00484061"/>
    <w:rsid w:val="00484111"/>
    <w:rsid w:val="00484488"/>
    <w:rsid w:val="00484968"/>
    <w:rsid w:val="00485164"/>
    <w:rsid w:val="004859E9"/>
    <w:rsid w:val="00486238"/>
    <w:rsid w:val="00487C1B"/>
    <w:rsid w:val="00487D56"/>
    <w:rsid w:val="004907C0"/>
    <w:rsid w:val="00490CA8"/>
    <w:rsid w:val="0049229E"/>
    <w:rsid w:val="0049383C"/>
    <w:rsid w:val="00494592"/>
    <w:rsid w:val="00495526"/>
    <w:rsid w:val="00495B1B"/>
    <w:rsid w:val="00495C87"/>
    <w:rsid w:val="00497192"/>
    <w:rsid w:val="0049730C"/>
    <w:rsid w:val="00497864"/>
    <w:rsid w:val="004A0666"/>
    <w:rsid w:val="004A18D7"/>
    <w:rsid w:val="004A218A"/>
    <w:rsid w:val="004A250E"/>
    <w:rsid w:val="004A2895"/>
    <w:rsid w:val="004A29CF"/>
    <w:rsid w:val="004A29ED"/>
    <w:rsid w:val="004A2A30"/>
    <w:rsid w:val="004A2AE1"/>
    <w:rsid w:val="004A2E6E"/>
    <w:rsid w:val="004A300D"/>
    <w:rsid w:val="004A3501"/>
    <w:rsid w:val="004A3884"/>
    <w:rsid w:val="004A3E7A"/>
    <w:rsid w:val="004A5CF0"/>
    <w:rsid w:val="004A5E0C"/>
    <w:rsid w:val="004A67ED"/>
    <w:rsid w:val="004A74B3"/>
    <w:rsid w:val="004A78DD"/>
    <w:rsid w:val="004B5730"/>
    <w:rsid w:val="004B6481"/>
    <w:rsid w:val="004B7E9B"/>
    <w:rsid w:val="004C03C1"/>
    <w:rsid w:val="004C09AB"/>
    <w:rsid w:val="004C1341"/>
    <w:rsid w:val="004C17B5"/>
    <w:rsid w:val="004C2C9F"/>
    <w:rsid w:val="004C2FB9"/>
    <w:rsid w:val="004C4107"/>
    <w:rsid w:val="004C4642"/>
    <w:rsid w:val="004C4908"/>
    <w:rsid w:val="004C5066"/>
    <w:rsid w:val="004C5AF7"/>
    <w:rsid w:val="004C6AEE"/>
    <w:rsid w:val="004C6D70"/>
    <w:rsid w:val="004C732E"/>
    <w:rsid w:val="004C76AB"/>
    <w:rsid w:val="004C77C5"/>
    <w:rsid w:val="004C7E11"/>
    <w:rsid w:val="004D0005"/>
    <w:rsid w:val="004D103D"/>
    <w:rsid w:val="004D10F3"/>
    <w:rsid w:val="004D160B"/>
    <w:rsid w:val="004D27E3"/>
    <w:rsid w:val="004D294E"/>
    <w:rsid w:val="004D2A7D"/>
    <w:rsid w:val="004D46EC"/>
    <w:rsid w:val="004D494C"/>
    <w:rsid w:val="004D497F"/>
    <w:rsid w:val="004D4B77"/>
    <w:rsid w:val="004D5064"/>
    <w:rsid w:val="004D5411"/>
    <w:rsid w:val="004D54FD"/>
    <w:rsid w:val="004D58D1"/>
    <w:rsid w:val="004D6BD5"/>
    <w:rsid w:val="004D6FA3"/>
    <w:rsid w:val="004D72D3"/>
    <w:rsid w:val="004D7EFF"/>
    <w:rsid w:val="004E0671"/>
    <w:rsid w:val="004E0867"/>
    <w:rsid w:val="004E16CF"/>
    <w:rsid w:val="004E36C4"/>
    <w:rsid w:val="004E39A4"/>
    <w:rsid w:val="004E4450"/>
    <w:rsid w:val="004E4DFD"/>
    <w:rsid w:val="004E52DF"/>
    <w:rsid w:val="004E6806"/>
    <w:rsid w:val="004E704E"/>
    <w:rsid w:val="004E712E"/>
    <w:rsid w:val="004E74D4"/>
    <w:rsid w:val="004E7766"/>
    <w:rsid w:val="004E7EB5"/>
    <w:rsid w:val="004F02E3"/>
    <w:rsid w:val="004F0A38"/>
    <w:rsid w:val="004F11D7"/>
    <w:rsid w:val="004F1217"/>
    <w:rsid w:val="004F3324"/>
    <w:rsid w:val="004F34B0"/>
    <w:rsid w:val="004F36CC"/>
    <w:rsid w:val="004F3943"/>
    <w:rsid w:val="004F4D87"/>
    <w:rsid w:val="004F5E99"/>
    <w:rsid w:val="004F6E7F"/>
    <w:rsid w:val="005007FC"/>
    <w:rsid w:val="00500EEB"/>
    <w:rsid w:val="00501ABD"/>
    <w:rsid w:val="005033B0"/>
    <w:rsid w:val="005034DE"/>
    <w:rsid w:val="00503C42"/>
    <w:rsid w:val="00503DF7"/>
    <w:rsid w:val="00504126"/>
    <w:rsid w:val="00505D1F"/>
    <w:rsid w:val="0050611F"/>
    <w:rsid w:val="00506653"/>
    <w:rsid w:val="00506D68"/>
    <w:rsid w:val="005076AB"/>
    <w:rsid w:val="00510430"/>
    <w:rsid w:val="00512A1C"/>
    <w:rsid w:val="00513206"/>
    <w:rsid w:val="00514827"/>
    <w:rsid w:val="00514A67"/>
    <w:rsid w:val="00514BB3"/>
    <w:rsid w:val="00515772"/>
    <w:rsid w:val="0051611D"/>
    <w:rsid w:val="005161A3"/>
    <w:rsid w:val="005178DA"/>
    <w:rsid w:val="00521EAD"/>
    <w:rsid w:val="005222F7"/>
    <w:rsid w:val="005226A9"/>
    <w:rsid w:val="005240A5"/>
    <w:rsid w:val="00524BE9"/>
    <w:rsid w:val="005252BD"/>
    <w:rsid w:val="00526039"/>
    <w:rsid w:val="00526387"/>
    <w:rsid w:val="00526D8B"/>
    <w:rsid w:val="00527219"/>
    <w:rsid w:val="00527FA3"/>
    <w:rsid w:val="00530E95"/>
    <w:rsid w:val="0053172D"/>
    <w:rsid w:val="00531C91"/>
    <w:rsid w:val="00532ACB"/>
    <w:rsid w:val="00532BBF"/>
    <w:rsid w:val="0053480E"/>
    <w:rsid w:val="00535F8A"/>
    <w:rsid w:val="0053610A"/>
    <w:rsid w:val="00540135"/>
    <w:rsid w:val="005418F0"/>
    <w:rsid w:val="00541B2E"/>
    <w:rsid w:val="00542CB8"/>
    <w:rsid w:val="00543082"/>
    <w:rsid w:val="005432EF"/>
    <w:rsid w:val="0054331C"/>
    <w:rsid w:val="005439C8"/>
    <w:rsid w:val="005443EB"/>
    <w:rsid w:val="00544B3E"/>
    <w:rsid w:val="00544D99"/>
    <w:rsid w:val="00545133"/>
    <w:rsid w:val="005456DE"/>
    <w:rsid w:val="005458AC"/>
    <w:rsid w:val="00545B52"/>
    <w:rsid w:val="00546196"/>
    <w:rsid w:val="00546400"/>
    <w:rsid w:val="00546892"/>
    <w:rsid w:val="005477E8"/>
    <w:rsid w:val="005477F5"/>
    <w:rsid w:val="005478DB"/>
    <w:rsid w:val="005505A6"/>
    <w:rsid w:val="00550BF2"/>
    <w:rsid w:val="00550E99"/>
    <w:rsid w:val="00551873"/>
    <w:rsid w:val="00552529"/>
    <w:rsid w:val="00552CA4"/>
    <w:rsid w:val="00552EE8"/>
    <w:rsid w:val="00554641"/>
    <w:rsid w:val="0055467A"/>
    <w:rsid w:val="00554712"/>
    <w:rsid w:val="0055616D"/>
    <w:rsid w:val="005561A8"/>
    <w:rsid w:val="00557616"/>
    <w:rsid w:val="00557C02"/>
    <w:rsid w:val="0056007A"/>
    <w:rsid w:val="0056092D"/>
    <w:rsid w:val="00561D74"/>
    <w:rsid w:val="00562068"/>
    <w:rsid w:val="00562590"/>
    <w:rsid w:val="00562B52"/>
    <w:rsid w:val="005636B8"/>
    <w:rsid w:val="00563850"/>
    <w:rsid w:val="00564D87"/>
    <w:rsid w:val="005655BD"/>
    <w:rsid w:val="0056602D"/>
    <w:rsid w:val="00566A88"/>
    <w:rsid w:val="00566B00"/>
    <w:rsid w:val="0056725C"/>
    <w:rsid w:val="00567D64"/>
    <w:rsid w:val="0057000C"/>
    <w:rsid w:val="00570B96"/>
    <w:rsid w:val="0057151B"/>
    <w:rsid w:val="00571C44"/>
    <w:rsid w:val="00572796"/>
    <w:rsid w:val="00573939"/>
    <w:rsid w:val="00576CCD"/>
    <w:rsid w:val="00576F33"/>
    <w:rsid w:val="0058086F"/>
    <w:rsid w:val="00580A1E"/>
    <w:rsid w:val="00581777"/>
    <w:rsid w:val="00581AC4"/>
    <w:rsid w:val="00581E25"/>
    <w:rsid w:val="00581FA3"/>
    <w:rsid w:val="0058207E"/>
    <w:rsid w:val="00583D85"/>
    <w:rsid w:val="0058448C"/>
    <w:rsid w:val="00584847"/>
    <w:rsid w:val="00586510"/>
    <w:rsid w:val="00586E0D"/>
    <w:rsid w:val="00590CF7"/>
    <w:rsid w:val="005911DF"/>
    <w:rsid w:val="00592662"/>
    <w:rsid w:val="00592D77"/>
    <w:rsid w:val="0059330D"/>
    <w:rsid w:val="00593DE6"/>
    <w:rsid w:val="00594210"/>
    <w:rsid w:val="005948C2"/>
    <w:rsid w:val="0059581A"/>
    <w:rsid w:val="00597EA6"/>
    <w:rsid w:val="005A0557"/>
    <w:rsid w:val="005A20DB"/>
    <w:rsid w:val="005A2EAB"/>
    <w:rsid w:val="005A3D13"/>
    <w:rsid w:val="005A4212"/>
    <w:rsid w:val="005A4C6C"/>
    <w:rsid w:val="005A57E1"/>
    <w:rsid w:val="005A59A5"/>
    <w:rsid w:val="005A65EC"/>
    <w:rsid w:val="005A6618"/>
    <w:rsid w:val="005A7AD5"/>
    <w:rsid w:val="005A7EF7"/>
    <w:rsid w:val="005B0CBB"/>
    <w:rsid w:val="005B0E02"/>
    <w:rsid w:val="005B0F26"/>
    <w:rsid w:val="005B1C2E"/>
    <w:rsid w:val="005B23A1"/>
    <w:rsid w:val="005B369F"/>
    <w:rsid w:val="005B4332"/>
    <w:rsid w:val="005B496C"/>
    <w:rsid w:val="005B5491"/>
    <w:rsid w:val="005B561D"/>
    <w:rsid w:val="005B72A7"/>
    <w:rsid w:val="005C0E0B"/>
    <w:rsid w:val="005C15A0"/>
    <w:rsid w:val="005C16B5"/>
    <w:rsid w:val="005C19D5"/>
    <w:rsid w:val="005C47FB"/>
    <w:rsid w:val="005C4E38"/>
    <w:rsid w:val="005C5615"/>
    <w:rsid w:val="005C64E0"/>
    <w:rsid w:val="005C683B"/>
    <w:rsid w:val="005C6C0D"/>
    <w:rsid w:val="005C7D7F"/>
    <w:rsid w:val="005D0A5E"/>
    <w:rsid w:val="005D0CBB"/>
    <w:rsid w:val="005D21C5"/>
    <w:rsid w:val="005D2BF6"/>
    <w:rsid w:val="005D3980"/>
    <w:rsid w:val="005D454F"/>
    <w:rsid w:val="005D4876"/>
    <w:rsid w:val="005D4D44"/>
    <w:rsid w:val="005D5FF4"/>
    <w:rsid w:val="005D6467"/>
    <w:rsid w:val="005D67AB"/>
    <w:rsid w:val="005D73FD"/>
    <w:rsid w:val="005D77E5"/>
    <w:rsid w:val="005D7BE8"/>
    <w:rsid w:val="005E03E5"/>
    <w:rsid w:val="005E1058"/>
    <w:rsid w:val="005E132D"/>
    <w:rsid w:val="005E2AC6"/>
    <w:rsid w:val="005E2B75"/>
    <w:rsid w:val="005E2CB0"/>
    <w:rsid w:val="005E31C3"/>
    <w:rsid w:val="005E3249"/>
    <w:rsid w:val="005E67BE"/>
    <w:rsid w:val="005E7664"/>
    <w:rsid w:val="005E7A2A"/>
    <w:rsid w:val="005E7E66"/>
    <w:rsid w:val="005F0431"/>
    <w:rsid w:val="005F044C"/>
    <w:rsid w:val="005F0C81"/>
    <w:rsid w:val="005F11FD"/>
    <w:rsid w:val="005F2054"/>
    <w:rsid w:val="005F2F0C"/>
    <w:rsid w:val="005F490C"/>
    <w:rsid w:val="005F64E8"/>
    <w:rsid w:val="006002DC"/>
    <w:rsid w:val="006004EE"/>
    <w:rsid w:val="006005D8"/>
    <w:rsid w:val="00601323"/>
    <w:rsid w:val="00603F26"/>
    <w:rsid w:val="00604B6C"/>
    <w:rsid w:val="00604C98"/>
    <w:rsid w:val="00606476"/>
    <w:rsid w:val="00610409"/>
    <w:rsid w:val="006104BB"/>
    <w:rsid w:val="0061061C"/>
    <w:rsid w:val="00610E86"/>
    <w:rsid w:val="00610EB4"/>
    <w:rsid w:val="00611CA5"/>
    <w:rsid w:val="006121FF"/>
    <w:rsid w:val="006123C6"/>
    <w:rsid w:val="00613D9F"/>
    <w:rsid w:val="00614DB1"/>
    <w:rsid w:val="00616190"/>
    <w:rsid w:val="0061625C"/>
    <w:rsid w:val="00616A09"/>
    <w:rsid w:val="00616EDA"/>
    <w:rsid w:val="006170AA"/>
    <w:rsid w:val="0061780E"/>
    <w:rsid w:val="00620311"/>
    <w:rsid w:val="00620C67"/>
    <w:rsid w:val="0062156A"/>
    <w:rsid w:val="006217AC"/>
    <w:rsid w:val="00622FD0"/>
    <w:rsid w:val="006232A1"/>
    <w:rsid w:val="006235A8"/>
    <w:rsid w:val="00623957"/>
    <w:rsid w:val="0062438C"/>
    <w:rsid w:val="00624505"/>
    <w:rsid w:val="00624BC1"/>
    <w:rsid w:val="006268F8"/>
    <w:rsid w:val="00626AAF"/>
    <w:rsid w:val="00626C52"/>
    <w:rsid w:val="00627C3A"/>
    <w:rsid w:val="00631E90"/>
    <w:rsid w:val="0063231D"/>
    <w:rsid w:val="00632326"/>
    <w:rsid w:val="006328FF"/>
    <w:rsid w:val="00633658"/>
    <w:rsid w:val="00633C76"/>
    <w:rsid w:val="00634EC4"/>
    <w:rsid w:val="0063542C"/>
    <w:rsid w:val="0063593E"/>
    <w:rsid w:val="00637676"/>
    <w:rsid w:val="00637AC9"/>
    <w:rsid w:val="00637B73"/>
    <w:rsid w:val="00642B71"/>
    <w:rsid w:val="00642C73"/>
    <w:rsid w:val="0064309E"/>
    <w:rsid w:val="00643E20"/>
    <w:rsid w:val="006446A9"/>
    <w:rsid w:val="006447F2"/>
    <w:rsid w:val="00644C4E"/>
    <w:rsid w:val="00644C77"/>
    <w:rsid w:val="00644EC0"/>
    <w:rsid w:val="0064560F"/>
    <w:rsid w:val="00645BD6"/>
    <w:rsid w:val="00646026"/>
    <w:rsid w:val="00647AC3"/>
    <w:rsid w:val="00651256"/>
    <w:rsid w:val="0065154C"/>
    <w:rsid w:val="00651DCD"/>
    <w:rsid w:val="00652694"/>
    <w:rsid w:val="00652B77"/>
    <w:rsid w:val="00653056"/>
    <w:rsid w:val="00655CD8"/>
    <w:rsid w:val="00655ED8"/>
    <w:rsid w:val="006563C4"/>
    <w:rsid w:val="00656C43"/>
    <w:rsid w:val="00657B10"/>
    <w:rsid w:val="00660D1F"/>
    <w:rsid w:val="006629E6"/>
    <w:rsid w:val="006630D7"/>
    <w:rsid w:val="00663718"/>
    <w:rsid w:val="00663734"/>
    <w:rsid w:val="00663C8F"/>
    <w:rsid w:val="00664594"/>
    <w:rsid w:val="00666A86"/>
    <w:rsid w:val="00667521"/>
    <w:rsid w:val="0067038B"/>
    <w:rsid w:val="006706FF"/>
    <w:rsid w:val="0067252F"/>
    <w:rsid w:val="006730A2"/>
    <w:rsid w:val="006737D5"/>
    <w:rsid w:val="0067401E"/>
    <w:rsid w:val="00674519"/>
    <w:rsid w:val="0067546F"/>
    <w:rsid w:val="0067650B"/>
    <w:rsid w:val="006767B6"/>
    <w:rsid w:val="00676E88"/>
    <w:rsid w:val="0067756B"/>
    <w:rsid w:val="00677D89"/>
    <w:rsid w:val="006808D3"/>
    <w:rsid w:val="00680F9F"/>
    <w:rsid w:val="00681136"/>
    <w:rsid w:val="00681164"/>
    <w:rsid w:val="00681D10"/>
    <w:rsid w:val="006838A1"/>
    <w:rsid w:val="006841CC"/>
    <w:rsid w:val="00684D78"/>
    <w:rsid w:val="0068528F"/>
    <w:rsid w:val="006852C7"/>
    <w:rsid w:val="00685973"/>
    <w:rsid w:val="00685B0C"/>
    <w:rsid w:val="0068625C"/>
    <w:rsid w:val="00686444"/>
    <w:rsid w:val="00687414"/>
    <w:rsid w:val="00690F90"/>
    <w:rsid w:val="0069146D"/>
    <w:rsid w:val="00691E0B"/>
    <w:rsid w:val="00692024"/>
    <w:rsid w:val="006924A4"/>
    <w:rsid w:val="00692A8C"/>
    <w:rsid w:val="006936CA"/>
    <w:rsid w:val="00695A09"/>
    <w:rsid w:val="006965E3"/>
    <w:rsid w:val="006970A9"/>
    <w:rsid w:val="0069757A"/>
    <w:rsid w:val="0069774E"/>
    <w:rsid w:val="00697996"/>
    <w:rsid w:val="006A05FD"/>
    <w:rsid w:val="006A3FFA"/>
    <w:rsid w:val="006A4251"/>
    <w:rsid w:val="006A46BE"/>
    <w:rsid w:val="006A575B"/>
    <w:rsid w:val="006A65D8"/>
    <w:rsid w:val="006A78AD"/>
    <w:rsid w:val="006A7AAD"/>
    <w:rsid w:val="006B090A"/>
    <w:rsid w:val="006B0ABD"/>
    <w:rsid w:val="006B19A0"/>
    <w:rsid w:val="006B2E9D"/>
    <w:rsid w:val="006B67C5"/>
    <w:rsid w:val="006B67DD"/>
    <w:rsid w:val="006B67EE"/>
    <w:rsid w:val="006B6940"/>
    <w:rsid w:val="006B69B2"/>
    <w:rsid w:val="006B73B3"/>
    <w:rsid w:val="006B773A"/>
    <w:rsid w:val="006C0D74"/>
    <w:rsid w:val="006C0EFE"/>
    <w:rsid w:val="006C1B92"/>
    <w:rsid w:val="006C2D60"/>
    <w:rsid w:val="006C4EC0"/>
    <w:rsid w:val="006C53B6"/>
    <w:rsid w:val="006C6648"/>
    <w:rsid w:val="006C6CB0"/>
    <w:rsid w:val="006C6DFD"/>
    <w:rsid w:val="006C70C0"/>
    <w:rsid w:val="006C728D"/>
    <w:rsid w:val="006C7554"/>
    <w:rsid w:val="006C7FF7"/>
    <w:rsid w:val="006D1AB2"/>
    <w:rsid w:val="006D364E"/>
    <w:rsid w:val="006D4DC7"/>
    <w:rsid w:val="006D5432"/>
    <w:rsid w:val="006D5A8B"/>
    <w:rsid w:val="006D62D6"/>
    <w:rsid w:val="006D6C8A"/>
    <w:rsid w:val="006D75F7"/>
    <w:rsid w:val="006E0C72"/>
    <w:rsid w:val="006E2633"/>
    <w:rsid w:val="006E5C13"/>
    <w:rsid w:val="006E635B"/>
    <w:rsid w:val="006E66F3"/>
    <w:rsid w:val="006E6BC1"/>
    <w:rsid w:val="006E6FE6"/>
    <w:rsid w:val="006E7D4A"/>
    <w:rsid w:val="006F01F7"/>
    <w:rsid w:val="006F0584"/>
    <w:rsid w:val="006F09B2"/>
    <w:rsid w:val="006F390A"/>
    <w:rsid w:val="006F4117"/>
    <w:rsid w:val="006F4653"/>
    <w:rsid w:val="006F577C"/>
    <w:rsid w:val="006F5AB4"/>
    <w:rsid w:val="006F5BC4"/>
    <w:rsid w:val="006F5CD2"/>
    <w:rsid w:val="006F686F"/>
    <w:rsid w:val="006F6E15"/>
    <w:rsid w:val="006F6F9B"/>
    <w:rsid w:val="006F7E10"/>
    <w:rsid w:val="007000BF"/>
    <w:rsid w:val="007009D8"/>
    <w:rsid w:val="007029AF"/>
    <w:rsid w:val="00702C59"/>
    <w:rsid w:val="007039B4"/>
    <w:rsid w:val="00703F79"/>
    <w:rsid w:val="007043A5"/>
    <w:rsid w:val="00704C6D"/>
    <w:rsid w:val="00705043"/>
    <w:rsid w:val="007064B8"/>
    <w:rsid w:val="00706D74"/>
    <w:rsid w:val="007104FA"/>
    <w:rsid w:val="00711161"/>
    <w:rsid w:val="00711882"/>
    <w:rsid w:val="00711F6C"/>
    <w:rsid w:val="00712614"/>
    <w:rsid w:val="0071278D"/>
    <w:rsid w:val="00712859"/>
    <w:rsid w:val="00714ED3"/>
    <w:rsid w:val="007159EE"/>
    <w:rsid w:val="007161C3"/>
    <w:rsid w:val="00716D44"/>
    <w:rsid w:val="00716D4F"/>
    <w:rsid w:val="00721263"/>
    <w:rsid w:val="00721B5A"/>
    <w:rsid w:val="00722E65"/>
    <w:rsid w:val="00722F5C"/>
    <w:rsid w:val="00723118"/>
    <w:rsid w:val="007231EA"/>
    <w:rsid w:val="007235F4"/>
    <w:rsid w:val="00723D0B"/>
    <w:rsid w:val="007240B8"/>
    <w:rsid w:val="007257FA"/>
    <w:rsid w:val="00725E3E"/>
    <w:rsid w:val="0072644A"/>
    <w:rsid w:val="0072695E"/>
    <w:rsid w:val="00727712"/>
    <w:rsid w:val="00727CF0"/>
    <w:rsid w:val="00731086"/>
    <w:rsid w:val="0073172C"/>
    <w:rsid w:val="00731D15"/>
    <w:rsid w:val="00731EAA"/>
    <w:rsid w:val="00733278"/>
    <w:rsid w:val="00733850"/>
    <w:rsid w:val="007340F9"/>
    <w:rsid w:val="0073479F"/>
    <w:rsid w:val="00734C42"/>
    <w:rsid w:val="00736DD9"/>
    <w:rsid w:val="007370E1"/>
    <w:rsid w:val="00740B81"/>
    <w:rsid w:val="00740F96"/>
    <w:rsid w:val="007424CB"/>
    <w:rsid w:val="007424EF"/>
    <w:rsid w:val="007438A6"/>
    <w:rsid w:val="00743D5B"/>
    <w:rsid w:val="00743FED"/>
    <w:rsid w:val="007446BF"/>
    <w:rsid w:val="00744917"/>
    <w:rsid w:val="0074570E"/>
    <w:rsid w:val="00745AA7"/>
    <w:rsid w:val="00745C4E"/>
    <w:rsid w:val="0074652E"/>
    <w:rsid w:val="007467CE"/>
    <w:rsid w:val="00746980"/>
    <w:rsid w:val="00746A86"/>
    <w:rsid w:val="00747E97"/>
    <w:rsid w:val="00747EFC"/>
    <w:rsid w:val="00750005"/>
    <w:rsid w:val="007506D3"/>
    <w:rsid w:val="00750A00"/>
    <w:rsid w:val="00750BE4"/>
    <w:rsid w:val="00751B73"/>
    <w:rsid w:val="0075212D"/>
    <w:rsid w:val="00752E3A"/>
    <w:rsid w:val="00754730"/>
    <w:rsid w:val="00754B85"/>
    <w:rsid w:val="00754F16"/>
    <w:rsid w:val="007555D5"/>
    <w:rsid w:val="007556E5"/>
    <w:rsid w:val="007557C8"/>
    <w:rsid w:val="00755A66"/>
    <w:rsid w:val="00755F77"/>
    <w:rsid w:val="00756DC6"/>
    <w:rsid w:val="007602D0"/>
    <w:rsid w:val="007606CD"/>
    <w:rsid w:val="00760C4C"/>
    <w:rsid w:val="00760D99"/>
    <w:rsid w:val="007615C8"/>
    <w:rsid w:val="007616C2"/>
    <w:rsid w:val="00761A3A"/>
    <w:rsid w:val="00761D76"/>
    <w:rsid w:val="00761D82"/>
    <w:rsid w:val="00762672"/>
    <w:rsid w:val="0076343F"/>
    <w:rsid w:val="00763A59"/>
    <w:rsid w:val="00764723"/>
    <w:rsid w:val="0076473A"/>
    <w:rsid w:val="00764B43"/>
    <w:rsid w:val="00764E6F"/>
    <w:rsid w:val="007655D4"/>
    <w:rsid w:val="00766060"/>
    <w:rsid w:val="00766112"/>
    <w:rsid w:val="0076729C"/>
    <w:rsid w:val="00767826"/>
    <w:rsid w:val="00770778"/>
    <w:rsid w:val="00770CBB"/>
    <w:rsid w:val="00770FB4"/>
    <w:rsid w:val="0077136E"/>
    <w:rsid w:val="007723A4"/>
    <w:rsid w:val="00773D09"/>
    <w:rsid w:val="00774505"/>
    <w:rsid w:val="00774D55"/>
    <w:rsid w:val="007762F5"/>
    <w:rsid w:val="007766B5"/>
    <w:rsid w:val="0077717C"/>
    <w:rsid w:val="00780B92"/>
    <w:rsid w:val="00781C5E"/>
    <w:rsid w:val="00782974"/>
    <w:rsid w:val="00782A2D"/>
    <w:rsid w:val="00782F28"/>
    <w:rsid w:val="007839D0"/>
    <w:rsid w:val="00785875"/>
    <w:rsid w:val="00786F82"/>
    <w:rsid w:val="00790594"/>
    <w:rsid w:val="0079095C"/>
    <w:rsid w:val="00791042"/>
    <w:rsid w:val="007917B1"/>
    <w:rsid w:val="00791C6C"/>
    <w:rsid w:val="00791D4E"/>
    <w:rsid w:val="00793CFE"/>
    <w:rsid w:val="007942D4"/>
    <w:rsid w:val="00794A44"/>
    <w:rsid w:val="007960C6"/>
    <w:rsid w:val="007964BC"/>
    <w:rsid w:val="00796715"/>
    <w:rsid w:val="0079692E"/>
    <w:rsid w:val="0079749B"/>
    <w:rsid w:val="007A0945"/>
    <w:rsid w:val="007A0AB5"/>
    <w:rsid w:val="007A155D"/>
    <w:rsid w:val="007A1A97"/>
    <w:rsid w:val="007A1B77"/>
    <w:rsid w:val="007A2A23"/>
    <w:rsid w:val="007A38F3"/>
    <w:rsid w:val="007A42E2"/>
    <w:rsid w:val="007A4D4C"/>
    <w:rsid w:val="007A52D4"/>
    <w:rsid w:val="007A55CA"/>
    <w:rsid w:val="007A66D7"/>
    <w:rsid w:val="007A6738"/>
    <w:rsid w:val="007A67F9"/>
    <w:rsid w:val="007A6B90"/>
    <w:rsid w:val="007A72C1"/>
    <w:rsid w:val="007A7978"/>
    <w:rsid w:val="007A7A0C"/>
    <w:rsid w:val="007A7F46"/>
    <w:rsid w:val="007B0CC2"/>
    <w:rsid w:val="007B2082"/>
    <w:rsid w:val="007B263E"/>
    <w:rsid w:val="007B47D7"/>
    <w:rsid w:val="007B489A"/>
    <w:rsid w:val="007B5351"/>
    <w:rsid w:val="007B6163"/>
    <w:rsid w:val="007B6206"/>
    <w:rsid w:val="007B628C"/>
    <w:rsid w:val="007B6FDC"/>
    <w:rsid w:val="007B7690"/>
    <w:rsid w:val="007C0704"/>
    <w:rsid w:val="007C0C3B"/>
    <w:rsid w:val="007C0C3E"/>
    <w:rsid w:val="007C125B"/>
    <w:rsid w:val="007C1266"/>
    <w:rsid w:val="007C20A7"/>
    <w:rsid w:val="007C25DF"/>
    <w:rsid w:val="007C2FC8"/>
    <w:rsid w:val="007C3587"/>
    <w:rsid w:val="007C390A"/>
    <w:rsid w:val="007C5273"/>
    <w:rsid w:val="007C5362"/>
    <w:rsid w:val="007C5ED8"/>
    <w:rsid w:val="007C71BF"/>
    <w:rsid w:val="007C7358"/>
    <w:rsid w:val="007C76A6"/>
    <w:rsid w:val="007D04DD"/>
    <w:rsid w:val="007D065A"/>
    <w:rsid w:val="007D1441"/>
    <w:rsid w:val="007D1A0E"/>
    <w:rsid w:val="007D1DC4"/>
    <w:rsid w:val="007D22A4"/>
    <w:rsid w:val="007D24DA"/>
    <w:rsid w:val="007D2CCA"/>
    <w:rsid w:val="007D2E3C"/>
    <w:rsid w:val="007D38F7"/>
    <w:rsid w:val="007D3AF5"/>
    <w:rsid w:val="007D4649"/>
    <w:rsid w:val="007D532C"/>
    <w:rsid w:val="007D575D"/>
    <w:rsid w:val="007D5813"/>
    <w:rsid w:val="007D6143"/>
    <w:rsid w:val="007D6670"/>
    <w:rsid w:val="007D6E89"/>
    <w:rsid w:val="007D7A98"/>
    <w:rsid w:val="007D7D1B"/>
    <w:rsid w:val="007E013F"/>
    <w:rsid w:val="007E03DB"/>
    <w:rsid w:val="007E05A1"/>
    <w:rsid w:val="007E0695"/>
    <w:rsid w:val="007E0E84"/>
    <w:rsid w:val="007E1E9C"/>
    <w:rsid w:val="007E21F5"/>
    <w:rsid w:val="007E23DB"/>
    <w:rsid w:val="007E2A09"/>
    <w:rsid w:val="007E2C44"/>
    <w:rsid w:val="007E3F54"/>
    <w:rsid w:val="007E3FA5"/>
    <w:rsid w:val="007E40BC"/>
    <w:rsid w:val="007E4ECD"/>
    <w:rsid w:val="007E54ED"/>
    <w:rsid w:val="007E67F8"/>
    <w:rsid w:val="007E79BE"/>
    <w:rsid w:val="007F008E"/>
    <w:rsid w:val="007F1F5E"/>
    <w:rsid w:val="007F2855"/>
    <w:rsid w:val="007F32EC"/>
    <w:rsid w:val="007F3325"/>
    <w:rsid w:val="007F5312"/>
    <w:rsid w:val="007F57DD"/>
    <w:rsid w:val="007F5861"/>
    <w:rsid w:val="007F5C93"/>
    <w:rsid w:val="007F780C"/>
    <w:rsid w:val="007F7816"/>
    <w:rsid w:val="0080022F"/>
    <w:rsid w:val="0080232C"/>
    <w:rsid w:val="00802EFF"/>
    <w:rsid w:val="00803664"/>
    <w:rsid w:val="00803836"/>
    <w:rsid w:val="008069AD"/>
    <w:rsid w:val="008079F2"/>
    <w:rsid w:val="0081201D"/>
    <w:rsid w:val="00812085"/>
    <w:rsid w:val="00812338"/>
    <w:rsid w:val="008125F7"/>
    <w:rsid w:val="0081382B"/>
    <w:rsid w:val="00813E0F"/>
    <w:rsid w:val="0081405D"/>
    <w:rsid w:val="00814553"/>
    <w:rsid w:val="00815368"/>
    <w:rsid w:val="0081538B"/>
    <w:rsid w:val="00815464"/>
    <w:rsid w:val="00815EFA"/>
    <w:rsid w:val="008160A9"/>
    <w:rsid w:val="008166D1"/>
    <w:rsid w:val="00816D98"/>
    <w:rsid w:val="008177D1"/>
    <w:rsid w:val="00821081"/>
    <w:rsid w:val="00821220"/>
    <w:rsid w:val="00821AF7"/>
    <w:rsid w:val="00822B3B"/>
    <w:rsid w:val="00823D6B"/>
    <w:rsid w:val="00824CBB"/>
    <w:rsid w:val="008252F9"/>
    <w:rsid w:val="00825602"/>
    <w:rsid w:val="008258CA"/>
    <w:rsid w:val="0082645B"/>
    <w:rsid w:val="0082781B"/>
    <w:rsid w:val="00827DC7"/>
    <w:rsid w:val="008300C5"/>
    <w:rsid w:val="0083442C"/>
    <w:rsid w:val="00834506"/>
    <w:rsid w:val="008347CE"/>
    <w:rsid w:val="00834EE8"/>
    <w:rsid w:val="00835E03"/>
    <w:rsid w:val="008369A6"/>
    <w:rsid w:val="00836CD6"/>
    <w:rsid w:val="00836E3E"/>
    <w:rsid w:val="00836F3D"/>
    <w:rsid w:val="00837474"/>
    <w:rsid w:val="00837878"/>
    <w:rsid w:val="00840264"/>
    <w:rsid w:val="008415AD"/>
    <w:rsid w:val="00841DDF"/>
    <w:rsid w:val="00842206"/>
    <w:rsid w:val="008423D3"/>
    <w:rsid w:val="0084259D"/>
    <w:rsid w:val="0084330E"/>
    <w:rsid w:val="0084468F"/>
    <w:rsid w:val="00844D06"/>
    <w:rsid w:val="00844F72"/>
    <w:rsid w:val="008472B1"/>
    <w:rsid w:val="008476A0"/>
    <w:rsid w:val="00847976"/>
    <w:rsid w:val="00850AA9"/>
    <w:rsid w:val="008513AF"/>
    <w:rsid w:val="008515A1"/>
    <w:rsid w:val="008516C0"/>
    <w:rsid w:val="00851953"/>
    <w:rsid w:val="008522C6"/>
    <w:rsid w:val="00852F28"/>
    <w:rsid w:val="008538C0"/>
    <w:rsid w:val="00854DAE"/>
    <w:rsid w:val="008550B5"/>
    <w:rsid w:val="00855A5B"/>
    <w:rsid w:val="00855B74"/>
    <w:rsid w:val="00855BDB"/>
    <w:rsid w:val="008560B7"/>
    <w:rsid w:val="0085644E"/>
    <w:rsid w:val="00857320"/>
    <w:rsid w:val="00857877"/>
    <w:rsid w:val="00857894"/>
    <w:rsid w:val="00860198"/>
    <w:rsid w:val="00860300"/>
    <w:rsid w:val="00860EC2"/>
    <w:rsid w:val="00861055"/>
    <w:rsid w:val="00861D96"/>
    <w:rsid w:val="008620FB"/>
    <w:rsid w:val="00862544"/>
    <w:rsid w:val="00865EB8"/>
    <w:rsid w:val="008661C2"/>
    <w:rsid w:val="0086682E"/>
    <w:rsid w:val="008670DF"/>
    <w:rsid w:val="008674B5"/>
    <w:rsid w:val="00867AB6"/>
    <w:rsid w:val="00871890"/>
    <w:rsid w:val="008726B1"/>
    <w:rsid w:val="00872E06"/>
    <w:rsid w:val="00873388"/>
    <w:rsid w:val="00873C73"/>
    <w:rsid w:val="00874698"/>
    <w:rsid w:val="00874DE1"/>
    <w:rsid w:val="008756FB"/>
    <w:rsid w:val="008761DE"/>
    <w:rsid w:val="00876D18"/>
    <w:rsid w:val="00876F8B"/>
    <w:rsid w:val="008770F8"/>
    <w:rsid w:val="0088022B"/>
    <w:rsid w:val="00880315"/>
    <w:rsid w:val="00880444"/>
    <w:rsid w:val="008806E7"/>
    <w:rsid w:val="0088120F"/>
    <w:rsid w:val="00882753"/>
    <w:rsid w:val="008827FF"/>
    <w:rsid w:val="0088283D"/>
    <w:rsid w:val="00882B5E"/>
    <w:rsid w:val="00882DF7"/>
    <w:rsid w:val="00882ED1"/>
    <w:rsid w:val="0088378E"/>
    <w:rsid w:val="0088485A"/>
    <w:rsid w:val="00885F3D"/>
    <w:rsid w:val="00886546"/>
    <w:rsid w:val="00886837"/>
    <w:rsid w:val="00886C5B"/>
    <w:rsid w:val="00887058"/>
    <w:rsid w:val="0088740A"/>
    <w:rsid w:val="008900F3"/>
    <w:rsid w:val="00890833"/>
    <w:rsid w:val="00891A24"/>
    <w:rsid w:val="00892A77"/>
    <w:rsid w:val="008932CB"/>
    <w:rsid w:val="00893F99"/>
    <w:rsid w:val="00895C0F"/>
    <w:rsid w:val="00896712"/>
    <w:rsid w:val="00896BD8"/>
    <w:rsid w:val="00896CA3"/>
    <w:rsid w:val="008979AB"/>
    <w:rsid w:val="008A0FF5"/>
    <w:rsid w:val="008A1028"/>
    <w:rsid w:val="008A103F"/>
    <w:rsid w:val="008A16B9"/>
    <w:rsid w:val="008A1776"/>
    <w:rsid w:val="008A3026"/>
    <w:rsid w:val="008A33CB"/>
    <w:rsid w:val="008A366C"/>
    <w:rsid w:val="008A37F5"/>
    <w:rsid w:val="008A3AF1"/>
    <w:rsid w:val="008A3EF4"/>
    <w:rsid w:val="008A560B"/>
    <w:rsid w:val="008A5A42"/>
    <w:rsid w:val="008A5E95"/>
    <w:rsid w:val="008A678E"/>
    <w:rsid w:val="008A7246"/>
    <w:rsid w:val="008B02A2"/>
    <w:rsid w:val="008B08AF"/>
    <w:rsid w:val="008B0DA3"/>
    <w:rsid w:val="008B0EC1"/>
    <w:rsid w:val="008B238F"/>
    <w:rsid w:val="008B25A3"/>
    <w:rsid w:val="008B2B11"/>
    <w:rsid w:val="008B3AA4"/>
    <w:rsid w:val="008B3CB3"/>
    <w:rsid w:val="008B4F73"/>
    <w:rsid w:val="008B55D5"/>
    <w:rsid w:val="008B5995"/>
    <w:rsid w:val="008B6022"/>
    <w:rsid w:val="008B6398"/>
    <w:rsid w:val="008B70A9"/>
    <w:rsid w:val="008B735A"/>
    <w:rsid w:val="008C0A49"/>
    <w:rsid w:val="008C106A"/>
    <w:rsid w:val="008C2F40"/>
    <w:rsid w:val="008C3267"/>
    <w:rsid w:val="008C3D4A"/>
    <w:rsid w:val="008C3E78"/>
    <w:rsid w:val="008C422E"/>
    <w:rsid w:val="008C5BE4"/>
    <w:rsid w:val="008C5E91"/>
    <w:rsid w:val="008C600D"/>
    <w:rsid w:val="008C6218"/>
    <w:rsid w:val="008C65BD"/>
    <w:rsid w:val="008C76FC"/>
    <w:rsid w:val="008D01F4"/>
    <w:rsid w:val="008D0E4D"/>
    <w:rsid w:val="008D20CA"/>
    <w:rsid w:val="008D2420"/>
    <w:rsid w:val="008D2C97"/>
    <w:rsid w:val="008D3C58"/>
    <w:rsid w:val="008D4421"/>
    <w:rsid w:val="008D5117"/>
    <w:rsid w:val="008D5562"/>
    <w:rsid w:val="008D5690"/>
    <w:rsid w:val="008D5D35"/>
    <w:rsid w:val="008D6B8D"/>
    <w:rsid w:val="008D6C90"/>
    <w:rsid w:val="008D74CD"/>
    <w:rsid w:val="008D7A49"/>
    <w:rsid w:val="008D7BDD"/>
    <w:rsid w:val="008E0A30"/>
    <w:rsid w:val="008E0E4C"/>
    <w:rsid w:val="008E1B96"/>
    <w:rsid w:val="008E24AD"/>
    <w:rsid w:val="008E2A65"/>
    <w:rsid w:val="008E366A"/>
    <w:rsid w:val="008E457C"/>
    <w:rsid w:val="008E4B39"/>
    <w:rsid w:val="008E5944"/>
    <w:rsid w:val="008E59C5"/>
    <w:rsid w:val="008E5BC3"/>
    <w:rsid w:val="008E5E9A"/>
    <w:rsid w:val="008E6003"/>
    <w:rsid w:val="008E659C"/>
    <w:rsid w:val="008E6A3A"/>
    <w:rsid w:val="008E6E23"/>
    <w:rsid w:val="008E7EC1"/>
    <w:rsid w:val="008F15F1"/>
    <w:rsid w:val="008F1751"/>
    <w:rsid w:val="008F1C51"/>
    <w:rsid w:val="008F2786"/>
    <w:rsid w:val="008F2CE8"/>
    <w:rsid w:val="008F2D29"/>
    <w:rsid w:val="008F2F33"/>
    <w:rsid w:val="008F37A9"/>
    <w:rsid w:val="008F3C83"/>
    <w:rsid w:val="008F55F3"/>
    <w:rsid w:val="008F5824"/>
    <w:rsid w:val="008F5FE4"/>
    <w:rsid w:val="008F690E"/>
    <w:rsid w:val="008F6924"/>
    <w:rsid w:val="008F6FE1"/>
    <w:rsid w:val="008F7C4A"/>
    <w:rsid w:val="00900959"/>
    <w:rsid w:val="00900E3C"/>
    <w:rsid w:val="009022C4"/>
    <w:rsid w:val="00903199"/>
    <w:rsid w:val="009040C7"/>
    <w:rsid w:val="00904A88"/>
    <w:rsid w:val="00904AD6"/>
    <w:rsid w:val="00904DBE"/>
    <w:rsid w:val="00904FCE"/>
    <w:rsid w:val="00905000"/>
    <w:rsid w:val="00905D97"/>
    <w:rsid w:val="0090692C"/>
    <w:rsid w:val="009070B8"/>
    <w:rsid w:val="00910F53"/>
    <w:rsid w:val="009110C2"/>
    <w:rsid w:val="00911FF5"/>
    <w:rsid w:val="00912689"/>
    <w:rsid w:val="00912A3D"/>
    <w:rsid w:val="00912F1D"/>
    <w:rsid w:val="00913075"/>
    <w:rsid w:val="009137DA"/>
    <w:rsid w:val="0091385E"/>
    <w:rsid w:val="00914108"/>
    <w:rsid w:val="00914245"/>
    <w:rsid w:val="00914FAE"/>
    <w:rsid w:val="00915E01"/>
    <w:rsid w:val="00916538"/>
    <w:rsid w:val="00916B14"/>
    <w:rsid w:val="00923786"/>
    <w:rsid w:val="00923FAE"/>
    <w:rsid w:val="00924407"/>
    <w:rsid w:val="009246FE"/>
    <w:rsid w:val="00924709"/>
    <w:rsid w:val="009247A9"/>
    <w:rsid w:val="009257B1"/>
    <w:rsid w:val="009268B8"/>
    <w:rsid w:val="009278A2"/>
    <w:rsid w:val="00930EA9"/>
    <w:rsid w:val="009310D5"/>
    <w:rsid w:val="009317EA"/>
    <w:rsid w:val="00931B85"/>
    <w:rsid w:val="00931E40"/>
    <w:rsid w:val="00932241"/>
    <w:rsid w:val="009328C8"/>
    <w:rsid w:val="00933128"/>
    <w:rsid w:val="00933ED7"/>
    <w:rsid w:val="009342EC"/>
    <w:rsid w:val="0093431A"/>
    <w:rsid w:val="009343E5"/>
    <w:rsid w:val="00934C47"/>
    <w:rsid w:val="00935191"/>
    <w:rsid w:val="00936948"/>
    <w:rsid w:val="00936D8C"/>
    <w:rsid w:val="00936F2F"/>
    <w:rsid w:val="009376F8"/>
    <w:rsid w:val="00940902"/>
    <w:rsid w:val="00940E45"/>
    <w:rsid w:val="0094209A"/>
    <w:rsid w:val="009429E6"/>
    <w:rsid w:val="00942AA1"/>
    <w:rsid w:val="00943B5D"/>
    <w:rsid w:val="00943CAB"/>
    <w:rsid w:val="009440FE"/>
    <w:rsid w:val="00945856"/>
    <w:rsid w:val="009460C9"/>
    <w:rsid w:val="00947DE7"/>
    <w:rsid w:val="00947E83"/>
    <w:rsid w:val="009500C3"/>
    <w:rsid w:val="009505DA"/>
    <w:rsid w:val="00950D32"/>
    <w:rsid w:val="0095107E"/>
    <w:rsid w:val="00951D5C"/>
    <w:rsid w:val="009530AC"/>
    <w:rsid w:val="0095393E"/>
    <w:rsid w:val="00953F28"/>
    <w:rsid w:val="00954172"/>
    <w:rsid w:val="00954935"/>
    <w:rsid w:val="00955280"/>
    <w:rsid w:val="009556A2"/>
    <w:rsid w:val="00957782"/>
    <w:rsid w:val="00960392"/>
    <w:rsid w:val="009603B1"/>
    <w:rsid w:val="00960FE1"/>
    <w:rsid w:val="009617F3"/>
    <w:rsid w:val="009619DA"/>
    <w:rsid w:val="00961A87"/>
    <w:rsid w:val="00961E81"/>
    <w:rsid w:val="00962324"/>
    <w:rsid w:val="00963EC3"/>
    <w:rsid w:val="00964657"/>
    <w:rsid w:val="0096469A"/>
    <w:rsid w:val="00964A25"/>
    <w:rsid w:val="00964BAE"/>
    <w:rsid w:val="009650F7"/>
    <w:rsid w:val="0096577C"/>
    <w:rsid w:val="00965E52"/>
    <w:rsid w:val="00967094"/>
    <w:rsid w:val="0097115E"/>
    <w:rsid w:val="0097160C"/>
    <w:rsid w:val="00971C35"/>
    <w:rsid w:val="00972772"/>
    <w:rsid w:val="00973908"/>
    <w:rsid w:val="00974920"/>
    <w:rsid w:val="0097499B"/>
    <w:rsid w:val="009753FA"/>
    <w:rsid w:val="00975C05"/>
    <w:rsid w:val="00975EFA"/>
    <w:rsid w:val="00976B6F"/>
    <w:rsid w:val="0097734A"/>
    <w:rsid w:val="00980080"/>
    <w:rsid w:val="0098186B"/>
    <w:rsid w:val="009818F6"/>
    <w:rsid w:val="0098288A"/>
    <w:rsid w:val="009832F3"/>
    <w:rsid w:val="0098358E"/>
    <w:rsid w:val="009842E4"/>
    <w:rsid w:val="0098496B"/>
    <w:rsid w:val="00984B78"/>
    <w:rsid w:val="00985031"/>
    <w:rsid w:val="00985255"/>
    <w:rsid w:val="009857B2"/>
    <w:rsid w:val="00985F93"/>
    <w:rsid w:val="009860D7"/>
    <w:rsid w:val="00986933"/>
    <w:rsid w:val="00986F6F"/>
    <w:rsid w:val="00986FCF"/>
    <w:rsid w:val="0098732F"/>
    <w:rsid w:val="009873EC"/>
    <w:rsid w:val="00987D28"/>
    <w:rsid w:val="0099028D"/>
    <w:rsid w:val="009906E6"/>
    <w:rsid w:val="00990ADB"/>
    <w:rsid w:val="009918DA"/>
    <w:rsid w:val="009919B0"/>
    <w:rsid w:val="00992861"/>
    <w:rsid w:val="00992CF4"/>
    <w:rsid w:val="00992EF9"/>
    <w:rsid w:val="00993037"/>
    <w:rsid w:val="0099372B"/>
    <w:rsid w:val="00994E73"/>
    <w:rsid w:val="00995182"/>
    <w:rsid w:val="0099559C"/>
    <w:rsid w:val="00995FE3"/>
    <w:rsid w:val="00996126"/>
    <w:rsid w:val="009961FF"/>
    <w:rsid w:val="0099657B"/>
    <w:rsid w:val="00996B5F"/>
    <w:rsid w:val="009973A9"/>
    <w:rsid w:val="009A1E9F"/>
    <w:rsid w:val="009A226D"/>
    <w:rsid w:val="009A4918"/>
    <w:rsid w:val="009A58F1"/>
    <w:rsid w:val="009A60D0"/>
    <w:rsid w:val="009A626D"/>
    <w:rsid w:val="009A64B5"/>
    <w:rsid w:val="009A7A4A"/>
    <w:rsid w:val="009A7B5F"/>
    <w:rsid w:val="009B067C"/>
    <w:rsid w:val="009B0B2B"/>
    <w:rsid w:val="009B0D48"/>
    <w:rsid w:val="009B158E"/>
    <w:rsid w:val="009B1841"/>
    <w:rsid w:val="009B1BBB"/>
    <w:rsid w:val="009B1C2D"/>
    <w:rsid w:val="009B2529"/>
    <w:rsid w:val="009B4E2A"/>
    <w:rsid w:val="009B4F0C"/>
    <w:rsid w:val="009B509C"/>
    <w:rsid w:val="009B50D2"/>
    <w:rsid w:val="009B565E"/>
    <w:rsid w:val="009B5C98"/>
    <w:rsid w:val="009B64AC"/>
    <w:rsid w:val="009B75FA"/>
    <w:rsid w:val="009C1163"/>
    <w:rsid w:val="009C1360"/>
    <w:rsid w:val="009C1518"/>
    <w:rsid w:val="009C1907"/>
    <w:rsid w:val="009C1921"/>
    <w:rsid w:val="009C2017"/>
    <w:rsid w:val="009C2109"/>
    <w:rsid w:val="009C2404"/>
    <w:rsid w:val="009C5155"/>
    <w:rsid w:val="009C5769"/>
    <w:rsid w:val="009C579C"/>
    <w:rsid w:val="009C66C6"/>
    <w:rsid w:val="009C6B49"/>
    <w:rsid w:val="009C77CC"/>
    <w:rsid w:val="009C782F"/>
    <w:rsid w:val="009D123E"/>
    <w:rsid w:val="009D169D"/>
    <w:rsid w:val="009D1CBD"/>
    <w:rsid w:val="009D1DA9"/>
    <w:rsid w:val="009D3010"/>
    <w:rsid w:val="009D31FD"/>
    <w:rsid w:val="009D4354"/>
    <w:rsid w:val="009D4485"/>
    <w:rsid w:val="009D4CA2"/>
    <w:rsid w:val="009D61AC"/>
    <w:rsid w:val="009D7534"/>
    <w:rsid w:val="009D7E3C"/>
    <w:rsid w:val="009D7FD1"/>
    <w:rsid w:val="009E0B6E"/>
    <w:rsid w:val="009E0CAB"/>
    <w:rsid w:val="009E1850"/>
    <w:rsid w:val="009E20CB"/>
    <w:rsid w:val="009E292E"/>
    <w:rsid w:val="009E2EED"/>
    <w:rsid w:val="009E2FAA"/>
    <w:rsid w:val="009E37A9"/>
    <w:rsid w:val="009E40B0"/>
    <w:rsid w:val="009E4731"/>
    <w:rsid w:val="009E5823"/>
    <w:rsid w:val="009E58D8"/>
    <w:rsid w:val="009E5E5E"/>
    <w:rsid w:val="009E62C5"/>
    <w:rsid w:val="009E7A43"/>
    <w:rsid w:val="009F1BBD"/>
    <w:rsid w:val="009F38A1"/>
    <w:rsid w:val="009F4FDE"/>
    <w:rsid w:val="009F54D9"/>
    <w:rsid w:val="009F70CE"/>
    <w:rsid w:val="009F76BD"/>
    <w:rsid w:val="00A01C23"/>
    <w:rsid w:val="00A025DD"/>
    <w:rsid w:val="00A0278F"/>
    <w:rsid w:val="00A02953"/>
    <w:rsid w:val="00A03207"/>
    <w:rsid w:val="00A033E4"/>
    <w:rsid w:val="00A045BC"/>
    <w:rsid w:val="00A0489D"/>
    <w:rsid w:val="00A0570F"/>
    <w:rsid w:val="00A0587B"/>
    <w:rsid w:val="00A05E45"/>
    <w:rsid w:val="00A06195"/>
    <w:rsid w:val="00A06FCB"/>
    <w:rsid w:val="00A11407"/>
    <w:rsid w:val="00A11815"/>
    <w:rsid w:val="00A120BC"/>
    <w:rsid w:val="00A13284"/>
    <w:rsid w:val="00A13A45"/>
    <w:rsid w:val="00A142CF"/>
    <w:rsid w:val="00A14B91"/>
    <w:rsid w:val="00A163FE"/>
    <w:rsid w:val="00A16502"/>
    <w:rsid w:val="00A16869"/>
    <w:rsid w:val="00A17898"/>
    <w:rsid w:val="00A17B6C"/>
    <w:rsid w:val="00A2010C"/>
    <w:rsid w:val="00A20180"/>
    <w:rsid w:val="00A20263"/>
    <w:rsid w:val="00A2046B"/>
    <w:rsid w:val="00A2146F"/>
    <w:rsid w:val="00A21BEE"/>
    <w:rsid w:val="00A22148"/>
    <w:rsid w:val="00A22EB7"/>
    <w:rsid w:val="00A23D81"/>
    <w:rsid w:val="00A23F42"/>
    <w:rsid w:val="00A240BF"/>
    <w:rsid w:val="00A252A4"/>
    <w:rsid w:val="00A26390"/>
    <w:rsid w:val="00A26DE3"/>
    <w:rsid w:val="00A26E89"/>
    <w:rsid w:val="00A27030"/>
    <w:rsid w:val="00A2744E"/>
    <w:rsid w:val="00A277E4"/>
    <w:rsid w:val="00A27C13"/>
    <w:rsid w:val="00A30179"/>
    <w:rsid w:val="00A31178"/>
    <w:rsid w:val="00A31474"/>
    <w:rsid w:val="00A32364"/>
    <w:rsid w:val="00A32892"/>
    <w:rsid w:val="00A33CE0"/>
    <w:rsid w:val="00A33EC5"/>
    <w:rsid w:val="00A33F27"/>
    <w:rsid w:val="00A35490"/>
    <w:rsid w:val="00A3577C"/>
    <w:rsid w:val="00A35F5C"/>
    <w:rsid w:val="00A36420"/>
    <w:rsid w:val="00A376D6"/>
    <w:rsid w:val="00A37FA0"/>
    <w:rsid w:val="00A403B0"/>
    <w:rsid w:val="00A40F60"/>
    <w:rsid w:val="00A431CC"/>
    <w:rsid w:val="00A4397B"/>
    <w:rsid w:val="00A44BFD"/>
    <w:rsid w:val="00A458E4"/>
    <w:rsid w:val="00A45962"/>
    <w:rsid w:val="00A50114"/>
    <w:rsid w:val="00A5053E"/>
    <w:rsid w:val="00A50E60"/>
    <w:rsid w:val="00A53127"/>
    <w:rsid w:val="00A532DD"/>
    <w:rsid w:val="00A539CF"/>
    <w:rsid w:val="00A53C23"/>
    <w:rsid w:val="00A5468B"/>
    <w:rsid w:val="00A551DA"/>
    <w:rsid w:val="00A5573D"/>
    <w:rsid w:val="00A55DC0"/>
    <w:rsid w:val="00A55F62"/>
    <w:rsid w:val="00A563C9"/>
    <w:rsid w:val="00A56CE0"/>
    <w:rsid w:val="00A57B5E"/>
    <w:rsid w:val="00A6006A"/>
    <w:rsid w:val="00A60099"/>
    <w:rsid w:val="00A6079E"/>
    <w:rsid w:val="00A609D2"/>
    <w:rsid w:val="00A60EE8"/>
    <w:rsid w:val="00A61130"/>
    <w:rsid w:val="00A63636"/>
    <w:rsid w:val="00A6382E"/>
    <w:rsid w:val="00A643A6"/>
    <w:rsid w:val="00A65CBD"/>
    <w:rsid w:val="00A6651A"/>
    <w:rsid w:val="00A66790"/>
    <w:rsid w:val="00A66A27"/>
    <w:rsid w:val="00A670D3"/>
    <w:rsid w:val="00A705AE"/>
    <w:rsid w:val="00A70C20"/>
    <w:rsid w:val="00A723B5"/>
    <w:rsid w:val="00A729F9"/>
    <w:rsid w:val="00A731D1"/>
    <w:rsid w:val="00A77695"/>
    <w:rsid w:val="00A80696"/>
    <w:rsid w:val="00A80717"/>
    <w:rsid w:val="00A80E97"/>
    <w:rsid w:val="00A8163A"/>
    <w:rsid w:val="00A828FA"/>
    <w:rsid w:val="00A82B0F"/>
    <w:rsid w:val="00A85C32"/>
    <w:rsid w:val="00A85D05"/>
    <w:rsid w:val="00A8640A"/>
    <w:rsid w:val="00A86B7A"/>
    <w:rsid w:val="00A9095D"/>
    <w:rsid w:val="00A90EFE"/>
    <w:rsid w:val="00A90F1A"/>
    <w:rsid w:val="00A9175E"/>
    <w:rsid w:val="00A91C82"/>
    <w:rsid w:val="00A92537"/>
    <w:rsid w:val="00A9294E"/>
    <w:rsid w:val="00A92EE9"/>
    <w:rsid w:val="00A9367A"/>
    <w:rsid w:val="00A94326"/>
    <w:rsid w:val="00A94A23"/>
    <w:rsid w:val="00A954EC"/>
    <w:rsid w:val="00A95932"/>
    <w:rsid w:val="00A969BF"/>
    <w:rsid w:val="00AA0776"/>
    <w:rsid w:val="00AA0AEB"/>
    <w:rsid w:val="00AA16CE"/>
    <w:rsid w:val="00AA1961"/>
    <w:rsid w:val="00AA2969"/>
    <w:rsid w:val="00AA2F5C"/>
    <w:rsid w:val="00AA30AB"/>
    <w:rsid w:val="00AA335C"/>
    <w:rsid w:val="00AA371A"/>
    <w:rsid w:val="00AA395A"/>
    <w:rsid w:val="00AA5AB8"/>
    <w:rsid w:val="00AA5ADC"/>
    <w:rsid w:val="00AA64AF"/>
    <w:rsid w:val="00AA6D4C"/>
    <w:rsid w:val="00AB0326"/>
    <w:rsid w:val="00AB0658"/>
    <w:rsid w:val="00AB17A7"/>
    <w:rsid w:val="00AB1AC6"/>
    <w:rsid w:val="00AB386E"/>
    <w:rsid w:val="00AB39F7"/>
    <w:rsid w:val="00AB3D70"/>
    <w:rsid w:val="00AB4392"/>
    <w:rsid w:val="00AB4984"/>
    <w:rsid w:val="00AB4A74"/>
    <w:rsid w:val="00AB60D8"/>
    <w:rsid w:val="00AB77AC"/>
    <w:rsid w:val="00AC1C4E"/>
    <w:rsid w:val="00AC1EA5"/>
    <w:rsid w:val="00AC2697"/>
    <w:rsid w:val="00AC34D1"/>
    <w:rsid w:val="00AC441A"/>
    <w:rsid w:val="00AC49FE"/>
    <w:rsid w:val="00AC4F0D"/>
    <w:rsid w:val="00AC5CC1"/>
    <w:rsid w:val="00AC72D0"/>
    <w:rsid w:val="00AC77B3"/>
    <w:rsid w:val="00AD045C"/>
    <w:rsid w:val="00AD071E"/>
    <w:rsid w:val="00AD0BAE"/>
    <w:rsid w:val="00AD17B0"/>
    <w:rsid w:val="00AD19FB"/>
    <w:rsid w:val="00AD1F72"/>
    <w:rsid w:val="00AD280A"/>
    <w:rsid w:val="00AD2AA9"/>
    <w:rsid w:val="00AD30BB"/>
    <w:rsid w:val="00AD3BCB"/>
    <w:rsid w:val="00AD441B"/>
    <w:rsid w:val="00AD449E"/>
    <w:rsid w:val="00AD4F85"/>
    <w:rsid w:val="00AD5FDE"/>
    <w:rsid w:val="00AD6A65"/>
    <w:rsid w:val="00AD6D1B"/>
    <w:rsid w:val="00AD6ECD"/>
    <w:rsid w:val="00AE3367"/>
    <w:rsid w:val="00AE3AFF"/>
    <w:rsid w:val="00AE3F78"/>
    <w:rsid w:val="00AE451E"/>
    <w:rsid w:val="00AE4825"/>
    <w:rsid w:val="00AE48FC"/>
    <w:rsid w:val="00AE4BA8"/>
    <w:rsid w:val="00AE5D7A"/>
    <w:rsid w:val="00AE5E8F"/>
    <w:rsid w:val="00AE724B"/>
    <w:rsid w:val="00AE7C46"/>
    <w:rsid w:val="00AF0046"/>
    <w:rsid w:val="00AF077B"/>
    <w:rsid w:val="00AF0A0A"/>
    <w:rsid w:val="00AF129A"/>
    <w:rsid w:val="00AF175F"/>
    <w:rsid w:val="00AF1ACF"/>
    <w:rsid w:val="00AF1AF0"/>
    <w:rsid w:val="00AF1DB9"/>
    <w:rsid w:val="00AF20FE"/>
    <w:rsid w:val="00AF2187"/>
    <w:rsid w:val="00AF2A83"/>
    <w:rsid w:val="00AF2B23"/>
    <w:rsid w:val="00AF4DCF"/>
    <w:rsid w:val="00AF4EA3"/>
    <w:rsid w:val="00AF4F02"/>
    <w:rsid w:val="00AF539A"/>
    <w:rsid w:val="00AF5A94"/>
    <w:rsid w:val="00AF5D19"/>
    <w:rsid w:val="00AF649D"/>
    <w:rsid w:val="00AF78C6"/>
    <w:rsid w:val="00B00C64"/>
    <w:rsid w:val="00B00E34"/>
    <w:rsid w:val="00B012E4"/>
    <w:rsid w:val="00B01A66"/>
    <w:rsid w:val="00B01BAD"/>
    <w:rsid w:val="00B01D1D"/>
    <w:rsid w:val="00B01D7B"/>
    <w:rsid w:val="00B02045"/>
    <w:rsid w:val="00B0258C"/>
    <w:rsid w:val="00B025F1"/>
    <w:rsid w:val="00B03A7A"/>
    <w:rsid w:val="00B04225"/>
    <w:rsid w:val="00B04D82"/>
    <w:rsid w:val="00B112BB"/>
    <w:rsid w:val="00B1345D"/>
    <w:rsid w:val="00B13520"/>
    <w:rsid w:val="00B139F6"/>
    <w:rsid w:val="00B13A86"/>
    <w:rsid w:val="00B160D4"/>
    <w:rsid w:val="00B16894"/>
    <w:rsid w:val="00B16B6B"/>
    <w:rsid w:val="00B17FD5"/>
    <w:rsid w:val="00B20109"/>
    <w:rsid w:val="00B2137B"/>
    <w:rsid w:val="00B21767"/>
    <w:rsid w:val="00B2296F"/>
    <w:rsid w:val="00B22BA0"/>
    <w:rsid w:val="00B23A1B"/>
    <w:rsid w:val="00B23BEF"/>
    <w:rsid w:val="00B258E4"/>
    <w:rsid w:val="00B27ACE"/>
    <w:rsid w:val="00B30367"/>
    <w:rsid w:val="00B3095D"/>
    <w:rsid w:val="00B30D34"/>
    <w:rsid w:val="00B31060"/>
    <w:rsid w:val="00B31F35"/>
    <w:rsid w:val="00B32A6E"/>
    <w:rsid w:val="00B33F9E"/>
    <w:rsid w:val="00B375FC"/>
    <w:rsid w:val="00B4070B"/>
    <w:rsid w:val="00B40DCF"/>
    <w:rsid w:val="00B421A4"/>
    <w:rsid w:val="00B43464"/>
    <w:rsid w:val="00B45D51"/>
    <w:rsid w:val="00B46DBE"/>
    <w:rsid w:val="00B46E8B"/>
    <w:rsid w:val="00B46FCE"/>
    <w:rsid w:val="00B47A4C"/>
    <w:rsid w:val="00B47A89"/>
    <w:rsid w:val="00B47CFF"/>
    <w:rsid w:val="00B505BF"/>
    <w:rsid w:val="00B50AD1"/>
    <w:rsid w:val="00B518E4"/>
    <w:rsid w:val="00B5225B"/>
    <w:rsid w:val="00B5296F"/>
    <w:rsid w:val="00B537FC"/>
    <w:rsid w:val="00B53CBA"/>
    <w:rsid w:val="00B5462D"/>
    <w:rsid w:val="00B553D9"/>
    <w:rsid w:val="00B55D5C"/>
    <w:rsid w:val="00B56C89"/>
    <w:rsid w:val="00B573EE"/>
    <w:rsid w:val="00B57A2A"/>
    <w:rsid w:val="00B60344"/>
    <w:rsid w:val="00B61C6E"/>
    <w:rsid w:val="00B64825"/>
    <w:rsid w:val="00B648B8"/>
    <w:rsid w:val="00B6511E"/>
    <w:rsid w:val="00B65C38"/>
    <w:rsid w:val="00B6629A"/>
    <w:rsid w:val="00B7018B"/>
    <w:rsid w:val="00B70275"/>
    <w:rsid w:val="00B703EF"/>
    <w:rsid w:val="00B7066D"/>
    <w:rsid w:val="00B71B34"/>
    <w:rsid w:val="00B723AF"/>
    <w:rsid w:val="00B72DD9"/>
    <w:rsid w:val="00B74918"/>
    <w:rsid w:val="00B765D7"/>
    <w:rsid w:val="00B76763"/>
    <w:rsid w:val="00B76CE0"/>
    <w:rsid w:val="00B7722C"/>
    <w:rsid w:val="00B77294"/>
    <w:rsid w:val="00B77451"/>
    <w:rsid w:val="00B8137C"/>
    <w:rsid w:val="00B82766"/>
    <w:rsid w:val="00B83822"/>
    <w:rsid w:val="00B845B5"/>
    <w:rsid w:val="00B84FE1"/>
    <w:rsid w:val="00B86113"/>
    <w:rsid w:val="00B864A7"/>
    <w:rsid w:val="00B86EDB"/>
    <w:rsid w:val="00B87AE1"/>
    <w:rsid w:val="00B87E89"/>
    <w:rsid w:val="00B903DD"/>
    <w:rsid w:val="00B90958"/>
    <w:rsid w:val="00B90BBF"/>
    <w:rsid w:val="00B9100A"/>
    <w:rsid w:val="00B9145F"/>
    <w:rsid w:val="00B9169E"/>
    <w:rsid w:val="00B91D46"/>
    <w:rsid w:val="00B91DFF"/>
    <w:rsid w:val="00B92542"/>
    <w:rsid w:val="00B9294D"/>
    <w:rsid w:val="00B92BAF"/>
    <w:rsid w:val="00B93848"/>
    <w:rsid w:val="00B95837"/>
    <w:rsid w:val="00B95ACD"/>
    <w:rsid w:val="00B96158"/>
    <w:rsid w:val="00B968DB"/>
    <w:rsid w:val="00B973D5"/>
    <w:rsid w:val="00B97CDC"/>
    <w:rsid w:val="00BA0087"/>
    <w:rsid w:val="00BA0310"/>
    <w:rsid w:val="00BA0DC1"/>
    <w:rsid w:val="00BA0DDE"/>
    <w:rsid w:val="00BA11E3"/>
    <w:rsid w:val="00BA17E7"/>
    <w:rsid w:val="00BA1D18"/>
    <w:rsid w:val="00BA29E5"/>
    <w:rsid w:val="00BA3881"/>
    <w:rsid w:val="00BA39B0"/>
    <w:rsid w:val="00BA3D54"/>
    <w:rsid w:val="00BA457A"/>
    <w:rsid w:val="00BA47BE"/>
    <w:rsid w:val="00BA5C0F"/>
    <w:rsid w:val="00BA75AB"/>
    <w:rsid w:val="00BA773C"/>
    <w:rsid w:val="00BA7852"/>
    <w:rsid w:val="00BB0446"/>
    <w:rsid w:val="00BB0AEB"/>
    <w:rsid w:val="00BB1072"/>
    <w:rsid w:val="00BB31D6"/>
    <w:rsid w:val="00BB31E3"/>
    <w:rsid w:val="00BB36A4"/>
    <w:rsid w:val="00BB3CAA"/>
    <w:rsid w:val="00BB3E4B"/>
    <w:rsid w:val="00BB4B31"/>
    <w:rsid w:val="00BB4D8E"/>
    <w:rsid w:val="00BB5A49"/>
    <w:rsid w:val="00BB641F"/>
    <w:rsid w:val="00BC03FB"/>
    <w:rsid w:val="00BC0AA3"/>
    <w:rsid w:val="00BC24EC"/>
    <w:rsid w:val="00BC3BCE"/>
    <w:rsid w:val="00BC5459"/>
    <w:rsid w:val="00BC5BA5"/>
    <w:rsid w:val="00BD1095"/>
    <w:rsid w:val="00BD136C"/>
    <w:rsid w:val="00BD14C4"/>
    <w:rsid w:val="00BD16B2"/>
    <w:rsid w:val="00BD2DA3"/>
    <w:rsid w:val="00BD3B8C"/>
    <w:rsid w:val="00BD4644"/>
    <w:rsid w:val="00BD479C"/>
    <w:rsid w:val="00BD4FD6"/>
    <w:rsid w:val="00BD6307"/>
    <w:rsid w:val="00BD6454"/>
    <w:rsid w:val="00BD7138"/>
    <w:rsid w:val="00BD7567"/>
    <w:rsid w:val="00BD76D6"/>
    <w:rsid w:val="00BE0BEF"/>
    <w:rsid w:val="00BE0D3C"/>
    <w:rsid w:val="00BE22F3"/>
    <w:rsid w:val="00BE2D96"/>
    <w:rsid w:val="00BE39F3"/>
    <w:rsid w:val="00BE4F32"/>
    <w:rsid w:val="00BE7285"/>
    <w:rsid w:val="00BE7388"/>
    <w:rsid w:val="00BE7585"/>
    <w:rsid w:val="00BE7954"/>
    <w:rsid w:val="00BF1EAC"/>
    <w:rsid w:val="00BF215D"/>
    <w:rsid w:val="00BF226A"/>
    <w:rsid w:val="00BF248F"/>
    <w:rsid w:val="00BF3D71"/>
    <w:rsid w:val="00BF40BD"/>
    <w:rsid w:val="00BF57EA"/>
    <w:rsid w:val="00BF66B7"/>
    <w:rsid w:val="00BF6932"/>
    <w:rsid w:val="00BF69AF"/>
    <w:rsid w:val="00BF7762"/>
    <w:rsid w:val="00BF7C20"/>
    <w:rsid w:val="00BF7E64"/>
    <w:rsid w:val="00C028F5"/>
    <w:rsid w:val="00C035A7"/>
    <w:rsid w:val="00C03836"/>
    <w:rsid w:val="00C03999"/>
    <w:rsid w:val="00C03D56"/>
    <w:rsid w:val="00C04135"/>
    <w:rsid w:val="00C055A8"/>
    <w:rsid w:val="00C059D0"/>
    <w:rsid w:val="00C05E79"/>
    <w:rsid w:val="00C06499"/>
    <w:rsid w:val="00C066F9"/>
    <w:rsid w:val="00C06841"/>
    <w:rsid w:val="00C06F70"/>
    <w:rsid w:val="00C1212E"/>
    <w:rsid w:val="00C136EE"/>
    <w:rsid w:val="00C13B7D"/>
    <w:rsid w:val="00C14BCB"/>
    <w:rsid w:val="00C16382"/>
    <w:rsid w:val="00C171AE"/>
    <w:rsid w:val="00C17467"/>
    <w:rsid w:val="00C17566"/>
    <w:rsid w:val="00C17B58"/>
    <w:rsid w:val="00C209B4"/>
    <w:rsid w:val="00C20B08"/>
    <w:rsid w:val="00C2101E"/>
    <w:rsid w:val="00C22543"/>
    <w:rsid w:val="00C2256C"/>
    <w:rsid w:val="00C225C3"/>
    <w:rsid w:val="00C24AF9"/>
    <w:rsid w:val="00C24EA3"/>
    <w:rsid w:val="00C25AC8"/>
    <w:rsid w:val="00C263F1"/>
    <w:rsid w:val="00C265AB"/>
    <w:rsid w:val="00C276C8"/>
    <w:rsid w:val="00C27E0E"/>
    <w:rsid w:val="00C300A5"/>
    <w:rsid w:val="00C300AC"/>
    <w:rsid w:val="00C3070E"/>
    <w:rsid w:val="00C30D1E"/>
    <w:rsid w:val="00C31A10"/>
    <w:rsid w:val="00C31C7A"/>
    <w:rsid w:val="00C32565"/>
    <w:rsid w:val="00C326AE"/>
    <w:rsid w:val="00C326D5"/>
    <w:rsid w:val="00C329EA"/>
    <w:rsid w:val="00C3488B"/>
    <w:rsid w:val="00C34D74"/>
    <w:rsid w:val="00C34F0B"/>
    <w:rsid w:val="00C3587B"/>
    <w:rsid w:val="00C379FD"/>
    <w:rsid w:val="00C40EC4"/>
    <w:rsid w:val="00C4355B"/>
    <w:rsid w:val="00C4424A"/>
    <w:rsid w:val="00C455B0"/>
    <w:rsid w:val="00C456DE"/>
    <w:rsid w:val="00C45C83"/>
    <w:rsid w:val="00C461C7"/>
    <w:rsid w:val="00C46263"/>
    <w:rsid w:val="00C46441"/>
    <w:rsid w:val="00C46835"/>
    <w:rsid w:val="00C47478"/>
    <w:rsid w:val="00C503F8"/>
    <w:rsid w:val="00C507F5"/>
    <w:rsid w:val="00C508FC"/>
    <w:rsid w:val="00C50D58"/>
    <w:rsid w:val="00C525D7"/>
    <w:rsid w:val="00C5324D"/>
    <w:rsid w:val="00C5398F"/>
    <w:rsid w:val="00C53BDF"/>
    <w:rsid w:val="00C54B14"/>
    <w:rsid w:val="00C54C3C"/>
    <w:rsid w:val="00C55903"/>
    <w:rsid w:val="00C561F4"/>
    <w:rsid w:val="00C57922"/>
    <w:rsid w:val="00C57B3B"/>
    <w:rsid w:val="00C60BAC"/>
    <w:rsid w:val="00C60CF7"/>
    <w:rsid w:val="00C66869"/>
    <w:rsid w:val="00C673E5"/>
    <w:rsid w:val="00C701F6"/>
    <w:rsid w:val="00C7098F"/>
    <w:rsid w:val="00C70ABA"/>
    <w:rsid w:val="00C70AD0"/>
    <w:rsid w:val="00C70BA6"/>
    <w:rsid w:val="00C739EB"/>
    <w:rsid w:val="00C75256"/>
    <w:rsid w:val="00C75430"/>
    <w:rsid w:val="00C75BB6"/>
    <w:rsid w:val="00C75F3F"/>
    <w:rsid w:val="00C7607E"/>
    <w:rsid w:val="00C768DC"/>
    <w:rsid w:val="00C810F9"/>
    <w:rsid w:val="00C811E4"/>
    <w:rsid w:val="00C81BB7"/>
    <w:rsid w:val="00C83D2E"/>
    <w:rsid w:val="00C83D4B"/>
    <w:rsid w:val="00C8489E"/>
    <w:rsid w:val="00C8646A"/>
    <w:rsid w:val="00C866F3"/>
    <w:rsid w:val="00C86F28"/>
    <w:rsid w:val="00C878BC"/>
    <w:rsid w:val="00C87D96"/>
    <w:rsid w:val="00C90068"/>
    <w:rsid w:val="00C9115C"/>
    <w:rsid w:val="00C91A17"/>
    <w:rsid w:val="00C9245E"/>
    <w:rsid w:val="00C92486"/>
    <w:rsid w:val="00C928A6"/>
    <w:rsid w:val="00C92D92"/>
    <w:rsid w:val="00C92ED7"/>
    <w:rsid w:val="00C93190"/>
    <w:rsid w:val="00C94BD8"/>
    <w:rsid w:val="00C94FE2"/>
    <w:rsid w:val="00C95518"/>
    <w:rsid w:val="00C9604E"/>
    <w:rsid w:val="00C9665B"/>
    <w:rsid w:val="00C977F3"/>
    <w:rsid w:val="00C97FD0"/>
    <w:rsid w:val="00CA0101"/>
    <w:rsid w:val="00CA164E"/>
    <w:rsid w:val="00CA1B4E"/>
    <w:rsid w:val="00CA2BDF"/>
    <w:rsid w:val="00CA3563"/>
    <w:rsid w:val="00CA43C1"/>
    <w:rsid w:val="00CA4FC5"/>
    <w:rsid w:val="00CA53B7"/>
    <w:rsid w:val="00CA69AC"/>
    <w:rsid w:val="00CA7B73"/>
    <w:rsid w:val="00CA7D16"/>
    <w:rsid w:val="00CA7DD3"/>
    <w:rsid w:val="00CA7F34"/>
    <w:rsid w:val="00CB0261"/>
    <w:rsid w:val="00CB0436"/>
    <w:rsid w:val="00CB0F28"/>
    <w:rsid w:val="00CB13B3"/>
    <w:rsid w:val="00CB1BAC"/>
    <w:rsid w:val="00CB1FD2"/>
    <w:rsid w:val="00CB22E2"/>
    <w:rsid w:val="00CB2F56"/>
    <w:rsid w:val="00CB315F"/>
    <w:rsid w:val="00CB3273"/>
    <w:rsid w:val="00CB6939"/>
    <w:rsid w:val="00CB6DF2"/>
    <w:rsid w:val="00CB7C61"/>
    <w:rsid w:val="00CB7E07"/>
    <w:rsid w:val="00CC0D34"/>
    <w:rsid w:val="00CC20D1"/>
    <w:rsid w:val="00CC213D"/>
    <w:rsid w:val="00CC29B6"/>
    <w:rsid w:val="00CC4764"/>
    <w:rsid w:val="00CC479A"/>
    <w:rsid w:val="00CC4CA3"/>
    <w:rsid w:val="00CC5163"/>
    <w:rsid w:val="00CC5DCA"/>
    <w:rsid w:val="00CC5E8D"/>
    <w:rsid w:val="00CC6CC5"/>
    <w:rsid w:val="00CC71EF"/>
    <w:rsid w:val="00CC722B"/>
    <w:rsid w:val="00CC7BBE"/>
    <w:rsid w:val="00CD15FB"/>
    <w:rsid w:val="00CD2E6A"/>
    <w:rsid w:val="00CD3426"/>
    <w:rsid w:val="00CD3540"/>
    <w:rsid w:val="00CD45D8"/>
    <w:rsid w:val="00CD498B"/>
    <w:rsid w:val="00CD4D42"/>
    <w:rsid w:val="00CD58CF"/>
    <w:rsid w:val="00CD5B82"/>
    <w:rsid w:val="00CD6238"/>
    <w:rsid w:val="00CD654A"/>
    <w:rsid w:val="00CD72BE"/>
    <w:rsid w:val="00CE0BD5"/>
    <w:rsid w:val="00CE0DF0"/>
    <w:rsid w:val="00CE13B5"/>
    <w:rsid w:val="00CE17E0"/>
    <w:rsid w:val="00CE2733"/>
    <w:rsid w:val="00CE367E"/>
    <w:rsid w:val="00CE48E6"/>
    <w:rsid w:val="00CE5BB8"/>
    <w:rsid w:val="00CE5C2F"/>
    <w:rsid w:val="00CE63D9"/>
    <w:rsid w:val="00CE789D"/>
    <w:rsid w:val="00CE7D50"/>
    <w:rsid w:val="00CE7D88"/>
    <w:rsid w:val="00CF019E"/>
    <w:rsid w:val="00CF0243"/>
    <w:rsid w:val="00CF044D"/>
    <w:rsid w:val="00CF0C55"/>
    <w:rsid w:val="00CF0CC7"/>
    <w:rsid w:val="00CF1FAB"/>
    <w:rsid w:val="00CF1FE1"/>
    <w:rsid w:val="00CF26F7"/>
    <w:rsid w:val="00CF2D5B"/>
    <w:rsid w:val="00CF3A9F"/>
    <w:rsid w:val="00CF3D04"/>
    <w:rsid w:val="00CF51E3"/>
    <w:rsid w:val="00CF5359"/>
    <w:rsid w:val="00CF5642"/>
    <w:rsid w:val="00CF74D4"/>
    <w:rsid w:val="00CF7577"/>
    <w:rsid w:val="00CF7B06"/>
    <w:rsid w:val="00D00789"/>
    <w:rsid w:val="00D0082C"/>
    <w:rsid w:val="00D00A87"/>
    <w:rsid w:val="00D00B0B"/>
    <w:rsid w:val="00D01F5D"/>
    <w:rsid w:val="00D041A2"/>
    <w:rsid w:val="00D0422A"/>
    <w:rsid w:val="00D04796"/>
    <w:rsid w:val="00D05210"/>
    <w:rsid w:val="00D05241"/>
    <w:rsid w:val="00D05882"/>
    <w:rsid w:val="00D05A3B"/>
    <w:rsid w:val="00D0653F"/>
    <w:rsid w:val="00D06BBB"/>
    <w:rsid w:val="00D075F0"/>
    <w:rsid w:val="00D10500"/>
    <w:rsid w:val="00D118ED"/>
    <w:rsid w:val="00D11A39"/>
    <w:rsid w:val="00D1205D"/>
    <w:rsid w:val="00D12A20"/>
    <w:rsid w:val="00D13DF5"/>
    <w:rsid w:val="00D13EC0"/>
    <w:rsid w:val="00D13F77"/>
    <w:rsid w:val="00D15883"/>
    <w:rsid w:val="00D159F2"/>
    <w:rsid w:val="00D16CA8"/>
    <w:rsid w:val="00D17422"/>
    <w:rsid w:val="00D17A10"/>
    <w:rsid w:val="00D17ABB"/>
    <w:rsid w:val="00D20990"/>
    <w:rsid w:val="00D229AD"/>
    <w:rsid w:val="00D23077"/>
    <w:rsid w:val="00D235F1"/>
    <w:rsid w:val="00D23C04"/>
    <w:rsid w:val="00D24235"/>
    <w:rsid w:val="00D24444"/>
    <w:rsid w:val="00D24541"/>
    <w:rsid w:val="00D252DC"/>
    <w:rsid w:val="00D255DF"/>
    <w:rsid w:val="00D26BA9"/>
    <w:rsid w:val="00D273CD"/>
    <w:rsid w:val="00D30FBA"/>
    <w:rsid w:val="00D31A0A"/>
    <w:rsid w:val="00D32713"/>
    <w:rsid w:val="00D32E2E"/>
    <w:rsid w:val="00D32FFD"/>
    <w:rsid w:val="00D33084"/>
    <w:rsid w:val="00D330C6"/>
    <w:rsid w:val="00D3400A"/>
    <w:rsid w:val="00D34653"/>
    <w:rsid w:val="00D359BA"/>
    <w:rsid w:val="00D35DBE"/>
    <w:rsid w:val="00D3654F"/>
    <w:rsid w:val="00D36CAF"/>
    <w:rsid w:val="00D36FB9"/>
    <w:rsid w:val="00D4028B"/>
    <w:rsid w:val="00D4137E"/>
    <w:rsid w:val="00D41A01"/>
    <w:rsid w:val="00D41E4B"/>
    <w:rsid w:val="00D429BA"/>
    <w:rsid w:val="00D45100"/>
    <w:rsid w:val="00D45A98"/>
    <w:rsid w:val="00D45C42"/>
    <w:rsid w:val="00D47EF1"/>
    <w:rsid w:val="00D508FF"/>
    <w:rsid w:val="00D516C7"/>
    <w:rsid w:val="00D525DD"/>
    <w:rsid w:val="00D52844"/>
    <w:rsid w:val="00D52E10"/>
    <w:rsid w:val="00D52EB4"/>
    <w:rsid w:val="00D53297"/>
    <w:rsid w:val="00D5357D"/>
    <w:rsid w:val="00D537D7"/>
    <w:rsid w:val="00D540ED"/>
    <w:rsid w:val="00D54EB4"/>
    <w:rsid w:val="00D55B37"/>
    <w:rsid w:val="00D55DDB"/>
    <w:rsid w:val="00D56D6E"/>
    <w:rsid w:val="00D607D1"/>
    <w:rsid w:val="00D60B9E"/>
    <w:rsid w:val="00D60CB1"/>
    <w:rsid w:val="00D60CF0"/>
    <w:rsid w:val="00D622A1"/>
    <w:rsid w:val="00D626D6"/>
    <w:rsid w:val="00D647C4"/>
    <w:rsid w:val="00D64849"/>
    <w:rsid w:val="00D649F8"/>
    <w:rsid w:val="00D64F9F"/>
    <w:rsid w:val="00D65860"/>
    <w:rsid w:val="00D65C39"/>
    <w:rsid w:val="00D65DEB"/>
    <w:rsid w:val="00D66255"/>
    <w:rsid w:val="00D66ED2"/>
    <w:rsid w:val="00D67FE2"/>
    <w:rsid w:val="00D7066B"/>
    <w:rsid w:val="00D72546"/>
    <w:rsid w:val="00D73146"/>
    <w:rsid w:val="00D73700"/>
    <w:rsid w:val="00D74950"/>
    <w:rsid w:val="00D74F60"/>
    <w:rsid w:val="00D752A4"/>
    <w:rsid w:val="00D7571E"/>
    <w:rsid w:val="00D75B0E"/>
    <w:rsid w:val="00D764E8"/>
    <w:rsid w:val="00D76A4E"/>
    <w:rsid w:val="00D8113A"/>
    <w:rsid w:val="00D81F29"/>
    <w:rsid w:val="00D82E71"/>
    <w:rsid w:val="00D82F0B"/>
    <w:rsid w:val="00D83354"/>
    <w:rsid w:val="00D839D4"/>
    <w:rsid w:val="00D842C8"/>
    <w:rsid w:val="00D84B5C"/>
    <w:rsid w:val="00D8518C"/>
    <w:rsid w:val="00D855E1"/>
    <w:rsid w:val="00D85E74"/>
    <w:rsid w:val="00D8692B"/>
    <w:rsid w:val="00D86FC1"/>
    <w:rsid w:val="00D905CE"/>
    <w:rsid w:val="00D908B1"/>
    <w:rsid w:val="00D90C67"/>
    <w:rsid w:val="00D91CCC"/>
    <w:rsid w:val="00D92BDE"/>
    <w:rsid w:val="00D9318B"/>
    <w:rsid w:val="00D9344C"/>
    <w:rsid w:val="00D9381F"/>
    <w:rsid w:val="00D93AE2"/>
    <w:rsid w:val="00D941E5"/>
    <w:rsid w:val="00D94CC8"/>
    <w:rsid w:val="00D95F7B"/>
    <w:rsid w:val="00D964EB"/>
    <w:rsid w:val="00D96EE2"/>
    <w:rsid w:val="00D972B5"/>
    <w:rsid w:val="00D97A24"/>
    <w:rsid w:val="00DA04C9"/>
    <w:rsid w:val="00DA050C"/>
    <w:rsid w:val="00DA20BB"/>
    <w:rsid w:val="00DA221F"/>
    <w:rsid w:val="00DA2BC1"/>
    <w:rsid w:val="00DA33D6"/>
    <w:rsid w:val="00DA3E4B"/>
    <w:rsid w:val="00DA4F28"/>
    <w:rsid w:val="00DA5523"/>
    <w:rsid w:val="00DA569F"/>
    <w:rsid w:val="00DA5AF4"/>
    <w:rsid w:val="00DA6362"/>
    <w:rsid w:val="00DA6C05"/>
    <w:rsid w:val="00DB06DF"/>
    <w:rsid w:val="00DB12AB"/>
    <w:rsid w:val="00DB2341"/>
    <w:rsid w:val="00DB2B8B"/>
    <w:rsid w:val="00DB3721"/>
    <w:rsid w:val="00DB40AE"/>
    <w:rsid w:val="00DB4BF4"/>
    <w:rsid w:val="00DB5C8B"/>
    <w:rsid w:val="00DB5E48"/>
    <w:rsid w:val="00DB6C6E"/>
    <w:rsid w:val="00DB72E6"/>
    <w:rsid w:val="00DB75FD"/>
    <w:rsid w:val="00DB7716"/>
    <w:rsid w:val="00DB7C8E"/>
    <w:rsid w:val="00DC05D0"/>
    <w:rsid w:val="00DC079E"/>
    <w:rsid w:val="00DC1397"/>
    <w:rsid w:val="00DC1F0E"/>
    <w:rsid w:val="00DC2013"/>
    <w:rsid w:val="00DC2EB5"/>
    <w:rsid w:val="00DC2EFE"/>
    <w:rsid w:val="00DC30D4"/>
    <w:rsid w:val="00DC3550"/>
    <w:rsid w:val="00DC401A"/>
    <w:rsid w:val="00DC4CE6"/>
    <w:rsid w:val="00DC500B"/>
    <w:rsid w:val="00DC51F2"/>
    <w:rsid w:val="00DC536C"/>
    <w:rsid w:val="00DC5ABD"/>
    <w:rsid w:val="00DC5B8B"/>
    <w:rsid w:val="00DC5FD1"/>
    <w:rsid w:val="00DC6864"/>
    <w:rsid w:val="00DC6EAD"/>
    <w:rsid w:val="00DC773A"/>
    <w:rsid w:val="00DD0548"/>
    <w:rsid w:val="00DD0E57"/>
    <w:rsid w:val="00DD1413"/>
    <w:rsid w:val="00DD1845"/>
    <w:rsid w:val="00DD1CA6"/>
    <w:rsid w:val="00DD35CF"/>
    <w:rsid w:val="00DD4173"/>
    <w:rsid w:val="00DD45DA"/>
    <w:rsid w:val="00DD4995"/>
    <w:rsid w:val="00DD598D"/>
    <w:rsid w:val="00DD59B6"/>
    <w:rsid w:val="00DD5F25"/>
    <w:rsid w:val="00DE0529"/>
    <w:rsid w:val="00DE0A89"/>
    <w:rsid w:val="00DE1BC0"/>
    <w:rsid w:val="00DE1D83"/>
    <w:rsid w:val="00DE1F21"/>
    <w:rsid w:val="00DE2C49"/>
    <w:rsid w:val="00DE2EA4"/>
    <w:rsid w:val="00DE3259"/>
    <w:rsid w:val="00DE32BF"/>
    <w:rsid w:val="00DE37FE"/>
    <w:rsid w:val="00DE3943"/>
    <w:rsid w:val="00DE3DB4"/>
    <w:rsid w:val="00DE4998"/>
    <w:rsid w:val="00DE50AD"/>
    <w:rsid w:val="00DE53CF"/>
    <w:rsid w:val="00DE5A90"/>
    <w:rsid w:val="00DE5B95"/>
    <w:rsid w:val="00DE60B3"/>
    <w:rsid w:val="00DE6A0E"/>
    <w:rsid w:val="00DE7237"/>
    <w:rsid w:val="00DE75D8"/>
    <w:rsid w:val="00DE78FD"/>
    <w:rsid w:val="00DF0118"/>
    <w:rsid w:val="00DF0F93"/>
    <w:rsid w:val="00DF17F1"/>
    <w:rsid w:val="00DF1C54"/>
    <w:rsid w:val="00DF1E0D"/>
    <w:rsid w:val="00DF1E20"/>
    <w:rsid w:val="00DF2463"/>
    <w:rsid w:val="00DF336F"/>
    <w:rsid w:val="00DF3792"/>
    <w:rsid w:val="00DF3846"/>
    <w:rsid w:val="00DF4076"/>
    <w:rsid w:val="00DF5079"/>
    <w:rsid w:val="00DF5982"/>
    <w:rsid w:val="00DF5A5B"/>
    <w:rsid w:val="00DF63AD"/>
    <w:rsid w:val="00DF6994"/>
    <w:rsid w:val="00DF6CBA"/>
    <w:rsid w:val="00DF7C1F"/>
    <w:rsid w:val="00E01FCB"/>
    <w:rsid w:val="00E024F5"/>
    <w:rsid w:val="00E02DE2"/>
    <w:rsid w:val="00E03060"/>
    <w:rsid w:val="00E03767"/>
    <w:rsid w:val="00E03E28"/>
    <w:rsid w:val="00E040D6"/>
    <w:rsid w:val="00E0436A"/>
    <w:rsid w:val="00E06A17"/>
    <w:rsid w:val="00E06E44"/>
    <w:rsid w:val="00E109AA"/>
    <w:rsid w:val="00E121F7"/>
    <w:rsid w:val="00E12552"/>
    <w:rsid w:val="00E134DE"/>
    <w:rsid w:val="00E13BD4"/>
    <w:rsid w:val="00E1493D"/>
    <w:rsid w:val="00E14C41"/>
    <w:rsid w:val="00E16056"/>
    <w:rsid w:val="00E16B7F"/>
    <w:rsid w:val="00E16C11"/>
    <w:rsid w:val="00E17A5A"/>
    <w:rsid w:val="00E20E5F"/>
    <w:rsid w:val="00E21209"/>
    <w:rsid w:val="00E2125A"/>
    <w:rsid w:val="00E223B0"/>
    <w:rsid w:val="00E22C7B"/>
    <w:rsid w:val="00E22FBE"/>
    <w:rsid w:val="00E23AD1"/>
    <w:rsid w:val="00E24106"/>
    <w:rsid w:val="00E250C3"/>
    <w:rsid w:val="00E256FD"/>
    <w:rsid w:val="00E25F23"/>
    <w:rsid w:val="00E26A34"/>
    <w:rsid w:val="00E304CE"/>
    <w:rsid w:val="00E308A5"/>
    <w:rsid w:val="00E315BC"/>
    <w:rsid w:val="00E31D45"/>
    <w:rsid w:val="00E31EC0"/>
    <w:rsid w:val="00E33438"/>
    <w:rsid w:val="00E3346A"/>
    <w:rsid w:val="00E337D0"/>
    <w:rsid w:val="00E34786"/>
    <w:rsid w:val="00E3567A"/>
    <w:rsid w:val="00E35833"/>
    <w:rsid w:val="00E35F70"/>
    <w:rsid w:val="00E3657C"/>
    <w:rsid w:val="00E37086"/>
    <w:rsid w:val="00E378F8"/>
    <w:rsid w:val="00E37CAB"/>
    <w:rsid w:val="00E403FA"/>
    <w:rsid w:val="00E40C26"/>
    <w:rsid w:val="00E42784"/>
    <w:rsid w:val="00E432AB"/>
    <w:rsid w:val="00E43887"/>
    <w:rsid w:val="00E43B6A"/>
    <w:rsid w:val="00E45296"/>
    <w:rsid w:val="00E4587F"/>
    <w:rsid w:val="00E45B2B"/>
    <w:rsid w:val="00E46BF7"/>
    <w:rsid w:val="00E46CC4"/>
    <w:rsid w:val="00E5049A"/>
    <w:rsid w:val="00E505F9"/>
    <w:rsid w:val="00E50973"/>
    <w:rsid w:val="00E51667"/>
    <w:rsid w:val="00E518D5"/>
    <w:rsid w:val="00E520FC"/>
    <w:rsid w:val="00E52271"/>
    <w:rsid w:val="00E53A2E"/>
    <w:rsid w:val="00E546BA"/>
    <w:rsid w:val="00E547D1"/>
    <w:rsid w:val="00E54BE8"/>
    <w:rsid w:val="00E54C05"/>
    <w:rsid w:val="00E55AB4"/>
    <w:rsid w:val="00E560EB"/>
    <w:rsid w:val="00E57069"/>
    <w:rsid w:val="00E57E22"/>
    <w:rsid w:val="00E57E63"/>
    <w:rsid w:val="00E6010D"/>
    <w:rsid w:val="00E609B6"/>
    <w:rsid w:val="00E6116D"/>
    <w:rsid w:val="00E6117E"/>
    <w:rsid w:val="00E61666"/>
    <w:rsid w:val="00E61AAA"/>
    <w:rsid w:val="00E61E0B"/>
    <w:rsid w:val="00E628E6"/>
    <w:rsid w:val="00E64BDF"/>
    <w:rsid w:val="00E65138"/>
    <w:rsid w:val="00E65915"/>
    <w:rsid w:val="00E65A0D"/>
    <w:rsid w:val="00E6601E"/>
    <w:rsid w:val="00E66F8F"/>
    <w:rsid w:val="00E677CC"/>
    <w:rsid w:val="00E701B7"/>
    <w:rsid w:val="00E7029B"/>
    <w:rsid w:val="00E705D9"/>
    <w:rsid w:val="00E707CD"/>
    <w:rsid w:val="00E711C0"/>
    <w:rsid w:val="00E712C6"/>
    <w:rsid w:val="00E71B3F"/>
    <w:rsid w:val="00E71FFE"/>
    <w:rsid w:val="00E72900"/>
    <w:rsid w:val="00E72A91"/>
    <w:rsid w:val="00E72D33"/>
    <w:rsid w:val="00E72F1D"/>
    <w:rsid w:val="00E738A8"/>
    <w:rsid w:val="00E73C74"/>
    <w:rsid w:val="00E73D1F"/>
    <w:rsid w:val="00E7411D"/>
    <w:rsid w:val="00E74B33"/>
    <w:rsid w:val="00E751A3"/>
    <w:rsid w:val="00E76975"/>
    <w:rsid w:val="00E76BC7"/>
    <w:rsid w:val="00E7715D"/>
    <w:rsid w:val="00E775A1"/>
    <w:rsid w:val="00E77766"/>
    <w:rsid w:val="00E77CEA"/>
    <w:rsid w:val="00E8041B"/>
    <w:rsid w:val="00E808FB"/>
    <w:rsid w:val="00E80A2E"/>
    <w:rsid w:val="00E80EBA"/>
    <w:rsid w:val="00E8180A"/>
    <w:rsid w:val="00E82567"/>
    <w:rsid w:val="00E826C8"/>
    <w:rsid w:val="00E84DB4"/>
    <w:rsid w:val="00E853C9"/>
    <w:rsid w:val="00E860CF"/>
    <w:rsid w:val="00E86457"/>
    <w:rsid w:val="00E867B2"/>
    <w:rsid w:val="00E91B2D"/>
    <w:rsid w:val="00E92279"/>
    <w:rsid w:val="00E923F0"/>
    <w:rsid w:val="00E92543"/>
    <w:rsid w:val="00E92677"/>
    <w:rsid w:val="00E92EB9"/>
    <w:rsid w:val="00E93CEB"/>
    <w:rsid w:val="00E942F0"/>
    <w:rsid w:val="00E95FE3"/>
    <w:rsid w:val="00E9613D"/>
    <w:rsid w:val="00E963F1"/>
    <w:rsid w:val="00E9653D"/>
    <w:rsid w:val="00E96E57"/>
    <w:rsid w:val="00E972C5"/>
    <w:rsid w:val="00E97D25"/>
    <w:rsid w:val="00E97D50"/>
    <w:rsid w:val="00EA2001"/>
    <w:rsid w:val="00EA223A"/>
    <w:rsid w:val="00EA27FE"/>
    <w:rsid w:val="00EA3200"/>
    <w:rsid w:val="00EA3764"/>
    <w:rsid w:val="00EA3B43"/>
    <w:rsid w:val="00EA4F76"/>
    <w:rsid w:val="00EA574B"/>
    <w:rsid w:val="00EA5865"/>
    <w:rsid w:val="00EA66A5"/>
    <w:rsid w:val="00EA6DAB"/>
    <w:rsid w:val="00EB06CA"/>
    <w:rsid w:val="00EB09CF"/>
    <w:rsid w:val="00EB2317"/>
    <w:rsid w:val="00EB2B57"/>
    <w:rsid w:val="00EB2D86"/>
    <w:rsid w:val="00EB329D"/>
    <w:rsid w:val="00EB371C"/>
    <w:rsid w:val="00EB38D7"/>
    <w:rsid w:val="00EB4DEA"/>
    <w:rsid w:val="00EB4EAC"/>
    <w:rsid w:val="00EB5EEE"/>
    <w:rsid w:val="00EB6FDB"/>
    <w:rsid w:val="00EB7401"/>
    <w:rsid w:val="00EB74C4"/>
    <w:rsid w:val="00EB7CD1"/>
    <w:rsid w:val="00EC13CE"/>
    <w:rsid w:val="00EC167A"/>
    <w:rsid w:val="00EC1B1F"/>
    <w:rsid w:val="00EC2252"/>
    <w:rsid w:val="00EC2560"/>
    <w:rsid w:val="00EC2B80"/>
    <w:rsid w:val="00EC3438"/>
    <w:rsid w:val="00EC3797"/>
    <w:rsid w:val="00EC46CC"/>
    <w:rsid w:val="00EC4720"/>
    <w:rsid w:val="00EC62B3"/>
    <w:rsid w:val="00ED19C4"/>
    <w:rsid w:val="00ED3676"/>
    <w:rsid w:val="00ED37B8"/>
    <w:rsid w:val="00ED37FF"/>
    <w:rsid w:val="00ED3C1F"/>
    <w:rsid w:val="00ED4FD5"/>
    <w:rsid w:val="00ED525B"/>
    <w:rsid w:val="00ED554E"/>
    <w:rsid w:val="00ED65A4"/>
    <w:rsid w:val="00ED6989"/>
    <w:rsid w:val="00ED723A"/>
    <w:rsid w:val="00ED77F1"/>
    <w:rsid w:val="00ED7C1E"/>
    <w:rsid w:val="00EE1385"/>
    <w:rsid w:val="00EE162C"/>
    <w:rsid w:val="00EE2FBE"/>
    <w:rsid w:val="00EE304C"/>
    <w:rsid w:val="00EE385F"/>
    <w:rsid w:val="00EE4CA9"/>
    <w:rsid w:val="00EE54C8"/>
    <w:rsid w:val="00EE6109"/>
    <w:rsid w:val="00EE65D2"/>
    <w:rsid w:val="00EE65F7"/>
    <w:rsid w:val="00EE7383"/>
    <w:rsid w:val="00EE7F77"/>
    <w:rsid w:val="00EF175A"/>
    <w:rsid w:val="00EF17C6"/>
    <w:rsid w:val="00EF1BFE"/>
    <w:rsid w:val="00EF2EC6"/>
    <w:rsid w:val="00EF3B14"/>
    <w:rsid w:val="00EF56FA"/>
    <w:rsid w:val="00EF58B9"/>
    <w:rsid w:val="00EF5AD1"/>
    <w:rsid w:val="00EF5C8D"/>
    <w:rsid w:val="00EF72DE"/>
    <w:rsid w:val="00EF773B"/>
    <w:rsid w:val="00EF7D3D"/>
    <w:rsid w:val="00F00EFA"/>
    <w:rsid w:val="00F00F55"/>
    <w:rsid w:val="00F011F0"/>
    <w:rsid w:val="00F0169D"/>
    <w:rsid w:val="00F01AD9"/>
    <w:rsid w:val="00F028A9"/>
    <w:rsid w:val="00F02CFE"/>
    <w:rsid w:val="00F031DE"/>
    <w:rsid w:val="00F03B7A"/>
    <w:rsid w:val="00F04041"/>
    <w:rsid w:val="00F05863"/>
    <w:rsid w:val="00F06306"/>
    <w:rsid w:val="00F0661B"/>
    <w:rsid w:val="00F06780"/>
    <w:rsid w:val="00F06A2F"/>
    <w:rsid w:val="00F06F9D"/>
    <w:rsid w:val="00F0750E"/>
    <w:rsid w:val="00F07F1D"/>
    <w:rsid w:val="00F10048"/>
    <w:rsid w:val="00F107C4"/>
    <w:rsid w:val="00F10FE8"/>
    <w:rsid w:val="00F13F2A"/>
    <w:rsid w:val="00F141F6"/>
    <w:rsid w:val="00F14E87"/>
    <w:rsid w:val="00F15F7A"/>
    <w:rsid w:val="00F16089"/>
    <w:rsid w:val="00F160E5"/>
    <w:rsid w:val="00F174D1"/>
    <w:rsid w:val="00F17617"/>
    <w:rsid w:val="00F17ACE"/>
    <w:rsid w:val="00F200E4"/>
    <w:rsid w:val="00F20299"/>
    <w:rsid w:val="00F207ED"/>
    <w:rsid w:val="00F20BF1"/>
    <w:rsid w:val="00F215B3"/>
    <w:rsid w:val="00F21B93"/>
    <w:rsid w:val="00F22FAE"/>
    <w:rsid w:val="00F230A9"/>
    <w:rsid w:val="00F230EA"/>
    <w:rsid w:val="00F24E6D"/>
    <w:rsid w:val="00F26A6A"/>
    <w:rsid w:val="00F27138"/>
    <w:rsid w:val="00F2727D"/>
    <w:rsid w:val="00F279AE"/>
    <w:rsid w:val="00F3040A"/>
    <w:rsid w:val="00F32000"/>
    <w:rsid w:val="00F32101"/>
    <w:rsid w:val="00F32604"/>
    <w:rsid w:val="00F329E2"/>
    <w:rsid w:val="00F32D6E"/>
    <w:rsid w:val="00F34D56"/>
    <w:rsid w:val="00F35ABA"/>
    <w:rsid w:val="00F377D9"/>
    <w:rsid w:val="00F37D10"/>
    <w:rsid w:val="00F37E20"/>
    <w:rsid w:val="00F4044D"/>
    <w:rsid w:val="00F407BD"/>
    <w:rsid w:val="00F40E95"/>
    <w:rsid w:val="00F40F0A"/>
    <w:rsid w:val="00F41163"/>
    <w:rsid w:val="00F41E15"/>
    <w:rsid w:val="00F423B2"/>
    <w:rsid w:val="00F44711"/>
    <w:rsid w:val="00F4496A"/>
    <w:rsid w:val="00F44A67"/>
    <w:rsid w:val="00F44AFD"/>
    <w:rsid w:val="00F44C79"/>
    <w:rsid w:val="00F51BC4"/>
    <w:rsid w:val="00F52380"/>
    <w:rsid w:val="00F523F8"/>
    <w:rsid w:val="00F52A96"/>
    <w:rsid w:val="00F534FF"/>
    <w:rsid w:val="00F5358D"/>
    <w:rsid w:val="00F53B85"/>
    <w:rsid w:val="00F53D72"/>
    <w:rsid w:val="00F54876"/>
    <w:rsid w:val="00F54945"/>
    <w:rsid w:val="00F55043"/>
    <w:rsid w:val="00F5538B"/>
    <w:rsid w:val="00F55417"/>
    <w:rsid w:val="00F57A84"/>
    <w:rsid w:val="00F604FA"/>
    <w:rsid w:val="00F60880"/>
    <w:rsid w:val="00F614B4"/>
    <w:rsid w:val="00F61A55"/>
    <w:rsid w:val="00F62B41"/>
    <w:rsid w:val="00F62B55"/>
    <w:rsid w:val="00F62F89"/>
    <w:rsid w:val="00F657CE"/>
    <w:rsid w:val="00F65953"/>
    <w:rsid w:val="00F65984"/>
    <w:rsid w:val="00F65FFE"/>
    <w:rsid w:val="00F667D5"/>
    <w:rsid w:val="00F66A03"/>
    <w:rsid w:val="00F66A18"/>
    <w:rsid w:val="00F70F8A"/>
    <w:rsid w:val="00F71201"/>
    <w:rsid w:val="00F7168F"/>
    <w:rsid w:val="00F72D9E"/>
    <w:rsid w:val="00F72E69"/>
    <w:rsid w:val="00F75A67"/>
    <w:rsid w:val="00F75BD0"/>
    <w:rsid w:val="00F806CC"/>
    <w:rsid w:val="00F8167D"/>
    <w:rsid w:val="00F819E8"/>
    <w:rsid w:val="00F8239E"/>
    <w:rsid w:val="00F82743"/>
    <w:rsid w:val="00F834F1"/>
    <w:rsid w:val="00F83659"/>
    <w:rsid w:val="00F837ED"/>
    <w:rsid w:val="00F844D1"/>
    <w:rsid w:val="00F85827"/>
    <w:rsid w:val="00F85E02"/>
    <w:rsid w:val="00F85E86"/>
    <w:rsid w:val="00F86311"/>
    <w:rsid w:val="00F863DE"/>
    <w:rsid w:val="00F8685D"/>
    <w:rsid w:val="00F87668"/>
    <w:rsid w:val="00F876D0"/>
    <w:rsid w:val="00F87AC8"/>
    <w:rsid w:val="00F87C82"/>
    <w:rsid w:val="00F9093F"/>
    <w:rsid w:val="00F91E29"/>
    <w:rsid w:val="00F91E2A"/>
    <w:rsid w:val="00F939A3"/>
    <w:rsid w:val="00F93F28"/>
    <w:rsid w:val="00F93F2F"/>
    <w:rsid w:val="00F943C6"/>
    <w:rsid w:val="00F94CCE"/>
    <w:rsid w:val="00F963C3"/>
    <w:rsid w:val="00F965AD"/>
    <w:rsid w:val="00F9766D"/>
    <w:rsid w:val="00F977F0"/>
    <w:rsid w:val="00F97A07"/>
    <w:rsid w:val="00FA09CD"/>
    <w:rsid w:val="00FA11E2"/>
    <w:rsid w:val="00FA187B"/>
    <w:rsid w:val="00FA1F04"/>
    <w:rsid w:val="00FA3D11"/>
    <w:rsid w:val="00FA4252"/>
    <w:rsid w:val="00FA47FC"/>
    <w:rsid w:val="00FA4AE0"/>
    <w:rsid w:val="00FA53BB"/>
    <w:rsid w:val="00FA59E6"/>
    <w:rsid w:val="00FA61D3"/>
    <w:rsid w:val="00FB0FF4"/>
    <w:rsid w:val="00FB118B"/>
    <w:rsid w:val="00FB1363"/>
    <w:rsid w:val="00FB1FF4"/>
    <w:rsid w:val="00FB23BC"/>
    <w:rsid w:val="00FB2F56"/>
    <w:rsid w:val="00FB3192"/>
    <w:rsid w:val="00FB3D38"/>
    <w:rsid w:val="00FB5516"/>
    <w:rsid w:val="00FB5E0A"/>
    <w:rsid w:val="00FB5F1D"/>
    <w:rsid w:val="00FB5F2C"/>
    <w:rsid w:val="00FB7883"/>
    <w:rsid w:val="00FC0219"/>
    <w:rsid w:val="00FC11F2"/>
    <w:rsid w:val="00FC2112"/>
    <w:rsid w:val="00FC295A"/>
    <w:rsid w:val="00FC3E5A"/>
    <w:rsid w:val="00FC4433"/>
    <w:rsid w:val="00FC4598"/>
    <w:rsid w:val="00FC4B49"/>
    <w:rsid w:val="00FC50E3"/>
    <w:rsid w:val="00FC5B74"/>
    <w:rsid w:val="00FD0415"/>
    <w:rsid w:val="00FD1399"/>
    <w:rsid w:val="00FD1BAA"/>
    <w:rsid w:val="00FD2B81"/>
    <w:rsid w:val="00FD2C97"/>
    <w:rsid w:val="00FD36DD"/>
    <w:rsid w:val="00FD4159"/>
    <w:rsid w:val="00FD544C"/>
    <w:rsid w:val="00FD55A0"/>
    <w:rsid w:val="00FD5D9A"/>
    <w:rsid w:val="00FD65F0"/>
    <w:rsid w:val="00FD6CF9"/>
    <w:rsid w:val="00FD7029"/>
    <w:rsid w:val="00FD7553"/>
    <w:rsid w:val="00FD7AE6"/>
    <w:rsid w:val="00FE0F60"/>
    <w:rsid w:val="00FE169D"/>
    <w:rsid w:val="00FE300F"/>
    <w:rsid w:val="00FE3E27"/>
    <w:rsid w:val="00FE4C39"/>
    <w:rsid w:val="00FE7167"/>
    <w:rsid w:val="00FE7EC0"/>
    <w:rsid w:val="00FF0064"/>
    <w:rsid w:val="00FF2654"/>
    <w:rsid w:val="00FF28C1"/>
    <w:rsid w:val="00FF2CDE"/>
    <w:rsid w:val="00FF2DFE"/>
    <w:rsid w:val="00FF3FAE"/>
    <w:rsid w:val="00FF43CB"/>
    <w:rsid w:val="00FF4E76"/>
    <w:rsid w:val="00FF54F0"/>
    <w:rsid w:val="00FF564A"/>
    <w:rsid w:val="00FF5D7E"/>
    <w:rsid w:val="00FF5EE3"/>
    <w:rsid w:val="00FF64D7"/>
    <w:rsid w:val="010C3842"/>
    <w:rsid w:val="011406FF"/>
    <w:rsid w:val="015F0E9A"/>
    <w:rsid w:val="016C7EEB"/>
    <w:rsid w:val="01701B1D"/>
    <w:rsid w:val="01734E59"/>
    <w:rsid w:val="01792A29"/>
    <w:rsid w:val="0189476C"/>
    <w:rsid w:val="019E1AA5"/>
    <w:rsid w:val="01D5740A"/>
    <w:rsid w:val="01D81B74"/>
    <w:rsid w:val="020D21EB"/>
    <w:rsid w:val="022E26FA"/>
    <w:rsid w:val="022E66CD"/>
    <w:rsid w:val="023A0234"/>
    <w:rsid w:val="02405EF4"/>
    <w:rsid w:val="025F1D17"/>
    <w:rsid w:val="028B2565"/>
    <w:rsid w:val="029E7C22"/>
    <w:rsid w:val="02B112BD"/>
    <w:rsid w:val="02B71938"/>
    <w:rsid w:val="02BE17A3"/>
    <w:rsid w:val="02FF35C9"/>
    <w:rsid w:val="030B7F63"/>
    <w:rsid w:val="032E099D"/>
    <w:rsid w:val="036F0EA2"/>
    <w:rsid w:val="03C7160A"/>
    <w:rsid w:val="04006592"/>
    <w:rsid w:val="04021749"/>
    <w:rsid w:val="041064EE"/>
    <w:rsid w:val="04397B4A"/>
    <w:rsid w:val="043A0595"/>
    <w:rsid w:val="043C1242"/>
    <w:rsid w:val="044C5927"/>
    <w:rsid w:val="04544623"/>
    <w:rsid w:val="04554051"/>
    <w:rsid w:val="049827E6"/>
    <w:rsid w:val="04E16C7F"/>
    <w:rsid w:val="04F419D9"/>
    <w:rsid w:val="051A367F"/>
    <w:rsid w:val="051A587D"/>
    <w:rsid w:val="05304726"/>
    <w:rsid w:val="056C5FB8"/>
    <w:rsid w:val="057F4E0A"/>
    <w:rsid w:val="058902AB"/>
    <w:rsid w:val="05922380"/>
    <w:rsid w:val="05B41169"/>
    <w:rsid w:val="05C94FD6"/>
    <w:rsid w:val="05DC27B4"/>
    <w:rsid w:val="05FD77F8"/>
    <w:rsid w:val="06180A96"/>
    <w:rsid w:val="06264ABE"/>
    <w:rsid w:val="062846F0"/>
    <w:rsid w:val="062E0F1B"/>
    <w:rsid w:val="06382052"/>
    <w:rsid w:val="06624721"/>
    <w:rsid w:val="068073A2"/>
    <w:rsid w:val="06AA511A"/>
    <w:rsid w:val="06FD26A9"/>
    <w:rsid w:val="07484CAA"/>
    <w:rsid w:val="0752640C"/>
    <w:rsid w:val="075A66E8"/>
    <w:rsid w:val="075B1051"/>
    <w:rsid w:val="079F3DC6"/>
    <w:rsid w:val="07B36EE5"/>
    <w:rsid w:val="081F28EB"/>
    <w:rsid w:val="082C307A"/>
    <w:rsid w:val="08477B26"/>
    <w:rsid w:val="084B7BF6"/>
    <w:rsid w:val="08605E0B"/>
    <w:rsid w:val="08855302"/>
    <w:rsid w:val="089D7AB3"/>
    <w:rsid w:val="08B2474A"/>
    <w:rsid w:val="08BB428A"/>
    <w:rsid w:val="08D44001"/>
    <w:rsid w:val="08ED4DE0"/>
    <w:rsid w:val="0906794E"/>
    <w:rsid w:val="09101580"/>
    <w:rsid w:val="09246B8A"/>
    <w:rsid w:val="093E0008"/>
    <w:rsid w:val="094022F8"/>
    <w:rsid w:val="094955DA"/>
    <w:rsid w:val="094F0553"/>
    <w:rsid w:val="098A155E"/>
    <w:rsid w:val="09AB679C"/>
    <w:rsid w:val="09C411D4"/>
    <w:rsid w:val="09C643A0"/>
    <w:rsid w:val="09CB2F66"/>
    <w:rsid w:val="09DF1AE6"/>
    <w:rsid w:val="09F71371"/>
    <w:rsid w:val="0A2349CF"/>
    <w:rsid w:val="0A7C09E5"/>
    <w:rsid w:val="0AC05EBA"/>
    <w:rsid w:val="0ADF7D70"/>
    <w:rsid w:val="0AE275F7"/>
    <w:rsid w:val="0AE340BF"/>
    <w:rsid w:val="0AE47DFA"/>
    <w:rsid w:val="0AE929B1"/>
    <w:rsid w:val="0AFD7DEF"/>
    <w:rsid w:val="0B52441F"/>
    <w:rsid w:val="0B7419A9"/>
    <w:rsid w:val="0B7C6547"/>
    <w:rsid w:val="0B8B48D6"/>
    <w:rsid w:val="0BAC60F3"/>
    <w:rsid w:val="0BB727AF"/>
    <w:rsid w:val="0BC97900"/>
    <w:rsid w:val="0BDC7AD6"/>
    <w:rsid w:val="0C05315A"/>
    <w:rsid w:val="0C172A8C"/>
    <w:rsid w:val="0C353855"/>
    <w:rsid w:val="0C4154B7"/>
    <w:rsid w:val="0C6A7997"/>
    <w:rsid w:val="0C9575AC"/>
    <w:rsid w:val="0CAD2833"/>
    <w:rsid w:val="0CAD4E12"/>
    <w:rsid w:val="0CB54B40"/>
    <w:rsid w:val="0CDF3388"/>
    <w:rsid w:val="0D1632D4"/>
    <w:rsid w:val="0D312FD6"/>
    <w:rsid w:val="0D380DA0"/>
    <w:rsid w:val="0D397BEB"/>
    <w:rsid w:val="0D3B5150"/>
    <w:rsid w:val="0D870514"/>
    <w:rsid w:val="0DAC5770"/>
    <w:rsid w:val="0DBC14D3"/>
    <w:rsid w:val="0DCC081E"/>
    <w:rsid w:val="0DD94FFD"/>
    <w:rsid w:val="0DDF4BBA"/>
    <w:rsid w:val="0DE71094"/>
    <w:rsid w:val="0DFF0289"/>
    <w:rsid w:val="0E054764"/>
    <w:rsid w:val="0E334DFD"/>
    <w:rsid w:val="0E3A670B"/>
    <w:rsid w:val="0E572F38"/>
    <w:rsid w:val="0E63148D"/>
    <w:rsid w:val="0E6D5BE4"/>
    <w:rsid w:val="0EB96843"/>
    <w:rsid w:val="0EC32318"/>
    <w:rsid w:val="0EC70447"/>
    <w:rsid w:val="0EC75168"/>
    <w:rsid w:val="0F290375"/>
    <w:rsid w:val="0F3E2F51"/>
    <w:rsid w:val="0F5D63CD"/>
    <w:rsid w:val="0F8016F5"/>
    <w:rsid w:val="0FAA320F"/>
    <w:rsid w:val="0FD06741"/>
    <w:rsid w:val="0FD257E0"/>
    <w:rsid w:val="0FDA3F23"/>
    <w:rsid w:val="101951B8"/>
    <w:rsid w:val="10321FEB"/>
    <w:rsid w:val="10485844"/>
    <w:rsid w:val="104F70F7"/>
    <w:rsid w:val="10700BAD"/>
    <w:rsid w:val="109951A1"/>
    <w:rsid w:val="10C43D24"/>
    <w:rsid w:val="10F01AC8"/>
    <w:rsid w:val="111D5DC0"/>
    <w:rsid w:val="11270A41"/>
    <w:rsid w:val="1157758F"/>
    <w:rsid w:val="115D4462"/>
    <w:rsid w:val="11621A79"/>
    <w:rsid w:val="11631A0F"/>
    <w:rsid w:val="117E7168"/>
    <w:rsid w:val="118E1CC3"/>
    <w:rsid w:val="11B53EF0"/>
    <w:rsid w:val="11D168A3"/>
    <w:rsid w:val="120E035B"/>
    <w:rsid w:val="122D396F"/>
    <w:rsid w:val="124D5D85"/>
    <w:rsid w:val="12664DFC"/>
    <w:rsid w:val="1271204B"/>
    <w:rsid w:val="12744A32"/>
    <w:rsid w:val="12A34C63"/>
    <w:rsid w:val="12C35606"/>
    <w:rsid w:val="12F33A0D"/>
    <w:rsid w:val="1329742E"/>
    <w:rsid w:val="134F6267"/>
    <w:rsid w:val="135370F5"/>
    <w:rsid w:val="1361035C"/>
    <w:rsid w:val="13B7307D"/>
    <w:rsid w:val="13C12B1F"/>
    <w:rsid w:val="13CF2EF9"/>
    <w:rsid w:val="13DE479E"/>
    <w:rsid w:val="13EE2102"/>
    <w:rsid w:val="13F97C8D"/>
    <w:rsid w:val="14405E79"/>
    <w:rsid w:val="14591212"/>
    <w:rsid w:val="14670853"/>
    <w:rsid w:val="148467F9"/>
    <w:rsid w:val="14A73825"/>
    <w:rsid w:val="14AA5947"/>
    <w:rsid w:val="14BD57FA"/>
    <w:rsid w:val="14C7556F"/>
    <w:rsid w:val="14D25FDB"/>
    <w:rsid w:val="14E512CB"/>
    <w:rsid w:val="14E928F3"/>
    <w:rsid w:val="14F05B19"/>
    <w:rsid w:val="15006DD7"/>
    <w:rsid w:val="150B2E6D"/>
    <w:rsid w:val="15352778"/>
    <w:rsid w:val="153744AE"/>
    <w:rsid w:val="153E0610"/>
    <w:rsid w:val="15490E19"/>
    <w:rsid w:val="155C3927"/>
    <w:rsid w:val="155E2CC9"/>
    <w:rsid w:val="157A2235"/>
    <w:rsid w:val="158535DD"/>
    <w:rsid w:val="15946D17"/>
    <w:rsid w:val="159B4F97"/>
    <w:rsid w:val="15AD7966"/>
    <w:rsid w:val="15C50828"/>
    <w:rsid w:val="15E3324B"/>
    <w:rsid w:val="15E70B48"/>
    <w:rsid w:val="15FE0A04"/>
    <w:rsid w:val="163B3EBD"/>
    <w:rsid w:val="165B2C0C"/>
    <w:rsid w:val="16600558"/>
    <w:rsid w:val="1665643A"/>
    <w:rsid w:val="16A46591"/>
    <w:rsid w:val="16B36391"/>
    <w:rsid w:val="16BA5CCC"/>
    <w:rsid w:val="16C54FF2"/>
    <w:rsid w:val="16CE2F86"/>
    <w:rsid w:val="16CF2C06"/>
    <w:rsid w:val="16E16ED1"/>
    <w:rsid w:val="16F47A12"/>
    <w:rsid w:val="16F8514B"/>
    <w:rsid w:val="171401D1"/>
    <w:rsid w:val="172355D3"/>
    <w:rsid w:val="1727293A"/>
    <w:rsid w:val="17295797"/>
    <w:rsid w:val="172C5C76"/>
    <w:rsid w:val="174C5F91"/>
    <w:rsid w:val="175F07FD"/>
    <w:rsid w:val="178578E1"/>
    <w:rsid w:val="1799104C"/>
    <w:rsid w:val="179C4683"/>
    <w:rsid w:val="17B11B23"/>
    <w:rsid w:val="17EC52CA"/>
    <w:rsid w:val="18245038"/>
    <w:rsid w:val="18287DA4"/>
    <w:rsid w:val="183C71E2"/>
    <w:rsid w:val="18401A86"/>
    <w:rsid w:val="18821F31"/>
    <w:rsid w:val="188C45B8"/>
    <w:rsid w:val="188F3CEA"/>
    <w:rsid w:val="18B32CC2"/>
    <w:rsid w:val="18BA6E98"/>
    <w:rsid w:val="18EF453A"/>
    <w:rsid w:val="19004E44"/>
    <w:rsid w:val="19216320"/>
    <w:rsid w:val="195C35FC"/>
    <w:rsid w:val="19734EA8"/>
    <w:rsid w:val="19793BD5"/>
    <w:rsid w:val="197D73E2"/>
    <w:rsid w:val="19952BA9"/>
    <w:rsid w:val="19B64EFE"/>
    <w:rsid w:val="19D417FC"/>
    <w:rsid w:val="19EB0215"/>
    <w:rsid w:val="19FB43A4"/>
    <w:rsid w:val="19FC5498"/>
    <w:rsid w:val="19FF486F"/>
    <w:rsid w:val="1A0B192F"/>
    <w:rsid w:val="1A1A0F26"/>
    <w:rsid w:val="1A26674F"/>
    <w:rsid w:val="1A2C31B7"/>
    <w:rsid w:val="1A3A4EF9"/>
    <w:rsid w:val="1A4A5477"/>
    <w:rsid w:val="1AAE6804"/>
    <w:rsid w:val="1AAF06F6"/>
    <w:rsid w:val="1ABF65C9"/>
    <w:rsid w:val="1B043911"/>
    <w:rsid w:val="1B1421E4"/>
    <w:rsid w:val="1BC10F5E"/>
    <w:rsid w:val="1BD40D4F"/>
    <w:rsid w:val="1BD57672"/>
    <w:rsid w:val="1BE42F4B"/>
    <w:rsid w:val="1BF458C0"/>
    <w:rsid w:val="1BF77A06"/>
    <w:rsid w:val="1C1B5B63"/>
    <w:rsid w:val="1C332AAF"/>
    <w:rsid w:val="1C38576B"/>
    <w:rsid w:val="1C560392"/>
    <w:rsid w:val="1C6F5367"/>
    <w:rsid w:val="1C846D2B"/>
    <w:rsid w:val="1C856DBE"/>
    <w:rsid w:val="1CA4679D"/>
    <w:rsid w:val="1CAC5B28"/>
    <w:rsid w:val="1CC16EAD"/>
    <w:rsid w:val="1CC951CB"/>
    <w:rsid w:val="1D2E604F"/>
    <w:rsid w:val="1D4B5AB7"/>
    <w:rsid w:val="1D56284A"/>
    <w:rsid w:val="1DA05F55"/>
    <w:rsid w:val="1DA90A2F"/>
    <w:rsid w:val="1DAB435A"/>
    <w:rsid w:val="1DB8156A"/>
    <w:rsid w:val="1DDB76E8"/>
    <w:rsid w:val="1DE454FC"/>
    <w:rsid w:val="1DF034A2"/>
    <w:rsid w:val="1E08527A"/>
    <w:rsid w:val="1E102801"/>
    <w:rsid w:val="1E127EE6"/>
    <w:rsid w:val="1E183809"/>
    <w:rsid w:val="1E1C446F"/>
    <w:rsid w:val="1E221C8E"/>
    <w:rsid w:val="1E2D0140"/>
    <w:rsid w:val="1E366DA8"/>
    <w:rsid w:val="1E4946EC"/>
    <w:rsid w:val="1E9C1EFD"/>
    <w:rsid w:val="1EA21B8D"/>
    <w:rsid w:val="1EAF2AE4"/>
    <w:rsid w:val="1EBD7B4B"/>
    <w:rsid w:val="1EC57116"/>
    <w:rsid w:val="1EF8089D"/>
    <w:rsid w:val="1F493008"/>
    <w:rsid w:val="1F5A7AB8"/>
    <w:rsid w:val="1F703A1F"/>
    <w:rsid w:val="1F7344D9"/>
    <w:rsid w:val="1F85572A"/>
    <w:rsid w:val="1FAB654B"/>
    <w:rsid w:val="1FC13B95"/>
    <w:rsid w:val="1FD2579A"/>
    <w:rsid w:val="1FD632EC"/>
    <w:rsid w:val="20043368"/>
    <w:rsid w:val="203D16EA"/>
    <w:rsid w:val="20550B5B"/>
    <w:rsid w:val="20810DF7"/>
    <w:rsid w:val="20811346"/>
    <w:rsid w:val="20AF7EFC"/>
    <w:rsid w:val="20B75FAE"/>
    <w:rsid w:val="20CB48B2"/>
    <w:rsid w:val="20E701EC"/>
    <w:rsid w:val="20F12E19"/>
    <w:rsid w:val="20FC0583"/>
    <w:rsid w:val="21196452"/>
    <w:rsid w:val="212825CF"/>
    <w:rsid w:val="21447859"/>
    <w:rsid w:val="21670526"/>
    <w:rsid w:val="21737D29"/>
    <w:rsid w:val="21A4310B"/>
    <w:rsid w:val="21A550BA"/>
    <w:rsid w:val="21CA4F14"/>
    <w:rsid w:val="21F83850"/>
    <w:rsid w:val="220103A0"/>
    <w:rsid w:val="220B78A0"/>
    <w:rsid w:val="221B2B28"/>
    <w:rsid w:val="22510509"/>
    <w:rsid w:val="22D375AA"/>
    <w:rsid w:val="22F40CE5"/>
    <w:rsid w:val="23193909"/>
    <w:rsid w:val="23254257"/>
    <w:rsid w:val="23671171"/>
    <w:rsid w:val="237C3FA6"/>
    <w:rsid w:val="23853191"/>
    <w:rsid w:val="23894B65"/>
    <w:rsid w:val="23DC09A6"/>
    <w:rsid w:val="240D40DD"/>
    <w:rsid w:val="244959C1"/>
    <w:rsid w:val="244A3CAD"/>
    <w:rsid w:val="244F5047"/>
    <w:rsid w:val="245D64CA"/>
    <w:rsid w:val="247029FA"/>
    <w:rsid w:val="247A0586"/>
    <w:rsid w:val="24BD2DB7"/>
    <w:rsid w:val="24BE1FBA"/>
    <w:rsid w:val="251204FC"/>
    <w:rsid w:val="255B6DDC"/>
    <w:rsid w:val="25A34BF8"/>
    <w:rsid w:val="25D9357D"/>
    <w:rsid w:val="25DD07DD"/>
    <w:rsid w:val="25F25669"/>
    <w:rsid w:val="260C5483"/>
    <w:rsid w:val="2634201A"/>
    <w:rsid w:val="26473C3D"/>
    <w:rsid w:val="26541C87"/>
    <w:rsid w:val="26753A69"/>
    <w:rsid w:val="26763FBA"/>
    <w:rsid w:val="2737253D"/>
    <w:rsid w:val="27687D53"/>
    <w:rsid w:val="276D4DE9"/>
    <w:rsid w:val="278E0E1E"/>
    <w:rsid w:val="279573F7"/>
    <w:rsid w:val="27B338B0"/>
    <w:rsid w:val="27C13EA6"/>
    <w:rsid w:val="27ED1A69"/>
    <w:rsid w:val="28104C6E"/>
    <w:rsid w:val="283E05FF"/>
    <w:rsid w:val="284836B6"/>
    <w:rsid w:val="285F3134"/>
    <w:rsid w:val="286617C6"/>
    <w:rsid w:val="286F08F1"/>
    <w:rsid w:val="28783376"/>
    <w:rsid w:val="28867AF8"/>
    <w:rsid w:val="289D5F35"/>
    <w:rsid w:val="28B44116"/>
    <w:rsid w:val="28CC5AAD"/>
    <w:rsid w:val="28DD1891"/>
    <w:rsid w:val="28ED5D0E"/>
    <w:rsid w:val="29234D46"/>
    <w:rsid w:val="29281FA7"/>
    <w:rsid w:val="29530CE0"/>
    <w:rsid w:val="29601C2E"/>
    <w:rsid w:val="29650799"/>
    <w:rsid w:val="29785A1F"/>
    <w:rsid w:val="29806CF0"/>
    <w:rsid w:val="29980E81"/>
    <w:rsid w:val="299D0953"/>
    <w:rsid w:val="29BA5AA4"/>
    <w:rsid w:val="2A335340"/>
    <w:rsid w:val="2A365559"/>
    <w:rsid w:val="2A525C24"/>
    <w:rsid w:val="2A700B1C"/>
    <w:rsid w:val="2AB36222"/>
    <w:rsid w:val="2AB42256"/>
    <w:rsid w:val="2AB447E7"/>
    <w:rsid w:val="2B0771CA"/>
    <w:rsid w:val="2B123D34"/>
    <w:rsid w:val="2B322464"/>
    <w:rsid w:val="2B3305CE"/>
    <w:rsid w:val="2B3E398A"/>
    <w:rsid w:val="2B716DED"/>
    <w:rsid w:val="2BB23E68"/>
    <w:rsid w:val="2BF1229D"/>
    <w:rsid w:val="2C1D7354"/>
    <w:rsid w:val="2C2C311B"/>
    <w:rsid w:val="2C44744B"/>
    <w:rsid w:val="2C570EE1"/>
    <w:rsid w:val="2C584435"/>
    <w:rsid w:val="2C693A68"/>
    <w:rsid w:val="2CAF169E"/>
    <w:rsid w:val="2CCD170F"/>
    <w:rsid w:val="2CD706D5"/>
    <w:rsid w:val="2CDE4343"/>
    <w:rsid w:val="2CE368E8"/>
    <w:rsid w:val="2CFB101B"/>
    <w:rsid w:val="2D404BF0"/>
    <w:rsid w:val="2D430B7E"/>
    <w:rsid w:val="2D7B444D"/>
    <w:rsid w:val="2DAC36C0"/>
    <w:rsid w:val="2DE3156A"/>
    <w:rsid w:val="2DEB4B51"/>
    <w:rsid w:val="2E214D47"/>
    <w:rsid w:val="2E8B4F49"/>
    <w:rsid w:val="2E904E78"/>
    <w:rsid w:val="2EBB035D"/>
    <w:rsid w:val="2ECF3637"/>
    <w:rsid w:val="2F1740AE"/>
    <w:rsid w:val="2F661ED4"/>
    <w:rsid w:val="2F804C55"/>
    <w:rsid w:val="2F827A5E"/>
    <w:rsid w:val="2F8C00F1"/>
    <w:rsid w:val="2FA4098E"/>
    <w:rsid w:val="2FCD3DD0"/>
    <w:rsid w:val="2FF619BC"/>
    <w:rsid w:val="300B6B7B"/>
    <w:rsid w:val="301E301C"/>
    <w:rsid w:val="30555350"/>
    <w:rsid w:val="30A67244"/>
    <w:rsid w:val="30B72C37"/>
    <w:rsid w:val="30F27165"/>
    <w:rsid w:val="30F85BB6"/>
    <w:rsid w:val="31337CFB"/>
    <w:rsid w:val="315022BC"/>
    <w:rsid w:val="316D10BA"/>
    <w:rsid w:val="3173098D"/>
    <w:rsid w:val="31A17F44"/>
    <w:rsid w:val="31AF6AE9"/>
    <w:rsid w:val="31CA7286"/>
    <w:rsid w:val="325E5379"/>
    <w:rsid w:val="32761614"/>
    <w:rsid w:val="329134D8"/>
    <w:rsid w:val="329F792E"/>
    <w:rsid w:val="32CA619F"/>
    <w:rsid w:val="32CF120F"/>
    <w:rsid w:val="32D36447"/>
    <w:rsid w:val="32E225C2"/>
    <w:rsid w:val="32E97DF4"/>
    <w:rsid w:val="32F70D3B"/>
    <w:rsid w:val="33013B12"/>
    <w:rsid w:val="33014E52"/>
    <w:rsid w:val="330932FE"/>
    <w:rsid w:val="33396B2A"/>
    <w:rsid w:val="335A5F55"/>
    <w:rsid w:val="33870278"/>
    <w:rsid w:val="338E6B83"/>
    <w:rsid w:val="33901D1E"/>
    <w:rsid w:val="33D6323E"/>
    <w:rsid w:val="33F3160C"/>
    <w:rsid w:val="33FA6C9A"/>
    <w:rsid w:val="342C16B3"/>
    <w:rsid w:val="343E5F1E"/>
    <w:rsid w:val="344720E0"/>
    <w:rsid w:val="34497C48"/>
    <w:rsid w:val="345410CE"/>
    <w:rsid w:val="34641710"/>
    <w:rsid w:val="34730C2B"/>
    <w:rsid w:val="3486648A"/>
    <w:rsid w:val="34CD6927"/>
    <w:rsid w:val="34CE2098"/>
    <w:rsid w:val="34D614BE"/>
    <w:rsid w:val="34EF52F3"/>
    <w:rsid w:val="3516045F"/>
    <w:rsid w:val="351613E2"/>
    <w:rsid w:val="352A266B"/>
    <w:rsid w:val="352C4305"/>
    <w:rsid w:val="35345C57"/>
    <w:rsid w:val="3538516C"/>
    <w:rsid w:val="35651DDE"/>
    <w:rsid w:val="357339A5"/>
    <w:rsid w:val="35803760"/>
    <w:rsid w:val="35AB75E3"/>
    <w:rsid w:val="35D56E9E"/>
    <w:rsid w:val="35EA7949"/>
    <w:rsid w:val="36031893"/>
    <w:rsid w:val="3655592D"/>
    <w:rsid w:val="367F7299"/>
    <w:rsid w:val="368D3F29"/>
    <w:rsid w:val="36A53226"/>
    <w:rsid w:val="3739703A"/>
    <w:rsid w:val="377C5D83"/>
    <w:rsid w:val="378A730A"/>
    <w:rsid w:val="3795649C"/>
    <w:rsid w:val="379B312E"/>
    <w:rsid w:val="379C5225"/>
    <w:rsid w:val="37BB1925"/>
    <w:rsid w:val="38052804"/>
    <w:rsid w:val="383F04BB"/>
    <w:rsid w:val="385A00E1"/>
    <w:rsid w:val="386D0B7F"/>
    <w:rsid w:val="3892254B"/>
    <w:rsid w:val="38B41DCF"/>
    <w:rsid w:val="38E82719"/>
    <w:rsid w:val="391A2177"/>
    <w:rsid w:val="392943C6"/>
    <w:rsid w:val="39507292"/>
    <w:rsid w:val="395D06EE"/>
    <w:rsid w:val="39685325"/>
    <w:rsid w:val="397453A7"/>
    <w:rsid w:val="3975106F"/>
    <w:rsid w:val="397A02A3"/>
    <w:rsid w:val="39862DB5"/>
    <w:rsid w:val="398F4F35"/>
    <w:rsid w:val="39B067A2"/>
    <w:rsid w:val="39B135D7"/>
    <w:rsid w:val="39E90732"/>
    <w:rsid w:val="39F953D5"/>
    <w:rsid w:val="3A025C9E"/>
    <w:rsid w:val="3A076738"/>
    <w:rsid w:val="3A0C5F02"/>
    <w:rsid w:val="3A24132E"/>
    <w:rsid w:val="3A2D57AA"/>
    <w:rsid w:val="3A372D42"/>
    <w:rsid w:val="3A5C3ADB"/>
    <w:rsid w:val="3A67574A"/>
    <w:rsid w:val="3A704EFB"/>
    <w:rsid w:val="3A9666B1"/>
    <w:rsid w:val="3AA0371E"/>
    <w:rsid w:val="3AAD4A9F"/>
    <w:rsid w:val="3AC176F3"/>
    <w:rsid w:val="3AC91C44"/>
    <w:rsid w:val="3AD1457F"/>
    <w:rsid w:val="3B1E7285"/>
    <w:rsid w:val="3B471054"/>
    <w:rsid w:val="3B4F7464"/>
    <w:rsid w:val="3B501EBF"/>
    <w:rsid w:val="3B5D10F2"/>
    <w:rsid w:val="3B7540BA"/>
    <w:rsid w:val="3B7D4225"/>
    <w:rsid w:val="3BA75E6E"/>
    <w:rsid w:val="3BBA7134"/>
    <w:rsid w:val="3BC52D3F"/>
    <w:rsid w:val="3BD204AC"/>
    <w:rsid w:val="3C265FFF"/>
    <w:rsid w:val="3C303EAE"/>
    <w:rsid w:val="3C5F18B6"/>
    <w:rsid w:val="3C961B37"/>
    <w:rsid w:val="3C991986"/>
    <w:rsid w:val="3CB57B33"/>
    <w:rsid w:val="3CBC655E"/>
    <w:rsid w:val="3CF90DDA"/>
    <w:rsid w:val="3D21216D"/>
    <w:rsid w:val="3D41045C"/>
    <w:rsid w:val="3D53493D"/>
    <w:rsid w:val="3D7E76ED"/>
    <w:rsid w:val="3D8164C1"/>
    <w:rsid w:val="3DA46721"/>
    <w:rsid w:val="3DAB3099"/>
    <w:rsid w:val="3DBA53A7"/>
    <w:rsid w:val="3DD24F84"/>
    <w:rsid w:val="3E166638"/>
    <w:rsid w:val="3E4330B7"/>
    <w:rsid w:val="3E4C7BD1"/>
    <w:rsid w:val="3E8060AD"/>
    <w:rsid w:val="3E90381A"/>
    <w:rsid w:val="3E915EED"/>
    <w:rsid w:val="3EB258AC"/>
    <w:rsid w:val="3EC90C8B"/>
    <w:rsid w:val="3EF6700C"/>
    <w:rsid w:val="3EF741E0"/>
    <w:rsid w:val="3F3D74FE"/>
    <w:rsid w:val="3F47212A"/>
    <w:rsid w:val="3F49375F"/>
    <w:rsid w:val="3F592E64"/>
    <w:rsid w:val="3F6518C3"/>
    <w:rsid w:val="3FB32319"/>
    <w:rsid w:val="3FE41A06"/>
    <w:rsid w:val="4015242A"/>
    <w:rsid w:val="403D369E"/>
    <w:rsid w:val="403E1203"/>
    <w:rsid w:val="40504C49"/>
    <w:rsid w:val="4064307C"/>
    <w:rsid w:val="40645AD7"/>
    <w:rsid w:val="4073771F"/>
    <w:rsid w:val="4079340C"/>
    <w:rsid w:val="40CD2240"/>
    <w:rsid w:val="40DF6DAB"/>
    <w:rsid w:val="40E13EB9"/>
    <w:rsid w:val="40F36915"/>
    <w:rsid w:val="41081ABD"/>
    <w:rsid w:val="4132321B"/>
    <w:rsid w:val="4132750F"/>
    <w:rsid w:val="41413F6F"/>
    <w:rsid w:val="41597A89"/>
    <w:rsid w:val="41A04C31"/>
    <w:rsid w:val="41AF7F04"/>
    <w:rsid w:val="41B74A1A"/>
    <w:rsid w:val="41BB533F"/>
    <w:rsid w:val="41BF3B25"/>
    <w:rsid w:val="41D577F3"/>
    <w:rsid w:val="41D61623"/>
    <w:rsid w:val="41E03F5F"/>
    <w:rsid w:val="41F962E1"/>
    <w:rsid w:val="420F4C80"/>
    <w:rsid w:val="4222602A"/>
    <w:rsid w:val="423B1754"/>
    <w:rsid w:val="424F00A3"/>
    <w:rsid w:val="42DC5123"/>
    <w:rsid w:val="42E52F22"/>
    <w:rsid w:val="42F131A3"/>
    <w:rsid w:val="42FC39B8"/>
    <w:rsid w:val="430454B6"/>
    <w:rsid w:val="43114330"/>
    <w:rsid w:val="435028F3"/>
    <w:rsid w:val="435E366D"/>
    <w:rsid w:val="439B42DE"/>
    <w:rsid w:val="43A312A3"/>
    <w:rsid w:val="43C51732"/>
    <w:rsid w:val="43C60A47"/>
    <w:rsid w:val="43C8753F"/>
    <w:rsid w:val="43DB1525"/>
    <w:rsid w:val="442B5DF8"/>
    <w:rsid w:val="444078CC"/>
    <w:rsid w:val="44481C55"/>
    <w:rsid w:val="4451699E"/>
    <w:rsid w:val="446B2EC0"/>
    <w:rsid w:val="448606F0"/>
    <w:rsid w:val="4488746D"/>
    <w:rsid w:val="448F109E"/>
    <w:rsid w:val="44926525"/>
    <w:rsid w:val="44B02184"/>
    <w:rsid w:val="44DC12D4"/>
    <w:rsid w:val="44DE6128"/>
    <w:rsid w:val="44E651E7"/>
    <w:rsid w:val="44EA215F"/>
    <w:rsid w:val="44F33ED1"/>
    <w:rsid w:val="44F41DAD"/>
    <w:rsid w:val="450053A5"/>
    <w:rsid w:val="45094F28"/>
    <w:rsid w:val="450F3242"/>
    <w:rsid w:val="453A574B"/>
    <w:rsid w:val="45407DF0"/>
    <w:rsid w:val="456F0206"/>
    <w:rsid w:val="45730CA6"/>
    <w:rsid w:val="457A54F3"/>
    <w:rsid w:val="45B93E47"/>
    <w:rsid w:val="45C35A2E"/>
    <w:rsid w:val="461A2030"/>
    <w:rsid w:val="462E5819"/>
    <w:rsid w:val="466E4440"/>
    <w:rsid w:val="46776533"/>
    <w:rsid w:val="46FE6634"/>
    <w:rsid w:val="47046B53"/>
    <w:rsid w:val="4707550C"/>
    <w:rsid w:val="47412C1D"/>
    <w:rsid w:val="474B7AD7"/>
    <w:rsid w:val="47695160"/>
    <w:rsid w:val="47772BD3"/>
    <w:rsid w:val="47794D83"/>
    <w:rsid w:val="477D5E4C"/>
    <w:rsid w:val="47AF19C8"/>
    <w:rsid w:val="47D65A0B"/>
    <w:rsid w:val="47E90694"/>
    <w:rsid w:val="4848512D"/>
    <w:rsid w:val="48791B86"/>
    <w:rsid w:val="48887CB1"/>
    <w:rsid w:val="48A53086"/>
    <w:rsid w:val="48AB7D3C"/>
    <w:rsid w:val="48AC186B"/>
    <w:rsid w:val="48B43F5B"/>
    <w:rsid w:val="48B83D59"/>
    <w:rsid w:val="49142DB3"/>
    <w:rsid w:val="492B11E5"/>
    <w:rsid w:val="493D086E"/>
    <w:rsid w:val="49494D2E"/>
    <w:rsid w:val="494A1209"/>
    <w:rsid w:val="494D19B8"/>
    <w:rsid w:val="4973618A"/>
    <w:rsid w:val="49797360"/>
    <w:rsid w:val="498A2233"/>
    <w:rsid w:val="499457FC"/>
    <w:rsid w:val="49AC17AD"/>
    <w:rsid w:val="49E2472F"/>
    <w:rsid w:val="49ED34D4"/>
    <w:rsid w:val="49FB5243"/>
    <w:rsid w:val="4A4A3278"/>
    <w:rsid w:val="4A4F0FFA"/>
    <w:rsid w:val="4A543F75"/>
    <w:rsid w:val="4A6722B1"/>
    <w:rsid w:val="4AA511AF"/>
    <w:rsid w:val="4ADA5F15"/>
    <w:rsid w:val="4B067AA0"/>
    <w:rsid w:val="4B0F39DE"/>
    <w:rsid w:val="4B530740"/>
    <w:rsid w:val="4B661B8A"/>
    <w:rsid w:val="4B776E43"/>
    <w:rsid w:val="4B905577"/>
    <w:rsid w:val="4B9436D1"/>
    <w:rsid w:val="4BA020B3"/>
    <w:rsid w:val="4BA61E7F"/>
    <w:rsid w:val="4BCE24F7"/>
    <w:rsid w:val="4BE232B9"/>
    <w:rsid w:val="4C0E3FBB"/>
    <w:rsid w:val="4C10175E"/>
    <w:rsid w:val="4C6273A0"/>
    <w:rsid w:val="4C8106FD"/>
    <w:rsid w:val="4C911788"/>
    <w:rsid w:val="4CC004BA"/>
    <w:rsid w:val="4CE7150F"/>
    <w:rsid w:val="4D1651CD"/>
    <w:rsid w:val="4D170A75"/>
    <w:rsid w:val="4D177967"/>
    <w:rsid w:val="4D25473D"/>
    <w:rsid w:val="4D5B6B42"/>
    <w:rsid w:val="4D824B4B"/>
    <w:rsid w:val="4D983AD1"/>
    <w:rsid w:val="4DA51F8B"/>
    <w:rsid w:val="4DC86F7C"/>
    <w:rsid w:val="4DEC2821"/>
    <w:rsid w:val="4E0174B1"/>
    <w:rsid w:val="4E047438"/>
    <w:rsid w:val="4E06349B"/>
    <w:rsid w:val="4E316C51"/>
    <w:rsid w:val="4E64413B"/>
    <w:rsid w:val="4E797E5D"/>
    <w:rsid w:val="4E902DC0"/>
    <w:rsid w:val="4E946694"/>
    <w:rsid w:val="4EA97D97"/>
    <w:rsid w:val="4EAF3D18"/>
    <w:rsid w:val="4ECC726C"/>
    <w:rsid w:val="4EDD75EE"/>
    <w:rsid w:val="4EDF51E1"/>
    <w:rsid w:val="4EE549FA"/>
    <w:rsid w:val="4EEB043F"/>
    <w:rsid w:val="4EED78F3"/>
    <w:rsid w:val="4F3671B7"/>
    <w:rsid w:val="4F3E75DC"/>
    <w:rsid w:val="4F3F52B0"/>
    <w:rsid w:val="4F410BC5"/>
    <w:rsid w:val="4F59726A"/>
    <w:rsid w:val="4F803139"/>
    <w:rsid w:val="4F83286D"/>
    <w:rsid w:val="4F925FD0"/>
    <w:rsid w:val="4F986FAB"/>
    <w:rsid w:val="4F9D51D7"/>
    <w:rsid w:val="4FB2382C"/>
    <w:rsid w:val="4FDA34DD"/>
    <w:rsid w:val="4FE90264"/>
    <w:rsid w:val="4FF6172E"/>
    <w:rsid w:val="4FFF7D72"/>
    <w:rsid w:val="500F74CE"/>
    <w:rsid w:val="502D179C"/>
    <w:rsid w:val="503C2086"/>
    <w:rsid w:val="504A0606"/>
    <w:rsid w:val="50534F07"/>
    <w:rsid w:val="505E312C"/>
    <w:rsid w:val="50786C27"/>
    <w:rsid w:val="50835EBA"/>
    <w:rsid w:val="50C56AFD"/>
    <w:rsid w:val="50C65B03"/>
    <w:rsid w:val="510660FC"/>
    <w:rsid w:val="51090C1E"/>
    <w:rsid w:val="51183045"/>
    <w:rsid w:val="51191322"/>
    <w:rsid w:val="51202422"/>
    <w:rsid w:val="51275507"/>
    <w:rsid w:val="518C6034"/>
    <w:rsid w:val="51B262B5"/>
    <w:rsid w:val="51C21AE4"/>
    <w:rsid w:val="51ED6580"/>
    <w:rsid w:val="527D09E2"/>
    <w:rsid w:val="527F67BC"/>
    <w:rsid w:val="528335EC"/>
    <w:rsid w:val="52892B8F"/>
    <w:rsid w:val="52947CCF"/>
    <w:rsid w:val="529B638C"/>
    <w:rsid w:val="52AC44A4"/>
    <w:rsid w:val="52B832E2"/>
    <w:rsid w:val="52E61DE4"/>
    <w:rsid w:val="531F4D84"/>
    <w:rsid w:val="53260487"/>
    <w:rsid w:val="53342612"/>
    <w:rsid w:val="534A2561"/>
    <w:rsid w:val="53633C4D"/>
    <w:rsid w:val="536E3BC8"/>
    <w:rsid w:val="538E25A3"/>
    <w:rsid w:val="53902916"/>
    <w:rsid w:val="53A57627"/>
    <w:rsid w:val="53C7070B"/>
    <w:rsid w:val="53C91DA3"/>
    <w:rsid w:val="53FA6BA2"/>
    <w:rsid w:val="54014115"/>
    <w:rsid w:val="540B4EFD"/>
    <w:rsid w:val="54176117"/>
    <w:rsid w:val="54223A1D"/>
    <w:rsid w:val="54262366"/>
    <w:rsid w:val="545B7500"/>
    <w:rsid w:val="545E030F"/>
    <w:rsid w:val="54632E96"/>
    <w:rsid w:val="546C70F5"/>
    <w:rsid w:val="548C7200"/>
    <w:rsid w:val="548D462B"/>
    <w:rsid w:val="54996D3A"/>
    <w:rsid w:val="54B25885"/>
    <w:rsid w:val="54BC5B7C"/>
    <w:rsid w:val="54E81438"/>
    <w:rsid w:val="550E78D2"/>
    <w:rsid w:val="55291396"/>
    <w:rsid w:val="55B21616"/>
    <w:rsid w:val="56107F58"/>
    <w:rsid w:val="56235359"/>
    <w:rsid w:val="56237E5D"/>
    <w:rsid w:val="56403899"/>
    <w:rsid w:val="56616F2F"/>
    <w:rsid w:val="567315FF"/>
    <w:rsid w:val="567547BB"/>
    <w:rsid w:val="569113BA"/>
    <w:rsid w:val="569E6CC3"/>
    <w:rsid w:val="56A94B8A"/>
    <w:rsid w:val="56C04770"/>
    <w:rsid w:val="56DD2B24"/>
    <w:rsid w:val="57173D03"/>
    <w:rsid w:val="57425149"/>
    <w:rsid w:val="57462D0D"/>
    <w:rsid w:val="575C216F"/>
    <w:rsid w:val="575E5E91"/>
    <w:rsid w:val="57992556"/>
    <w:rsid w:val="57AD66E9"/>
    <w:rsid w:val="57C24977"/>
    <w:rsid w:val="57C33EC0"/>
    <w:rsid w:val="57FB28B2"/>
    <w:rsid w:val="580A4749"/>
    <w:rsid w:val="585F5BDD"/>
    <w:rsid w:val="5868461F"/>
    <w:rsid w:val="58733B38"/>
    <w:rsid w:val="58832A15"/>
    <w:rsid w:val="58A23BD2"/>
    <w:rsid w:val="58B00E9E"/>
    <w:rsid w:val="58B23344"/>
    <w:rsid w:val="58CF2ACC"/>
    <w:rsid w:val="58D5211A"/>
    <w:rsid w:val="58DB6983"/>
    <w:rsid w:val="58E32A6C"/>
    <w:rsid w:val="58F72073"/>
    <w:rsid w:val="5905597C"/>
    <w:rsid w:val="59151BD2"/>
    <w:rsid w:val="593102D5"/>
    <w:rsid w:val="5946340B"/>
    <w:rsid w:val="59640221"/>
    <w:rsid w:val="596B42D2"/>
    <w:rsid w:val="59942B2F"/>
    <w:rsid w:val="59942BBA"/>
    <w:rsid w:val="599F02CD"/>
    <w:rsid w:val="59B979F5"/>
    <w:rsid w:val="59BE759C"/>
    <w:rsid w:val="59D21394"/>
    <w:rsid w:val="59E24D04"/>
    <w:rsid w:val="59F62B98"/>
    <w:rsid w:val="59F9006D"/>
    <w:rsid w:val="59FB3DE5"/>
    <w:rsid w:val="5A20109D"/>
    <w:rsid w:val="5A44626A"/>
    <w:rsid w:val="5A537FA3"/>
    <w:rsid w:val="5A723121"/>
    <w:rsid w:val="5AA93373"/>
    <w:rsid w:val="5ABF0D21"/>
    <w:rsid w:val="5AC83ADB"/>
    <w:rsid w:val="5AD76600"/>
    <w:rsid w:val="5B117631"/>
    <w:rsid w:val="5B4737A6"/>
    <w:rsid w:val="5B62548C"/>
    <w:rsid w:val="5BD218C2"/>
    <w:rsid w:val="5BE1633B"/>
    <w:rsid w:val="5C080E5D"/>
    <w:rsid w:val="5C082A99"/>
    <w:rsid w:val="5C155648"/>
    <w:rsid w:val="5C1753A0"/>
    <w:rsid w:val="5C442DB4"/>
    <w:rsid w:val="5C93097D"/>
    <w:rsid w:val="5CA04971"/>
    <w:rsid w:val="5CB36BF9"/>
    <w:rsid w:val="5CE257BB"/>
    <w:rsid w:val="5CF039A9"/>
    <w:rsid w:val="5D3E74F6"/>
    <w:rsid w:val="5D83428D"/>
    <w:rsid w:val="5D857D19"/>
    <w:rsid w:val="5DA93CB6"/>
    <w:rsid w:val="5DAB2894"/>
    <w:rsid w:val="5DBB5197"/>
    <w:rsid w:val="5DD0455E"/>
    <w:rsid w:val="5DD265AF"/>
    <w:rsid w:val="5DDC32FC"/>
    <w:rsid w:val="5DE12CE8"/>
    <w:rsid w:val="5E07394D"/>
    <w:rsid w:val="5E176D14"/>
    <w:rsid w:val="5E523320"/>
    <w:rsid w:val="5E5C3CBF"/>
    <w:rsid w:val="5E6C63ED"/>
    <w:rsid w:val="5E6D27A0"/>
    <w:rsid w:val="5E7A1041"/>
    <w:rsid w:val="5E972275"/>
    <w:rsid w:val="5EA22D98"/>
    <w:rsid w:val="5EA437AD"/>
    <w:rsid w:val="5EAC1B52"/>
    <w:rsid w:val="5EB11A12"/>
    <w:rsid w:val="5ECD2C1C"/>
    <w:rsid w:val="5EE824E8"/>
    <w:rsid w:val="5EF32DB8"/>
    <w:rsid w:val="5EFE0AC3"/>
    <w:rsid w:val="5F6A2443"/>
    <w:rsid w:val="5F820427"/>
    <w:rsid w:val="5F8E5746"/>
    <w:rsid w:val="5FD360B3"/>
    <w:rsid w:val="5FD621A4"/>
    <w:rsid w:val="5FD817EA"/>
    <w:rsid w:val="601817D5"/>
    <w:rsid w:val="60206A4E"/>
    <w:rsid w:val="60392E2E"/>
    <w:rsid w:val="60A056E7"/>
    <w:rsid w:val="60A34B4C"/>
    <w:rsid w:val="60AD36E2"/>
    <w:rsid w:val="60BC33C0"/>
    <w:rsid w:val="60D84E80"/>
    <w:rsid w:val="60DB6D38"/>
    <w:rsid w:val="611A1778"/>
    <w:rsid w:val="612C7E53"/>
    <w:rsid w:val="61354031"/>
    <w:rsid w:val="613978AA"/>
    <w:rsid w:val="61454734"/>
    <w:rsid w:val="614D6485"/>
    <w:rsid w:val="61502C69"/>
    <w:rsid w:val="61553F6C"/>
    <w:rsid w:val="616C5250"/>
    <w:rsid w:val="61742AD2"/>
    <w:rsid w:val="617A7C83"/>
    <w:rsid w:val="618E2BC3"/>
    <w:rsid w:val="61BC419C"/>
    <w:rsid w:val="61C144CD"/>
    <w:rsid w:val="61C567C2"/>
    <w:rsid w:val="61C84A9C"/>
    <w:rsid w:val="61D0351B"/>
    <w:rsid w:val="6216443D"/>
    <w:rsid w:val="62174B29"/>
    <w:rsid w:val="6219134C"/>
    <w:rsid w:val="623223B9"/>
    <w:rsid w:val="62A16E21"/>
    <w:rsid w:val="62C5349B"/>
    <w:rsid w:val="62CA2BD0"/>
    <w:rsid w:val="62F004BF"/>
    <w:rsid w:val="62F432B5"/>
    <w:rsid w:val="63370672"/>
    <w:rsid w:val="63495BC1"/>
    <w:rsid w:val="634C1EB8"/>
    <w:rsid w:val="63B92812"/>
    <w:rsid w:val="63DC1699"/>
    <w:rsid w:val="63E06AFB"/>
    <w:rsid w:val="63ED5C9F"/>
    <w:rsid w:val="6412192B"/>
    <w:rsid w:val="64131729"/>
    <w:rsid w:val="64264155"/>
    <w:rsid w:val="643F0FAF"/>
    <w:rsid w:val="644312A5"/>
    <w:rsid w:val="64441B94"/>
    <w:rsid w:val="64611F7D"/>
    <w:rsid w:val="651A232F"/>
    <w:rsid w:val="65846D49"/>
    <w:rsid w:val="659F6D46"/>
    <w:rsid w:val="65DF6C39"/>
    <w:rsid w:val="66154F0D"/>
    <w:rsid w:val="661D7B4F"/>
    <w:rsid w:val="66426291"/>
    <w:rsid w:val="66950A4E"/>
    <w:rsid w:val="669A16FA"/>
    <w:rsid w:val="66B37E6C"/>
    <w:rsid w:val="66B660E5"/>
    <w:rsid w:val="66CA6390"/>
    <w:rsid w:val="66CF23BD"/>
    <w:rsid w:val="66D34323"/>
    <w:rsid w:val="66E0612E"/>
    <w:rsid w:val="66F24BAC"/>
    <w:rsid w:val="66F60FCF"/>
    <w:rsid w:val="67074907"/>
    <w:rsid w:val="670B4BDC"/>
    <w:rsid w:val="672E48AA"/>
    <w:rsid w:val="67397F21"/>
    <w:rsid w:val="677156E7"/>
    <w:rsid w:val="679D64DC"/>
    <w:rsid w:val="67C91D56"/>
    <w:rsid w:val="67DA7557"/>
    <w:rsid w:val="67DC4F96"/>
    <w:rsid w:val="67E54507"/>
    <w:rsid w:val="67E759A9"/>
    <w:rsid w:val="67FA66D0"/>
    <w:rsid w:val="686B329C"/>
    <w:rsid w:val="687C0E0B"/>
    <w:rsid w:val="687D4884"/>
    <w:rsid w:val="68A02D06"/>
    <w:rsid w:val="68BB5E0A"/>
    <w:rsid w:val="68CB6C70"/>
    <w:rsid w:val="68F13824"/>
    <w:rsid w:val="68F40A40"/>
    <w:rsid w:val="68FA389D"/>
    <w:rsid w:val="68FB050C"/>
    <w:rsid w:val="690109D6"/>
    <w:rsid w:val="690437D2"/>
    <w:rsid w:val="69091892"/>
    <w:rsid w:val="69275B27"/>
    <w:rsid w:val="692D5B95"/>
    <w:rsid w:val="69320303"/>
    <w:rsid w:val="6955270D"/>
    <w:rsid w:val="69912E7D"/>
    <w:rsid w:val="69B510B3"/>
    <w:rsid w:val="69BA35D2"/>
    <w:rsid w:val="69BC1D60"/>
    <w:rsid w:val="69C250B1"/>
    <w:rsid w:val="69C94CE4"/>
    <w:rsid w:val="69D623FA"/>
    <w:rsid w:val="69D70074"/>
    <w:rsid w:val="69E305F6"/>
    <w:rsid w:val="69EB1780"/>
    <w:rsid w:val="6A116D24"/>
    <w:rsid w:val="6A18771C"/>
    <w:rsid w:val="6A902328"/>
    <w:rsid w:val="6A9056B0"/>
    <w:rsid w:val="6A956B0E"/>
    <w:rsid w:val="6AAC5B1D"/>
    <w:rsid w:val="6AD17B1E"/>
    <w:rsid w:val="6B02218C"/>
    <w:rsid w:val="6B3E0CA7"/>
    <w:rsid w:val="6B3E3141"/>
    <w:rsid w:val="6B4D0219"/>
    <w:rsid w:val="6B5E49FC"/>
    <w:rsid w:val="6B610012"/>
    <w:rsid w:val="6B7C77F5"/>
    <w:rsid w:val="6B944CA7"/>
    <w:rsid w:val="6B95585A"/>
    <w:rsid w:val="6B9F6CC6"/>
    <w:rsid w:val="6BE2343B"/>
    <w:rsid w:val="6BF65802"/>
    <w:rsid w:val="6C0F0F04"/>
    <w:rsid w:val="6C0F50DC"/>
    <w:rsid w:val="6C1F5D87"/>
    <w:rsid w:val="6C1F730C"/>
    <w:rsid w:val="6C2779FF"/>
    <w:rsid w:val="6C403D65"/>
    <w:rsid w:val="6C4D6A4A"/>
    <w:rsid w:val="6C7C12E7"/>
    <w:rsid w:val="6C7E701B"/>
    <w:rsid w:val="6CBD4DD6"/>
    <w:rsid w:val="6CCD1095"/>
    <w:rsid w:val="6CCD27C0"/>
    <w:rsid w:val="6CCF150B"/>
    <w:rsid w:val="6CDE2C94"/>
    <w:rsid w:val="6D322929"/>
    <w:rsid w:val="6D4E0DD3"/>
    <w:rsid w:val="6D525702"/>
    <w:rsid w:val="6D7221B9"/>
    <w:rsid w:val="6D9B34BE"/>
    <w:rsid w:val="6DC050CE"/>
    <w:rsid w:val="6DC42B12"/>
    <w:rsid w:val="6DD8201C"/>
    <w:rsid w:val="6DE536AB"/>
    <w:rsid w:val="6E03396B"/>
    <w:rsid w:val="6E122570"/>
    <w:rsid w:val="6E3C0BEC"/>
    <w:rsid w:val="6E41639F"/>
    <w:rsid w:val="6E470831"/>
    <w:rsid w:val="6E511BE7"/>
    <w:rsid w:val="6E621869"/>
    <w:rsid w:val="6E6B10E2"/>
    <w:rsid w:val="6E9C435A"/>
    <w:rsid w:val="6EB44808"/>
    <w:rsid w:val="6EC473DF"/>
    <w:rsid w:val="6EE964AB"/>
    <w:rsid w:val="6F043B44"/>
    <w:rsid w:val="6F2147BF"/>
    <w:rsid w:val="6F221BDB"/>
    <w:rsid w:val="6F290EBC"/>
    <w:rsid w:val="6F494B10"/>
    <w:rsid w:val="6F6F2B9B"/>
    <w:rsid w:val="6F992A46"/>
    <w:rsid w:val="6FCA2E38"/>
    <w:rsid w:val="6FF73BA2"/>
    <w:rsid w:val="70295666"/>
    <w:rsid w:val="702E4B5E"/>
    <w:rsid w:val="703A4534"/>
    <w:rsid w:val="704E4C3A"/>
    <w:rsid w:val="70714480"/>
    <w:rsid w:val="709F774D"/>
    <w:rsid w:val="70D60F6A"/>
    <w:rsid w:val="70DC4D0C"/>
    <w:rsid w:val="70EA4FE0"/>
    <w:rsid w:val="711E2989"/>
    <w:rsid w:val="712C3F43"/>
    <w:rsid w:val="71633ACA"/>
    <w:rsid w:val="716B5724"/>
    <w:rsid w:val="716E59D1"/>
    <w:rsid w:val="718926B2"/>
    <w:rsid w:val="719A5158"/>
    <w:rsid w:val="71AB61F8"/>
    <w:rsid w:val="71C83433"/>
    <w:rsid w:val="71C87535"/>
    <w:rsid w:val="71F10CA7"/>
    <w:rsid w:val="71F73059"/>
    <w:rsid w:val="72021DA6"/>
    <w:rsid w:val="72110461"/>
    <w:rsid w:val="723C1866"/>
    <w:rsid w:val="72527D68"/>
    <w:rsid w:val="726F1481"/>
    <w:rsid w:val="726F4F19"/>
    <w:rsid w:val="72717A3D"/>
    <w:rsid w:val="73197557"/>
    <w:rsid w:val="733A37F8"/>
    <w:rsid w:val="73425CC6"/>
    <w:rsid w:val="73455D2A"/>
    <w:rsid w:val="73B871BF"/>
    <w:rsid w:val="73F339B0"/>
    <w:rsid w:val="74051764"/>
    <w:rsid w:val="740F596F"/>
    <w:rsid w:val="741A2E8B"/>
    <w:rsid w:val="741B4E03"/>
    <w:rsid w:val="744D0079"/>
    <w:rsid w:val="74543FF6"/>
    <w:rsid w:val="7459640C"/>
    <w:rsid w:val="747D1CBC"/>
    <w:rsid w:val="749A068A"/>
    <w:rsid w:val="74BD0402"/>
    <w:rsid w:val="74C928F1"/>
    <w:rsid w:val="74CF43BE"/>
    <w:rsid w:val="74DA1EAB"/>
    <w:rsid w:val="74DC3790"/>
    <w:rsid w:val="752456CB"/>
    <w:rsid w:val="75253B5A"/>
    <w:rsid w:val="75383588"/>
    <w:rsid w:val="75476EBE"/>
    <w:rsid w:val="75514ABA"/>
    <w:rsid w:val="7577223D"/>
    <w:rsid w:val="757765BE"/>
    <w:rsid w:val="75802D76"/>
    <w:rsid w:val="75824A6D"/>
    <w:rsid w:val="75884BB2"/>
    <w:rsid w:val="75985730"/>
    <w:rsid w:val="75A032B0"/>
    <w:rsid w:val="75A724FD"/>
    <w:rsid w:val="75DB251D"/>
    <w:rsid w:val="75DD2DAA"/>
    <w:rsid w:val="75FC2EB6"/>
    <w:rsid w:val="763272FE"/>
    <w:rsid w:val="7645388F"/>
    <w:rsid w:val="767F1280"/>
    <w:rsid w:val="76867DA5"/>
    <w:rsid w:val="76F37716"/>
    <w:rsid w:val="76FA7CA6"/>
    <w:rsid w:val="77045EA3"/>
    <w:rsid w:val="770C0679"/>
    <w:rsid w:val="77132094"/>
    <w:rsid w:val="77361387"/>
    <w:rsid w:val="77421B84"/>
    <w:rsid w:val="7761519A"/>
    <w:rsid w:val="77677CB3"/>
    <w:rsid w:val="777B6B6F"/>
    <w:rsid w:val="77830996"/>
    <w:rsid w:val="77855B80"/>
    <w:rsid w:val="778F50A5"/>
    <w:rsid w:val="77CA0202"/>
    <w:rsid w:val="77D3260D"/>
    <w:rsid w:val="77F922D3"/>
    <w:rsid w:val="77F940B3"/>
    <w:rsid w:val="78166D6B"/>
    <w:rsid w:val="784768F5"/>
    <w:rsid w:val="78491F60"/>
    <w:rsid w:val="78A447D4"/>
    <w:rsid w:val="78AB7C8B"/>
    <w:rsid w:val="78D20CA6"/>
    <w:rsid w:val="7912604E"/>
    <w:rsid w:val="793B5A27"/>
    <w:rsid w:val="793E0AFE"/>
    <w:rsid w:val="794B0BCE"/>
    <w:rsid w:val="795409C4"/>
    <w:rsid w:val="79575C51"/>
    <w:rsid w:val="796E4764"/>
    <w:rsid w:val="79862C62"/>
    <w:rsid w:val="79D917F1"/>
    <w:rsid w:val="79DC10E9"/>
    <w:rsid w:val="7A121257"/>
    <w:rsid w:val="7A1721FD"/>
    <w:rsid w:val="7A28257D"/>
    <w:rsid w:val="7A553B50"/>
    <w:rsid w:val="7A5D31D3"/>
    <w:rsid w:val="7A63782A"/>
    <w:rsid w:val="7A8C22B6"/>
    <w:rsid w:val="7A983386"/>
    <w:rsid w:val="7AC145DE"/>
    <w:rsid w:val="7AC8782A"/>
    <w:rsid w:val="7ADC3A1C"/>
    <w:rsid w:val="7AEE3E04"/>
    <w:rsid w:val="7B014793"/>
    <w:rsid w:val="7B475DC7"/>
    <w:rsid w:val="7B6D6D0F"/>
    <w:rsid w:val="7B89095D"/>
    <w:rsid w:val="7B9C3979"/>
    <w:rsid w:val="7BB861EC"/>
    <w:rsid w:val="7BCE2176"/>
    <w:rsid w:val="7C0A761C"/>
    <w:rsid w:val="7C0B5581"/>
    <w:rsid w:val="7C18217D"/>
    <w:rsid w:val="7C293ECE"/>
    <w:rsid w:val="7C2F7190"/>
    <w:rsid w:val="7C334557"/>
    <w:rsid w:val="7C504629"/>
    <w:rsid w:val="7CA97126"/>
    <w:rsid w:val="7CD20F44"/>
    <w:rsid w:val="7CDD5A6B"/>
    <w:rsid w:val="7CE5486B"/>
    <w:rsid w:val="7D025670"/>
    <w:rsid w:val="7D07779D"/>
    <w:rsid w:val="7D30527C"/>
    <w:rsid w:val="7D410793"/>
    <w:rsid w:val="7D471CC5"/>
    <w:rsid w:val="7D58517A"/>
    <w:rsid w:val="7D5D6647"/>
    <w:rsid w:val="7D8C3FEC"/>
    <w:rsid w:val="7DB82EAF"/>
    <w:rsid w:val="7DDB1104"/>
    <w:rsid w:val="7DE07B8E"/>
    <w:rsid w:val="7DEF1BEB"/>
    <w:rsid w:val="7E1F2234"/>
    <w:rsid w:val="7E2C6D5D"/>
    <w:rsid w:val="7E4131BE"/>
    <w:rsid w:val="7E543940"/>
    <w:rsid w:val="7E6D31EF"/>
    <w:rsid w:val="7E703D6F"/>
    <w:rsid w:val="7E937054"/>
    <w:rsid w:val="7EA627E3"/>
    <w:rsid w:val="7EDF388F"/>
    <w:rsid w:val="7EF602F8"/>
    <w:rsid w:val="7EFB3828"/>
    <w:rsid w:val="7EFE71B0"/>
    <w:rsid w:val="7F0D3AEF"/>
    <w:rsid w:val="7F0E3033"/>
    <w:rsid w:val="7F107927"/>
    <w:rsid w:val="7F2B28D5"/>
    <w:rsid w:val="7F3A168A"/>
    <w:rsid w:val="7F4D3A1C"/>
    <w:rsid w:val="7F557BE9"/>
    <w:rsid w:val="7F6013F8"/>
    <w:rsid w:val="7F6D416F"/>
    <w:rsid w:val="7F8C25CA"/>
    <w:rsid w:val="7F925667"/>
    <w:rsid w:val="7FA56263"/>
    <w:rsid w:val="7FBB7681"/>
    <w:rsid w:val="7FEF003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8"/>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22"/>
    <w:qFormat/>
    <w:uiPriority w:val="99"/>
    <w:pPr>
      <w:tabs>
        <w:tab w:val="center" w:pos="4153"/>
        <w:tab w:val="right" w:pos="8306"/>
      </w:tabs>
      <w:snapToGrid w:val="0"/>
      <w:jc w:val="left"/>
    </w:pPr>
    <w:rPr>
      <w:sz w:val="18"/>
      <w:szCs w:val="18"/>
    </w:rPr>
  </w:style>
  <w:style w:type="paragraph" w:styleId="3">
    <w:name w:val="Document Map"/>
    <w:basedOn w:val="1"/>
    <w:qFormat/>
    <w:uiPriority w:val="0"/>
    <w:pPr>
      <w:shd w:val="clear" w:color="auto" w:fill="000080"/>
    </w:pPr>
  </w:style>
  <w:style w:type="paragraph" w:styleId="4">
    <w:name w:val="Body Text Indent"/>
    <w:basedOn w:val="1"/>
    <w:next w:val="5"/>
    <w:qFormat/>
    <w:uiPriority w:val="0"/>
    <w:pPr>
      <w:spacing w:after="120"/>
      <w:ind w:left="420" w:leftChars="200"/>
    </w:pPr>
    <w:rPr>
      <w:rFonts w:ascii="Times New Roman" w:hAnsi="Times New Roman" w:eastAsia="宋体" w:cs="Times New Roman"/>
    </w:rPr>
  </w:style>
  <w:style w:type="paragraph" w:styleId="5">
    <w:name w:val="Body Text Indent 2"/>
    <w:basedOn w:val="1"/>
    <w:next w:val="1"/>
    <w:qFormat/>
    <w:uiPriority w:val="99"/>
    <w:pPr>
      <w:spacing w:line="500" w:lineRule="exact"/>
      <w:ind w:firstLine="564"/>
    </w:pPr>
    <w:rPr>
      <w:rFonts w:ascii="Times New Roman" w:hAnsi="Times New Roman"/>
    </w:rPr>
  </w:style>
  <w:style w:type="paragraph" w:styleId="6">
    <w:name w:val="Plain Text"/>
    <w:basedOn w:val="1"/>
    <w:qFormat/>
    <w:uiPriority w:val="0"/>
    <w:rPr>
      <w:rFonts w:ascii="宋体" w:hAnsi="Courier New" w:cs="Courier New"/>
      <w:szCs w:val="21"/>
    </w:rPr>
  </w:style>
  <w:style w:type="paragraph" w:styleId="7">
    <w:name w:val="Balloon Text"/>
    <w:basedOn w:val="1"/>
    <w:qFormat/>
    <w:uiPriority w:val="0"/>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spacing w:before="100" w:beforeAutospacing="1" w:after="100" w:afterAutospacing="1"/>
      <w:jc w:val="left"/>
    </w:pPr>
    <w:rPr>
      <w:rFonts w:ascii="Calibri" w:hAnsi="Calibri" w:cs="宋体"/>
      <w:kern w:val="0"/>
      <w:sz w:val="24"/>
      <w:szCs w:val="24"/>
    </w:rPr>
  </w:style>
  <w:style w:type="paragraph" w:styleId="10">
    <w:name w:val="Body Text First Indent 2"/>
    <w:basedOn w:val="4"/>
    <w:next w:val="1"/>
    <w:qFormat/>
    <w:uiPriority w:val="0"/>
    <w:pPr>
      <w:ind w:firstLine="420" w:firstLineChars="200"/>
    </w:pPr>
    <w:rPr>
      <w:rFonts w:ascii="Times New Roman" w:hAnsi="Times New Roman" w:eastAsia="宋体" w:cs="Times New Roman"/>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rPr>
      <w:b/>
    </w:rPr>
  </w:style>
  <w:style w:type="character" w:styleId="15">
    <w:name w:val="page number"/>
    <w:basedOn w:val="13"/>
    <w:qFormat/>
    <w:uiPriority w:val="0"/>
  </w:style>
  <w:style w:type="character" w:styleId="16">
    <w:name w:val="Hyperlink"/>
    <w:basedOn w:val="13"/>
    <w:qFormat/>
    <w:uiPriority w:val="0"/>
    <w:rPr>
      <w:color w:val="0000FF"/>
      <w:u w:val="single"/>
    </w:rPr>
  </w:style>
  <w:style w:type="character" w:customStyle="1" w:styleId="17">
    <w:name w:val="ca-2"/>
    <w:basedOn w:val="13"/>
    <w:qFormat/>
    <w:uiPriority w:val="0"/>
  </w:style>
  <w:style w:type="character" w:customStyle="1" w:styleId="18">
    <w:name w:val="ca-3"/>
    <w:basedOn w:val="13"/>
    <w:qFormat/>
    <w:uiPriority w:val="0"/>
  </w:style>
  <w:style w:type="character" w:customStyle="1" w:styleId="19">
    <w:name w:val="ca-42"/>
    <w:basedOn w:val="13"/>
    <w:qFormat/>
    <w:uiPriority w:val="0"/>
  </w:style>
  <w:style w:type="paragraph" w:customStyle="1" w:styleId="20">
    <w:name w:val="pa-3"/>
    <w:basedOn w:val="1"/>
    <w:qFormat/>
    <w:uiPriority w:val="0"/>
    <w:pPr>
      <w:widowControl/>
      <w:spacing w:before="150" w:after="150"/>
      <w:jc w:val="left"/>
    </w:pPr>
    <w:rPr>
      <w:rFonts w:ascii="宋体" w:hAnsi="宋体" w:cs="宋体"/>
      <w:kern w:val="0"/>
      <w:sz w:val="24"/>
      <w:szCs w:val="24"/>
    </w:rPr>
  </w:style>
  <w:style w:type="paragraph" w:customStyle="1" w:styleId="21">
    <w:name w:val="pa-2"/>
    <w:basedOn w:val="1"/>
    <w:qFormat/>
    <w:uiPriority w:val="0"/>
    <w:pPr>
      <w:widowControl/>
      <w:spacing w:before="150" w:after="150"/>
      <w:jc w:val="left"/>
    </w:pPr>
    <w:rPr>
      <w:rFonts w:ascii="宋体" w:hAnsi="宋体" w:cs="宋体"/>
      <w:kern w:val="0"/>
      <w:sz w:val="24"/>
      <w:szCs w:val="24"/>
    </w:rPr>
  </w:style>
  <w:style w:type="character" w:customStyle="1" w:styleId="22">
    <w:name w:val="页脚 Char"/>
    <w:basedOn w:val="13"/>
    <w:link w:val="2"/>
    <w:qFormat/>
    <w:uiPriority w:val="99"/>
    <w:rPr>
      <w:kern w:val="2"/>
      <w:sz w:val="18"/>
      <w:szCs w:val="18"/>
    </w:rPr>
  </w:style>
  <w:style w:type="paragraph" w:customStyle="1" w:styleId="23">
    <w:name w:val="列出段落1"/>
    <w:basedOn w:val="1"/>
    <w:qFormat/>
    <w:uiPriority w:val="34"/>
    <w:pPr>
      <w:ind w:firstLine="420" w:firstLineChars="200"/>
    </w:pPr>
  </w:style>
  <w:style w:type="paragraph" w:styleId="24">
    <w:name w:val="List Paragraph"/>
    <w:basedOn w:val="1"/>
    <w:unhideWhenUsed/>
    <w:qFormat/>
    <w:uiPriority w:val="99"/>
    <w:pPr>
      <w:ind w:firstLine="420" w:firstLineChars="200"/>
    </w:pPr>
  </w:style>
  <w:style w:type="paragraph" w:customStyle="1" w:styleId="25">
    <w:name w:val="正文1"/>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8EF32E5-6FA2-4ADC-A3E6-7B94AEA8A9E7}">
  <ds:schemaRefs/>
</ds:datastoreItem>
</file>

<file path=docProps/app.xml><?xml version="1.0" encoding="utf-8"?>
<Properties xmlns="http://schemas.openxmlformats.org/officeDocument/2006/extended-properties" xmlns:vt="http://schemas.openxmlformats.org/officeDocument/2006/docPropsVTypes">
  <Template>Normal</Template>
  <Company>xxstjj</Company>
  <Pages>18</Pages>
  <Words>4593</Words>
  <Characters>6479</Characters>
  <Lines>52</Lines>
  <Paragraphs>14</Paragraphs>
  <TotalTime>49</TotalTime>
  <ScaleCrop>false</ScaleCrop>
  <LinksUpToDate>false</LinksUpToDate>
  <CharactersWithSpaces>6928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2016-01-25T02:33:00Z</dcterms:created>
  <dc:creator>xx</dc:creator>
  <cp:lastModifiedBy>TYong</cp:lastModifiedBy>
  <cp:lastPrinted>2023-02-14T02:45:00Z</cp:lastPrinted>
  <dcterms:modified xsi:type="dcterms:W3CDTF">2023-02-14T03:03:29Z</dcterms:modified>
  <dc:title>工    业</dc:title>
  <cp:revision>688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E2D9B32EA13240A7A43318F00DCF0129</vt:lpwstr>
  </property>
</Properties>
</file>