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ascii="方正小标宋简体" w:hAnsi="方正小标宋简体" w:eastAsia="方正小标宋简体" w:cs="方正小标宋简体"/>
          <w:b/>
          <w:bCs/>
          <w:sz w:val="42"/>
          <w:szCs w:val="42"/>
        </w:rPr>
      </w:pPr>
      <w:r>
        <w:rPr>
          <w:rFonts w:hint="eastAsia" w:ascii="方正小标宋简体" w:hAnsi="方正小标宋简体" w:eastAsia="方正小标宋简体" w:cs="方正小标宋简体"/>
          <w:b/>
          <w:bCs/>
          <w:sz w:val="42"/>
          <w:szCs w:val="42"/>
        </w:rPr>
        <w:t>湘乡市审计局</w:t>
      </w:r>
      <w:r>
        <w:rPr>
          <w:rFonts w:ascii="方正小标宋简体" w:hAnsi="方正小标宋简体" w:eastAsia="方正小标宋简体" w:cs="方正小标宋简体"/>
          <w:b/>
          <w:bCs/>
          <w:sz w:val="42"/>
          <w:szCs w:val="42"/>
        </w:rPr>
        <w:t>20</w:t>
      </w:r>
      <w:r>
        <w:rPr>
          <w:rFonts w:hint="eastAsia" w:ascii="方正小标宋简体" w:hAnsi="方正小标宋简体" w:eastAsia="方正小标宋简体" w:cs="方正小标宋简体"/>
          <w:b/>
          <w:bCs/>
          <w:sz w:val="42"/>
          <w:szCs w:val="42"/>
          <w:lang w:val="en-US" w:eastAsia="zh-CN"/>
        </w:rPr>
        <w:t>22</w:t>
      </w:r>
      <w:r>
        <w:rPr>
          <w:rFonts w:hint="eastAsia" w:ascii="方正小标宋简体" w:hAnsi="方正小标宋简体" w:eastAsia="方正小标宋简体" w:cs="方正小标宋简体"/>
          <w:b/>
          <w:bCs/>
          <w:sz w:val="42"/>
          <w:szCs w:val="42"/>
        </w:rPr>
        <w:t>年度政府信息公开工作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ascii="锐字云字库小标宋体1.0" w:hAnsi="锐字云字库小标宋体1.0" w:eastAsia="锐字云字库小标宋体1.0" w:cs="锐字云字库小标宋体1.0"/>
          <w:b/>
          <w:bCs/>
          <w:sz w:val="40"/>
          <w:szCs w:val="40"/>
        </w:rPr>
      </w:pPr>
      <w:r>
        <w:rPr>
          <w:rFonts w:hint="eastAsia" w:ascii="方正小标宋简体" w:hAnsi="方正小标宋简体" w:eastAsia="方正小标宋简体" w:cs="方正小标宋简体"/>
          <w:b/>
          <w:bCs/>
          <w:sz w:val="42"/>
          <w:szCs w:val="42"/>
        </w:rPr>
        <w:t>年度报告</w:t>
      </w:r>
    </w:p>
    <w:p>
      <w:pPr>
        <w:spacing w:line="600" w:lineRule="exact"/>
        <w:rPr>
          <w:rFonts w:ascii="仿宋" w:hAnsi="仿宋" w:eastAsia="仿宋" w:cs="仿宋"/>
          <w:sz w:val="32"/>
          <w:szCs w:val="32"/>
        </w:rPr>
      </w:pPr>
      <w:r>
        <w:rPr>
          <w:rFonts w:ascii="仿宋" w:hAnsi="仿宋" w:eastAsia="仿宋" w:cs="仿宋"/>
          <w:sz w:val="32"/>
          <w:szCs w:val="32"/>
        </w:rPr>
        <w:t xml:space="preserve">     </w:t>
      </w:r>
      <w:bookmarkStart w:id="1" w:name="_GoBack"/>
      <w:bookmarkEnd w:id="1"/>
    </w:p>
    <w:p>
      <w:pPr>
        <w:keepNext w:val="0"/>
        <w:keepLines w:val="0"/>
        <w:pageBreakBefore w:val="0"/>
        <w:kinsoku/>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ascii="仿宋_GB2312" w:hAnsi="仿宋" w:eastAsia="仿宋_GB2312" w:cs="仿宋"/>
          <w:sz w:val="32"/>
          <w:szCs w:val="32"/>
        </w:rPr>
      </w:pPr>
      <w:bookmarkStart w:id="0" w:name="OLE_LINK1"/>
      <w:r>
        <w:rPr>
          <w:rFonts w:hint="eastAsia" w:ascii="仿宋_GB2312" w:hAnsi="仿宋" w:eastAsia="仿宋_GB2312" w:cs="仿宋"/>
          <w:sz w:val="32"/>
          <w:szCs w:val="32"/>
        </w:rPr>
        <w:t>根据《中华人民共和国政府信息公开条例》（以下简称《条例》），特向社会公布审计局</w:t>
      </w:r>
      <w:r>
        <w:rPr>
          <w:rFonts w:ascii="仿宋_GB2312" w:hAnsi="仿宋" w:eastAsia="仿宋_GB2312" w:cs="仿宋"/>
          <w:sz w:val="32"/>
          <w:szCs w:val="32"/>
        </w:rPr>
        <w:t>20</w:t>
      </w:r>
      <w:r>
        <w:rPr>
          <w:rFonts w:hint="eastAsia" w:ascii="仿宋_GB2312" w:hAnsi="仿宋" w:eastAsia="仿宋_GB2312" w:cs="仿宋"/>
          <w:sz w:val="32"/>
          <w:szCs w:val="32"/>
          <w:lang w:val="en-US" w:eastAsia="zh-CN"/>
        </w:rPr>
        <w:t>22</w:t>
      </w:r>
      <w:r>
        <w:rPr>
          <w:rFonts w:hint="eastAsia" w:ascii="仿宋_GB2312" w:hAnsi="仿宋" w:eastAsia="仿宋_GB2312" w:cs="仿宋"/>
          <w:sz w:val="32"/>
          <w:szCs w:val="32"/>
        </w:rPr>
        <w:t>年度政府信息公开工作年度报告。本报告由总体情况、主动公开政府信息情况、收到和处理政府信息公开申请情况、政府信息公开行政复议、行政诉讼情况、存在的主要问题及改进情况等部分组成。本报告中所列数据的统计期限自</w:t>
      </w:r>
      <w:r>
        <w:rPr>
          <w:rFonts w:ascii="仿宋_GB2312" w:hAnsi="仿宋" w:eastAsia="仿宋_GB2312" w:cs="仿宋"/>
          <w:sz w:val="32"/>
          <w:szCs w:val="32"/>
        </w:rPr>
        <w:t>20</w:t>
      </w:r>
      <w:r>
        <w:rPr>
          <w:rFonts w:hint="eastAsia" w:ascii="仿宋_GB2312" w:hAnsi="仿宋" w:eastAsia="仿宋_GB2312" w:cs="仿宋"/>
          <w:sz w:val="32"/>
          <w:szCs w:val="32"/>
          <w:lang w:val="en-US" w:eastAsia="zh-CN"/>
        </w:rPr>
        <w:t>22</w:t>
      </w:r>
      <w:r>
        <w:rPr>
          <w:rFonts w:hint="eastAsia" w:ascii="仿宋_GB2312" w:hAnsi="仿宋" w:eastAsia="仿宋_GB2312" w:cs="仿宋"/>
          <w:sz w:val="32"/>
          <w:szCs w:val="32"/>
        </w:rPr>
        <w:t>年</w:t>
      </w:r>
      <w:r>
        <w:rPr>
          <w:rFonts w:ascii="仿宋_GB2312" w:hAnsi="仿宋" w:eastAsia="仿宋_GB2312" w:cs="仿宋"/>
          <w:sz w:val="32"/>
          <w:szCs w:val="32"/>
        </w:rPr>
        <w:t>1</w:t>
      </w:r>
      <w:r>
        <w:rPr>
          <w:rFonts w:hint="eastAsia" w:ascii="仿宋_GB2312" w:hAnsi="仿宋" w:eastAsia="仿宋_GB2312" w:cs="仿宋"/>
          <w:sz w:val="32"/>
          <w:szCs w:val="32"/>
        </w:rPr>
        <w:t>月</w:t>
      </w:r>
      <w:r>
        <w:rPr>
          <w:rFonts w:ascii="仿宋_GB2312" w:hAnsi="仿宋" w:eastAsia="仿宋_GB2312" w:cs="仿宋"/>
          <w:sz w:val="32"/>
          <w:szCs w:val="32"/>
        </w:rPr>
        <w:t>1</w:t>
      </w:r>
      <w:r>
        <w:rPr>
          <w:rFonts w:hint="eastAsia" w:ascii="仿宋_GB2312" w:hAnsi="仿宋" w:eastAsia="仿宋_GB2312" w:cs="仿宋"/>
          <w:sz w:val="32"/>
          <w:szCs w:val="32"/>
        </w:rPr>
        <w:t>日起至</w:t>
      </w:r>
      <w:r>
        <w:rPr>
          <w:rFonts w:ascii="仿宋_GB2312" w:hAnsi="仿宋" w:eastAsia="仿宋_GB2312" w:cs="仿宋"/>
          <w:sz w:val="32"/>
          <w:szCs w:val="32"/>
        </w:rPr>
        <w:t>20</w:t>
      </w:r>
      <w:r>
        <w:rPr>
          <w:rFonts w:hint="eastAsia" w:ascii="仿宋_GB2312" w:hAnsi="仿宋" w:eastAsia="仿宋_GB2312" w:cs="仿宋"/>
          <w:sz w:val="32"/>
          <w:szCs w:val="32"/>
          <w:lang w:val="en-US" w:eastAsia="zh-CN"/>
        </w:rPr>
        <w:t>22</w:t>
      </w:r>
      <w:r>
        <w:rPr>
          <w:rFonts w:hint="eastAsia" w:ascii="仿宋_GB2312" w:hAnsi="仿宋" w:eastAsia="仿宋_GB2312" w:cs="仿宋"/>
          <w:sz w:val="32"/>
          <w:szCs w:val="32"/>
        </w:rPr>
        <w:t>年</w:t>
      </w:r>
      <w:r>
        <w:rPr>
          <w:rFonts w:ascii="仿宋_GB2312" w:hAnsi="仿宋" w:eastAsia="仿宋_GB2312" w:cs="仿宋"/>
          <w:sz w:val="32"/>
          <w:szCs w:val="32"/>
        </w:rPr>
        <w:t>12</w:t>
      </w:r>
      <w:r>
        <w:rPr>
          <w:rFonts w:hint="eastAsia" w:ascii="仿宋_GB2312" w:hAnsi="仿宋" w:eastAsia="仿宋_GB2312" w:cs="仿宋"/>
          <w:sz w:val="32"/>
          <w:szCs w:val="32"/>
        </w:rPr>
        <w:t>月</w:t>
      </w:r>
      <w:r>
        <w:rPr>
          <w:rFonts w:ascii="仿宋_GB2312" w:hAnsi="仿宋" w:eastAsia="仿宋_GB2312" w:cs="仿宋"/>
          <w:sz w:val="32"/>
          <w:szCs w:val="32"/>
        </w:rPr>
        <w:t>31</w:t>
      </w:r>
      <w:r>
        <w:rPr>
          <w:rFonts w:hint="eastAsia" w:ascii="仿宋_GB2312" w:hAnsi="仿宋" w:eastAsia="仿宋_GB2312" w:cs="仿宋"/>
          <w:sz w:val="32"/>
          <w:szCs w:val="32"/>
        </w:rPr>
        <w:t>日止。如对本报告有任何疑问，请与湘乡市审计局办公室联系。地址：湘乡市务</w:t>
      </w:r>
      <w:r>
        <w:rPr>
          <w:rFonts w:hint="eastAsia" w:ascii="仿宋_GB2312" w:hAnsi="仿宋" w:eastAsia="仿宋_GB2312" w:cs="仿宋"/>
          <w:color w:val="000000"/>
          <w:sz w:val="32"/>
          <w:szCs w:val="32"/>
        </w:rPr>
        <w:t>门前</w:t>
      </w:r>
      <w:r>
        <w:rPr>
          <w:rFonts w:hint="eastAsia" w:ascii="仿宋_GB2312" w:hAnsi="宋体" w:eastAsia="仿宋_GB2312" w:cs="宋体"/>
          <w:color w:val="000000"/>
          <w:sz w:val="32"/>
          <w:szCs w:val="32"/>
        </w:rPr>
        <w:t>县</w:t>
      </w:r>
      <w:r>
        <w:rPr>
          <w:rFonts w:hint="eastAsia" w:ascii="仿宋_GB2312" w:hAnsi="仿宋" w:eastAsia="仿宋_GB2312" w:cs="仿宋"/>
          <w:color w:val="000000"/>
          <w:sz w:val="32"/>
          <w:szCs w:val="32"/>
        </w:rPr>
        <w:t>前</w:t>
      </w:r>
      <w:r>
        <w:rPr>
          <w:rFonts w:hint="eastAsia" w:ascii="仿宋_GB2312" w:hAnsi="宋体" w:eastAsia="仿宋_GB2312" w:cs="宋体"/>
          <w:color w:val="000000"/>
          <w:sz w:val="32"/>
          <w:szCs w:val="32"/>
        </w:rPr>
        <w:t>街</w:t>
      </w:r>
      <w:r>
        <w:rPr>
          <w:rFonts w:ascii="仿宋_GB2312" w:hAnsi="仿宋" w:eastAsia="仿宋_GB2312" w:cs="仿宋"/>
          <w:color w:val="000000"/>
          <w:sz w:val="32"/>
          <w:szCs w:val="32"/>
        </w:rPr>
        <w:t>23</w:t>
      </w:r>
      <w:r>
        <w:rPr>
          <w:rFonts w:hint="eastAsia" w:ascii="仿宋_GB2312" w:hAnsi="宋体" w:eastAsia="仿宋_GB2312" w:cs="宋体"/>
          <w:color w:val="000000"/>
          <w:sz w:val="32"/>
          <w:szCs w:val="32"/>
        </w:rPr>
        <w:t>号</w:t>
      </w:r>
      <w:r>
        <w:rPr>
          <w:rFonts w:hint="eastAsia" w:ascii="仿宋_GB2312" w:hAnsi="仿宋" w:eastAsia="仿宋_GB2312" w:cs="仿宋"/>
          <w:sz w:val="32"/>
          <w:szCs w:val="32"/>
        </w:rPr>
        <w:t>，邮编：</w:t>
      </w:r>
      <w:r>
        <w:rPr>
          <w:rFonts w:ascii="仿宋_GB2312" w:hAnsi="仿宋" w:eastAsia="仿宋_GB2312" w:cs="仿宋"/>
          <w:sz w:val="32"/>
          <w:szCs w:val="32"/>
        </w:rPr>
        <w:t>411400</w:t>
      </w:r>
      <w:r>
        <w:rPr>
          <w:rFonts w:hint="eastAsia" w:ascii="仿宋_GB2312" w:hAnsi="仿宋" w:eastAsia="仿宋_GB2312" w:cs="仿宋"/>
          <w:sz w:val="32"/>
          <w:szCs w:val="32"/>
        </w:rPr>
        <w:t>，电话：</w:t>
      </w:r>
      <w:r>
        <w:rPr>
          <w:rFonts w:ascii="仿宋_GB2312" w:hAnsi="仿宋" w:eastAsia="仿宋_GB2312" w:cs="仿宋"/>
          <w:sz w:val="32"/>
          <w:szCs w:val="32"/>
        </w:rPr>
        <w:t>0731—56771075</w:t>
      </w:r>
      <w:r>
        <w:rPr>
          <w:rFonts w:hint="eastAsia" w:ascii="仿宋_GB2312" w:hAnsi="仿宋" w:eastAsia="仿宋_GB2312" w:cs="仿宋"/>
          <w:sz w:val="32"/>
          <w:szCs w:val="32"/>
        </w:rPr>
        <w:t>。</w:t>
      </w:r>
    </w:p>
    <w:p>
      <w:pPr>
        <w:pStyle w:val="5"/>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一、总体情况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6" w:lineRule="exact"/>
        <w:ind w:left="0" w:leftChars="0" w:right="0" w:rightChars="0" w:firstLine="0"/>
        <w:jc w:val="both"/>
        <w:textAlignment w:val="auto"/>
        <w:outlineLvl w:val="9"/>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pPr>
      <w:r>
        <w:rPr>
          <w:rFonts w:hint="eastAsia" w:ascii="仿宋" w:hAnsi="仿宋" w:eastAsia="仿宋" w:cs="仿宋"/>
          <w:i w:val="0"/>
          <w:caps w:val="0"/>
          <w:color w:val="000000" w:themeColor="text1"/>
          <w:spacing w:val="0"/>
          <w:sz w:val="32"/>
          <w:szCs w:val="32"/>
          <w:shd w:val="clear" w:fill="FFFFFF"/>
          <w:lang w:val="en-US" w:eastAsia="zh-CN"/>
          <w14:textFill>
            <w14:solidFill>
              <w14:schemeClr w14:val="tx1"/>
            </w14:solidFill>
          </w14:textFill>
        </w:rPr>
        <w:t xml:space="preserve">    </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20</w:t>
      </w:r>
      <w:r>
        <w:rPr>
          <w:rFonts w:hint="eastAsia" w:ascii="仿宋" w:hAnsi="仿宋" w:eastAsia="仿宋" w:cs="仿宋"/>
          <w:i w:val="0"/>
          <w:caps w:val="0"/>
          <w:color w:val="000000" w:themeColor="text1"/>
          <w:spacing w:val="0"/>
          <w:sz w:val="32"/>
          <w:szCs w:val="32"/>
          <w:shd w:val="clear" w:fill="FFFFFF"/>
          <w:lang w:val="en-US" w:eastAsia="zh-CN"/>
          <w14:textFill>
            <w14:solidFill>
              <w14:schemeClr w14:val="tx1"/>
            </w14:solidFill>
          </w14:textFill>
        </w:rPr>
        <w:t>22</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年，市审计局高度重视信息公开工作，加大审计结果公告、政务宣传等力度，不断增强信息公开的广度和深度，促进扩大审计工作的社会影响。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6" w:lineRule="exact"/>
        <w:ind w:left="0" w:leftChars="0" w:right="0" w:rightChars="0" w:firstLine="0"/>
        <w:jc w:val="both"/>
        <w:textAlignment w:val="auto"/>
        <w:outlineLvl w:val="9"/>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pPr>
      <w:r>
        <w:rPr>
          <w:rFonts w:hint="eastAsia" w:ascii="仿宋" w:hAnsi="仿宋" w:eastAsia="仿宋" w:cs="仿宋"/>
          <w:i w:val="0"/>
          <w:caps w:val="0"/>
          <w:color w:val="000000" w:themeColor="text1"/>
          <w:spacing w:val="0"/>
          <w:sz w:val="32"/>
          <w:szCs w:val="32"/>
          <w:shd w:val="clear" w:fill="FFFFFF"/>
          <w:lang w:val="en-US" w:eastAsia="zh-CN"/>
          <w14:textFill>
            <w14:solidFill>
              <w14:schemeClr w14:val="tx1"/>
            </w14:solidFill>
          </w14:textFill>
        </w:rPr>
        <w:t xml:space="preserve"> </w:t>
      </w:r>
      <w:r>
        <w:rPr>
          <w:rFonts w:hint="eastAsia" w:ascii="仿宋" w:hAnsi="仿宋" w:eastAsia="仿宋" w:cs="仿宋"/>
          <w:b/>
          <w:bCs/>
          <w:i w:val="0"/>
          <w:caps w:val="0"/>
          <w:color w:val="000000" w:themeColor="text1"/>
          <w:spacing w:val="0"/>
          <w:sz w:val="32"/>
          <w:szCs w:val="32"/>
          <w:shd w:val="clear" w:fill="FFFFFF"/>
          <w:lang w:val="en-US" w:eastAsia="zh-CN"/>
          <w14:textFill>
            <w14:solidFill>
              <w14:schemeClr w14:val="tx1"/>
            </w14:solidFill>
          </w14:textFill>
        </w:rPr>
        <w:t xml:space="preserve">   </w:t>
      </w:r>
      <w:r>
        <w:rPr>
          <w:rFonts w:hint="eastAsia" w:ascii="仿宋" w:hAnsi="仿宋" w:eastAsia="仿宋" w:cs="仿宋"/>
          <w:b/>
          <w:bCs/>
          <w:i w:val="0"/>
          <w:caps w:val="0"/>
          <w:color w:val="000000" w:themeColor="text1"/>
          <w:spacing w:val="0"/>
          <w:sz w:val="32"/>
          <w:szCs w:val="32"/>
          <w:shd w:val="clear" w:fill="FFFFFF"/>
          <w:lang w:eastAsia="zh-CN"/>
          <w14:textFill>
            <w14:solidFill>
              <w14:schemeClr w14:val="tx1"/>
            </w14:solidFill>
          </w14:textFill>
        </w:rPr>
        <w:t>（一）深入推进审计结果公开，保障审计工作权威性。</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20</w:t>
      </w:r>
      <w:r>
        <w:rPr>
          <w:rFonts w:hint="eastAsia" w:ascii="仿宋" w:hAnsi="仿宋" w:eastAsia="仿宋" w:cs="仿宋"/>
          <w:i w:val="0"/>
          <w:caps w:val="0"/>
          <w:color w:val="000000" w:themeColor="text1"/>
          <w:spacing w:val="0"/>
          <w:sz w:val="32"/>
          <w:szCs w:val="32"/>
          <w:shd w:val="clear" w:fill="FFFFFF"/>
          <w:lang w:val="en-US" w:eastAsia="zh-CN"/>
          <w14:textFill>
            <w14:solidFill>
              <w14:schemeClr w14:val="tx1"/>
            </w14:solidFill>
          </w14:textFill>
        </w:rPr>
        <w:t>22</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年，市审计局通过局门户网站先后向社会公开《关于湘乡市2020年度本级预算执行和其他财政收支情况审计查出问题整改情况的报告》、《关于2021年度湘乡市本级预算执行和其他财政收支情况的审计结果公告》等审计专题报告，让公众更直观地了解审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6" w:lineRule="exact"/>
        <w:ind w:left="0" w:leftChars="0" w:right="0" w:rightChars="0" w:firstLine="641"/>
        <w:jc w:val="both"/>
        <w:textAlignment w:val="auto"/>
        <w:outlineLvl w:val="9"/>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pPr>
      <w:r>
        <w:rPr>
          <w:rFonts w:hint="eastAsia" w:ascii="仿宋" w:hAnsi="仿宋" w:eastAsia="仿宋" w:cs="仿宋"/>
          <w:b/>
          <w:bCs/>
          <w:i w:val="0"/>
          <w:caps w:val="0"/>
          <w:color w:val="000000" w:themeColor="text1"/>
          <w:spacing w:val="0"/>
          <w:sz w:val="32"/>
          <w:szCs w:val="32"/>
          <w:shd w:val="clear" w:fill="FFFFFF"/>
          <w:lang w:eastAsia="zh-CN"/>
          <w14:textFill>
            <w14:solidFill>
              <w14:schemeClr w14:val="tx1"/>
            </w14:solidFill>
          </w14:textFill>
        </w:rPr>
        <w:t>（二）切实加强审计政务宣传，提高审计工作透明度。</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一是实时更新审计业务资讯。全年在局门户网站上发布工作动态、政务信息等共</w:t>
      </w:r>
      <w:r>
        <w:rPr>
          <w:rFonts w:hint="eastAsia" w:ascii="仿宋" w:hAnsi="仿宋" w:eastAsia="仿宋" w:cs="仿宋"/>
          <w:i w:val="0"/>
          <w:caps w:val="0"/>
          <w:color w:val="000000" w:themeColor="text1"/>
          <w:spacing w:val="0"/>
          <w:sz w:val="32"/>
          <w:szCs w:val="32"/>
          <w:shd w:val="clear" w:fill="FFFFFF"/>
          <w:lang w:val="en-US" w:eastAsia="zh-CN"/>
          <w14:textFill>
            <w14:solidFill>
              <w14:schemeClr w14:val="tx1"/>
            </w14:solidFill>
          </w14:textFill>
        </w:rPr>
        <w:t>38</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条，及时传递审计业务工作、队伍建设等信息，增进社会对审计工作的了解和支持。二是坚持做好部门预决算信息公示。在门户网站主页设置了“财政信息”专栏，及时公布部年度门预算、决算及“三公”经费信息，接受群众监督。三是认真落实依法行政信息公开。及时将网站工作年度报表等信息主动在门户网上进行公布，发布了年度法治政府建设情况报告、行政执法工作总结等内容，自觉接受社会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6" w:lineRule="exact"/>
        <w:ind w:left="0" w:leftChars="0" w:right="0" w:rightChars="0" w:firstLine="641"/>
        <w:jc w:val="both"/>
        <w:textAlignment w:val="auto"/>
        <w:outlineLvl w:val="9"/>
        <w:rPr>
          <w:rFonts w:hint="default" w:ascii="仿宋" w:hAnsi="仿宋" w:eastAsia="仿宋" w:cs="仿宋"/>
          <w:b/>
          <w:bCs/>
          <w:i w:val="0"/>
          <w:caps w:val="0"/>
          <w:color w:val="000000" w:themeColor="text1"/>
          <w:spacing w:val="0"/>
          <w:sz w:val="32"/>
          <w:szCs w:val="32"/>
          <w:shd w:val="clear" w:fill="FFFFFF"/>
          <w:lang w:eastAsia="zh-CN"/>
          <w14:textFill>
            <w14:solidFill>
              <w14:schemeClr w14:val="tx1"/>
            </w14:solidFill>
          </w14:textFill>
        </w:rPr>
      </w:pPr>
      <w:r>
        <w:rPr>
          <w:rFonts w:hint="eastAsia" w:ascii="仿宋" w:hAnsi="仿宋" w:eastAsia="仿宋" w:cs="仿宋"/>
          <w:b/>
          <w:bCs/>
          <w:i w:val="0"/>
          <w:caps w:val="0"/>
          <w:color w:val="000000" w:themeColor="text1"/>
          <w:spacing w:val="0"/>
          <w:sz w:val="32"/>
          <w:szCs w:val="32"/>
          <w:shd w:val="clear" w:fill="FFFFFF"/>
          <w:lang w:eastAsia="zh-CN"/>
          <w14:textFill>
            <w14:solidFill>
              <w14:schemeClr w14:val="tx1"/>
            </w14:solidFill>
          </w14:textFill>
        </w:rPr>
        <w:t>（三）不断拓展信息公开渠道，扩大审计工作影响力。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6" w:lineRule="exact"/>
        <w:ind w:left="0" w:leftChars="0" w:right="0" w:rightChars="0" w:firstLine="0"/>
        <w:jc w:val="both"/>
        <w:textAlignment w:val="auto"/>
        <w:outlineLvl w:val="9"/>
        <w:rPr>
          <w:rFonts w:hint="default" w:ascii="仿宋" w:hAnsi="仿宋" w:eastAsia="仿宋" w:cs="仿宋"/>
          <w:i w:val="0"/>
          <w:caps w:val="0"/>
          <w:color w:val="000000" w:themeColor="text1"/>
          <w:spacing w:val="0"/>
          <w:sz w:val="32"/>
          <w:szCs w:val="32"/>
          <w:shd w:val="clear" w:fill="FFFFFF"/>
          <w:lang w:eastAsia="zh-CN"/>
          <w14:textFill>
            <w14:solidFill>
              <w14:schemeClr w14:val="tx1"/>
            </w14:solidFill>
          </w14:textFill>
        </w:rPr>
      </w:pP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一方面，坚持落实廉政监督信息公开，督促审计组进点时，切实将审计“四严禁”、“八不准”工作纪律要求作为审计通知书附件送达被审计单位，提供举报电话，自觉接受被审计单位和社会大众监督。另一方面，积极传播审计好声音，在办好门户网站的同时，积极对接省、市主流媒体，宣传报道审计机关学习贯彻党的二十大精神等亮点做法，正面宣传审计工作成果。</w:t>
      </w:r>
    </w:p>
    <w:p>
      <w:pPr>
        <w:keepNext w:val="0"/>
        <w:keepLines w:val="0"/>
        <w:pageBreakBefore w:val="0"/>
        <w:numPr>
          <w:ilvl w:val="0"/>
          <w:numId w:val="1"/>
        </w:numPr>
        <w:kinsoku/>
        <w:overflowPunct/>
        <w:topLinePunct w:val="0"/>
        <w:autoSpaceDE/>
        <w:autoSpaceDN/>
        <w:bidi w:val="0"/>
        <w:adjustRightInd/>
        <w:snapToGrid/>
        <w:spacing w:line="576" w:lineRule="exact"/>
        <w:ind w:left="0" w:leftChars="0" w:right="0" w:rightChars="0" w:firstLine="643" w:firstLineChars="200"/>
        <w:jc w:val="both"/>
        <w:textAlignment w:val="auto"/>
        <w:outlineLvl w:val="9"/>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主动公开政府信息情况</w:t>
      </w:r>
    </w:p>
    <w:p>
      <w:pPr>
        <w:numPr>
          <w:ilvl w:val="0"/>
          <w:numId w:val="0"/>
        </w:numPr>
        <w:rPr>
          <w:rFonts w:hint="eastAsia" w:ascii="黑体" w:hAnsi="黑体" w:eastAsia="黑体" w:cs="黑体"/>
          <w:b/>
          <w:bCs/>
          <w:sz w:val="32"/>
          <w:szCs w:val="32"/>
        </w:rPr>
      </w:pPr>
    </w:p>
    <w:tbl>
      <w:tblPr>
        <w:tblStyle w:val="8"/>
        <w:tblpPr w:leftFromText="180" w:rightFromText="180" w:vertAnchor="text" w:horzAnchor="page" w:tblpX="1997" w:tblpY="392"/>
        <w:tblOverlap w:val="never"/>
        <w:tblW w:w="8146" w:type="dxa"/>
        <w:tblInd w:w="0" w:type="dxa"/>
        <w:tblLayout w:type="fixed"/>
        <w:tblCellMar>
          <w:top w:w="0" w:type="dxa"/>
          <w:left w:w="0" w:type="dxa"/>
          <w:bottom w:w="0" w:type="dxa"/>
          <w:right w:w="0" w:type="dxa"/>
        </w:tblCellMar>
      </w:tblPr>
      <w:tblGrid>
        <w:gridCol w:w="3113"/>
        <w:gridCol w:w="1881"/>
        <w:gridCol w:w="1271"/>
        <w:gridCol w:w="1881"/>
      </w:tblGrid>
      <w:tr>
        <w:tblPrEx>
          <w:tblLayout w:type="fixed"/>
          <w:tblCellMar>
            <w:top w:w="0" w:type="dxa"/>
            <w:left w:w="0" w:type="dxa"/>
            <w:bottom w:w="0" w:type="dxa"/>
            <w:right w:w="0" w:type="dxa"/>
          </w:tblCellMar>
        </w:tblPrEx>
        <w:trPr>
          <w:trHeight w:val="495" w:hRule="atLeast"/>
        </w:trPr>
        <w:tc>
          <w:tcPr>
            <w:tcW w:w="8146" w:type="dxa"/>
            <w:gridSpan w:val="4"/>
            <w:tcBorders>
              <w:top w:val="single" w:color="auto" w:sz="8" w:space="0"/>
              <w:left w:val="single" w:color="auto" w:sz="8" w:space="0"/>
              <w:bottom w:val="single" w:color="auto" w:sz="4" w:space="0"/>
              <w:right w:val="single" w:color="auto" w:sz="8" w:space="0"/>
            </w:tcBorders>
            <w:shd w:val="clear" w:color="auto" w:fill="C6D9F1"/>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第二十条第（一）项</w:t>
            </w:r>
          </w:p>
        </w:tc>
      </w:tr>
      <w:tr>
        <w:tblPrEx>
          <w:tblLayout w:type="fixed"/>
          <w:tblCellMar>
            <w:top w:w="0" w:type="dxa"/>
            <w:left w:w="0" w:type="dxa"/>
            <w:bottom w:w="0" w:type="dxa"/>
            <w:right w:w="0" w:type="dxa"/>
          </w:tblCellMar>
        </w:tblPrEx>
        <w:trPr>
          <w:trHeight w:val="692"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信息内容</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本年新</w:t>
            </w:r>
            <w:r>
              <w:rPr>
                <w:rFonts w:ascii="仿宋" w:hAnsi="仿宋" w:eastAsia="仿宋" w:cs="仿宋"/>
                <w:color w:val="000000"/>
                <w:kern w:val="0"/>
                <w:sz w:val="20"/>
                <w:szCs w:val="20"/>
              </w:rPr>
              <w:br w:type="textWrapping"/>
            </w:r>
            <w:r>
              <w:rPr>
                <w:rFonts w:hint="eastAsia" w:ascii="仿宋" w:hAnsi="仿宋" w:eastAsia="仿宋" w:cs="仿宋"/>
                <w:kern w:val="0"/>
                <w:sz w:val="20"/>
                <w:szCs w:val="20"/>
              </w:rPr>
              <w:t>制作数量</w:t>
            </w:r>
          </w:p>
        </w:tc>
        <w:tc>
          <w:tcPr>
            <w:tcW w:w="1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本年新</w:t>
            </w:r>
            <w:r>
              <w:rPr>
                <w:rFonts w:ascii="仿宋" w:hAnsi="仿宋" w:eastAsia="仿宋" w:cs="仿宋"/>
                <w:color w:val="000000"/>
                <w:kern w:val="0"/>
                <w:sz w:val="20"/>
                <w:szCs w:val="20"/>
              </w:rPr>
              <w:br w:type="textWrapping"/>
            </w:r>
            <w:r>
              <w:rPr>
                <w:rFonts w:hint="eastAsia" w:ascii="仿宋" w:hAnsi="仿宋" w:eastAsia="仿宋" w:cs="仿宋"/>
                <w:kern w:val="0"/>
                <w:sz w:val="20"/>
                <w:szCs w:val="20"/>
              </w:rPr>
              <w:t>公开数量</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对外公开总数量</w:t>
            </w:r>
          </w:p>
        </w:tc>
      </w:tr>
      <w:tr>
        <w:tblPrEx>
          <w:tblLayout w:type="fixed"/>
          <w:tblCellMar>
            <w:top w:w="0" w:type="dxa"/>
            <w:left w:w="0" w:type="dxa"/>
            <w:bottom w:w="0" w:type="dxa"/>
            <w:right w:w="0" w:type="dxa"/>
          </w:tblCellMar>
        </w:tblPrEx>
        <w:trPr>
          <w:trHeight w:val="413"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规章</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color w:val="000000"/>
                <w:kern w:val="0"/>
                <w:sz w:val="20"/>
                <w:szCs w:val="20"/>
              </w:rPr>
              <w:t>0</w:t>
            </w:r>
          </w:p>
        </w:tc>
        <w:tc>
          <w:tcPr>
            <w:tcW w:w="1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color w:val="000000"/>
                <w:kern w:val="0"/>
                <w:sz w:val="20"/>
                <w:szCs w:val="20"/>
              </w:rPr>
              <w:t>0</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color w:val="000000"/>
                <w:kern w:val="0"/>
                <w:sz w:val="20"/>
                <w:szCs w:val="20"/>
              </w:rPr>
              <w:t>0</w:t>
            </w:r>
          </w:p>
        </w:tc>
      </w:tr>
      <w:tr>
        <w:tblPrEx>
          <w:tblLayout w:type="fixed"/>
          <w:tblCellMar>
            <w:top w:w="0" w:type="dxa"/>
            <w:left w:w="0" w:type="dxa"/>
            <w:bottom w:w="0" w:type="dxa"/>
            <w:right w:w="0" w:type="dxa"/>
          </w:tblCellMar>
        </w:tblPrEx>
        <w:trPr>
          <w:trHeight w:val="475"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规范性文件</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1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r>
      <w:tr>
        <w:tblPrEx>
          <w:tblLayout w:type="fixed"/>
          <w:tblCellMar>
            <w:top w:w="0" w:type="dxa"/>
            <w:left w:w="0" w:type="dxa"/>
            <w:bottom w:w="0" w:type="dxa"/>
            <w:right w:w="0" w:type="dxa"/>
          </w:tblCellMar>
        </w:tblPrEx>
        <w:trPr>
          <w:trHeight w:val="480" w:hRule="atLeast"/>
        </w:trPr>
        <w:tc>
          <w:tcPr>
            <w:tcW w:w="8146" w:type="dxa"/>
            <w:gridSpan w:val="4"/>
            <w:tcBorders>
              <w:top w:val="single" w:color="auto" w:sz="4" w:space="0"/>
              <w:left w:val="single" w:color="auto" w:sz="4" w:space="0"/>
              <w:bottom w:val="single" w:color="auto" w:sz="4" w:space="0"/>
              <w:right w:val="single" w:color="auto" w:sz="4" w:space="0"/>
            </w:tcBorders>
            <w:shd w:val="clear" w:color="auto" w:fill="C6D9F1"/>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第二十条第（五）项</w:t>
            </w:r>
          </w:p>
        </w:tc>
      </w:tr>
      <w:tr>
        <w:tblPrEx>
          <w:tblLayout w:type="fixed"/>
          <w:tblCellMar>
            <w:top w:w="0" w:type="dxa"/>
            <w:left w:w="0" w:type="dxa"/>
            <w:bottom w:w="0" w:type="dxa"/>
            <w:right w:w="0" w:type="dxa"/>
          </w:tblCellMar>
        </w:tblPrEx>
        <w:trPr>
          <w:trHeight w:val="634"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信息内容</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上一年项目数量</w:t>
            </w:r>
          </w:p>
        </w:tc>
        <w:tc>
          <w:tcPr>
            <w:tcW w:w="1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本年增</w:t>
            </w:r>
            <w:r>
              <w:rPr>
                <w:rFonts w:ascii="仿宋" w:hAnsi="仿宋" w:eastAsia="仿宋" w:cs="仿宋"/>
                <w:color w:val="000000"/>
                <w:kern w:val="0"/>
                <w:sz w:val="20"/>
                <w:szCs w:val="20"/>
              </w:rPr>
              <w:t>/</w:t>
            </w:r>
            <w:r>
              <w:rPr>
                <w:rFonts w:hint="eastAsia" w:ascii="仿宋" w:hAnsi="仿宋" w:eastAsia="仿宋" w:cs="仿宋"/>
                <w:color w:val="000000"/>
                <w:kern w:val="0"/>
                <w:sz w:val="20"/>
                <w:szCs w:val="20"/>
              </w:rPr>
              <w:t>减</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处理决定数量</w:t>
            </w:r>
          </w:p>
        </w:tc>
      </w:tr>
      <w:tr>
        <w:tblPrEx>
          <w:tblLayout w:type="fixed"/>
          <w:tblCellMar>
            <w:top w:w="0" w:type="dxa"/>
            <w:left w:w="0" w:type="dxa"/>
            <w:bottom w:w="0" w:type="dxa"/>
            <w:right w:w="0" w:type="dxa"/>
          </w:tblCellMar>
        </w:tblPrEx>
        <w:trPr>
          <w:trHeight w:val="443"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行政许可</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1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r>
      <w:tr>
        <w:tblPrEx>
          <w:tblLayout w:type="fixed"/>
          <w:tblCellMar>
            <w:top w:w="0" w:type="dxa"/>
            <w:left w:w="0" w:type="dxa"/>
            <w:bottom w:w="0" w:type="dxa"/>
            <w:right w:w="0" w:type="dxa"/>
          </w:tblCellMar>
        </w:tblPrEx>
        <w:trPr>
          <w:trHeight w:val="490"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其他对外管理服务事项</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1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r>
      <w:tr>
        <w:tblPrEx>
          <w:tblLayout w:type="fixed"/>
          <w:tblCellMar>
            <w:top w:w="0" w:type="dxa"/>
            <w:left w:w="0" w:type="dxa"/>
            <w:bottom w:w="0" w:type="dxa"/>
            <w:right w:w="0" w:type="dxa"/>
          </w:tblCellMar>
        </w:tblPrEx>
        <w:trPr>
          <w:trHeight w:val="406" w:hRule="atLeast"/>
        </w:trPr>
        <w:tc>
          <w:tcPr>
            <w:tcW w:w="8146" w:type="dxa"/>
            <w:gridSpan w:val="4"/>
            <w:tcBorders>
              <w:top w:val="single" w:color="auto" w:sz="4" w:space="0"/>
              <w:left w:val="single" w:color="auto" w:sz="4" w:space="0"/>
              <w:bottom w:val="single" w:color="auto" w:sz="4" w:space="0"/>
              <w:right w:val="single" w:color="auto" w:sz="4" w:space="0"/>
            </w:tcBorders>
            <w:shd w:val="clear" w:color="auto" w:fill="C6D9F1"/>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第二十条第（六）项</w:t>
            </w:r>
          </w:p>
        </w:tc>
      </w:tr>
      <w:tr>
        <w:tblPrEx>
          <w:tblLayout w:type="fixed"/>
          <w:tblCellMar>
            <w:top w:w="0" w:type="dxa"/>
            <w:left w:w="0" w:type="dxa"/>
            <w:bottom w:w="0" w:type="dxa"/>
            <w:right w:w="0" w:type="dxa"/>
          </w:tblCellMar>
        </w:tblPrEx>
        <w:trPr>
          <w:trHeight w:val="634"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信息内容</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上一年项目数量</w:t>
            </w:r>
          </w:p>
        </w:tc>
        <w:tc>
          <w:tcPr>
            <w:tcW w:w="1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本年增</w:t>
            </w:r>
            <w:r>
              <w:rPr>
                <w:rFonts w:ascii="仿宋" w:hAnsi="仿宋" w:eastAsia="仿宋" w:cs="仿宋"/>
                <w:color w:val="000000"/>
                <w:kern w:val="0"/>
                <w:sz w:val="20"/>
                <w:szCs w:val="20"/>
              </w:rPr>
              <w:t>/</w:t>
            </w:r>
            <w:r>
              <w:rPr>
                <w:rFonts w:hint="eastAsia" w:ascii="仿宋" w:hAnsi="仿宋" w:eastAsia="仿宋" w:cs="仿宋"/>
                <w:color w:val="000000"/>
                <w:kern w:val="0"/>
                <w:sz w:val="20"/>
                <w:szCs w:val="20"/>
              </w:rPr>
              <w:t>减</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处理决定数量</w:t>
            </w:r>
          </w:p>
        </w:tc>
      </w:tr>
      <w:tr>
        <w:tblPrEx>
          <w:tblLayout w:type="fixed"/>
          <w:tblCellMar>
            <w:top w:w="0" w:type="dxa"/>
            <w:left w:w="0" w:type="dxa"/>
            <w:bottom w:w="0" w:type="dxa"/>
            <w:right w:w="0" w:type="dxa"/>
          </w:tblCellMar>
        </w:tblPrEx>
        <w:trPr>
          <w:trHeight w:val="430"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行政处罚</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1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r>
      <w:tr>
        <w:tblPrEx>
          <w:tblLayout w:type="fixed"/>
          <w:tblCellMar>
            <w:top w:w="0" w:type="dxa"/>
            <w:left w:w="0" w:type="dxa"/>
            <w:bottom w:w="0" w:type="dxa"/>
            <w:right w:w="0" w:type="dxa"/>
          </w:tblCellMar>
        </w:tblPrEx>
        <w:trPr>
          <w:trHeight w:val="409"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行政强制</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127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r>
      <w:tr>
        <w:tblPrEx>
          <w:tblLayout w:type="fixed"/>
          <w:tblCellMar>
            <w:top w:w="0" w:type="dxa"/>
            <w:left w:w="0" w:type="dxa"/>
            <w:bottom w:w="0" w:type="dxa"/>
            <w:right w:w="0" w:type="dxa"/>
          </w:tblCellMar>
        </w:tblPrEx>
        <w:trPr>
          <w:trHeight w:val="474" w:hRule="atLeast"/>
        </w:trPr>
        <w:tc>
          <w:tcPr>
            <w:tcW w:w="8146" w:type="dxa"/>
            <w:gridSpan w:val="4"/>
            <w:tcBorders>
              <w:top w:val="single" w:color="auto" w:sz="4" w:space="0"/>
              <w:left w:val="single" w:color="auto" w:sz="4" w:space="0"/>
              <w:bottom w:val="single" w:color="auto" w:sz="4" w:space="0"/>
              <w:right w:val="single" w:color="auto" w:sz="4" w:space="0"/>
            </w:tcBorders>
            <w:shd w:val="clear" w:color="auto" w:fill="C6D9F1"/>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第二十条第（八）项</w:t>
            </w:r>
          </w:p>
        </w:tc>
      </w:tr>
      <w:tr>
        <w:tblPrEx>
          <w:tblLayout w:type="fixed"/>
          <w:tblCellMar>
            <w:top w:w="0" w:type="dxa"/>
            <w:left w:w="0" w:type="dxa"/>
            <w:bottom w:w="0" w:type="dxa"/>
            <w:right w:w="0" w:type="dxa"/>
          </w:tblCellMar>
        </w:tblPrEx>
        <w:trPr>
          <w:trHeight w:val="270"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信息内容</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上一年项目数量</w:t>
            </w:r>
          </w:p>
        </w:tc>
        <w:tc>
          <w:tcPr>
            <w:tcW w:w="3152"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本年增</w:t>
            </w:r>
            <w:r>
              <w:rPr>
                <w:rFonts w:ascii="仿宋" w:hAnsi="仿宋" w:eastAsia="仿宋" w:cs="仿宋"/>
                <w:color w:val="000000"/>
                <w:kern w:val="0"/>
                <w:sz w:val="20"/>
                <w:szCs w:val="20"/>
              </w:rPr>
              <w:t>/</w:t>
            </w:r>
            <w:r>
              <w:rPr>
                <w:rFonts w:hint="eastAsia" w:ascii="仿宋" w:hAnsi="仿宋" w:eastAsia="仿宋" w:cs="仿宋"/>
                <w:color w:val="000000"/>
                <w:kern w:val="0"/>
                <w:sz w:val="20"/>
                <w:szCs w:val="20"/>
              </w:rPr>
              <w:t>减</w:t>
            </w:r>
          </w:p>
        </w:tc>
      </w:tr>
      <w:tr>
        <w:tblPrEx>
          <w:tblLayout w:type="fixed"/>
          <w:tblCellMar>
            <w:top w:w="0" w:type="dxa"/>
            <w:left w:w="0" w:type="dxa"/>
            <w:bottom w:w="0" w:type="dxa"/>
            <w:right w:w="0" w:type="dxa"/>
          </w:tblCellMar>
        </w:tblPrEx>
        <w:trPr>
          <w:trHeight w:val="90"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行政事业性收费</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3152"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r>
      <w:tr>
        <w:tblPrEx>
          <w:tblLayout w:type="fixed"/>
          <w:tblCellMar>
            <w:top w:w="0" w:type="dxa"/>
            <w:left w:w="0" w:type="dxa"/>
            <w:bottom w:w="0" w:type="dxa"/>
            <w:right w:w="0" w:type="dxa"/>
          </w:tblCellMar>
        </w:tblPrEx>
        <w:trPr>
          <w:trHeight w:val="476" w:hRule="atLeast"/>
        </w:trPr>
        <w:tc>
          <w:tcPr>
            <w:tcW w:w="8146" w:type="dxa"/>
            <w:gridSpan w:val="4"/>
            <w:tcBorders>
              <w:top w:val="single" w:color="auto" w:sz="4" w:space="0"/>
              <w:left w:val="single" w:color="auto" w:sz="4" w:space="0"/>
              <w:bottom w:val="single" w:color="auto" w:sz="4" w:space="0"/>
              <w:right w:val="single" w:color="auto" w:sz="4" w:space="0"/>
            </w:tcBorders>
            <w:shd w:val="clear" w:color="auto" w:fill="C6D9F1"/>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第二十条第（九）项</w:t>
            </w:r>
          </w:p>
        </w:tc>
      </w:tr>
      <w:tr>
        <w:tblPrEx>
          <w:tblLayout w:type="fixed"/>
          <w:tblCellMar>
            <w:top w:w="0" w:type="dxa"/>
            <w:left w:w="0" w:type="dxa"/>
            <w:bottom w:w="0" w:type="dxa"/>
            <w:right w:w="0" w:type="dxa"/>
          </w:tblCellMar>
        </w:tblPrEx>
        <w:trPr>
          <w:trHeight w:val="585"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信息内容</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采购项目数量</w:t>
            </w:r>
          </w:p>
        </w:tc>
        <w:tc>
          <w:tcPr>
            <w:tcW w:w="3152"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采购总金额</w:t>
            </w:r>
          </w:p>
        </w:tc>
      </w:tr>
      <w:tr>
        <w:tblPrEx>
          <w:tblLayout w:type="fixed"/>
          <w:tblCellMar>
            <w:top w:w="0" w:type="dxa"/>
            <w:left w:w="0" w:type="dxa"/>
            <w:bottom w:w="0" w:type="dxa"/>
            <w:right w:w="0" w:type="dxa"/>
          </w:tblCellMar>
        </w:tblPrEx>
        <w:trPr>
          <w:trHeight w:val="464" w:hRule="atLeast"/>
        </w:trPr>
        <w:tc>
          <w:tcPr>
            <w:tcW w:w="31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color w:val="000000"/>
                <w:kern w:val="0"/>
                <w:sz w:val="20"/>
                <w:szCs w:val="20"/>
              </w:rPr>
              <w:t>政府集中采购</w:t>
            </w:r>
          </w:p>
        </w:tc>
        <w:tc>
          <w:tcPr>
            <w:tcW w:w="1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ascii="仿宋" w:hAnsi="仿宋" w:eastAsia="仿宋" w:cs="仿宋"/>
              </w:rPr>
              <w:t>0</w:t>
            </w:r>
          </w:p>
        </w:tc>
        <w:tc>
          <w:tcPr>
            <w:tcW w:w="3152"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jc w:val="center"/>
              <w:rPr>
                <w:rFonts w:ascii="仿宋" w:hAnsi="仿宋" w:eastAsia="仿宋" w:cs="仿宋"/>
                <w:sz w:val="24"/>
              </w:rPr>
            </w:pPr>
            <w:r>
              <w:rPr>
                <w:rFonts w:ascii="仿宋" w:hAnsi="仿宋" w:eastAsia="仿宋" w:cs="仿宋"/>
                <w:sz w:val="24"/>
              </w:rPr>
              <w:t>0</w:t>
            </w:r>
          </w:p>
        </w:tc>
      </w:tr>
    </w:tbl>
    <w:p>
      <w:pPr>
        <w:rPr>
          <w:rFonts w:ascii="黑体" w:hAnsi="黑体" w:eastAsia="黑体" w:cs="黑体"/>
          <w:b/>
          <w:bCs/>
          <w:sz w:val="32"/>
          <w:szCs w:val="32"/>
        </w:rPr>
      </w:pPr>
    </w:p>
    <w:p>
      <w:pPr>
        <w:ind w:firstLine="643" w:firstLineChars="200"/>
        <w:rPr>
          <w:rFonts w:ascii="仿宋" w:hAnsi="仿宋" w:eastAsia="仿宋" w:cs="仿宋"/>
          <w:b/>
          <w:bCs/>
          <w:sz w:val="32"/>
          <w:szCs w:val="32"/>
        </w:rPr>
      </w:pPr>
      <w:r>
        <w:rPr>
          <w:rFonts w:hint="eastAsia" w:ascii="黑体" w:hAnsi="黑体" w:eastAsia="黑体" w:cs="黑体"/>
          <w:b/>
          <w:bCs/>
          <w:sz w:val="32"/>
          <w:szCs w:val="32"/>
        </w:rPr>
        <w:t>三、收到和处理政府信息公开申请情况</w:t>
      </w:r>
    </w:p>
    <w:tbl>
      <w:tblPr>
        <w:tblStyle w:val="8"/>
        <w:tblW w:w="9071"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16"/>
        <w:gridCol w:w="854"/>
        <w:gridCol w:w="2489"/>
        <w:gridCol w:w="570"/>
        <w:gridCol w:w="690"/>
        <w:gridCol w:w="660"/>
        <w:gridCol w:w="813"/>
        <w:gridCol w:w="973"/>
        <w:gridCol w:w="711"/>
        <w:gridCol w:w="69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959"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hint="eastAsia" w:ascii="仿宋" w:hAnsi="仿宋" w:eastAsia="仿宋" w:cs="仿宋"/>
                <w:kern w:val="0"/>
                <w:sz w:val="20"/>
                <w:szCs w:val="20"/>
              </w:rPr>
              <w:t>（本列数据的勾稽关系为：第一项加第二项之和，等于第三项加第四项之和）</w:t>
            </w:r>
          </w:p>
        </w:tc>
        <w:tc>
          <w:tcPr>
            <w:tcW w:w="5112" w:type="dxa"/>
            <w:gridSpan w:val="7"/>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hint="eastAsia" w:ascii="仿宋" w:hAnsi="仿宋" w:eastAsia="仿宋" w:cs="仿宋"/>
                <w:kern w:val="0"/>
                <w:sz w:val="20"/>
                <w:szCs w:val="20"/>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959"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仿宋" w:hAnsi="仿宋" w:eastAsia="仿宋" w:cs="仿宋"/>
              </w:rPr>
            </w:pPr>
          </w:p>
        </w:tc>
        <w:tc>
          <w:tcPr>
            <w:tcW w:w="570"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rFonts w:ascii="仿宋" w:hAnsi="仿宋" w:eastAsia="仿宋" w:cs="仿宋"/>
              </w:rPr>
            </w:pPr>
            <w:r>
              <w:rPr>
                <w:rFonts w:hint="eastAsia" w:ascii="仿宋" w:hAnsi="仿宋" w:eastAsia="仿宋" w:cs="仿宋"/>
                <w:kern w:val="0"/>
                <w:sz w:val="20"/>
                <w:szCs w:val="20"/>
              </w:rPr>
              <w:t>自然人</w:t>
            </w:r>
          </w:p>
        </w:tc>
        <w:tc>
          <w:tcPr>
            <w:tcW w:w="3847"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ascii="仿宋" w:hAnsi="仿宋" w:eastAsia="仿宋" w:cs="仿宋"/>
              </w:rPr>
            </w:pPr>
            <w:r>
              <w:rPr>
                <w:rFonts w:hint="eastAsia" w:ascii="仿宋" w:hAnsi="仿宋" w:eastAsia="仿宋" w:cs="仿宋"/>
                <w:kern w:val="0"/>
                <w:sz w:val="20"/>
                <w:szCs w:val="20"/>
              </w:rPr>
              <w:t>法人或其他组织</w:t>
            </w:r>
          </w:p>
        </w:tc>
        <w:tc>
          <w:tcPr>
            <w:tcW w:w="695"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hint="eastAsia" w:ascii="仿宋" w:hAnsi="仿宋" w:eastAsia="仿宋" w:cs="仿宋"/>
                <w:kern w:val="0"/>
                <w:sz w:val="20"/>
                <w:szCs w:val="20"/>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959"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仿宋" w:hAnsi="仿宋" w:eastAsia="仿宋" w:cs="仿宋"/>
              </w:rPr>
            </w:pPr>
          </w:p>
        </w:tc>
        <w:tc>
          <w:tcPr>
            <w:tcW w:w="570" w:type="dxa"/>
            <w:vMerge w:val="continue"/>
            <w:tcBorders>
              <w:top w:val="nil"/>
              <w:left w:val="nil"/>
              <w:bottom w:val="single" w:color="auto" w:sz="8" w:space="0"/>
              <w:right w:val="single" w:color="auto" w:sz="8" w:space="0"/>
            </w:tcBorders>
            <w:tcMar>
              <w:left w:w="108" w:type="dxa"/>
              <w:right w:w="108" w:type="dxa"/>
            </w:tcMar>
            <w:vAlign w:val="center"/>
          </w:tcPr>
          <w:p>
            <w:pPr>
              <w:rPr>
                <w:rFonts w:ascii="仿宋" w:hAnsi="仿宋" w:eastAsia="仿宋" w:cs="仿宋"/>
              </w:rPr>
            </w:pP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rFonts w:ascii="仿宋" w:hAnsi="仿宋" w:eastAsia="仿宋" w:cs="仿宋"/>
              </w:rPr>
            </w:pPr>
            <w:r>
              <w:rPr>
                <w:rFonts w:hint="eastAsia" w:ascii="仿宋" w:hAnsi="仿宋" w:eastAsia="仿宋" w:cs="仿宋"/>
                <w:kern w:val="0"/>
                <w:sz w:val="20"/>
                <w:szCs w:val="20"/>
              </w:rPr>
              <w:t>商业企业</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rFonts w:ascii="仿宋" w:hAnsi="仿宋" w:eastAsia="仿宋" w:cs="仿宋"/>
              </w:rPr>
            </w:pPr>
            <w:r>
              <w:rPr>
                <w:rFonts w:hint="eastAsia" w:ascii="仿宋" w:hAnsi="仿宋" w:eastAsia="仿宋" w:cs="仿宋"/>
                <w:kern w:val="0"/>
                <w:sz w:val="20"/>
                <w:szCs w:val="20"/>
              </w:rPr>
              <w:t>科研机构</w:t>
            </w:r>
          </w:p>
        </w:tc>
        <w:tc>
          <w:tcPr>
            <w:tcW w:w="813"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ascii="仿宋" w:hAnsi="仿宋" w:eastAsia="仿宋" w:cs="仿宋"/>
              </w:rPr>
            </w:pPr>
            <w:r>
              <w:rPr>
                <w:rFonts w:hint="eastAsia" w:ascii="仿宋" w:hAnsi="仿宋" w:eastAsia="仿宋" w:cs="仿宋"/>
                <w:kern w:val="0"/>
                <w:sz w:val="20"/>
                <w:szCs w:val="20"/>
              </w:rPr>
              <w:t>社会公益组织</w:t>
            </w:r>
          </w:p>
        </w:tc>
        <w:tc>
          <w:tcPr>
            <w:tcW w:w="973"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ascii="仿宋" w:hAnsi="仿宋" w:eastAsia="仿宋" w:cs="仿宋"/>
              </w:rPr>
            </w:pPr>
            <w:r>
              <w:rPr>
                <w:rFonts w:hint="eastAsia" w:ascii="仿宋" w:hAnsi="仿宋" w:eastAsia="仿宋" w:cs="仿宋"/>
                <w:kern w:val="0"/>
                <w:sz w:val="20"/>
                <w:szCs w:val="20"/>
              </w:rPr>
              <w:t>法律服务机构</w:t>
            </w:r>
          </w:p>
        </w:tc>
        <w:tc>
          <w:tcPr>
            <w:tcW w:w="711"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ascii="仿宋" w:hAnsi="仿宋" w:eastAsia="仿宋" w:cs="仿宋"/>
              </w:rPr>
            </w:pPr>
            <w:r>
              <w:rPr>
                <w:rFonts w:hint="eastAsia" w:ascii="仿宋" w:hAnsi="仿宋" w:eastAsia="仿宋" w:cs="仿宋"/>
                <w:kern w:val="0"/>
                <w:sz w:val="20"/>
                <w:szCs w:val="20"/>
              </w:rPr>
              <w:t>其他</w:t>
            </w:r>
          </w:p>
        </w:tc>
        <w:tc>
          <w:tcPr>
            <w:tcW w:w="695"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仿宋" w:hAnsi="仿宋" w:eastAsia="仿宋" w:cs="仿宋"/>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3959"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left"/>
              <w:rPr>
                <w:rFonts w:ascii="仿宋" w:hAnsi="仿宋" w:eastAsia="仿宋" w:cs="仿宋"/>
              </w:rPr>
            </w:pPr>
            <w:r>
              <w:rPr>
                <w:rFonts w:hint="eastAsia" w:ascii="仿宋" w:hAnsi="仿宋" w:eastAsia="仿宋" w:cs="仿宋"/>
                <w:kern w:val="0"/>
                <w:sz w:val="20"/>
                <w:szCs w:val="20"/>
              </w:rPr>
              <w:t>一、本年新收政府信息公开申请数量</w:t>
            </w:r>
          </w:p>
        </w:tc>
        <w:tc>
          <w:tcPr>
            <w:tcW w:w="57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3959" w:type="dxa"/>
            <w:gridSpan w:val="3"/>
            <w:tcBorders>
              <w:top w:val="nil"/>
              <w:left w:val="single" w:color="auto" w:sz="8" w:space="0"/>
              <w:bottom w:val="single" w:color="auto" w:sz="4" w:space="0"/>
              <w:right w:val="single" w:color="auto" w:sz="8" w:space="0"/>
            </w:tcBorders>
            <w:tcMar>
              <w:left w:w="108" w:type="dxa"/>
              <w:right w:w="108" w:type="dxa"/>
            </w:tcMar>
            <w:vAlign w:val="center"/>
          </w:tcPr>
          <w:p>
            <w:pPr>
              <w:widowControl/>
              <w:spacing w:line="300" w:lineRule="exact"/>
              <w:jc w:val="left"/>
              <w:rPr>
                <w:rFonts w:ascii="仿宋" w:hAnsi="仿宋" w:eastAsia="仿宋" w:cs="仿宋"/>
              </w:rPr>
            </w:pPr>
            <w:r>
              <w:rPr>
                <w:rFonts w:hint="eastAsia" w:ascii="仿宋" w:hAnsi="仿宋" w:eastAsia="仿宋" w:cs="仿宋"/>
                <w:kern w:val="0"/>
                <w:sz w:val="20"/>
                <w:szCs w:val="20"/>
              </w:rPr>
              <w:t>二、上年结转政府信息公开申请数量</w:t>
            </w:r>
          </w:p>
        </w:tc>
        <w:tc>
          <w:tcPr>
            <w:tcW w:w="570" w:type="dxa"/>
            <w:tcBorders>
              <w:top w:val="nil"/>
              <w:left w:val="nil"/>
              <w:bottom w:val="single" w:color="auto" w:sz="4"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nil"/>
              <w:left w:val="nil"/>
              <w:bottom w:val="single" w:color="auto" w:sz="4"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nil"/>
              <w:left w:val="nil"/>
              <w:bottom w:val="single" w:color="auto" w:sz="4"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nil"/>
              <w:left w:val="nil"/>
              <w:bottom w:val="single" w:color="auto" w:sz="4"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nil"/>
              <w:left w:val="nil"/>
              <w:bottom w:val="single" w:color="auto" w:sz="4"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nil"/>
              <w:left w:val="nil"/>
              <w:bottom w:val="single" w:color="auto" w:sz="4"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nil"/>
              <w:left w:val="nil"/>
              <w:bottom w:val="single" w:color="auto" w:sz="4" w:space="0"/>
              <w:right w:val="single" w:color="auto" w:sz="8"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hint="eastAsia" w:ascii="仿宋" w:hAnsi="仿宋" w:eastAsia="仿宋" w:cs="仿宋"/>
                <w:kern w:val="0"/>
                <w:sz w:val="20"/>
                <w:szCs w:val="20"/>
              </w:rPr>
              <w:t>三、本年度办理结果</w:t>
            </w:r>
          </w:p>
        </w:tc>
        <w:tc>
          <w:tcPr>
            <w:tcW w:w="3343"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hint="eastAsia" w:ascii="仿宋" w:hAnsi="仿宋" w:eastAsia="仿宋" w:cs="仿宋"/>
                <w:kern w:val="0"/>
                <w:sz w:val="20"/>
                <w:szCs w:val="20"/>
              </w:rPr>
              <w:t>（一）予以公开</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3343"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hint="eastAsia" w:ascii="仿宋" w:hAnsi="仿宋" w:eastAsia="仿宋" w:cs="仿宋"/>
                <w:kern w:val="0"/>
                <w:sz w:val="20"/>
                <w:szCs w:val="20"/>
              </w:rPr>
              <w:t>（二）部分公开（区分处理的，只计这一情形，不计其他情形）</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hint="eastAsia" w:ascii="仿宋" w:hAnsi="仿宋" w:eastAsia="仿宋" w:cs="仿宋"/>
                <w:kern w:val="0"/>
                <w:sz w:val="20"/>
                <w:szCs w:val="20"/>
              </w:rPr>
              <w:t>（三）不予公开</w:t>
            </w: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1.</w:t>
            </w:r>
            <w:r>
              <w:rPr>
                <w:rFonts w:hint="eastAsia" w:ascii="仿宋" w:hAnsi="仿宋" w:eastAsia="仿宋" w:cs="仿宋"/>
                <w:kern w:val="0"/>
                <w:sz w:val="20"/>
                <w:szCs w:val="20"/>
              </w:rPr>
              <w:t>属于国家秘密</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2.</w:t>
            </w:r>
            <w:r>
              <w:rPr>
                <w:rFonts w:hint="eastAsia" w:ascii="仿宋" w:hAnsi="仿宋" w:eastAsia="仿宋" w:cs="仿宋"/>
                <w:kern w:val="0"/>
                <w:sz w:val="20"/>
                <w:szCs w:val="20"/>
              </w:rPr>
              <w:t>其他法律行政法规禁止公开</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3.</w:t>
            </w:r>
            <w:r>
              <w:rPr>
                <w:rFonts w:hint="eastAsia" w:ascii="仿宋" w:hAnsi="仿宋" w:eastAsia="仿宋" w:cs="仿宋"/>
                <w:kern w:val="0"/>
                <w:sz w:val="20"/>
                <w:szCs w:val="20"/>
              </w:rPr>
              <w:t>危及“三安全一稳定”</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4.</w:t>
            </w:r>
            <w:r>
              <w:rPr>
                <w:rFonts w:hint="eastAsia" w:ascii="仿宋" w:hAnsi="仿宋" w:eastAsia="仿宋" w:cs="仿宋"/>
                <w:kern w:val="0"/>
                <w:sz w:val="20"/>
                <w:szCs w:val="20"/>
              </w:rPr>
              <w:t>保护第三方合法权益</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5.</w:t>
            </w:r>
            <w:r>
              <w:rPr>
                <w:rFonts w:hint="eastAsia" w:ascii="仿宋" w:hAnsi="仿宋" w:eastAsia="仿宋" w:cs="仿宋"/>
                <w:kern w:val="0"/>
                <w:sz w:val="20"/>
                <w:szCs w:val="20"/>
              </w:rPr>
              <w:t>属于三类内部事务信息</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6.</w:t>
            </w:r>
            <w:r>
              <w:rPr>
                <w:rFonts w:hint="eastAsia" w:ascii="仿宋" w:hAnsi="仿宋" w:eastAsia="仿宋" w:cs="仿宋"/>
                <w:kern w:val="0"/>
                <w:sz w:val="20"/>
                <w:szCs w:val="20"/>
              </w:rPr>
              <w:t>属于四类过程性信息</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7.</w:t>
            </w:r>
            <w:r>
              <w:rPr>
                <w:rFonts w:hint="eastAsia" w:ascii="仿宋" w:hAnsi="仿宋" w:eastAsia="仿宋" w:cs="仿宋"/>
                <w:kern w:val="0"/>
                <w:sz w:val="20"/>
                <w:szCs w:val="20"/>
              </w:rPr>
              <w:t>属于行政执法案卷</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8.</w:t>
            </w:r>
            <w:r>
              <w:rPr>
                <w:rFonts w:hint="eastAsia" w:ascii="仿宋" w:hAnsi="仿宋" w:eastAsia="仿宋" w:cs="仿宋"/>
                <w:kern w:val="0"/>
                <w:sz w:val="20"/>
                <w:szCs w:val="20"/>
              </w:rPr>
              <w:t>属于行政查询事项</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hint="eastAsia" w:ascii="仿宋" w:hAnsi="仿宋" w:eastAsia="仿宋" w:cs="仿宋"/>
                <w:kern w:val="0"/>
                <w:sz w:val="20"/>
                <w:szCs w:val="20"/>
              </w:rPr>
              <w:t>（四）无法提供</w:t>
            </w: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1.</w:t>
            </w:r>
            <w:r>
              <w:rPr>
                <w:rFonts w:hint="eastAsia" w:ascii="仿宋" w:hAnsi="仿宋" w:eastAsia="仿宋" w:cs="仿宋"/>
                <w:kern w:val="0"/>
                <w:sz w:val="20"/>
                <w:szCs w:val="20"/>
              </w:rPr>
              <w:t>本机关不掌握相关政府信息</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2.</w:t>
            </w:r>
            <w:r>
              <w:rPr>
                <w:rFonts w:hint="eastAsia" w:ascii="仿宋" w:hAnsi="仿宋" w:eastAsia="仿宋" w:cs="仿宋"/>
                <w:kern w:val="0"/>
                <w:sz w:val="20"/>
                <w:szCs w:val="20"/>
              </w:rPr>
              <w:t>没有现成信息需要另行制作</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3.</w:t>
            </w:r>
            <w:r>
              <w:rPr>
                <w:rFonts w:hint="eastAsia" w:ascii="仿宋" w:hAnsi="仿宋" w:eastAsia="仿宋" w:cs="仿宋"/>
                <w:kern w:val="0"/>
                <w:sz w:val="20"/>
                <w:szCs w:val="20"/>
              </w:rPr>
              <w:t>补正后申请内容仍不明确</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hint="eastAsia" w:ascii="仿宋" w:hAnsi="仿宋" w:eastAsia="仿宋" w:cs="仿宋"/>
                <w:kern w:val="0"/>
                <w:sz w:val="20"/>
                <w:szCs w:val="20"/>
              </w:rPr>
              <w:t>（五）不予处理</w:t>
            </w: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1.</w:t>
            </w:r>
            <w:r>
              <w:rPr>
                <w:rFonts w:hint="eastAsia" w:ascii="仿宋" w:hAnsi="仿宋" w:eastAsia="仿宋" w:cs="仿宋"/>
                <w:kern w:val="0"/>
                <w:sz w:val="20"/>
                <w:szCs w:val="20"/>
              </w:rPr>
              <w:t>信访举报投诉类申请</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2.</w:t>
            </w:r>
            <w:r>
              <w:rPr>
                <w:rFonts w:hint="eastAsia" w:ascii="仿宋" w:hAnsi="仿宋" w:eastAsia="仿宋" w:cs="仿宋"/>
                <w:kern w:val="0"/>
                <w:sz w:val="20"/>
                <w:szCs w:val="20"/>
              </w:rPr>
              <w:t>重复申请</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2"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3.</w:t>
            </w:r>
            <w:r>
              <w:rPr>
                <w:rFonts w:hint="eastAsia" w:ascii="仿宋" w:hAnsi="仿宋" w:eastAsia="仿宋" w:cs="仿宋"/>
                <w:kern w:val="0"/>
                <w:sz w:val="20"/>
                <w:szCs w:val="20"/>
              </w:rPr>
              <w:t>要求提供公开出版物</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4.</w:t>
            </w:r>
            <w:r>
              <w:rPr>
                <w:rFonts w:hint="eastAsia" w:ascii="仿宋" w:hAnsi="仿宋" w:eastAsia="仿宋" w:cs="仿宋"/>
                <w:kern w:val="0"/>
                <w:sz w:val="20"/>
                <w:szCs w:val="20"/>
              </w:rPr>
              <w:t>无正当理由大量反复申请</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85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248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ascii="仿宋" w:hAnsi="仿宋" w:eastAsia="仿宋" w:cs="仿宋"/>
                <w:kern w:val="0"/>
                <w:sz w:val="20"/>
                <w:szCs w:val="20"/>
              </w:rPr>
              <w:t>5.</w:t>
            </w:r>
            <w:r>
              <w:rPr>
                <w:rFonts w:hint="eastAsia" w:ascii="仿宋" w:hAnsi="仿宋" w:eastAsia="仿宋" w:cs="仿宋"/>
                <w:kern w:val="0"/>
                <w:sz w:val="20"/>
                <w:szCs w:val="20"/>
              </w:rPr>
              <w:t>要求行政机关确认或重新出具已获取信息</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3343"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hint="eastAsia" w:ascii="仿宋" w:hAnsi="仿宋" w:eastAsia="仿宋" w:cs="仿宋"/>
                <w:kern w:val="0"/>
                <w:sz w:val="20"/>
                <w:szCs w:val="20"/>
              </w:rPr>
              <w:t>（六）其他处理</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exact"/>
          <w:jc w:val="center"/>
        </w:trPr>
        <w:tc>
          <w:tcPr>
            <w:tcW w:w="616"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3343"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hint="eastAsia" w:ascii="仿宋" w:hAnsi="仿宋" w:eastAsia="仿宋" w:cs="仿宋"/>
                <w:kern w:val="0"/>
                <w:sz w:val="20"/>
                <w:szCs w:val="20"/>
              </w:rPr>
              <w:t>（七）总计</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3959" w:type="dxa"/>
            <w:gridSpan w:val="3"/>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left"/>
              <w:rPr>
                <w:rFonts w:ascii="仿宋" w:hAnsi="仿宋" w:eastAsia="仿宋" w:cs="仿宋"/>
              </w:rPr>
            </w:pPr>
            <w:r>
              <w:rPr>
                <w:rFonts w:hint="eastAsia" w:ascii="仿宋" w:hAnsi="仿宋" w:eastAsia="仿宋" w:cs="仿宋"/>
                <w:kern w:val="0"/>
                <w:sz w:val="20"/>
                <w:szCs w:val="20"/>
              </w:rPr>
              <w:t>四、结转下年度继续办理</w:t>
            </w:r>
          </w:p>
        </w:tc>
        <w:tc>
          <w:tcPr>
            <w:tcW w:w="57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81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97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7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exact"/>
              <w:jc w:val="center"/>
              <w:rPr>
                <w:rFonts w:ascii="仿宋" w:hAnsi="仿宋" w:eastAsia="仿宋" w:cs="仿宋"/>
              </w:rPr>
            </w:pPr>
            <w:r>
              <w:rPr>
                <w:rFonts w:ascii="仿宋" w:hAnsi="仿宋" w:eastAsia="仿宋" w:cs="仿宋"/>
                <w:kern w:val="0"/>
                <w:sz w:val="20"/>
                <w:szCs w:val="20"/>
              </w:rPr>
              <w:t>0</w:t>
            </w:r>
          </w:p>
        </w:tc>
        <w:tc>
          <w:tcPr>
            <w:tcW w:w="69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pacing w:line="300" w:lineRule="exact"/>
              <w:jc w:val="center"/>
              <w:rPr>
                <w:rFonts w:ascii="仿宋" w:hAnsi="仿宋" w:eastAsia="仿宋" w:cs="仿宋"/>
                <w:sz w:val="24"/>
              </w:rPr>
            </w:pPr>
            <w:r>
              <w:rPr>
                <w:rFonts w:ascii="仿宋" w:hAnsi="仿宋" w:eastAsia="仿宋" w:cs="仿宋"/>
                <w:sz w:val="24"/>
              </w:rPr>
              <w:t>0</w:t>
            </w:r>
          </w:p>
        </w:tc>
      </w:tr>
    </w:tbl>
    <w:p>
      <w:pPr>
        <w:rPr>
          <w:rFonts w:ascii="黑体" w:hAnsi="黑体" w:eastAsia="黑体" w:cs="黑体"/>
          <w:b/>
          <w:bCs/>
          <w:sz w:val="32"/>
          <w:szCs w:val="32"/>
        </w:rPr>
      </w:pPr>
    </w:p>
    <w:p>
      <w:pPr>
        <w:ind w:firstLine="643" w:firstLineChars="200"/>
        <w:rPr>
          <w:rFonts w:ascii="黑体" w:hAnsi="黑体" w:eastAsia="黑体" w:cs="黑体"/>
          <w:sz w:val="32"/>
          <w:szCs w:val="32"/>
        </w:rPr>
      </w:pPr>
      <w:r>
        <w:rPr>
          <w:rFonts w:hint="eastAsia" w:ascii="黑体" w:hAnsi="黑体" w:eastAsia="黑体" w:cs="黑体"/>
          <w:b/>
          <w:bCs/>
          <w:sz w:val="32"/>
          <w:szCs w:val="32"/>
        </w:rPr>
        <w:t>四、政府信息公开行政复议、行政诉讼情况</w:t>
      </w:r>
    </w:p>
    <w:tbl>
      <w:tblPr>
        <w:tblStyle w:val="8"/>
        <w:tblW w:w="9071"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074" w:type="dxa"/>
            <w:gridSpan w:val="5"/>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kern w:val="0"/>
                <w:sz w:val="20"/>
                <w:szCs w:val="20"/>
              </w:rPr>
              <w:t>行政复议</w:t>
            </w:r>
          </w:p>
        </w:tc>
        <w:tc>
          <w:tcPr>
            <w:tcW w:w="5997" w:type="dxa"/>
            <w:gridSpan w:val="10"/>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仿宋" w:hAnsi="仿宋" w:eastAsia="仿宋" w:cs="仿宋"/>
              </w:rPr>
            </w:pPr>
            <w:r>
              <w:rPr>
                <w:rFonts w:hint="eastAsia" w:ascii="仿宋" w:hAnsi="仿宋" w:eastAsia="仿宋" w:cs="仿宋"/>
                <w:kern w:val="0"/>
                <w:sz w:val="20"/>
                <w:szCs w:val="20"/>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04"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结果维持</w:t>
            </w:r>
          </w:p>
        </w:tc>
        <w:tc>
          <w:tcPr>
            <w:tcW w:w="604"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结果纠正</w:t>
            </w:r>
          </w:p>
        </w:tc>
        <w:tc>
          <w:tcPr>
            <w:tcW w:w="604"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其他结果</w:t>
            </w:r>
          </w:p>
        </w:tc>
        <w:tc>
          <w:tcPr>
            <w:tcW w:w="604"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尚未审结</w:t>
            </w:r>
          </w:p>
        </w:tc>
        <w:tc>
          <w:tcPr>
            <w:tcW w:w="658"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总计</w:t>
            </w:r>
          </w:p>
        </w:tc>
        <w:tc>
          <w:tcPr>
            <w:tcW w:w="2970" w:type="dxa"/>
            <w:gridSpan w:val="5"/>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未经复议直接起诉</w:t>
            </w:r>
          </w:p>
        </w:tc>
        <w:tc>
          <w:tcPr>
            <w:tcW w:w="3027" w:type="dxa"/>
            <w:gridSpan w:val="5"/>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31" w:hRule="atLeast"/>
          <w:jc w:val="center"/>
        </w:trPr>
        <w:tc>
          <w:tcPr>
            <w:tcW w:w="60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60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60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604"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658"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rPr>
                <w:rFonts w:ascii="仿宋" w:hAnsi="仿宋" w:eastAsia="仿宋" w:cs="仿宋"/>
              </w:rPr>
            </w:pPr>
          </w:p>
        </w:tc>
        <w:tc>
          <w:tcPr>
            <w:tcW w:w="55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结果维持</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结果纠正</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其他结果</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尚未审结</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color w:val="000000"/>
                <w:kern w:val="0"/>
                <w:sz w:val="20"/>
                <w:szCs w:val="20"/>
              </w:rPr>
              <w:t>总计</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结果维持</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结果纠正</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color w:val="000000"/>
                <w:kern w:val="0"/>
                <w:sz w:val="20"/>
                <w:szCs w:val="20"/>
              </w:rPr>
              <w:t>其他结果</w:t>
            </w:r>
          </w:p>
        </w:tc>
        <w:tc>
          <w:tcPr>
            <w:tcW w:w="6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kern w:val="0"/>
                <w:sz w:val="20"/>
                <w:szCs w:val="20"/>
              </w:rPr>
              <w:t>尚未审结</w:t>
            </w:r>
          </w:p>
        </w:tc>
        <w:tc>
          <w:tcPr>
            <w:tcW w:w="6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hint="eastAsia" w:ascii="仿宋" w:hAnsi="仿宋" w:eastAsia="仿宋" w:cs="仿宋"/>
                <w:color w:val="000000"/>
                <w:kern w:val="0"/>
                <w:sz w:val="20"/>
                <w:szCs w:val="20"/>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23" w:hRule="atLeast"/>
          <w:jc w:val="center"/>
        </w:trPr>
        <w:tc>
          <w:tcPr>
            <w:tcW w:w="604"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kern w:val="0"/>
                <w:sz w:val="20"/>
                <w:szCs w:val="20"/>
              </w:rPr>
            </w:pPr>
            <w:r>
              <w:rPr>
                <w:rFonts w:ascii="仿宋" w:hAnsi="仿宋" w:eastAsia="仿宋" w:cs="仿宋"/>
                <w:kern w:val="0"/>
                <w:sz w:val="20"/>
                <w:szCs w:val="20"/>
              </w:rPr>
              <w:t>0</w:t>
            </w:r>
          </w:p>
        </w:tc>
        <w:tc>
          <w:tcPr>
            <w:tcW w:w="604"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kern w:val="0"/>
                <w:sz w:val="20"/>
                <w:szCs w:val="20"/>
              </w:rPr>
            </w:pPr>
            <w:r>
              <w:rPr>
                <w:rFonts w:ascii="仿宋" w:hAnsi="仿宋" w:eastAsia="仿宋" w:cs="仿宋"/>
                <w:kern w:val="0"/>
                <w:sz w:val="20"/>
                <w:szCs w:val="20"/>
              </w:rPr>
              <w:t>0</w:t>
            </w:r>
          </w:p>
        </w:tc>
        <w:tc>
          <w:tcPr>
            <w:tcW w:w="604"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kern w:val="0"/>
                <w:sz w:val="20"/>
                <w:szCs w:val="20"/>
              </w:rPr>
            </w:pPr>
            <w:r>
              <w:rPr>
                <w:rFonts w:ascii="仿宋" w:hAnsi="仿宋" w:eastAsia="仿宋" w:cs="仿宋"/>
                <w:kern w:val="0"/>
                <w:sz w:val="20"/>
                <w:szCs w:val="20"/>
              </w:rPr>
              <w:t>0</w:t>
            </w:r>
          </w:p>
        </w:tc>
        <w:tc>
          <w:tcPr>
            <w:tcW w:w="604"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kern w:val="0"/>
                <w:sz w:val="20"/>
                <w:szCs w:val="20"/>
              </w:rPr>
            </w:pPr>
            <w:r>
              <w:rPr>
                <w:rFonts w:ascii="仿宋" w:hAnsi="仿宋" w:eastAsia="仿宋" w:cs="仿宋"/>
                <w:kern w:val="0"/>
                <w:sz w:val="20"/>
                <w:szCs w:val="20"/>
              </w:rPr>
              <w:t>0</w:t>
            </w:r>
          </w:p>
        </w:tc>
        <w:tc>
          <w:tcPr>
            <w:tcW w:w="65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ascii="仿宋" w:hAnsi="仿宋" w:eastAsia="仿宋" w:cs="仿宋"/>
              </w:rPr>
              <w:t>0</w:t>
            </w:r>
          </w:p>
        </w:tc>
        <w:tc>
          <w:tcPr>
            <w:tcW w:w="55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kern w:val="0"/>
                <w:sz w:val="20"/>
                <w:szCs w:val="20"/>
              </w:rPr>
            </w:pPr>
            <w:r>
              <w:rPr>
                <w:rFonts w:ascii="仿宋" w:hAnsi="仿宋" w:eastAsia="仿宋" w:cs="仿宋"/>
                <w:kern w:val="0"/>
                <w:sz w:val="20"/>
                <w:szCs w:val="20"/>
              </w:rPr>
              <w:t>0</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kern w:val="0"/>
                <w:sz w:val="20"/>
                <w:szCs w:val="20"/>
              </w:rPr>
            </w:pPr>
            <w:r>
              <w:rPr>
                <w:rFonts w:ascii="仿宋" w:hAnsi="仿宋" w:eastAsia="仿宋" w:cs="仿宋"/>
                <w:kern w:val="0"/>
                <w:sz w:val="20"/>
                <w:szCs w:val="20"/>
              </w:rPr>
              <w:t>0</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kern w:val="0"/>
                <w:sz w:val="20"/>
                <w:szCs w:val="20"/>
              </w:rPr>
            </w:pPr>
            <w:r>
              <w:rPr>
                <w:rFonts w:ascii="仿宋" w:hAnsi="仿宋" w:eastAsia="仿宋" w:cs="仿宋"/>
                <w:kern w:val="0"/>
                <w:sz w:val="20"/>
                <w:szCs w:val="20"/>
              </w:rPr>
              <w:t>0</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ascii="仿宋" w:hAnsi="仿宋" w:eastAsia="仿宋" w:cs="仿宋"/>
              </w:rPr>
              <w:t>0</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rPr>
            </w:pPr>
            <w:r>
              <w:rPr>
                <w:rFonts w:ascii="仿宋" w:hAnsi="仿宋" w:eastAsia="仿宋" w:cs="仿宋"/>
              </w:rPr>
              <w:t>0</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kern w:val="0"/>
                <w:sz w:val="20"/>
                <w:szCs w:val="20"/>
              </w:rPr>
            </w:pPr>
            <w:r>
              <w:rPr>
                <w:rFonts w:ascii="仿宋" w:hAnsi="仿宋" w:eastAsia="仿宋" w:cs="仿宋"/>
                <w:kern w:val="0"/>
                <w:sz w:val="20"/>
                <w:szCs w:val="20"/>
              </w:rPr>
              <w:t>0</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kern w:val="0"/>
                <w:sz w:val="20"/>
                <w:szCs w:val="20"/>
              </w:rPr>
            </w:pPr>
            <w:r>
              <w:rPr>
                <w:rFonts w:ascii="仿宋" w:hAnsi="仿宋" w:eastAsia="仿宋" w:cs="仿宋"/>
                <w:kern w:val="0"/>
                <w:sz w:val="20"/>
                <w:szCs w:val="20"/>
              </w:rPr>
              <w:t>0</w:t>
            </w:r>
          </w:p>
        </w:tc>
        <w:tc>
          <w:tcPr>
            <w:tcW w:w="60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color w:val="000000"/>
                <w:kern w:val="0"/>
                <w:sz w:val="20"/>
                <w:szCs w:val="20"/>
              </w:rPr>
            </w:pPr>
            <w:r>
              <w:rPr>
                <w:rFonts w:ascii="仿宋" w:hAnsi="仿宋" w:eastAsia="仿宋" w:cs="仿宋"/>
                <w:color w:val="000000"/>
                <w:kern w:val="0"/>
                <w:sz w:val="20"/>
                <w:szCs w:val="20"/>
              </w:rPr>
              <w:t>0</w:t>
            </w:r>
          </w:p>
        </w:tc>
        <w:tc>
          <w:tcPr>
            <w:tcW w:w="6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after="180"/>
              <w:jc w:val="center"/>
              <w:rPr>
                <w:rFonts w:ascii="仿宋" w:hAnsi="仿宋" w:eastAsia="仿宋" w:cs="仿宋"/>
                <w:kern w:val="0"/>
                <w:sz w:val="20"/>
                <w:szCs w:val="20"/>
              </w:rPr>
            </w:pPr>
            <w:r>
              <w:rPr>
                <w:rFonts w:ascii="仿宋" w:hAnsi="仿宋" w:eastAsia="仿宋" w:cs="仿宋"/>
                <w:kern w:val="0"/>
                <w:sz w:val="20"/>
                <w:szCs w:val="20"/>
              </w:rPr>
              <w:t>0</w:t>
            </w:r>
          </w:p>
        </w:tc>
        <w:tc>
          <w:tcPr>
            <w:tcW w:w="6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jc w:val="center"/>
              <w:rPr>
                <w:rFonts w:ascii="仿宋" w:hAnsi="仿宋" w:eastAsia="仿宋" w:cs="仿宋"/>
                <w:sz w:val="24"/>
              </w:rPr>
            </w:pPr>
            <w:r>
              <w:rPr>
                <w:rFonts w:ascii="仿宋" w:hAnsi="仿宋" w:eastAsia="仿宋" w:cs="仿宋"/>
                <w:sz w:val="24"/>
              </w:rPr>
              <w:t>0</w:t>
            </w:r>
          </w:p>
        </w:tc>
      </w:tr>
    </w:tbl>
    <w:p>
      <w:pPr>
        <w:spacing w:line="560" w:lineRule="exact"/>
        <w:rPr>
          <w:rFonts w:ascii="仿宋" w:hAnsi="仿宋" w:eastAsia="仿宋" w:cs="仿宋"/>
          <w:sz w:val="32"/>
          <w:szCs w:val="32"/>
        </w:rPr>
      </w:pPr>
    </w:p>
    <w:p>
      <w:pPr>
        <w:numPr>
          <w:ilvl w:val="0"/>
          <w:numId w:val="2"/>
        </w:numPr>
        <w:spacing w:line="560" w:lineRule="exact"/>
        <w:ind w:firstLine="640"/>
        <w:rPr>
          <w:rFonts w:ascii="黑体" w:hAnsi="黑体" w:eastAsia="黑体" w:cs="黑体"/>
          <w:b/>
          <w:bCs/>
          <w:sz w:val="32"/>
          <w:szCs w:val="32"/>
        </w:rPr>
      </w:pPr>
      <w:r>
        <w:rPr>
          <w:rFonts w:hint="eastAsia" w:ascii="黑体" w:hAnsi="黑体" w:eastAsia="黑体" w:cs="黑体"/>
          <w:b/>
          <w:bCs/>
          <w:sz w:val="32"/>
          <w:szCs w:val="32"/>
        </w:rPr>
        <w:t>存在的主要问题及改进情况</w:t>
      </w:r>
    </w:p>
    <w:p>
      <w:pPr>
        <w:spacing w:line="560" w:lineRule="exact"/>
        <w:ind w:firstLine="640" w:firstLineChars="200"/>
        <w:rPr>
          <w:rFonts w:ascii="仿宋_GB2312" w:hAnsi="楷体" w:eastAsia="仿宋_GB2312" w:cs="楷体"/>
          <w:sz w:val="32"/>
          <w:szCs w:val="32"/>
        </w:rPr>
      </w:pPr>
      <w:r>
        <w:rPr>
          <w:rFonts w:hint="eastAsia" w:ascii="仿宋_GB2312" w:hAnsi="楷体" w:eastAsia="仿宋_GB2312" w:cs="楷体"/>
          <w:sz w:val="32"/>
          <w:szCs w:val="32"/>
        </w:rPr>
        <w:t>（一）存在的主要问题</w:t>
      </w:r>
    </w:p>
    <w:p>
      <w:pPr>
        <w:pStyle w:val="5"/>
        <w:shd w:val="clear" w:color="auto" w:fill="FFFFFF"/>
        <w:spacing w:before="0" w:beforeAutospacing="0" w:after="0" w:afterAutospacing="0" w:line="600" w:lineRule="atLeast"/>
        <w:ind w:firstLine="570"/>
        <w:rPr>
          <w:rFonts w:ascii="仿宋_GB2312" w:hAnsi="宋体" w:eastAsia="仿宋_GB2312" w:cs="宋体"/>
          <w:color w:val="000000"/>
          <w:sz w:val="32"/>
          <w:szCs w:val="32"/>
        </w:rPr>
      </w:pPr>
      <w:r>
        <w:rPr>
          <w:rFonts w:ascii="仿宋_GB2312" w:hAnsi="仿宋" w:eastAsia="仿宋_GB2312" w:cs="仿宋"/>
          <w:sz w:val="32"/>
          <w:szCs w:val="32"/>
        </w:rPr>
        <w:t>20</w:t>
      </w:r>
      <w:r>
        <w:rPr>
          <w:rFonts w:hint="eastAsia" w:ascii="仿宋_GB2312" w:hAnsi="仿宋" w:eastAsia="仿宋_GB2312" w:cs="仿宋"/>
          <w:sz w:val="32"/>
          <w:szCs w:val="32"/>
          <w:lang w:val="en-US" w:eastAsia="zh-CN"/>
        </w:rPr>
        <w:t>20</w:t>
      </w:r>
      <w:r>
        <w:rPr>
          <w:rFonts w:hint="eastAsia" w:ascii="仿宋_GB2312" w:hAnsi="仿宋" w:eastAsia="仿宋_GB2312" w:cs="仿宋"/>
          <w:sz w:val="32"/>
          <w:szCs w:val="32"/>
        </w:rPr>
        <w:t>年，我市政府信息公开工作虽取得了较好成绩，但与公众的需求和政务信息公开要求还存在一定差距：如政府</w:t>
      </w:r>
      <w:r>
        <w:rPr>
          <w:rFonts w:hint="eastAsia" w:ascii="仿宋_GB2312" w:hAnsi="宋体" w:eastAsia="仿宋_GB2312" w:cs="宋体"/>
          <w:color w:val="000000"/>
          <w:sz w:val="32"/>
          <w:szCs w:val="32"/>
        </w:rPr>
        <w:t>信息公开力度不够，公开内容需进一步细化，信息公开</w:t>
      </w:r>
      <w:r>
        <w:rPr>
          <w:rFonts w:hint="eastAsia" w:ascii="仿宋_GB2312" w:hAnsi="宋体" w:eastAsia="仿宋_GB2312" w:cs="宋体"/>
          <w:color w:val="000000"/>
          <w:sz w:val="32"/>
          <w:szCs w:val="32"/>
          <w:lang w:eastAsia="zh-CN"/>
        </w:rPr>
        <w:t>时效性需增强</w:t>
      </w:r>
      <w:r>
        <w:rPr>
          <w:rFonts w:hint="eastAsia" w:ascii="仿宋_GB2312" w:hAnsi="宋体" w:eastAsia="仿宋_GB2312" w:cs="宋体"/>
          <w:color w:val="000000"/>
          <w:sz w:val="32"/>
          <w:szCs w:val="32"/>
        </w:rPr>
        <w:t>。</w:t>
      </w:r>
    </w:p>
    <w:p>
      <w:pPr>
        <w:pStyle w:val="5"/>
        <w:shd w:val="clear" w:color="auto" w:fill="FFFFFF"/>
        <w:spacing w:before="0" w:beforeAutospacing="0" w:after="0" w:afterAutospacing="0" w:line="600" w:lineRule="atLeast"/>
        <w:ind w:firstLine="570"/>
        <w:rPr>
          <w:rFonts w:ascii="仿宋_GB2312" w:hAnsi="楷体" w:eastAsia="仿宋_GB2312" w:cs="楷体"/>
          <w:sz w:val="32"/>
          <w:szCs w:val="32"/>
        </w:rPr>
      </w:pPr>
      <w:r>
        <w:rPr>
          <w:rFonts w:hint="eastAsia" w:ascii="仿宋_GB2312" w:hAnsi="宋体" w:eastAsia="仿宋_GB2312" w:cs="宋体"/>
          <w:color w:val="000000"/>
          <w:sz w:val="32"/>
          <w:szCs w:val="32"/>
        </w:rPr>
        <w:t>（二）</w:t>
      </w:r>
      <w:r>
        <w:rPr>
          <w:rFonts w:hint="eastAsia" w:ascii="仿宋_GB2312" w:hAnsi="楷体" w:eastAsia="仿宋_GB2312" w:cs="楷体"/>
          <w:sz w:val="32"/>
          <w:szCs w:val="32"/>
        </w:rPr>
        <w:t>工作改进措施</w:t>
      </w:r>
    </w:p>
    <w:p>
      <w:pPr>
        <w:pStyle w:val="5"/>
        <w:shd w:val="clear" w:color="auto" w:fill="FFFFFF"/>
        <w:spacing w:before="0" w:beforeAutospacing="0" w:after="0" w:afterAutospacing="0" w:line="600" w:lineRule="atLeast"/>
        <w:ind w:firstLine="570"/>
        <w:rPr>
          <w:rFonts w:ascii="仿宋_GB2312" w:eastAsia="仿宋_GB2312" w:cs="宋体"/>
          <w:color w:val="333333"/>
          <w:sz w:val="32"/>
          <w:szCs w:val="32"/>
        </w:rPr>
      </w:pPr>
      <w:r>
        <w:rPr>
          <w:rFonts w:hint="eastAsia" w:ascii="仿宋_GB2312" w:hAnsi="宋体" w:eastAsia="仿宋_GB2312" w:cs="宋体"/>
          <w:color w:val="000000"/>
          <w:sz w:val="32"/>
          <w:szCs w:val="32"/>
          <w:shd w:val="clear" w:color="auto" w:fill="FFFFFF"/>
        </w:rPr>
        <w:t>在接下来的工作中，我局将继续严格信息发布渠道和审批机制，对信息公开开展业务学习和培训，提高业务人员的素质；不断审时度势，提高信息发布的时效性；不断健全和完善政务公开制度，规范公开内容，提升公开质量。</w:t>
      </w:r>
    </w:p>
    <w:p>
      <w:pPr>
        <w:spacing w:line="56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六、其他需要报告的事项</w:t>
      </w:r>
    </w:p>
    <w:p>
      <w:pPr>
        <w:spacing w:line="560" w:lineRule="exact"/>
        <w:ind w:firstLine="640" w:firstLineChars="200"/>
        <w:rPr>
          <w:rFonts w:ascii="仿宋_GB2312" w:hAnsi="仿宋" w:eastAsia="仿宋_GB2312" w:cs="仿宋"/>
          <w:color w:val="000000"/>
          <w:kern w:val="0"/>
          <w:sz w:val="32"/>
          <w:szCs w:val="32"/>
          <w:shd w:val="clear" w:color="auto" w:fill="FFFFFF"/>
        </w:rPr>
      </w:pPr>
      <w:r>
        <w:rPr>
          <w:rFonts w:hint="eastAsia" w:ascii="仿宋_GB2312" w:hAnsi="仿宋" w:eastAsia="仿宋_GB2312" w:cs="仿宋"/>
          <w:sz w:val="32"/>
          <w:szCs w:val="32"/>
        </w:rPr>
        <w:t>无其他需要报告的事项。</w:t>
      </w:r>
    </w:p>
    <w:p>
      <w:pPr>
        <w:spacing w:line="576" w:lineRule="exact"/>
        <w:jc w:val="center"/>
        <w:rPr>
          <w:rFonts w:ascii="宋体" w:hAnsi="宋体" w:eastAsia="方正小标宋_GBK"/>
          <w:sz w:val="44"/>
          <w:szCs w:val="44"/>
        </w:rPr>
      </w:pPr>
    </w:p>
    <w:p>
      <w:pPr>
        <w:spacing w:line="576" w:lineRule="exact"/>
        <w:jc w:val="center"/>
        <w:rPr>
          <w:rFonts w:ascii="宋体" w:hAnsi="宋体" w:eastAsia="方正小标宋_GBK"/>
          <w:sz w:val="44"/>
          <w:szCs w:val="44"/>
        </w:rPr>
      </w:pPr>
    </w:p>
    <w:p>
      <w:pPr>
        <w:spacing w:line="576" w:lineRule="exact"/>
        <w:jc w:val="center"/>
        <w:rPr>
          <w:rFonts w:ascii="宋体" w:hAnsi="宋体" w:eastAsia="方正小标宋_GBK"/>
          <w:sz w:val="44"/>
          <w:szCs w:val="44"/>
        </w:rPr>
      </w:pPr>
    </w:p>
    <w:p>
      <w:pPr>
        <w:spacing w:line="576" w:lineRule="exact"/>
        <w:jc w:val="center"/>
        <w:rPr>
          <w:rFonts w:ascii="宋体" w:hAnsi="宋体" w:eastAsia="方正小标宋_GBK"/>
          <w:sz w:val="44"/>
          <w:szCs w:val="44"/>
        </w:rPr>
      </w:pPr>
    </w:p>
    <w:p>
      <w:pPr>
        <w:spacing w:line="576" w:lineRule="exact"/>
        <w:jc w:val="center"/>
        <w:rPr>
          <w:rFonts w:ascii="宋体" w:hAnsi="宋体" w:eastAsia="方正小标宋_GBK"/>
          <w:sz w:val="44"/>
          <w:szCs w:val="44"/>
        </w:rPr>
      </w:pPr>
    </w:p>
    <w:p>
      <w:pPr>
        <w:spacing w:line="576" w:lineRule="exact"/>
        <w:jc w:val="center"/>
        <w:rPr>
          <w:rFonts w:ascii="宋体" w:hAnsi="宋体" w:eastAsia="方正小标宋_GBK"/>
          <w:sz w:val="44"/>
          <w:szCs w:val="44"/>
        </w:rPr>
      </w:pPr>
    </w:p>
    <w:p>
      <w:pPr>
        <w:spacing w:line="576" w:lineRule="exact"/>
        <w:jc w:val="center"/>
        <w:rPr>
          <w:rFonts w:ascii="宋体" w:hAnsi="宋体" w:eastAsia="方正小标宋_GBK"/>
          <w:sz w:val="44"/>
          <w:szCs w:val="44"/>
        </w:rPr>
      </w:pPr>
    </w:p>
    <w:p>
      <w:pPr>
        <w:spacing w:line="576" w:lineRule="exact"/>
        <w:jc w:val="center"/>
        <w:rPr>
          <w:rFonts w:ascii="宋体" w:hAnsi="宋体" w:eastAsia="方正小标宋_GBK"/>
          <w:sz w:val="44"/>
          <w:szCs w:val="44"/>
        </w:rPr>
      </w:pPr>
    </w:p>
    <w:p>
      <w:pPr>
        <w:spacing w:line="576" w:lineRule="exact"/>
        <w:jc w:val="center"/>
        <w:rPr>
          <w:rFonts w:ascii="宋体" w:hAnsi="宋体" w:eastAsia="方正小标宋_GBK"/>
          <w:sz w:val="44"/>
          <w:szCs w:val="44"/>
        </w:rPr>
      </w:pPr>
    </w:p>
    <w:p>
      <w:pPr>
        <w:spacing w:line="576" w:lineRule="exact"/>
        <w:jc w:val="both"/>
        <w:rPr>
          <w:rFonts w:ascii="宋体" w:hAnsi="宋体" w:eastAsia="方正小标宋_GBK"/>
          <w:sz w:val="44"/>
          <w:szCs w:val="44"/>
        </w:rPr>
      </w:pPr>
    </w:p>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锐字云字库小标宋体1.0">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方正黑体_GBK">
    <w:panose1 w:val="03000509000000000000"/>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叶根友毛笔行书2.0版">
    <w:panose1 w:val="02010601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Aharoni">
    <w:panose1 w:val="02010803020104030203"/>
    <w:charset w:val="00"/>
    <w:family w:val="auto"/>
    <w:pitch w:val="default"/>
    <w:sig w:usb0="00000801" w:usb1="00000000" w:usb2="00000000" w:usb3="00000000" w:csb0="00000020" w:csb1="00200000"/>
  </w:font>
  <w:font w:name="Angsana New">
    <w:panose1 w:val="02020603050405020304"/>
    <w:charset w:val="00"/>
    <w:family w:val="auto"/>
    <w:pitch w:val="default"/>
    <w:sig w:usb0="81000003" w:usb1="00000000" w:usb2="00000000" w:usb3="00000000" w:csb0="00010001" w:csb1="00000000"/>
  </w:font>
  <w:font w:name="AngsanaUPC">
    <w:panose1 w:val="02020603050405020304"/>
    <w:charset w:val="00"/>
    <w:family w:val="auto"/>
    <w:pitch w:val="default"/>
    <w:sig w:usb0="81000003" w:usb1="00000000" w:usb2="00000000" w:usb3="00000000" w:csb0="00010001" w:csb1="00000000"/>
  </w:font>
  <w:font w:name="Arial Black">
    <w:panose1 w:val="020B0A04020102020204"/>
    <w:charset w:val="00"/>
    <w:family w:val="auto"/>
    <w:pitch w:val="default"/>
    <w:sig w:usb0="00000287" w:usb1="000000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Browallia New">
    <w:panose1 w:val="020B0604020202020204"/>
    <w:charset w:val="00"/>
    <w:family w:val="auto"/>
    <w:pitch w:val="default"/>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fldChar w:fldCharType="begin"/>
                          </w:r>
                          <w:r>
                            <w:instrText xml:space="preserve"> PAGE  \* MERGEFORMAT </w:instrText>
                          </w:r>
                          <w:r>
                            <w:fldChar w:fldCharType="separate"/>
                          </w:r>
                          <w:r>
                            <w:rPr>
                              <w:sz w:val="18"/>
                            </w:rPr>
                            <w:t>1</w:t>
                          </w:r>
                          <w:r>
                            <w:rPr>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fill on="f" focussize="0,0"/>
              <v:stroke on="f"/>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rPr>
                        <w:sz w:val="18"/>
                      </w:rPr>
                      <w:t>1</w:t>
                    </w:r>
                    <w:r>
                      <w:rPr>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F19589"/>
    <w:multiLevelType w:val="singleLevel"/>
    <w:tmpl w:val="AEF19589"/>
    <w:lvl w:ilvl="0" w:tentative="0">
      <w:start w:val="5"/>
      <w:numFmt w:val="chineseCounting"/>
      <w:suff w:val="nothing"/>
      <w:lvlText w:val="%1、"/>
      <w:lvlJc w:val="left"/>
      <w:rPr>
        <w:rFonts w:hint="eastAsia" w:cs="Times New Roman"/>
      </w:rPr>
    </w:lvl>
  </w:abstractNum>
  <w:abstractNum w:abstractNumId="1">
    <w:nsid w:val="E6AA8EF0"/>
    <w:multiLevelType w:val="singleLevel"/>
    <w:tmpl w:val="E6AA8EF0"/>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B2E"/>
    <w:rsid w:val="000C3739"/>
    <w:rsid w:val="002A328C"/>
    <w:rsid w:val="004B1347"/>
    <w:rsid w:val="005672AD"/>
    <w:rsid w:val="005A4B2E"/>
    <w:rsid w:val="005C04DE"/>
    <w:rsid w:val="005D67C8"/>
    <w:rsid w:val="00662EA2"/>
    <w:rsid w:val="006B1F76"/>
    <w:rsid w:val="006F4FBB"/>
    <w:rsid w:val="00732DE1"/>
    <w:rsid w:val="007353C7"/>
    <w:rsid w:val="007B625A"/>
    <w:rsid w:val="00862B2D"/>
    <w:rsid w:val="00884D7C"/>
    <w:rsid w:val="008953E9"/>
    <w:rsid w:val="008B162F"/>
    <w:rsid w:val="008D2AF8"/>
    <w:rsid w:val="00AC3910"/>
    <w:rsid w:val="00AD7B2A"/>
    <w:rsid w:val="00B468D1"/>
    <w:rsid w:val="00C307B3"/>
    <w:rsid w:val="00CC7B90"/>
    <w:rsid w:val="00D61FE9"/>
    <w:rsid w:val="00E11922"/>
    <w:rsid w:val="00F73AA8"/>
    <w:rsid w:val="00FB40FD"/>
    <w:rsid w:val="00FE6A04"/>
    <w:rsid w:val="01270DB9"/>
    <w:rsid w:val="01531797"/>
    <w:rsid w:val="01EE367D"/>
    <w:rsid w:val="028D0AC4"/>
    <w:rsid w:val="03B05705"/>
    <w:rsid w:val="042C12C9"/>
    <w:rsid w:val="04B01972"/>
    <w:rsid w:val="04D2610D"/>
    <w:rsid w:val="08AD5E2E"/>
    <w:rsid w:val="093F63D7"/>
    <w:rsid w:val="0C7758CE"/>
    <w:rsid w:val="10394956"/>
    <w:rsid w:val="106A7BC3"/>
    <w:rsid w:val="10EA3DAD"/>
    <w:rsid w:val="11C20B1A"/>
    <w:rsid w:val="12922426"/>
    <w:rsid w:val="12F00F45"/>
    <w:rsid w:val="12F81F09"/>
    <w:rsid w:val="13982FC3"/>
    <w:rsid w:val="14AC7AD3"/>
    <w:rsid w:val="156E5668"/>
    <w:rsid w:val="15852829"/>
    <w:rsid w:val="15C844EE"/>
    <w:rsid w:val="161F57C8"/>
    <w:rsid w:val="162D67BA"/>
    <w:rsid w:val="16B36DB6"/>
    <w:rsid w:val="17B912B6"/>
    <w:rsid w:val="180528E7"/>
    <w:rsid w:val="18EC61E9"/>
    <w:rsid w:val="190D5649"/>
    <w:rsid w:val="1A35097B"/>
    <w:rsid w:val="1BEC550B"/>
    <w:rsid w:val="1D20687C"/>
    <w:rsid w:val="1E1A30EE"/>
    <w:rsid w:val="1E5516C2"/>
    <w:rsid w:val="1E8357D1"/>
    <w:rsid w:val="1EF918FF"/>
    <w:rsid w:val="205947DC"/>
    <w:rsid w:val="210D3402"/>
    <w:rsid w:val="211F4C0C"/>
    <w:rsid w:val="2345736D"/>
    <w:rsid w:val="259863E1"/>
    <w:rsid w:val="26E80687"/>
    <w:rsid w:val="277B0010"/>
    <w:rsid w:val="28880FBC"/>
    <w:rsid w:val="28A865B7"/>
    <w:rsid w:val="29327EF4"/>
    <w:rsid w:val="294B5313"/>
    <w:rsid w:val="29CD1C0A"/>
    <w:rsid w:val="2A0D2805"/>
    <w:rsid w:val="2AB47FB7"/>
    <w:rsid w:val="2BCA06A8"/>
    <w:rsid w:val="2C3406EA"/>
    <w:rsid w:val="2CA94C94"/>
    <w:rsid w:val="2D0D0BA4"/>
    <w:rsid w:val="30704613"/>
    <w:rsid w:val="30CC3458"/>
    <w:rsid w:val="31897DCE"/>
    <w:rsid w:val="31D671E2"/>
    <w:rsid w:val="3200227E"/>
    <w:rsid w:val="335A7442"/>
    <w:rsid w:val="338B6059"/>
    <w:rsid w:val="349F4F24"/>
    <w:rsid w:val="35BB5FE0"/>
    <w:rsid w:val="361E4E6B"/>
    <w:rsid w:val="3633632A"/>
    <w:rsid w:val="3687771E"/>
    <w:rsid w:val="37033EB9"/>
    <w:rsid w:val="373B052F"/>
    <w:rsid w:val="39291F4F"/>
    <w:rsid w:val="3976625C"/>
    <w:rsid w:val="3A936242"/>
    <w:rsid w:val="3DDC0C9B"/>
    <w:rsid w:val="3E266D9E"/>
    <w:rsid w:val="3E5075AE"/>
    <w:rsid w:val="3E58117A"/>
    <w:rsid w:val="3EB7541A"/>
    <w:rsid w:val="3EC612C9"/>
    <w:rsid w:val="3ED72AA9"/>
    <w:rsid w:val="3F641F0F"/>
    <w:rsid w:val="3FC22F17"/>
    <w:rsid w:val="40037116"/>
    <w:rsid w:val="409F0D95"/>
    <w:rsid w:val="418F6B1A"/>
    <w:rsid w:val="41ED11DE"/>
    <w:rsid w:val="420D51C1"/>
    <w:rsid w:val="42DB4EAB"/>
    <w:rsid w:val="42DF40A2"/>
    <w:rsid w:val="435100C8"/>
    <w:rsid w:val="441D213C"/>
    <w:rsid w:val="44655C30"/>
    <w:rsid w:val="46580DB8"/>
    <w:rsid w:val="469413A3"/>
    <w:rsid w:val="46C77463"/>
    <w:rsid w:val="46DD21A1"/>
    <w:rsid w:val="481D62EC"/>
    <w:rsid w:val="484B4818"/>
    <w:rsid w:val="48EB4918"/>
    <w:rsid w:val="490A6A2D"/>
    <w:rsid w:val="4913746A"/>
    <w:rsid w:val="493E21F5"/>
    <w:rsid w:val="49503E97"/>
    <w:rsid w:val="49EE1772"/>
    <w:rsid w:val="49EF33B0"/>
    <w:rsid w:val="4AE07D02"/>
    <w:rsid w:val="4AF1585B"/>
    <w:rsid w:val="4B32053D"/>
    <w:rsid w:val="4B4B26FB"/>
    <w:rsid w:val="4CE63C9C"/>
    <w:rsid w:val="4D5E511E"/>
    <w:rsid w:val="4E713857"/>
    <w:rsid w:val="4E775FCA"/>
    <w:rsid w:val="4E83393D"/>
    <w:rsid w:val="4F3C6253"/>
    <w:rsid w:val="4FBB4330"/>
    <w:rsid w:val="4FF60775"/>
    <w:rsid w:val="50CA7296"/>
    <w:rsid w:val="524E2CCB"/>
    <w:rsid w:val="52904E8C"/>
    <w:rsid w:val="52B1262E"/>
    <w:rsid w:val="52E626B1"/>
    <w:rsid w:val="56200890"/>
    <w:rsid w:val="562733F2"/>
    <w:rsid w:val="565E5903"/>
    <w:rsid w:val="567B3750"/>
    <w:rsid w:val="56B04750"/>
    <w:rsid w:val="58091CCF"/>
    <w:rsid w:val="584010D1"/>
    <w:rsid w:val="5A2C4AF7"/>
    <w:rsid w:val="5A3F1F91"/>
    <w:rsid w:val="5C781873"/>
    <w:rsid w:val="5CDC58AA"/>
    <w:rsid w:val="5D777E5E"/>
    <w:rsid w:val="5D8F6F16"/>
    <w:rsid w:val="5E214256"/>
    <w:rsid w:val="5F604FF5"/>
    <w:rsid w:val="612E5AC0"/>
    <w:rsid w:val="615568BF"/>
    <w:rsid w:val="61901F42"/>
    <w:rsid w:val="62BF172A"/>
    <w:rsid w:val="63D70534"/>
    <w:rsid w:val="65CE361E"/>
    <w:rsid w:val="671A68F0"/>
    <w:rsid w:val="689E060E"/>
    <w:rsid w:val="68BE1396"/>
    <w:rsid w:val="691D0914"/>
    <w:rsid w:val="696C1E44"/>
    <w:rsid w:val="6A896421"/>
    <w:rsid w:val="6C06428D"/>
    <w:rsid w:val="6C2E4A5A"/>
    <w:rsid w:val="6C475522"/>
    <w:rsid w:val="6C7F44F3"/>
    <w:rsid w:val="6D8D5533"/>
    <w:rsid w:val="6DCF11C4"/>
    <w:rsid w:val="6E2105C3"/>
    <w:rsid w:val="6E46299E"/>
    <w:rsid w:val="6EA71672"/>
    <w:rsid w:val="70457063"/>
    <w:rsid w:val="70964EFF"/>
    <w:rsid w:val="70E71D95"/>
    <w:rsid w:val="70F631A0"/>
    <w:rsid w:val="71025259"/>
    <w:rsid w:val="712C36C4"/>
    <w:rsid w:val="720E678A"/>
    <w:rsid w:val="721D2ED2"/>
    <w:rsid w:val="728D559B"/>
    <w:rsid w:val="75DB0F93"/>
    <w:rsid w:val="767D0760"/>
    <w:rsid w:val="77160A49"/>
    <w:rsid w:val="772B2C0C"/>
    <w:rsid w:val="77EB59D9"/>
    <w:rsid w:val="7A092CE3"/>
    <w:rsid w:val="7AAB69E2"/>
    <w:rsid w:val="7B2C6D4F"/>
    <w:rsid w:val="7CBB3A9E"/>
    <w:rsid w:val="7CD51F82"/>
    <w:rsid w:val="7E3845F8"/>
    <w:rsid w:val="7E6370D9"/>
    <w:rsid w:val="7E6A27FF"/>
    <w:rsid w:val="7F430E96"/>
    <w:rsid w:val="7FA52BA8"/>
  </w:rsids>
  <m:mathPr>
    <m:lMargin m:val="0"/>
    <m:mathFont m:val="Cambria Math"/>
    <m:rMargin m:val="0"/>
    <m:wrapIndent m:val="1440"/>
    <m:brkBin m:val="before"/>
    <m:brkBinSub m:val="--"/>
    <m:defJc m:val="centerGroup"/>
    <m:intLim m:val="subSup"/>
    <m:naryLim m:val="undOvr"/>
    <m:smallFrac m:val="0"/>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locked/>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99"/>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100" w:beforeAutospacing="1" w:after="100" w:afterAutospacing="1"/>
      <w:jc w:val="left"/>
    </w:pPr>
    <w:rPr>
      <w:kern w:val="0"/>
      <w:sz w:val="24"/>
    </w:rPr>
  </w:style>
  <w:style w:type="character" w:styleId="7">
    <w:name w:val="Hyperlink"/>
    <w:basedOn w:val="6"/>
    <w:qFormat/>
    <w:uiPriority w:val="99"/>
    <w:rPr>
      <w:rFonts w:cs="Times New Roman"/>
      <w:color w:val="0000FF"/>
      <w:u w:val="single"/>
    </w:rPr>
  </w:style>
  <w:style w:type="character" w:customStyle="1" w:styleId="9">
    <w:name w:val="Footer Char"/>
    <w:basedOn w:val="6"/>
    <w:link w:val="3"/>
    <w:semiHidden/>
    <w:qFormat/>
    <w:uiPriority w:val="99"/>
    <w:rPr>
      <w:rFonts w:ascii="Calibri" w:hAnsi="Calibri"/>
      <w:sz w:val="18"/>
      <w:szCs w:val="18"/>
    </w:rPr>
  </w:style>
  <w:style w:type="character" w:customStyle="1" w:styleId="10">
    <w:name w:val="Header Char"/>
    <w:basedOn w:val="6"/>
    <w:link w:val="4"/>
    <w:semiHidden/>
    <w:qFormat/>
    <w:uiPriority w:val="99"/>
    <w:rPr>
      <w:rFonts w:ascii="Calibri" w:hAnsi="Calibri"/>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HP Inc.</Company>
  <Pages>7</Pages>
  <Words>1712</Words>
  <Characters>1781</Characters>
  <Lines>0</Lines>
  <Paragraphs>0</Paragraphs>
  <TotalTime>0</TotalTime>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2020-03-05T07:14:00Z</dcterms:created>
  <dc:creator>Administrator</dc:creator>
  <cp:lastModifiedBy>Administrator</cp:lastModifiedBy>
  <cp:lastPrinted>2020-03-05T02:47:00Z</cp:lastPrinted>
  <dcterms:modified xsi:type="dcterms:W3CDTF">2023-01-10T03:01:06Z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