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3" w:line="219" w:lineRule="auto"/>
        <w:ind w:left="361"/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</w:rPr>
      </w:pPr>
      <w:bookmarkStart w:id="0" w:name="_GoBack"/>
      <w:r>
        <w:rPr>
          <w:rFonts w:hint="eastAsia" w:ascii="方正大标宋简体" w:hAnsi="方正大标宋简体" w:eastAsia="方正大标宋简体" w:cs="方正大标宋简体"/>
          <w:b/>
          <w:bCs/>
          <w:spacing w:val="23"/>
          <w:sz w:val="44"/>
          <w:szCs w:val="44"/>
          <w:lang w:eastAsia="zh-CN"/>
        </w:rPr>
        <w:t>湘乡市市场监督管理局</w:t>
      </w:r>
      <w:r>
        <w:rPr>
          <w:rFonts w:hint="eastAsia" w:ascii="方正大标宋简体" w:hAnsi="方正大标宋简体" w:eastAsia="方正大标宋简体" w:cs="方正大标宋简体"/>
          <w:b/>
          <w:bCs/>
          <w:spacing w:val="23"/>
          <w:sz w:val="44"/>
          <w:szCs w:val="44"/>
        </w:rPr>
        <w:t>2022年政府信息公开工作年度报</w:t>
      </w:r>
      <w:r>
        <w:rPr>
          <w:rFonts w:hint="eastAsia" w:ascii="方正大标宋简体" w:hAnsi="方正大标宋简体" w:eastAsia="方正大标宋简体" w:cs="方正大标宋简体"/>
          <w:b/>
          <w:bCs/>
          <w:spacing w:val="56"/>
          <w:sz w:val="44"/>
          <w:szCs w:val="44"/>
        </w:rPr>
        <w:t>告</w:t>
      </w:r>
    </w:p>
    <w:bookmarkEnd w:id="0"/>
    <w:p>
      <w:pPr>
        <w:spacing w:line="308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spacing w:before="100" w:line="223" w:lineRule="auto"/>
        <w:ind w:left="679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5"/>
          <w:sz w:val="31"/>
          <w:szCs w:val="31"/>
        </w:rPr>
        <w:t>一、总体情况</w:t>
      </w:r>
    </w:p>
    <w:p>
      <w:pPr>
        <w:spacing w:line="325" w:lineRule="auto"/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今年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，我局认真贯彻落实《中华人民共和国政府信息公开条例》，坚持以公开为常态、不公开为例外，遵循公正、公平、合法、便民的原则，及时、准确地公开政府信息。本报告中所列数据的统计时限自20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年1月1日至20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年12月31日。如对本年度报告有任何疑问，请与湘乡市市场监督管理局办公室联系。（联系地址：湘乡市东山办事处起凤路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1122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号，邮编：411400，电话：0731—56711456）</w:t>
      </w:r>
    </w:p>
    <w:p>
      <w:pPr>
        <w:spacing w:line="325" w:lineRule="auto"/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一是加强政府信息公开管理。制定了《政府信息公开指南》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明确了政务公开工作责任分工，建立政务信息公开的各项制度体系，不定期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开展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自查，确保政府信息公开工作顺利开展。严格执行保密审查制度，保障信息公开安全、准确、及时。202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年主动公开政府信息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342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条。</w:t>
      </w:r>
    </w:p>
    <w:p>
      <w:pPr>
        <w:spacing w:line="325" w:lineRule="auto"/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二是强化监督保障。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明确专人负责，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通过网站、电子显示屏等渠道，加大《中华人民共和国政府信息公开条例》宣传力度，做好网站的内容保障。</w:t>
      </w:r>
    </w:p>
    <w:p>
      <w:pPr>
        <w:spacing w:line="325" w:lineRule="auto"/>
        <w:ind w:firstLine="640" w:firstLineChars="2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是“双随机、一公开”工作情况。至202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年12月31日，共制订“双随机、一公开”检查计划127个，其中部门联合检查计划27个，已完成检查127个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抽查任务完成率、抽查结果公示率已全部实现100%。</w:t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before="100" w:line="223" w:lineRule="auto"/>
        <w:ind w:left="679"/>
        <w:outlineLvl w:val="0"/>
        <w:rPr>
          <w:rFonts w:ascii="黑体" w:hAnsi="黑体" w:eastAsia="黑体" w:cs="黑体"/>
          <w:b/>
          <w:bCs/>
          <w:spacing w:val="5"/>
          <w:sz w:val="31"/>
          <w:szCs w:val="31"/>
        </w:rPr>
      </w:pPr>
      <w:r>
        <w:rPr>
          <w:rFonts w:ascii="黑体" w:hAnsi="黑体" w:eastAsia="黑体" w:cs="黑体"/>
          <w:b/>
          <w:bCs/>
          <w:spacing w:val="5"/>
          <w:sz w:val="31"/>
          <w:szCs w:val="31"/>
        </w:rPr>
        <w:t>二、主动公开政府信息情况</w:t>
      </w:r>
    </w:p>
    <w:p>
      <w:pPr>
        <w:spacing w:line="115" w:lineRule="auto"/>
        <w:rPr>
          <w:rFonts w:ascii="Arial"/>
          <w:sz w:val="2"/>
        </w:rPr>
      </w:pPr>
    </w:p>
    <w:tbl>
      <w:tblPr>
        <w:tblStyle w:val="5"/>
        <w:tblW w:w="90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01"/>
        <w:gridCol w:w="1858"/>
        <w:gridCol w:w="1968"/>
        <w:gridCol w:w="20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9010" w:type="dxa"/>
            <w:gridSpan w:val="4"/>
            <w:vAlign w:val="top"/>
          </w:tcPr>
          <w:p>
            <w:pPr>
              <w:spacing w:before="203" w:line="219" w:lineRule="auto"/>
              <w:ind w:left="36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第二十条第(一)项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3101" w:type="dxa"/>
            <w:vAlign w:val="top"/>
          </w:tcPr>
          <w:p>
            <w:pPr>
              <w:spacing w:before="209" w:line="219" w:lineRule="auto"/>
              <w:ind w:left="1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信息内容</w:t>
            </w:r>
          </w:p>
        </w:tc>
        <w:tc>
          <w:tcPr>
            <w:tcW w:w="1858" w:type="dxa"/>
            <w:vAlign w:val="top"/>
          </w:tcPr>
          <w:p>
            <w:pPr>
              <w:spacing w:before="208" w:line="219" w:lineRule="auto"/>
              <w:ind w:left="2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本年制发件数</w:t>
            </w:r>
          </w:p>
        </w:tc>
        <w:tc>
          <w:tcPr>
            <w:tcW w:w="1968" w:type="dxa"/>
            <w:vAlign w:val="top"/>
          </w:tcPr>
          <w:p>
            <w:pPr>
              <w:spacing w:before="208" w:line="219" w:lineRule="auto"/>
              <w:ind w:left="34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本年废止件数</w:t>
            </w:r>
          </w:p>
        </w:tc>
        <w:tc>
          <w:tcPr>
            <w:tcW w:w="2083" w:type="dxa"/>
            <w:vAlign w:val="top"/>
          </w:tcPr>
          <w:p>
            <w:pPr>
              <w:spacing w:before="209" w:line="219" w:lineRule="auto"/>
              <w:ind w:left="40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现行有效件数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101" w:type="dxa"/>
            <w:vAlign w:val="top"/>
          </w:tcPr>
          <w:p>
            <w:pPr>
              <w:spacing w:before="209" w:line="219" w:lineRule="auto"/>
              <w:ind w:left="13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规章</w:t>
            </w:r>
          </w:p>
        </w:tc>
        <w:tc>
          <w:tcPr>
            <w:tcW w:w="1858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1968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2083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3101" w:type="dxa"/>
            <w:vAlign w:val="top"/>
          </w:tcPr>
          <w:p>
            <w:pPr>
              <w:spacing w:before="201" w:line="219" w:lineRule="auto"/>
              <w:ind w:left="8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行政规范性文件</w:t>
            </w:r>
          </w:p>
        </w:tc>
        <w:tc>
          <w:tcPr>
            <w:tcW w:w="1858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1968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2083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010" w:type="dxa"/>
            <w:gridSpan w:val="4"/>
            <w:vAlign w:val="top"/>
          </w:tcPr>
          <w:p>
            <w:pPr>
              <w:spacing w:before="211" w:line="219" w:lineRule="auto"/>
              <w:ind w:left="365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第二十条第(五)项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101" w:type="dxa"/>
            <w:vAlign w:val="top"/>
          </w:tcPr>
          <w:p>
            <w:pPr>
              <w:spacing w:before="212" w:line="219" w:lineRule="auto"/>
              <w:ind w:left="1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信息内容</w:t>
            </w:r>
          </w:p>
        </w:tc>
        <w:tc>
          <w:tcPr>
            <w:tcW w:w="5909" w:type="dxa"/>
            <w:gridSpan w:val="3"/>
            <w:vAlign w:val="top"/>
          </w:tcPr>
          <w:p>
            <w:pPr>
              <w:spacing w:before="211" w:line="219" w:lineRule="auto"/>
              <w:ind w:left="2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3101" w:type="dxa"/>
            <w:vAlign w:val="top"/>
          </w:tcPr>
          <w:p>
            <w:pPr>
              <w:spacing w:before="204" w:line="220" w:lineRule="auto"/>
              <w:ind w:left="1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行政许可</w:t>
            </w:r>
          </w:p>
        </w:tc>
        <w:tc>
          <w:tcPr>
            <w:tcW w:w="5909" w:type="dxa"/>
            <w:gridSpan w:val="3"/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14009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010" w:type="dxa"/>
            <w:gridSpan w:val="4"/>
            <w:vAlign w:val="top"/>
          </w:tcPr>
          <w:p>
            <w:pPr>
              <w:spacing w:before="204" w:line="219" w:lineRule="auto"/>
              <w:ind w:left="3655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第二十条第(六)项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3101" w:type="dxa"/>
            <w:vAlign w:val="top"/>
          </w:tcPr>
          <w:p>
            <w:pPr>
              <w:spacing w:before="204" w:line="219" w:lineRule="auto"/>
              <w:ind w:left="1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信息内容</w:t>
            </w:r>
          </w:p>
        </w:tc>
        <w:tc>
          <w:tcPr>
            <w:tcW w:w="5909" w:type="dxa"/>
            <w:gridSpan w:val="3"/>
            <w:vAlign w:val="top"/>
          </w:tcPr>
          <w:p>
            <w:pPr>
              <w:spacing w:before="203" w:line="219" w:lineRule="auto"/>
              <w:ind w:left="2104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本年处理决定数量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101" w:type="dxa"/>
            <w:vAlign w:val="top"/>
          </w:tcPr>
          <w:p>
            <w:pPr>
              <w:spacing w:before="215" w:line="220" w:lineRule="auto"/>
              <w:ind w:left="1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行政处罚</w:t>
            </w:r>
          </w:p>
        </w:tc>
        <w:tc>
          <w:tcPr>
            <w:tcW w:w="5909" w:type="dxa"/>
            <w:gridSpan w:val="3"/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301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3101" w:type="dxa"/>
            <w:vAlign w:val="top"/>
          </w:tcPr>
          <w:p>
            <w:pPr>
              <w:spacing w:before="216" w:line="220" w:lineRule="auto"/>
              <w:ind w:left="1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行政强制</w:t>
            </w:r>
          </w:p>
        </w:tc>
        <w:tc>
          <w:tcPr>
            <w:tcW w:w="5909" w:type="dxa"/>
            <w:gridSpan w:val="3"/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152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010" w:type="dxa"/>
            <w:gridSpan w:val="4"/>
            <w:vAlign w:val="top"/>
          </w:tcPr>
          <w:p>
            <w:pPr>
              <w:spacing w:before="216" w:line="219" w:lineRule="auto"/>
              <w:ind w:left="3655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第二十条第(八)项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3101" w:type="dxa"/>
            <w:vAlign w:val="top"/>
          </w:tcPr>
          <w:p>
            <w:pPr>
              <w:spacing w:before="207" w:line="219" w:lineRule="auto"/>
              <w:ind w:left="11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信息内容</w:t>
            </w:r>
          </w:p>
        </w:tc>
        <w:tc>
          <w:tcPr>
            <w:tcW w:w="5909" w:type="dxa"/>
            <w:gridSpan w:val="3"/>
            <w:vAlign w:val="top"/>
          </w:tcPr>
          <w:p>
            <w:pPr>
              <w:spacing w:before="206" w:line="219" w:lineRule="auto"/>
              <w:ind w:left="1684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本年收费金额(单位：万元)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3101" w:type="dxa"/>
            <w:vAlign w:val="top"/>
          </w:tcPr>
          <w:p>
            <w:pPr>
              <w:spacing w:before="207" w:line="219" w:lineRule="auto"/>
              <w:ind w:left="805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行政事业性收费</w:t>
            </w:r>
          </w:p>
        </w:tc>
        <w:tc>
          <w:tcPr>
            <w:tcW w:w="5909" w:type="dxa"/>
            <w:gridSpan w:val="3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0" w:h="16840"/>
          <w:pgMar w:top="1431" w:right="1254" w:bottom="0" w:left="1624" w:header="0" w:footer="0" w:gutter="0"/>
          <w:cols w:space="720" w:num="1"/>
        </w:sectPr>
      </w:pPr>
    </w:p>
    <w:p>
      <w:pPr>
        <w:spacing w:before="135" w:line="222" w:lineRule="auto"/>
        <w:ind w:firstLine="603" w:firstLineChars="200"/>
        <w:outlineLvl w:val="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0"/>
          <w:sz w:val="32"/>
          <w:szCs w:val="32"/>
        </w:rPr>
        <w:t>三、</w:t>
      </w:r>
      <w:r>
        <w:rPr>
          <w:rFonts w:ascii="黑体" w:hAnsi="黑体" w:eastAsia="黑体" w:cs="黑体"/>
          <w:spacing w:val="-65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0"/>
          <w:sz w:val="32"/>
          <w:szCs w:val="32"/>
        </w:rPr>
        <w:t>收到和处理政府信息公开申请情况</w:t>
      </w:r>
    </w:p>
    <w:p/>
    <w:p>
      <w:pPr>
        <w:spacing w:line="102" w:lineRule="exact"/>
      </w:pPr>
    </w:p>
    <w:tbl>
      <w:tblPr>
        <w:tblStyle w:val="5"/>
        <w:tblW w:w="95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839"/>
        <w:gridCol w:w="2987"/>
        <w:gridCol w:w="560"/>
        <w:gridCol w:w="769"/>
        <w:gridCol w:w="709"/>
        <w:gridCol w:w="749"/>
        <w:gridCol w:w="659"/>
        <w:gridCol w:w="729"/>
        <w:gridCol w:w="7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650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(本列数据的勾稽关系为：第一项加第二项</w:t>
            </w:r>
          </w:p>
          <w:p>
            <w:pPr>
              <w:spacing w:before="72" w:line="219" w:lineRule="auto"/>
              <w:ind w:left="52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之和，等于第三项加第四项之和)</w:t>
            </w:r>
          </w:p>
        </w:tc>
        <w:tc>
          <w:tcPr>
            <w:tcW w:w="4939" w:type="dxa"/>
            <w:gridSpan w:val="7"/>
            <w:vAlign w:val="top"/>
          </w:tcPr>
          <w:p>
            <w:pPr>
              <w:spacing w:before="63" w:line="219" w:lineRule="auto"/>
              <w:ind w:left="19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申请人情况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465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74" w:line="217" w:lineRule="auto"/>
              <w:ind w:left="2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自然人</w:t>
            </w:r>
          </w:p>
        </w:tc>
        <w:tc>
          <w:tcPr>
            <w:tcW w:w="3615" w:type="dxa"/>
            <w:gridSpan w:val="5"/>
            <w:vAlign w:val="top"/>
          </w:tcPr>
          <w:p>
            <w:pPr>
              <w:spacing w:before="89" w:line="220" w:lineRule="auto"/>
              <w:ind w:left="10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法人或其他组织</w:t>
            </w:r>
          </w:p>
        </w:tc>
        <w:tc>
          <w:tcPr>
            <w:tcW w:w="764" w:type="dxa"/>
            <w:vMerge w:val="restart"/>
            <w:tcBorders>
              <w:bottom w:val="nil"/>
            </w:tcBorders>
            <w:vAlign w:val="top"/>
          </w:tcPr>
          <w:p>
            <w:pPr>
              <w:spacing w:line="419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22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4650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>
            <w:pPr>
              <w:spacing w:before="160" w:line="280" w:lineRule="exact"/>
              <w:ind w:left="1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position w:val="4"/>
                <w:sz w:val="21"/>
                <w:szCs w:val="21"/>
              </w:rPr>
              <w:t>商业</w:t>
            </w:r>
          </w:p>
          <w:p>
            <w:pPr>
              <w:spacing w:line="229" w:lineRule="auto"/>
              <w:ind w:left="16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企业</w:t>
            </w:r>
          </w:p>
        </w:tc>
        <w:tc>
          <w:tcPr>
            <w:tcW w:w="709" w:type="dxa"/>
            <w:vAlign w:val="top"/>
          </w:tcPr>
          <w:p>
            <w:pPr>
              <w:spacing w:before="159" w:line="232" w:lineRule="auto"/>
              <w:ind w:left="136" w:right="1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科研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机构</w:t>
            </w:r>
          </w:p>
        </w:tc>
        <w:tc>
          <w:tcPr>
            <w:tcW w:w="749" w:type="dxa"/>
            <w:vAlign w:val="top"/>
          </w:tcPr>
          <w:p>
            <w:pPr>
              <w:spacing w:before="38" w:line="272" w:lineRule="exact"/>
              <w:ind w:left="1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4"/>
                <w:sz w:val="20"/>
                <w:szCs w:val="20"/>
              </w:rPr>
              <w:t>社会</w:t>
            </w:r>
          </w:p>
          <w:p>
            <w:pPr>
              <w:spacing w:line="230" w:lineRule="auto"/>
              <w:ind w:left="1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公益</w:t>
            </w:r>
          </w:p>
          <w:p>
            <w:pPr>
              <w:spacing w:before="20" w:line="192" w:lineRule="auto"/>
              <w:ind w:left="15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5"/>
                <w:sz w:val="20"/>
                <w:szCs w:val="20"/>
              </w:rPr>
              <w:t>组织</w:t>
            </w:r>
          </w:p>
        </w:tc>
        <w:tc>
          <w:tcPr>
            <w:tcW w:w="659" w:type="dxa"/>
            <w:vAlign w:val="top"/>
          </w:tcPr>
          <w:p>
            <w:pPr>
              <w:spacing w:before="38" w:line="220" w:lineRule="auto"/>
              <w:ind w:left="118" w:right="97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法律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服务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机构</w:t>
            </w:r>
          </w:p>
        </w:tc>
        <w:tc>
          <w:tcPr>
            <w:tcW w:w="729" w:type="dxa"/>
            <w:vAlign w:val="top"/>
          </w:tcPr>
          <w:p>
            <w:pPr>
              <w:spacing w:before="290" w:line="220" w:lineRule="auto"/>
              <w:ind w:left="1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其他</w:t>
            </w:r>
          </w:p>
        </w:tc>
        <w:tc>
          <w:tcPr>
            <w:tcW w:w="7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4650" w:type="dxa"/>
            <w:gridSpan w:val="3"/>
            <w:vAlign w:val="top"/>
          </w:tcPr>
          <w:p>
            <w:pPr>
              <w:spacing w:before="69" w:line="219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一、本年新收政府信息公开申请数量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4650" w:type="dxa"/>
            <w:gridSpan w:val="3"/>
            <w:vAlign w:val="top"/>
          </w:tcPr>
          <w:p>
            <w:pPr>
              <w:spacing w:before="69" w:line="219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二、上年结转政府信息公开申请数量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restart"/>
            <w:tcBorders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68" w:line="251" w:lineRule="auto"/>
              <w:ind w:left="194" w:right="107" w:hanging="11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三、本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年度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办理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</w:p>
        </w:tc>
        <w:tc>
          <w:tcPr>
            <w:tcW w:w="3826" w:type="dxa"/>
            <w:gridSpan w:val="2"/>
            <w:vAlign w:val="top"/>
          </w:tcPr>
          <w:p>
            <w:pPr>
              <w:spacing w:before="82" w:line="221" w:lineRule="auto"/>
              <w:ind w:left="1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(一)予以公开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26" w:type="dxa"/>
            <w:gridSpan w:val="2"/>
            <w:vAlign w:val="top"/>
          </w:tcPr>
          <w:p>
            <w:pPr>
              <w:spacing w:before="50" w:line="197" w:lineRule="auto"/>
              <w:ind w:left="191" w:right="3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(二)部分公开(区分处理的，只计这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一情形，不计其他情形)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68" w:line="246" w:lineRule="auto"/>
              <w:ind w:left="70" w:right="95" w:firstLine="13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(三)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>不予公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开</w:t>
            </w:r>
          </w:p>
        </w:tc>
        <w:tc>
          <w:tcPr>
            <w:tcW w:w="2987" w:type="dxa"/>
            <w:vAlign w:val="top"/>
          </w:tcPr>
          <w:p>
            <w:pPr>
              <w:spacing w:before="72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1.属于国家秘密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2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2.其他法律行政法规禁止公开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7"/>
                <w:sz w:val="21"/>
                <w:szCs w:val="21"/>
              </w:rPr>
              <w:t>3.危及“三安全一稳定”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4.保护第三方合法权益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5.属于三类内部事务信息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6.属于四类过程性信息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7.属于行政执法案卷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75" w:line="220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8.属于行政查询事项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before="156" w:line="248" w:lineRule="auto"/>
              <w:ind w:left="80" w:right="117" w:firstLine="12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(四)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无法提 供</w:t>
            </w:r>
          </w:p>
        </w:tc>
        <w:tc>
          <w:tcPr>
            <w:tcW w:w="2987" w:type="dxa"/>
            <w:vAlign w:val="top"/>
          </w:tcPr>
          <w:p>
            <w:pPr>
              <w:spacing w:before="103" w:line="190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1.本机关不掌握相关政府信息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4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2.没有现成信息需要另行制作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4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3.补正后申请内容仍不明确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68" w:line="258" w:lineRule="auto"/>
              <w:ind w:left="70" w:right="99" w:firstLine="13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(五)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不予处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理</w:t>
            </w:r>
          </w:p>
        </w:tc>
        <w:tc>
          <w:tcPr>
            <w:tcW w:w="2987" w:type="dxa"/>
            <w:vAlign w:val="top"/>
          </w:tcPr>
          <w:p>
            <w:pPr>
              <w:spacing w:before="83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1.信访举报投诉类申请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93" w:line="190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2.重复申请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94" w:line="190" w:lineRule="auto"/>
              <w:ind w:left="9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3.要求提供公开出版物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84" w:line="219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4.无正当理由大量反复申请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65" w:line="200" w:lineRule="auto"/>
              <w:ind w:left="92" w:right="1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5.要求行政机关确认或重新出</w:t>
            </w:r>
            <w:r>
              <w:rPr>
                <w:rFonts w:ascii="宋体" w:hAnsi="宋体" w:eastAsia="宋体" w:cs="宋体"/>
                <w:spacing w:val="1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具己获取信息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restart"/>
            <w:tcBorders>
              <w:bottom w:val="nil"/>
            </w:tcBorders>
            <w:vAlign w:val="top"/>
          </w:tcPr>
          <w:p>
            <w:pPr>
              <w:spacing w:line="476" w:lineRule="auto"/>
              <w:rPr>
                <w:rFonts w:ascii="Arial"/>
                <w:sz w:val="21"/>
              </w:rPr>
            </w:pPr>
          </w:p>
          <w:p>
            <w:pPr>
              <w:spacing w:before="68" w:line="261" w:lineRule="auto"/>
              <w:ind w:left="70" w:right="117" w:firstLine="130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(六)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其他处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理</w:t>
            </w:r>
          </w:p>
        </w:tc>
        <w:tc>
          <w:tcPr>
            <w:tcW w:w="2987" w:type="dxa"/>
            <w:vAlign w:val="top"/>
          </w:tcPr>
          <w:p>
            <w:pPr>
              <w:spacing w:before="76" w:line="207" w:lineRule="auto"/>
              <w:ind w:left="92" w:right="139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1.申请人无正当理由逾期不补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>正、行政机关不再处理其政府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信息公开申请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76" w:line="197" w:lineRule="auto"/>
              <w:ind w:left="92" w:right="136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2.申请人逾期未按收费通知要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求缴纳费用、行政机关不再处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z w:val="21"/>
                <w:szCs w:val="21"/>
              </w:rPr>
              <w:t>理其政府信息公开申请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8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87" w:type="dxa"/>
            <w:vAlign w:val="top"/>
          </w:tcPr>
          <w:p>
            <w:pPr>
              <w:spacing w:before="78" w:line="220" w:lineRule="auto"/>
              <w:ind w:lef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3.其他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26" w:type="dxa"/>
            <w:gridSpan w:val="2"/>
            <w:vAlign w:val="top"/>
          </w:tcPr>
          <w:p>
            <w:pPr>
              <w:spacing w:before="99" w:line="221" w:lineRule="auto"/>
              <w:ind w:left="19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(七)总计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4650" w:type="dxa"/>
            <w:gridSpan w:val="3"/>
            <w:vAlign w:val="top"/>
          </w:tcPr>
          <w:p>
            <w:pPr>
              <w:spacing w:before="128" w:line="219" w:lineRule="auto"/>
              <w:ind w:left="11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四、结转下年度继续办理</w:t>
            </w:r>
          </w:p>
        </w:tc>
        <w:tc>
          <w:tcPr>
            <w:tcW w:w="560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29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  <w:tc>
          <w:tcPr>
            <w:tcW w:w="764" w:type="dxa"/>
            <w:vAlign w:val="top"/>
          </w:tcPr>
          <w:p>
            <w:pPr>
              <w:jc w:val="center"/>
              <w:rPr>
                <w:rFonts w:ascii="Arial"/>
                <w:sz w:val="21"/>
              </w:rPr>
            </w:pPr>
            <w:r>
              <w:rPr>
                <w:rFonts w:hint="eastAsia" w:eastAsia="宋体"/>
                <w:sz w:val="21"/>
                <w:lang w:eastAsia="zh-CN"/>
              </w:rPr>
              <w:t>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0" w:h="16840"/>
          <w:pgMar w:top="1431" w:right="1075" w:bottom="0" w:left="1224" w:header="0" w:footer="0" w:gutter="0"/>
          <w:cols w:space="720" w:num="1"/>
        </w:sectPr>
      </w:pPr>
    </w:p>
    <w:p>
      <w:pPr>
        <w:spacing w:before="100" w:line="223" w:lineRule="auto"/>
        <w:ind w:left="679"/>
        <w:outlineLvl w:val="0"/>
        <w:rPr>
          <w:rFonts w:ascii="黑体" w:hAnsi="黑体" w:eastAsia="黑体" w:cs="黑体"/>
          <w:b/>
          <w:bCs/>
          <w:spacing w:val="5"/>
          <w:sz w:val="31"/>
          <w:szCs w:val="31"/>
        </w:rPr>
      </w:pPr>
      <w:r>
        <w:rPr>
          <w:rFonts w:ascii="黑体" w:hAnsi="黑体" w:eastAsia="黑体" w:cs="黑体"/>
          <w:b/>
          <w:bCs/>
          <w:spacing w:val="5"/>
          <w:sz w:val="31"/>
          <w:szCs w:val="31"/>
        </w:rPr>
        <w:t>四、政府信息公开行政复议、行政诉讼情况</w:t>
      </w:r>
    </w:p>
    <w:p>
      <w:pPr>
        <w:spacing w:line="90" w:lineRule="auto"/>
        <w:rPr>
          <w:rFonts w:ascii="Arial"/>
          <w:sz w:val="2"/>
        </w:rPr>
      </w:pPr>
    </w:p>
    <w:tbl>
      <w:tblPr>
        <w:tblStyle w:val="5"/>
        <w:tblW w:w="100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649"/>
        <w:gridCol w:w="659"/>
        <w:gridCol w:w="650"/>
        <w:gridCol w:w="659"/>
        <w:gridCol w:w="679"/>
        <w:gridCol w:w="630"/>
        <w:gridCol w:w="679"/>
        <w:gridCol w:w="690"/>
        <w:gridCol w:w="639"/>
        <w:gridCol w:w="709"/>
        <w:gridCol w:w="690"/>
        <w:gridCol w:w="669"/>
        <w:gridCol w:w="699"/>
        <w:gridCol w:w="6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3261" w:type="dxa"/>
            <w:gridSpan w:val="5"/>
            <w:vAlign w:val="top"/>
          </w:tcPr>
          <w:p>
            <w:pPr>
              <w:spacing w:before="144" w:line="220" w:lineRule="auto"/>
              <w:ind w:left="12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行政复议</w:t>
            </w:r>
          </w:p>
        </w:tc>
        <w:tc>
          <w:tcPr>
            <w:tcW w:w="6748" w:type="dxa"/>
            <w:gridSpan w:val="10"/>
            <w:vAlign w:val="top"/>
          </w:tcPr>
          <w:p>
            <w:pPr>
              <w:spacing w:before="144" w:line="220" w:lineRule="auto"/>
              <w:ind w:left="294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行政诉讼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44" w:type="dxa"/>
            <w:vMerge w:val="restart"/>
            <w:tcBorders>
              <w:bottom w:val="nil"/>
            </w:tcBorders>
            <w:vAlign w:val="top"/>
          </w:tcPr>
          <w:p>
            <w:pPr>
              <w:spacing w:before="301" w:line="241" w:lineRule="auto"/>
              <w:ind w:left="104" w:right="9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维持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>
            <w:pPr>
              <w:spacing w:before="291" w:line="246" w:lineRule="auto"/>
              <w:ind w:left="100" w:right="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纠正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before="291" w:line="246" w:lineRule="auto"/>
              <w:ind w:left="112" w:right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其他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</w:p>
        </w:tc>
        <w:tc>
          <w:tcPr>
            <w:tcW w:w="650" w:type="dxa"/>
            <w:vMerge w:val="restart"/>
            <w:tcBorders>
              <w:bottom w:val="nil"/>
            </w:tcBorders>
            <w:vAlign w:val="top"/>
          </w:tcPr>
          <w:p>
            <w:pPr>
              <w:spacing w:before="291" w:line="242" w:lineRule="auto"/>
              <w:ind w:left="103" w:right="1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尚未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审结</w:t>
            </w:r>
          </w:p>
        </w:tc>
        <w:tc>
          <w:tcPr>
            <w:tcW w:w="659" w:type="dxa"/>
            <w:vMerge w:val="restart"/>
            <w:tcBorders>
              <w:bottom w:val="nil"/>
            </w:tcBorders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1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总计</w:t>
            </w:r>
          </w:p>
        </w:tc>
        <w:tc>
          <w:tcPr>
            <w:tcW w:w="3317" w:type="dxa"/>
            <w:gridSpan w:val="5"/>
            <w:vAlign w:val="top"/>
          </w:tcPr>
          <w:p>
            <w:pPr>
              <w:spacing w:before="131" w:line="220" w:lineRule="auto"/>
              <w:ind w:left="8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未经复议直接起诉</w:t>
            </w:r>
          </w:p>
        </w:tc>
        <w:tc>
          <w:tcPr>
            <w:tcW w:w="3431" w:type="dxa"/>
            <w:gridSpan w:val="5"/>
            <w:vAlign w:val="top"/>
          </w:tcPr>
          <w:p>
            <w:pPr>
              <w:spacing w:before="131" w:line="220" w:lineRule="auto"/>
              <w:ind w:left="118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复议后起诉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6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79" w:type="dxa"/>
            <w:vAlign w:val="top"/>
          </w:tcPr>
          <w:p>
            <w:pPr>
              <w:spacing w:before="82" w:line="226" w:lineRule="auto"/>
              <w:ind w:left="123" w:right="11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维持</w:t>
            </w:r>
          </w:p>
        </w:tc>
        <w:tc>
          <w:tcPr>
            <w:tcW w:w="630" w:type="dxa"/>
            <w:vAlign w:val="top"/>
          </w:tcPr>
          <w:p>
            <w:pPr>
              <w:spacing w:before="73" w:line="230" w:lineRule="auto"/>
              <w:ind w:left="94" w:right="9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纠正</w:t>
            </w:r>
          </w:p>
        </w:tc>
        <w:tc>
          <w:tcPr>
            <w:tcW w:w="679" w:type="dxa"/>
            <w:vAlign w:val="top"/>
          </w:tcPr>
          <w:p>
            <w:pPr>
              <w:spacing w:before="82" w:line="226" w:lineRule="auto"/>
              <w:ind w:left="155" w:right="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其他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</w:p>
        </w:tc>
        <w:tc>
          <w:tcPr>
            <w:tcW w:w="690" w:type="dxa"/>
            <w:vAlign w:val="top"/>
          </w:tcPr>
          <w:p>
            <w:pPr>
              <w:spacing w:before="73" w:line="230" w:lineRule="auto"/>
              <w:ind w:left="165" w:right="8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尚未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审结</w:t>
            </w:r>
          </w:p>
        </w:tc>
        <w:tc>
          <w:tcPr>
            <w:tcW w:w="639" w:type="dxa"/>
            <w:vAlign w:val="top"/>
          </w:tcPr>
          <w:p>
            <w:pPr>
              <w:spacing w:before="203" w:line="221" w:lineRule="auto"/>
              <w:ind w:left="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总计</w:t>
            </w:r>
          </w:p>
        </w:tc>
        <w:tc>
          <w:tcPr>
            <w:tcW w:w="709" w:type="dxa"/>
            <w:vAlign w:val="top"/>
          </w:tcPr>
          <w:p>
            <w:pPr>
              <w:spacing w:before="82" w:line="226" w:lineRule="auto"/>
              <w:ind w:left="136" w:right="12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维持</w:t>
            </w:r>
          </w:p>
        </w:tc>
        <w:tc>
          <w:tcPr>
            <w:tcW w:w="690" w:type="dxa"/>
            <w:vAlign w:val="top"/>
          </w:tcPr>
          <w:p>
            <w:pPr>
              <w:spacing w:before="82" w:line="226" w:lineRule="auto"/>
              <w:ind w:left="128" w:right="11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纠正</w:t>
            </w:r>
          </w:p>
        </w:tc>
        <w:tc>
          <w:tcPr>
            <w:tcW w:w="669" w:type="dxa"/>
            <w:vAlign w:val="top"/>
          </w:tcPr>
          <w:p>
            <w:pPr>
              <w:spacing w:before="73" w:line="230" w:lineRule="auto"/>
              <w:ind w:left="157" w:right="6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其他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结果</w:t>
            </w:r>
          </w:p>
        </w:tc>
        <w:tc>
          <w:tcPr>
            <w:tcW w:w="699" w:type="dxa"/>
            <w:vAlign w:val="top"/>
          </w:tcPr>
          <w:p>
            <w:pPr>
              <w:spacing w:before="73" w:line="230" w:lineRule="auto"/>
              <w:ind w:left="168" w:right="8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尚未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审结</w:t>
            </w:r>
          </w:p>
        </w:tc>
        <w:tc>
          <w:tcPr>
            <w:tcW w:w="664" w:type="dxa"/>
            <w:vAlign w:val="top"/>
          </w:tcPr>
          <w:p>
            <w:pPr>
              <w:spacing w:before="203" w:line="221" w:lineRule="auto"/>
              <w:ind w:left="1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总计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</w:trPr>
        <w:tc>
          <w:tcPr>
            <w:tcW w:w="644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49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50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59" w:type="dxa"/>
            <w:vAlign w:val="top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79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30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79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90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39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709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90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69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99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  <w:tc>
          <w:tcPr>
            <w:tcW w:w="664" w:type="dxa"/>
            <w:vAlign w:val="top"/>
          </w:tcPr>
          <w:p>
            <w:pPr>
              <w:jc w:val="center"/>
              <w:rPr>
                <w:rFonts w:hint="eastAsia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0</w:t>
            </w:r>
          </w:p>
        </w:tc>
      </w:tr>
    </w:tbl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spacing w:before="101" w:line="222" w:lineRule="auto"/>
        <w:ind w:firstLine="610" w:firstLineChars="200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3"/>
          <w:sz w:val="31"/>
          <w:szCs w:val="31"/>
        </w:rPr>
        <w:t>五、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31"/>
          <w:szCs w:val="31"/>
        </w:rPr>
        <w:t>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right="0" w:firstLine="640" w:firstLineChars="2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我局政府信息公开工作存在的问题主要体现在：公开的内容还不够全面，公开的形式还不够丰富，公开的便民性还不够高。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40" w:lineRule="atLeast"/>
        <w:ind w:right="0" w:firstLine="640" w:firstLineChars="2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下一步，我局将深入贯彻《中华人民共和国政府信息公开条例》，按照《条例》的规定和湘乡市政府信息公开工作要求，主要做好以下几方面工作：一是进一步完善工作机制。不断创新工作方式方法，突出重点，注重实效，使政府信息公开工作更加规范、高效、便民，保障广大人民群众的知情权、参与权、表达权和监督权。二是扩大公开范围。对照《条例》的具体要求，认真梳理政府信息公开事项，确保应公开的政务信息全部公开。同时严把质量关、保密审查关，在加大公开力度的同时确保安全。三是拓宽信息公开途径。通过网络、微信等多种方式加大对市场监督管理政策落实情况的宣传力度，进一步细化信息公开工作流程，拓宽公开渠道，确保操作简便明了，便于群众获取信息。</w:t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before="101" w:line="222" w:lineRule="auto"/>
        <w:ind w:firstLine="602" w:firstLineChars="200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-5"/>
          <w:sz w:val="31"/>
          <w:szCs w:val="31"/>
        </w:rPr>
        <w:t>六、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-5"/>
          <w:sz w:val="31"/>
          <w:szCs w:val="31"/>
        </w:rPr>
        <w:t>其他需要报告的事项</w:t>
      </w:r>
    </w:p>
    <w:p>
      <w:pPr>
        <w:spacing w:before="180" w:line="218" w:lineRule="auto"/>
        <w:ind w:firstLine="640" w:firstLineChars="200"/>
        <w:rPr>
          <w:rFonts w:hint="eastAsia" w:ascii="宋体" w:hAnsi="宋体" w:eastAsia="宋体" w:cs="宋体"/>
          <w:sz w:val="31"/>
          <w:szCs w:val="31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sectPr>
      <w:pgSz w:w="11900" w:h="16840"/>
      <w:pgMar w:top="1431" w:right="755" w:bottom="0" w:left="112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mUwNDMzMjg2M2QwOTA1OWI2MzFjZDFmYjZiNjk4NmMifQ=="/>
  </w:docVars>
  <w:rsids>
    <w:rsidRoot w:val="00000000"/>
    <w:rsid w:val="004B09F6"/>
    <w:rsid w:val="0132783D"/>
    <w:rsid w:val="04653BF5"/>
    <w:rsid w:val="04BD14C3"/>
    <w:rsid w:val="05922FA0"/>
    <w:rsid w:val="0CC0422F"/>
    <w:rsid w:val="14EE3264"/>
    <w:rsid w:val="15A72150"/>
    <w:rsid w:val="16BC793D"/>
    <w:rsid w:val="17321EED"/>
    <w:rsid w:val="286A6EF9"/>
    <w:rsid w:val="2B346370"/>
    <w:rsid w:val="2C8A75E2"/>
    <w:rsid w:val="33EC5F8C"/>
    <w:rsid w:val="34F4353A"/>
    <w:rsid w:val="35D20DC3"/>
    <w:rsid w:val="36D11FFC"/>
    <w:rsid w:val="3C4F5B5E"/>
    <w:rsid w:val="3D8F380F"/>
    <w:rsid w:val="41531891"/>
    <w:rsid w:val="42FA74B4"/>
    <w:rsid w:val="474319B4"/>
    <w:rsid w:val="47DB78B4"/>
    <w:rsid w:val="496201AF"/>
    <w:rsid w:val="4ED60DD5"/>
    <w:rsid w:val="4F7776A4"/>
    <w:rsid w:val="564B654C"/>
    <w:rsid w:val="583628E4"/>
    <w:rsid w:val="6B7D4A07"/>
    <w:rsid w:val="7168138D"/>
    <w:rsid w:val="7751440A"/>
    <w:rsid w:val="78B07272"/>
    <w:rsid w:val="7AA86A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1738</Words>
  <Characters>1812</Characters>
  <TotalTime>17</TotalTime>
  <ScaleCrop>false</ScaleCrop>
  <LinksUpToDate>false</LinksUpToDate>
  <CharactersWithSpaces>1848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2023-01-10T08:38:00Z</dcterms:created>
  <dc:creator>Kingsoft-PDF</dc:creator>
  <cp:lastModifiedBy>ωёi゛</cp:lastModifiedBy>
  <cp:lastPrinted>2023-01-11T02:57:00Z</cp:lastPrinted>
  <dcterms:modified xsi:type="dcterms:W3CDTF">2023-02-24T02:44:20Z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2023-01-10T08:38:52Z</vt:filetime>
  </property>
  <property fmtid="{D5CDD505-2E9C-101B-9397-08002B2CF9AE}" pid="4" name="UsrData">
    <vt:lpwstr>63bcb393a2d7b00015b1fc1c</vt:lpwstr>
  </property>
  <property fmtid="{D5CDD505-2E9C-101B-9397-08002B2CF9AE}" pid="5" name="KSOProductBuildVer">
    <vt:lpwstr>2052-11.1.0.12980</vt:lpwstr>
  </property>
  <property fmtid="{D5CDD505-2E9C-101B-9397-08002B2CF9AE}" pid="6" name="ICV">
    <vt:lpwstr>2381353A7F044394B8170A107F6421D8</vt:lpwstr>
  </property>
</Properties>
</file>