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textAlignment w:val="auto"/>
        <w:rPr>
          <w:rFonts w:hint="default" w:ascii="方正黑体_GBK" w:hAnsi="黑体" w:eastAsia="方正黑体_GBK" w:cs="仿宋_GB2312"/>
          <w:color w:val="000000"/>
          <w:sz w:val="32"/>
          <w:szCs w:val="32"/>
          <w:lang w:val="en-US" w:eastAsia="zh-CN"/>
        </w:rPr>
      </w:pPr>
      <w:r>
        <w:rPr>
          <w:rFonts w:hint="eastAsia" w:ascii="方正黑体_GBK" w:hAnsi="黑体" w:eastAsia="方正黑体_GBK" w:cs="仿宋_GB2312"/>
          <w:color w:val="auto"/>
          <w:sz w:val="32"/>
          <w:szCs w:val="32"/>
          <w:lang w:val="en-US" w:eastAsia="zh-CN"/>
        </w:rPr>
        <w:t>XXDR-2023-00001</w:t>
      </w:r>
    </w:p>
    <w:p>
      <w:pPr>
        <w:pStyle w:val="2"/>
        <w:rPr>
          <w:rFonts w:hint="default"/>
          <w:lang w:val="en-US" w:eastAsia="zh-CN"/>
        </w:rPr>
      </w:pPr>
    </w:p>
    <w:p>
      <w:pPr>
        <w:keepNext w:val="0"/>
        <w:keepLines w:val="0"/>
        <w:pageBreakBefore w:val="0"/>
        <w:widowControl w:val="0"/>
        <w:kinsoku/>
        <w:wordWrap/>
        <w:overflowPunct/>
        <w:topLinePunct w:val="0"/>
        <w:autoSpaceDE w:val="0"/>
        <w:autoSpaceDN w:val="0"/>
        <w:bidi w:val="0"/>
        <w:adjustRightInd/>
        <w:snapToGrid/>
        <w:spacing w:line="500" w:lineRule="exact"/>
        <w:textAlignment w:val="auto"/>
        <w:rPr>
          <w:rFonts w:hint="eastAsia" w:ascii="方正黑体_GBK" w:hAnsi="黑体" w:eastAsia="方正黑体_GBK" w:cs="仿宋_GB2312"/>
          <w:snapToGrid w:val="0"/>
          <w:color w:val="000000"/>
          <w:sz w:val="32"/>
          <w:szCs w:val="32"/>
        </w:rPr>
      </w:pPr>
    </w:p>
    <w:p>
      <w:pPr>
        <w:adjustRightInd w:val="0"/>
        <w:snapToGrid w:val="0"/>
        <w:spacing w:line="580" w:lineRule="exact"/>
        <w:jc w:val="center"/>
        <w:rPr>
          <w:rFonts w:hAnsi="黑体" w:cs="仿宋_GB2312"/>
          <w:snapToGrid w:val="0"/>
          <w:color w:val="000000"/>
          <w:sz w:val="32"/>
          <w:szCs w:val="32"/>
        </w:rPr>
      </w:pPr>
    </w:p>
    <w:p>
      <w:pPr>
        <w:pStyle w:val="2"/>
      </w:pPr>
    </w:p>
    <w:p/>
    <w:p>
      <w:pPr>
        <w:pStyle w:val="2"/>
      </w:pPr>
    </w:p>
    <w:p>
      <w:pPr>
        <w:keepNext w:val="0"/>
        <w:keepLines w:val="0"/>
        <w:pageBreakBefore w:val="0"/>
        <w:widowControl w:val="0"/>
        <w:kinsoku/>
        <w:wordWrap/>
        <w:overflowPunct/>
        <w:topLinePunct w:val="0"/>
        <w:autoSpaceDE/>
        <w:autoSpaceDN/>
        <w:bidi w:val="0"/>
        <w:adjustRightInd w:val="0"/>
        <w:snapToGrid w:val="0"/>
        <w:spacing w:before="625" w:beforeLines="200" w:line="580" w:lineRule="exact"/>
        <w:ind w:left="0" w:leftChars="0" w:firstLine="0" w:firstLineChars="0"/>
        <w:jc w:val="center"/>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湘乡政发〔20</w:t>
      </w:r>
      <w:r>
        <w:rPr>
          <w:rFonts w:hint="eastAsia" w:ascii="方正仿宋_GBK" w:hAnsi="方正仿宋_GBK" w:eastAsia="方正仿宋_GBK" w:cs="方正仿宋_GBK"/>
          <w:color w:val="000000"/>
          <w:sz w:val="32"/>
          <w:szCs w:val="32"/>
          <w:lang w:val="en-US" w:eastAsia="zh-CN"/>
        </w:rPr>
        <w:t>23</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3</w:t>
      </w:r>
      <w:r>
        <w:rPr>
          <w:rFonts w:hint="eastAsia" w:ascii="方正仿宋_GBK" w:hAnsi="方正仿宋_GBK" w:eastAsia="方正仿宋_GBK" w:cs="方正仿宋_GBK"/>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小标宋_GBK" w:hAnsi="方正小标宋_GBK" w:eastAsia="方正小标宋_GBK" w:cs="方正小标宋_GBK"/>
          <w:sz w:val="44"/>
          <w:szCs w:val="44"/>
        </w:rPr>
      </w:pPr>
    </w:p>
    <w:p>
      <w:pPr>
        <w:keepNext w:val="0"/>
        <w:keepLines w:val="0"/>
        <w:pageBreakBefore w:val="0"/>
        <w:widowControl/>
        <w:kinsoku/>
        <w:wordWrap/>
        <w:overflowPunct/>
        <w:topLinePunct w:val="0"/>
        <w:autoSpaceDE/>
        <w:autoSpaceDN/>
        <w:bidi w:val="0"/>
        <w:spacing w:after="0" w:line="560" w:lineRule="exact"/>
        <w:jc w:val="center"/>
        <w:textAlignment w:val="auto"/>
        <w:rPr>
          <w:rFonts w:ascii="方正小标宋简体" w:eastAsia="方正小标宋简体"/>
          <w:w w:val="100"/>
          <w:sz w:val="44"/>
          <w:szCs w:val="44"/>
        </w:rPr>
      </w:pPr>
      <w:r>
        <w:rPr>
          <w:rFonts w:hint="eastAsia" w:ascii="方正小标宋简体" w:eastAsia="方正小标宋简体"/>
          <w:w w:val="100"/>
          <w:sz w:val="44"/>
          <w:szCs w:val="44"/>
        </w:rPr>
        <w:t>湘乡市人民政府</w:t>
      </w:r>
    </w:p>
    <w:p>
      <w:pPr>
        <w:keepNext w:val="0"/>
        <w:keepLines w:val="0"/>
        <w:pageBreakBefore w:val="0"/>
        <w:widowControl/>
        <w:kinsoku/>
        <w:wordWrap/>
        <w:overflowPunct/>
        <w:topLinePunct w:val="0"/>
        <w:autoSpaceDE/>
        <w:autoSpaceDN/>
        <w:bidi w:val="0"/>
        <w:spacing w:after="0" w:line="560" w:lineRule="exact"/>
        <w:jc w:val="center"/>
        <w:textAlignment w:val="auto"/>
        <w:rPr>
          <w:rFonts w:hint="eastAsia" w:ascii="方正小标宋_GBK" w:hAnsi="宋体" w:eastAsia="方正小标宋_GBK" w:cs="宋体"/>
          <w:color w:val="000000"/>
          <w:w w:val="100"/>
          <w:sz w:val="44"/>
          <w:szCs w:val="44"/>
        </w:rPr>
      </w:pPr>
      <w:r>
        <w:rPr>
          <w:rFonts w:hint="eastAsia" w:ascii="方正小标宋简体" w:eastAsia="方正小标宋简体"/>
          <w:w w:val="100"/>
          <w:sz w:val="44"/>
          <w:szCs w:val="44"/>
        </w:rPr>
        <w:t>印发《</w:t>
      </w:r>
      <w:r>
        <w:rPr>
          <w:rFonts w:hint="eastAsia" w:ascii="方正小标宋_GBK" w:hAnsi="宋体" w:eastAsia="方正小标宋_GBK" w:cs="宋体"/>
          <w:color w:val="000000"/>
          <w:w w:val="100"/>
          <w:sz w:val="44"/>
          <w:szCs w:val="44"/>
        </w:rPr>
        <w:t>关于进一步落实整肃财政管理规范</w:t>
      </w:r>
    </w:p>
    <w:p>
      <w:pPr>
        <w:keepNext w:val="0"/>
        <w:keepLines w:val="0"/>
        <w:pageBreakBefore w:val="0"/>
        <w:widowControl/>
        <w:kinsoku/>
        <w:wordWrap/>
        <w:overflowPunct/>
        <w:topLinePunct w:val="0"/>
        <w:autoSpaceDE/>
        <w:autoSpaceDN/>
        <w:bidi w:val="0"/>
        <w:spacing w:after="0" w:line="560" w:lineRule="exact"/>
        <w:jc w:val="center"/>
        <w:textAlignment w:val="auto"/>
        <w:rPr>
          <w:rFonts w:hint="eastAsia" w:ascii="方正小标宋简体" w:eastAsia="方正小标宋简体"/>
          <w:w w:val="100"/>
          <w:sz w:val="44"/>
          <w:szCs w:val="44"/>
        </w:rPr>
      </w:pPr>
      <w:r>
        <w:rPr>
          <w:rFonts w:hint="eastAsia" w:ascii="方正小标宋_GBK" w:hAnsi="宋体" w:eastAsia="方正小标宋_GBK" w:cs="宋体"/>
          <w:color w:val="000000"/>
          <w:w w:val="100"/>
          <w:sz w:val="44"/>
          <w:szCs w:val="44"/>
        </w:rPr>
        <w:t>财经秩序深化预算改革的十五条措施</w:t>
      </w:r>
      <w:r>
        <w:rPr>
          <w:rFonts w:hint="eastAsia" w:ascii="方正小标宋简体" w:eastAsia="方正小标宋简体"/>
          <w:w w:val="100"/>
          <w:sz w:val="44"/>
          <w:szCs w:val="44"/>
        </w:rPr>
        <w:t>》的</w:t>
      </w:r>
    </w:p>
    <w:p>
      <w:pPr>
        <w:keepNext w:val="0"/>
        <w:keepLines w:val="0"/>
        <w:pageBreakBefore w:val="0"/>
        <w:widowControl/>
        <w:kinsoku/>
        <w:wordWrap/>
        <w:overflowPunct/>
        <w:topLinePunct w:val="0"/>
        <w:autoSpaceDE/>
        <w:autoSpaceDN/>
        <w:bidi w:val="0"/>
        <w:spacing w:after="0" w:line="560" w:lineRule="exact"/>
        <w:jc w:val="center"/>
        <w:textAlignment w:val="auto"/>
        <w:rPr>
          <w:rFonts w:ascii="方正小标宋简体" w:eastAsia="方正小标宋简体"/>
          <w:w w:val="100"/>
          <w:sz w:val="44"/>
          <w:szCs w:val="44"/>
        </w:rPr>
      </w:pPr>
      <w:r>
        <w:rPr>
          <w:rFonts w:hint="eastAsia" w:ascii="方正小标宋简体" w:eastAsia="方正小标宋简体"/>
          <w:w w:val="100"/>
          <w:sz w:val="44"/>
          <w:szCs w:val="44"/>
        </w:rPr>
        <w:t>通</w:t>
      </w:r>
      <w:r>
        <w:rPr>
          <w:rFonts w:hint="eastAsia" w:ascii="方正小标宋简体" w:eastAsia="方正小标宋简体"/>
          <w:w w:val="100"/>
          <w:sz w:val="44"/>
          <w:szCs w:val="44"/>
          <w:lang w:val="en-US" w:eastAsia="zh-CN"/>
        </w:rPr>
        <w:t xml:space="preserve">       </w:t>
      </w:r>
      <w:r>
        <w:rPr>
          <w:rFonts w:hint="eastAsia" w:ascii="方正小标宋简体" w:eastAsia="方正小标宋简体"/>
          <w:w w:val="100"/>
          <w:sz w:val="44"/>
          <w:szCs w:val="44"/>
        </w:rPr>
        <w:t>知</w:t>
      </w:r>
    </w:p>
    <w:p>
      <w:pPr>
        <w:keepNext w:val="0"/>
        <w:keepLines w:val="0"/>
        <w:pageBreakBefore w:val="0"/>
        <w:widowControl/>
        <w:kinsoku/>
        <w:wordWrap/>
        <w:overflowPunct/>
        <w:topLinePunct w:val="0"/>
        <w:autoSpaceDE/>
        <w:autoSpaceDN/>
        <w:bidi w:val="0"/>
        <w:spacing w:after="0" w:line="560" w:lineRule="exact"/>
        <w:ind w:firstLine="640" w:firstLineChars="200"/>
        <w:textAlignment w:val="auto"/>
        <w:rPr>
          <w:rFonts w:ascii="仿宋" w:hAnsi="仿宋" w:eastAsia="仿宋"/>
          <w:sz w:val="32"/>
          <w:szCs w:val="32"/>
        </w:rPr>
      </w:pPr>
    </w:p>
    <w:p>
      <w:pPr>
        <w:keepNext w:val="0"/>
        <w:keepLines w:val="0"/>
        <w:pageBreakBefore w:val="0"/>
        <w:widowControl w:val="0"/>
        <w:kinsoku w:val="0"/>
        <w:wordWrap w:val="0"/>
        <w:overflowPunct/>
        <w:topLinePunct w:val="0"/>
        <w:autoSpaceDE/>
        <w:autoSpaceDN/>
        <w:bidi w:val="0"/>
        <w:adjustRightInd/>
        <w:snapToGrid/>
        <w:spacing w:after="0" w:line="560" w:lineRule="exact"/>
        <w:textAlignment w:val="auto"/>
        <w:rPr>
          <w:rFonts w:hint="eastAsia" w:ascii="方正仿宋_GBK" w:hAnsi="方正仿宋_GBK" w:eastAsia="方正仿宋_GBK" w:cs="方正仿宋_GBK"/>
          <w:spacing w:val="0"/>
          <w:sz w:val="32"/>
          <w:szCs w:val="32"/>
        </w:rPr>
      </w:pPr>
      <w:r>
        <w:rPr>
          <w:rFonts w:hint="eastAsia" w:ascii="方正仿宋_GBK" w:hAnsi="方正仿宋_GBK" w:eastAsia="方正仿宋_GBK" w:cs="方正仿宋_GBK"/>
          <w:spacing w:val="0"/>
          <w:sz w:val="32"/>
          <w:szCs w:val="32"/>
        </w:rPr>
        <w:t>各乡镇人民政府、街道办事处，经开区管委会，市直机关各有关单位，市属和驻市各企事业单位</w:t>
      </w:r>
      <w:r>
        <w:rPr>
          <w:rFonts w:hint="eastAsia" w:ascii="方正仿宋_GBK" w:hAnsi="方正仿宋_GBK" w:eastAsia="方正仿宋_GBK" w:cs="方正仿宋_GBK"/>
          <w:spacing w:val="0"/>
          <w:sz w:val="32"/>
          <w:szCs w:val="32"/>
          <w:lang w:eastAsia="zh-CN"/>
        </w:rPr>
        <w:t>，各人民团体</w:t>
      </w:r>
      <w:r>
        <w:rPr>
          <w:rFonts w:hint="eastAsia" w:ascii="方正仿宋_GBK" w:hAnsi="方正仿宋_GBK" w:eastAsia="方正仿宋_GBK" w:cs="方正仿宋_GBK"/>
          <w:spacing w:val="0"/>
          <w:sz w:val="32"/>
          <w:szCs w:val="32"/>
        </w:rPr>
        <w:t>：</w:t>
      </w:r>
    </w:p>
    <w:p>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spacing w:after="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《关于进一步落实整肃财政管理规范财经秩序深化预算改革的十五条措施》</w:t>
      </w:r>
      <w:r>
        <w:rPr>
          <w:rFonts w:hint="eastAsia" w:ascii="方正仿宋_GBK" w:hAnsi="方正仿宋_GBK" w:eastAsia="方正仿宋_GBK" w:cs="方正仿宋_GBK"/>
          <w:sz w:val="32"/>
          <w:szCs w:val="32"/>
          <w:lang w:eastAsia="zh-CN"/>
        </w:rPr>
        <w:t>已经市人民政府同意，现予</w:t>
      </w:r>
      <w:bookmarkStart w:id="0" w:name="_GoBack"/>
      <w:bookmarkEnd w:id="0"/>
      <w:r>
        <w:rPr>
          <w:rFonts w:hint="eastAsia" w:ascii="方正仿宋_GBK" w:hAnsi="方正仿宋_GBK" w:eastAsia="方正仿宋_GBK" w:cs="方正仿宋_GBK"/>
          <w:sz w:val="32"/>
          <w:szCs w:val="32"/>
        </w:rPr>
        <w:t>印发，请认真抓好贯彻落实。</w:t>
      </w:r>
    </w:p>
    <w:p>
      <w:pPr>
        <w:keepNext w:val="0"/>
        <w:keepLines w:val="0"/>
        <w:pageBreakBefore w:val="0"/>
        <w:widowControl/>
        <w:kinsoku/>
        <w:wordWrap/>
        <w:overflowPunct/>
        <w:topLinePunct w:val="0"/>
        <w:autoSpaceDE/>
        <w:autoSpaceDN/>
        <w:bidi w:val="0"/>
        <w:spacing w:after="0" w:line="560" w:lineRule="exact"/>
        <w:ind w:firstLine="640"/>
        <w:textAlignment w:val="auto"/>
        <w:rPr>
          <w:rFonts w:hint="eastAsia" w:ascii="方正仿宋_GBK" w:hAnsi="方正仿宋_GBK" w:eastAsia="方正仿宋_GBK" w:cs="方正仿宋_GBK"/>
          <w:sz w:val="32"/>
          <w:szCs w:val="32"/>
        </w:rPr>
      </w:pPr>
    </w:p>
    <w:p>
      <w:pPr>
        <w:keepNext w:val="0"/>
        <w:keepLines w:val="0"/>
        <w:pageBreakBefore w:val="0"/>
        <w:widowControl/>
        <w:kinsoku/>
        <w:wordWrap w:val="0"/>
        <w:overflowPunct/>
        <w:topLinePunct w:val="0"/>
        <w:autoSpaceDE/>
        <w:autoSpaceDN/>
        <w:bidi w:val="0"/>
        <w:spacing w:after="0" w:line="560" w:lineRule="exact"/>
        <w:ind w:firstLine="640"/>
        <w:jc w:val="right"/>
        <w:textAlignment w:val="auto"/>
        <w:rPr>
          <w:rFonts w:hint="default" w:ascii="方正仿宋_GBK" w:hAnsi="方正仿宋_GBK" w:eastAsia="方正仿宋_GBK" w:cs="方正仿宋_GBK"/>
          <w:spacing w:val="6"/>
          <w:sz w:val="32"/>
          <w:szCs w:val="32"/>
          <w:lang w:val="en-US" w:eastAsia="zh-CN"/>
        </w:rPr>
      </w:pPr>
      <w:r>
        <w:rPr>
          <w:rFonts w:hint="eastAsia" w:ascii="方正仿宋_GBK" w:hAnsi="方正仿宋_GBK" w:eastAsia="方正仿宋_GBK" w:cs="方正仿宋_GBK"/>
          <w:sz w:val="32"/>
          <w:szCs w:val="32"/>
        </w:rPr>
        <w:t>湘乡市人民政府</w:t>
      </w:r>
      <w:r>
        <w:rPr>
          <w:rFonts w:hint="eastAsia" w:ascii="方正仿宋_GBK" w:hAnsi="方正仿宋_GBK" w:eastAsia="方正仿宋_GBK" w:cs="方正仿宋_GBK"/>
          <w:spacing w:val="6"/>
          <w:sz w:val="32"/>
          <w:szCs w:val="32"/>
          <w:lang w:val="en-US" w:eastAsia="zh-CN"/>
        </w:rPr>
        <w:t xml:space="preserve">        </w:t>
      </w:r>
    </w:p>
    <w:p>
      <w:pPr>
        <w:keepNext w:val="0"/>
        <w:keepLines w:val="0"/>
        <w:pageBreakBefore w:val="0"/>
        <w:widowControl/>
        <w:kinsoku/>
        <w:wordWrap w:val="0"/>
        <w:overflowPunct/>
        <w:topLinePunct w:val="0"/>
        <w:autoSpaceDE/>
        <w:autoSpaceDN/>
        <w:bidi w:val="0"/>
        <w:spacing w:after="0" w:line="560" w:lineRule="exact"/>
        <w:ind w:firstLine="640"/>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2023年</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日</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after="0" w:line="600" w:lineRule="exact"/>
        <w:textAlignment w:val="auto"/>
        <w:rPr>
          <w:rFonts w:ascii="方正小标宋简体" w:hAnsi="宋体" w:eastAsia="方正小标宋简体" w:cs="方正小标宋简体"/>
          <w:sz w:val="44"/>
          <w:szCs w:val="44"/>
        </w:rPr>
      </w:pPr>
      <w:r>
        <w:rPr>
          <w:rFonts w:ascii="方正小标宋简体" w:hAnsi="宋体" w:eastAsia="方正小标宋简体" w:cs="方正小标宋简体"/>
          <w:sz w:val="44"/>
          <w:szCs w:val="44"/>
        </w:rPr>
        <w:br w:type="page"/>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spacing w:after="0" w:line="600" w:lineRule="exact"/>
        <w:jc w:val="center"/>
        <w:textAlignment w:val="auto"/>
        <w:rPr>
          <w:rFonts w:ascii="方正小标宋_GBK" w:hAnsi="宋体" w:eastAsia="方正小标宋_GBK" w:cs="宋体"/>
          <w:color w:val="000000"/>
          <w:sz w:val="44"/>
          <w:szCs w:val="44"/>
        </w:rPr>
      </w:pPr>
      <w:r>
        <w:rPr>
          <w:rFonts w:hint="eastAsia" w:ascii="方正小标宋_GBK" w:hAnsi="宋体" w:eastAsia="方正小标宋_GBK" w:cs="宋体"/>
          <w:color w:val="000000"/>
          <w:sz w:val="44"/>
          <w:szCs w:val="44"/>
        </w:rPr>
        <w:t>关于进一步落实整肃财政管理规范财经秩序</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spacing w:after="0" w:line="600" w:lineRule="exact"/>
        <w:jc w:val="center"/>
        <w:textAlignment w:val="auto"/>
        <w:rPr>
          <w:rFonts w:ascii="方正小标宋_GBK" w:hAnsi="宋体" w:eastAsia="方正小标宋_GBK" w:cs="宋体"/>
          <w:color w:val="000000"/>
          <w:sz w:val="44"/>
          <w:szCs w:val="44"/>
        </w:rPr>
      </w:pPr>
      <w:r>
        <w:rPr>
          <w:rFonts w:hint="eastAsia" w:ascii="方正小标宋_GBK" w:hAnsi="宋体" w:eastAsia="方正小标宋_GBK" w:cs="宋体"/>
          <w:color w:val="000000"/>
          <w:sz w:val="44"/>
          <w:szCs w:val="44"/>
        </w:rPr>
        <w:t>深化预算改革的十五条措施</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spacing w:after="0" w:line="600" w:lineRule="exact"/>
        <w:textAlignment w:val="auto"/>
        <w:rPr>
          <w:rFonts w:ascii="方正仿宋_GBK" w:hAnsi="宋体" w:eastAsia="方正仿宋_GBK" w:cs="宋体"/>
          <w:color w:val="000000"/>
          <w:sz w:val="32"/>
          <w:szCs w:val="32"/>
        </w:rPr>
      </w:pP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为全面贯彻落实</w:t>
      </w:r>
      <w:r>
        <w:rPr>
          <w:rFonts w:hint="eastAsia" w:ascii="方正仿宋_GBK" w:hAnsi="方正仿宋_GBK" w:eastAsia="方正仿宋_GBK" w:cs="方正仿宋_GBK"/>
          <w:sz w:val="32"/>
          <w:szCs w:val="32"/>
          <w:lang w:eastAsia="zh-CN"/>
        </w:rPr>
        <w:t>《国务院关于进一步深化预算管理制度改革的意见》（国发</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、《湖南省人民政府关于进一步深化预算管理制度改革的实施意见》（湘政发</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14</w:t>
      </w:r>
      <w:r>
        <w:rPr>
          <w:rFonts w:hint="eastAsia" w:ascii="方正仿宋_GBK" w:hAnsi="方正仿宋_GBK" w:eastAsia="方正仿宋_GBK" w:cs="方正仿宋_GBK"/>
          <w:sz w:val="32"/>
          <w:szCs w:val="32"/>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湘潭市人民政府关于印发&lt;当前及今后一段时期整肃财政管理规范财经秩序深化预算改革的若干措施&gt;的通知》（潭政发〔2022〕11号）精神，进一步牢固树立“过紧日子”思想，带头厉行节约、勤俭办事，切实提高财政资金使用效益，通过一段时间的努力探索和积极实践，力争成为规范财政管理、深化预算改革、破解债务风险难题的示范县市</w:t>
      </w:r>
      <w:r>
        <w:rPr>
          <w:rFonts w:hint="eastAsia" w:ascii="方正仿宋_GBK" w:hAnsi="方正仿宋_GBK" w:eastAsia="方正仿宋_GBK" w:cs="方正仿宋_GBK"/>
          <w:sz w:val="32"/>
          <w:szCs w:val="32"/>
          <w:lang w:eastAsia="zh-CN"/>
        </w:rPr>
        <w:t>，结合我市实际</w:t>
      </w:r>
      <w:r>
        <w:rPr>
          <w:rFonts w:hint="eastAsia" w:ascii="方正仿宋_GBK" w:hAnsi="方正仿宋_GBK" w:eastAsia="方正仿宋_GBK" w:cs="方正仿宋_GBK"/>
          <w:sz w:val="32"/>
          <w:szCs w:val="32"/>
        </w:rPr>
        <w:t>，制定如下措施：</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一、有保有压编制预算。</w:t>
      </w:r>
      <w:r>
        <w:rPr>
          <w:rFonts w:hint="eastAsia" w:ascii="方正仿宋_GBK" w:hAnsi="方正仿宋_GBK" w:eastAsia="方正仿宋_GBK" w:cs="方正仿宋_GBK"/>
          <w:sz w:val="32"/>
          <w:szCs w:val="32"/>
        </w:rPr>
        <w:t>打破支出基数概念，全面实施“零基预算”。</w:t>
      </w:r>
      <w:r>
        <w:rPr>
          <w:rFonts w:hint="eastAsia" w:ascii="方正仿宋_GBK" w:hAnsi="方正仿宋_GBK" w:eastAsia="方正仿宋_GBK" w:cs="方正仿宋_GBK"/>
          <w:sz w:val="32"/>
          <w:szCs w:val="32"/>
          <w:lang w:eastAsia="zh-CN"/>
        </w:rPr>
        <w:t>各地</w:t>
      </w:r>
      <w:r>
        <w:rPr>
          <w:rFonts w:hint="eastAsia" w:ascii="方正仿宋_GBK" w:hAnsi="方正仿宋_GBK" w:eastAsia="方正仿宋_GBK" w:cs="方正仿宋_GBK"/>
          <w:sz w:val="32"/>
          <w:szCs w:val="32"/>
        </w:rPr>
        <w:t>各部门单位项目支出一律不考虑上年度预算基数，根据政策规定、财力状况，逐项审核、精准测算，重新统筹编制。全面取消财政切块专项资金。2023年起，取消教育专项、城乡事务支出、水利建设资金等切块专项，市人民政府每年列出财政大事要事保障清单，按规定顺序分层次予以保障。严格运用绩效评价结果，对绩效评价结果较差的专项压减20%，对绩效评价结果差的专项压减50%。</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二、落实过紧日子要求。</w:t>
      </w:r>
      <w:r>
        <w:rPr>
          <w:rFonts w:hint="eastAsia" w:ascii="方正仿宋_GBK" w:hAnsi="方正仿宋_GBK" w:eastAsia="方正仿宋_GBK" w:cs="方正仿宋_GBK"/>
          <w:sz w:val="32"/>
          <w:szCs w:val="32"/>
        </w:rPr>
        <w:t>建立按优先顺序、分层次的节约型保障机制以及“过紧日子”的评估机制。坚持“先预算后支出，无预算不支出”，除中央、省、湘潭市和市委、市人民政府的决策部署、疫情防控、应急救灾等支出外，不得追加预算。新增支出事项通过优化支出结构、统筹上级转移支付等方式予以保障。严格执行政府议事规则，严控支出审批，厉行节约过“紧日子”。公用经费严格执行定员定额保障标准，工作日提供员工必备标准早、午餐，不得以普惠福利方式列支，严控机关单位运行经费和其他非必要一般性支出。</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黑体" w:hAnsi="黑体" w:eastAsia="黑体" w:cs="黑体"/>
          <w:sz w:val="32"/>
          <w:szCs w:val="32"/>
        </w:rPr>
        <w:t>三、兜牢基本民生支出。</w:t>
      </w:r>
      <w:r>
        <w:rPr>
          <w:rFonts w:hint="eastAsia" w:ascii="方正仿宋_GBK" w:hAnsi="方正仿宋_GBK" w:eastAsia="方正仿宋_GBK" w:cs="方正仿宋_GBK"/>
          <w:sz w:val="32"/>
          <w:szCs w:val="32"/>
        </w:rPr>
        <w:t>坚持基本民生保障在预算安排中的优先顺序，做到应保尽保，坚决兜牢基本民生底线。严格执行国、省基本民生保障政策，坚决完成国、省、湘潭市民生政策任务，本级原则上不自行出台政策、不新增安排实事办理项目。确需出台的，严格执行事前财政承受能力评估、向上级备案等规定，切实增强民生改善和财政运行的可持续性。</w:t>
      </w:r>
      <w:r>
        <w:rPr>
          <w:rFonts w:hint="eastAsia" w:ascii="方正仿宋_GBK" w:hAnsi="方正仿宋_GBK" w:eastAsia="方正仿宋_GBK" w:cs="方正仿宋_GBK"/>
          <w:sz w:val="32"/>
          <w:szCs w:val="32"/>
          <w:lang w:eastAsia="zh-CN"/>
        </w:rPr>
        <w:t>积极组织收入，统筹各级资金，科学调度库款，从</w:t>
      </w:r>
      <w:r>
        <w:rPr>
          <w:rFonts w:hint="eastAsia" w:ascii="方正仿宋_GBK" w:hAnsi="方正仿宋_GBK" w:eastAsia="方正仿宋_GBK" w:cs="方正仿宋_GBK"/>
          <w:sz w:val="32"/>
          <w:szCs w:val="32"/>
          <w:lang w:val="en-US" w:eastAsia="zh-CN"/>
        </w:rPr>
        <w:t>2023年起分3年逐步消化以前年度财政支出责任。</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四、规范投资决策程序。</w:t>
      </w:r>
      <w:r>
        <w:rPr>
          <w:rFonts w:hint="eastAsia" w:ascii="方正仿宋_GBK" w:hAnsi="方正仿宋_GBK" w:eastAsia="方正仿宋_GBK" w:cs="方正仿宋_GBK"/>
          <w:sz w:val="32"/>
          <w:szCs w:val="32"/>
        </w:rPr>
        <w:t>进一步规范政府性投资项目，实施政府性投资项目预算审核和投资决策制度，提高政府投资效率，定期召开政府重大项目预算审核和投资决策委员会会议，严格资金来源审核，严控项目审批。</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五、严格聘用人员管理。</w:t>
      </w:r>
      <w:r>
        <w:rPr>
          <w:rFonts w:hint="eastAsia" w:ascii="方正仿宋_GBK" w:hAnsi="方正仿宋_GBK" w:eastAsia="方正仿宋_GBK" w:cs="方正仿宋_GBK"/>
          <w:sz w:val="32"/>
          <w:szCs w:val="32"/>
        </w:rPr>
        <w:t>由市委组织部、市</w:t>
      </w:r>
      <w:r>
        <w:rPr>
          <w:rFonts w:hint="eastAsia" w:ascii="方正仿宋_GBK" w:hAnsi="方正仿宋_GBK" w:eastAsia="方正仿宋_GBK" w:cs="方正仿宋_GBK"/>
          <w:sz w:val="32"/>
          <w:szCs w:val="32"/>
          <w:lang w:eastAsia="zh-CN"/>
        </w:rPr>
        <w:t>委</w:t>
      </w:r>
      <w:r>
        <w:rPr>
          <w:rFonts w:hint="eastAsia" w:ascii="方正仿宋_GBK" w:hAnsi="方正仿宋_GBK" w:eastAsia="方正仿宋_GBK" w:cs="方正仿宋_GBK"/>
          <w:sz w:val="32"/>
          <w:szCs w:val="32"/>
        </w:rPr>
        <w:t>编办、</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rPr>
        <w:t>人</w:t>
      </w:r>
      <w:r>
        <w:rPr>
          <w:rFonts w:hint="eastAsia" w:ascii="方正仿宋_GBK" w:hAnsi="方正仿宋_GBK" w:eastAsia="方正仿宋_GBK" w:cs="方正仿宋_GBK"/>
          <w:sz w:val="32"/>
          <w:szCs w:val="32"/>
          <w:lang w:eastAsia="zh-CN"/>
        </w:rPr>
        <w:t>力资源社会保障</w:t>
      </w:r>
      <w:r>
        <w:rPr>
          <w:rFonts w:hint="eastAsia" w:ascii="方正仿宋_GBK" w:hAnsi="方正仿宋_GBK" w:eastAsia="方正仿宋_GBK" w:cs="方正仿宋_GBK"/>
          <w:sz w:val="32"/>
          <w:szCs w:val="32"/>
        </w:rPr>
        <w:t>局牵头负责，全面清理机关事业单位编外劳动用工和以政府购买服务等形式变相聘用的人员，建立临聘人员动态管理机制，逐步压减临聘人员支出，确保2023年度压减20%以上。对超额完成年度压减任务的部门单位，给予超额减少聘用临时人员工资总额支出50%的追加，对</w:t>
      </w:r>
      <w:r>
        <w:rPr>
          <w:rFonts w:hint="eastAsia" w:ascii="方正仿宋_GBK" w:hAnsi="方正仿宋_GBK" w:eastAsia="方正仿宋_GBK" w:cs="方正仿宋_GBK"/>
          <w:sz w:val="32"/>
          <w:szCs w:val="32"/>
          <w:lang w:eastAsia="zh-CN"/>
        </w:rPr>
        <w:t>未</w:t>
      </w:r>
      <w:r>
        <w:rPr>
          <w:rFonts w:hint="eastAsia" w:ascii="方正仿宋_GBK" w:hAnsi="方正仿宋_GBK" w:eastAsia="方正仿宋_GBK" w:cs="方正仿宋_GBK"/>
          <w:sz w:val="32"/>
          <w:szCs w:val="32"/>
        </w:rPr>
        <w:t>经市</w:t>
      </w:r>
      <w:r>
        <w:rPr>
          <w:rFonts w:hint="eastAsia" w:ascii="方正仿宋_GBK" w:hAnsi="方正仿宋_GBK" w:eastAsia="方正仿宋_GBK" w:cs="方正仿宋_GBK"/>
          <w:sz w:val="32"/>
          <w:szCs w:val="32"/>
          <w:lang w:eastAsia="zh-CN"/>
        </w:rPr>
        <w:t>委</w:t>
      </w:r>
      <w:r>
        <w:rPr>
          <w:rFonts w:hint="eastAsia" w:ascii="方正仿宋_GBK" w:hAnsi="方正仿宋_GBK" w:eastAsia="方正仿宋_GBK" w:cs="方正仿宋_GBK"/>
          <w:sz w:val="32"/>
          <w:szCs w:val="32"/>
        </w:rPr>
        <w:t>编办、市</w:t>
      </w:r>
      <w:r>
        <w:rPr>
          <w:rFonts w:hint="eastAsia" w:ascii="方正仿宋_GBK" w:hAnsi="方正仿宋_GBK" w:eastAsia="方正仿宋_GBK" w:cs="方正仿宋_GBK"/>
          <w:sz w:val="32"/>
          <w:szCs w:val="32"/>
          <w:lang w:eastAsia="zh-CN"/>
        </w:rPr>
        <w:t>人力资源社会保障</w:t>
      </w:r>
      <w:r>
        <w:rPr>
          <w:rFonts w:hint="eastAsia" w:ascii="方正仿宋_GBK" w:hAnsi="方正仿宋_GBK" w:eastAsia="方正仿宋_GBK" w:cs="方正仿宋_GBK"/>
          <w:sz w:val="32"/>
          <w:szCs w:val="32"/>
        </w:rPr>
        <w:t>局审批留用的不予安排经费，并在该单位年度绩效考核总得分中按每留用一人扣减绩效考核0.1分。对应当由部门单位履职的事项，一律不得采取政府购买服务和聘用人员等方式进行，对已签订劳务外包合同（含政府购买服务）</w:t>
      </w:r>
      <w:r>
        <w:rPr>
          <w:rFonts w:hint="eastAsia" w:ascii="方正仿宋_GBK" w:hAnsi="方正仿宋_GBK" w:eastAsia="方正仿宋_GBK" w:cs="方正仿宋_GBK"/>
          <w:spacing w:val="-6"/>
          <w:sz w:val="32"/>
          <w:szCs w:val="32"/>
        </w:rPr>
        <w:t>甄别后予以重新签订或解除，2023年度须减少该类支出30%以上</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六、定期收回沉淀资金。</w:t>
      </w:r>
      <w:r>
        <w:rPr>
          <w:rFonts w:hint="eastAsia" w:ascii="方正仿宋_GBK" w:hAnsi="方正仿宋_GBK" w:eastAsia="方正仿宋_GBK" w:cs="方正仿宋_GBK"/>
          <w:sz w:val="32"/>
          <w:szCs w:val="32"/>
        </w:rPr>
        <w:t>对结余结转以及沉淀闲置的单位资金进行全面清理，连续结转2年以上的中央项目资金，结转1年以上的省、湘潭</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rPr>
        <w:t>项目资金，以及本级当年的结余资金，原则上收回财政统筹使用。</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七、盘活使用存量资产。</w:t>
      </w:r>
      <w:r>
        <w:rPr>
          <w:rFonts w:hint="eastAsia" w:ascii="方正仿宋_GBK" w:hAnsi="方正仿宋_GBK" w:eastAsia="方正仿宋_GBK" w:cs="方正仿宋_GBK"/>
          <w:sz w:val="32"/>
          <w:szCs w:val="32"/>
        </w:rPr>
        <w:t>全面清理整合绿色矿山、风光新能源等国有资源和加油站、充电桩、停车场、广告牌等特许经营权，通过用、售、租、融等多种方式实现经济效益最大化。推进市管国有公司改革，注入资产资源，做实资产资本，授予特许经营权，鼓励公司参与社会项目竞争。探索建立公物仓，促进机关事业单位国有资产共享共用。科学制定闲置国有资产资源盘活处置方案，形成闲置清单、问题清单和分类处置建议，按“能用先用、不用可售、不售可租、能融则融”的优先</w:t>
      </w:r>
      <w:r>
        <w:rPr>
          <w:rFonts w:hint="eastAsia" w:ascii="方正仿宋_GBK" w:hAnsi="方正仿宋_GBK" w:eastAsia="方正仿宋_GBK" w:cs="方正仿宋_GBK"/>
          <w:sz w:val="32"/>
          <w:szCs w:val="32"/>
          <w:lang w:eastAsia="zh-CN"/>
        </w:rPr>
        <w:t>顺</w:t>
      </w:r>
      <w:r>
        <w:rPr>
          <w:rFonts w:hint="eastAsia" w:ascii="方正仿宋_GBK" w:hAnsi="方正仿宋_GBK" w:eastAsia="方正仿宋_GBK" w:cs="方正仿宋_GBK"/>
          <w:sz w:val="32"/>
          <w:szCs w:val="32"/>
        </w:rPr>
        <w:t>序落实。</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八、严格规范工程管理。</w:t>
      </w:r>
      <w:r>
        <w:rPr>
          <w:rFonts w:hint="eastAsia" w:ascii="方正仿宋_GBK" w:hAnsi="方正仿宋_GBK" w:eastAsia="方正仿宋_GBK" w:cs="方正仿宋_GBK"/>
          <w:sz w:val="32"/>
          <w:szCs w:val="32"/>
        </w:rPr>
        <w:t>严把预算关口，秉</w:t>
      </w:r>
      <w:r>
        <w:rPr>
          <w:rFonts w:hint="eastAsia" w:ascii="方正仿宋_GBK" w:hAnsi="方正仿宋_GBK" w:eastAsia="方正仿宋_GBK" w:cs="方正仿宋_GBK"/>
          <w:sz w:val="32"/>
          <w:szCs w:val="32"/>
          <w:lang w:eastAsia="zh-CN"/>
        </w:rPr>
        <w:t>持</w:t>
      </w:r>
      <w:r>
        <w:rPr>
          <w:rFonts w:hint="eastAsia" w:ascii="方正仿宋_GBK" w:hAnsi="方正仿宋_GBK" w:eastAsia="方正仿宋_GBK" w:cs="方正仿宋_GBK"/>
          <w:sz w:val="32"/>
          <w:szCs w:val="32"/>
        </w:rPr>
        <w:t>节俭办事原则，在保证工程项目完整性和可行性的同时，优化方案，做到简单经济实用。严控工程变更。及时掌握在建工程项目进度和状态，合理利用施工现场及周边资源，减少项目变更，确需变更的严格执行变更审批手续。提升工程质量。推动工程监督全覆盖，加大事前、事中监管力度，全面提升工程质量管控水平，杜绝豆腐渣工程，切实有效提高工程质量，延长项目使用年限。</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九、强化绩效评价理念。</w:t>
      </w:r>
      <w:r>
        <w:rPr>
          <w:rFonts w:hint="eastAsia" w:ascii="方正仿宋_GBK" w:hAnsi="方正仿宋_GBK" w:eastAsia="方正仿宋_GBK" w:cs="方正仿宋_GBK"/>
          <w:sz w:val="32"/>
          <w:szCs w:val="32"/>
        </w:rPr>
        <w:t>全面实施预算绩效管理，前移预算绩效关口。开展新增项目绩效评价，市级新增50万元以上的政策、项目必须开展事前绩效评价，对立项必要性、投入经济性、绩效目标合理性、筹资合规性等进行论证，推动资金配置和使用效益相统一。强化财审联动机制，提升重点绩效评价工作实效，将评价结果与预算安排、完善管理实质性挂钩，切实深化“花钱必问效、无效必问责”预算绩效管理理念，推动绩效管理走深走实。</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十、推进国有公司改革。</w:t>
      </w:r>
      <w:r>
        <w:rPr>
          <w:rFonts w:hint="eastAsia" w:ascii="方正仿宋_GBK" w:hAnsi="方正仿宋_GBK" w:eastAsia="方正仿宋_GBK" w:cs="方正仿宋_GBK"/>
          <w:sz w:val="32"/>
          <w:szCs w:val="32"/>
        </w:rPr>
        <w:t>实施“缩表、减息、瘦身、赋能”，全面厘清关系。政府法定义务不再安排市管国有公司负担，</w:t>
      </w:r>
      <w:r>
        <w:rPr>
          <w:rFonts w:hint="eastAsia" w:ascii="方正仿宋_GBK" w:hAnsi="方正仿宋_GBK" w:eastAsia="方正仿宋_GBK" w:cs="方正仿宋_GBK"/>
          <w:sz w:val="32"/>
          <w:szCs w:val="32"/>
          <w:lang w:eastAsia="zh-CN"/>
        </w:rPr>
        <w:t>无</w:t>
      </w:r>
      <w:r>
        <w:rPr>
          <w:rFonts w:hint="eastAsia" w:ascii="方正仿宋_GBK" w:hAnsi="方正仿宋_GBK" w:eastAsia="方正仿宋_GBK" w:cs="方正仿宋_GBK"/>
          <w:sz w:val="32"/>
          <w:szCs w:val="32"/>
        </w:rPr>
        <w:t>资金来源的工程、项目市管国有公司不得参与。授权赋能公司。加大对市管国有公司资金投入、优势资产资源注入力度，将政府特许经营权授权市管国有公司经营管理，帮助市管国有公司做实经营，增强盈利创收能力，提高造血功能。严格绩效管控。市管国有公司不得举借贷款项目发放工资和薪酬，年度经营业绩与绩效奖励工资直接挂钩，绩效薪酬方案须经市国</w:t>
      </w:r>
      <w:r>
        <w:rPr>
          <w:rFonts w:hint="eastAsia" w:ascii="方正仿宋_GBK" w:hAnsi="方正仿宋_GBK" w:eastAsia="方正仿宋_GBK" w:cs="方正仿宋_GBK"/>
          <w:sz w:val="32"/>
          <w:szCs w:val="32"/>
          <w:lang w:eastAsia="zh-CN"/>
        </w:rPr>
        <w:t>有</w:t>
      </w:r>
      <w:r>
        <w:rPr>
          <w:rFonts w:hint="eastAsia" w:ascii="方正仿宋_GBK" w:hAnsi="方正仿宋_GBK" w:eastAsia="方正仿宋_GBK" w:cs="方正仿宋_GBK"/>
          <w:sz w:val="32"/>
          <w:szCs w:val="32"/>
        </w:rPr>
        <w:t>资</w:t>
      </w:r>
      <w:r>
        <w:rPr>
          <w:rFonts w:hint="eastAsia" w:ascii="方正仿宋_GBK" w:hAnsi="方正仿宋_GBK" w:eastAsia="方正仿宋_GBK" w:cs="方正仿宋_GBK"/>
          <w:sz w:val="32"/>
          <w:szCs w:val="32"/>
          <w:lang w:eastAsia="zh-CN"/>
        </w:rPr>
        <w:t>产</w:t>
      </w:r>
      <w:r>
        <w:rPr>
          <w:rFonts w:hint="eastAsia" w:ascii="方正仿宋_GBK" w:hAnsi="方正仿宋_GBK" w:eastAsia="方正仿宋_GBK" w:cs="方正仿宋_GBK"/>
          <w:sz w:val="32"/>
          <w:szCs w:val="32"/>
        </w:rPr>
        <w:t>管理领导小组办公室审核执行。精简企业内设机构，推进扁平化管理，提升管理效能。制定出台国企化债与经营绩效考核方案，完善债务化解与经营创收双重考核机制。</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十一、夯实产业发展基础。</w:t>
      </w:r>
      <w:r>
        <w:rPr>
          <w:rFonts w:hint="eastAsia" w:ascii="方正仿宋_GBK" w:hAnsi="方正仿宋_GBK" w:eastAsia="方正仿宋_GBK" w:cs="方正仿宋_GBK"/>
          <w:sz w:val="32"/>
          <w:szCs w:val="32"/>
        </w:rPr>
        <w:t>全力支持传统产业升级，巩固传统产业转型成果。强化财政、金融、土地等要素投入，做强特色资源，推进绿色化工园区、绿色电镀产业园等项目建设，推进特色产业集群发展。积极推进产业融合，打造农产品加工产业园，促进壶天石羊等地方特色品牌发展，带动城乡产业、乡村一二三产业融合。</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十二、深挖财政增收潜力。</w:t>
      </w:r>
      <w:r>
        <w:rPr>
          <w:rFonts w:hint="eastAsia" w:ascii="方正仿宋_GBK" w:hAnsi="方正仿宋_GBK" w:eastAsia="方正仿宋_GBK" w:cs="方正仿宋_GBK"/>
          <w:sz w:val="32"/>
          <w:szCs w:val="32"/>
        </w:rPr>
        <w:t xml:space="preserve">按照“产业规划+特色园区+综合服务”的整体策略，推进优势产业延链强链补链，不断推进财源建设工程，深入挖掘财政增收潜力。加强部门信息共享、协同治税，补强收入征管短板。支持重点骨干企业做强做优，巩固传统主体税源，通过产业扶持和企业发展，做大财源。加大招商引资力度，进一步理顺全市总部经济的财税政策，集中部门力量，坚持全员招商，探索新模式，落实税源引进工作。 </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十三、织密债务风险防线。</w:t>
      </w:r>
      <w:r>
        <w:rPr>
          <w:rFonts w:hint="eastAsia" w:ascii="方正仿宋_GBK" w:hAnsi="方正仿宋_GBK" w:eastAsia="方正仿宋_GBK" w:cs="方正仿宋_GBK"/>
          <w:sz w:val="32"/>
          <w:szCs w:val="32"/>
        </w:rPr>
        <w:t>树牢底线思维，强化主体责任，实行资产资金资源大统筹，妥善处理和化解隐性债务存量。统筹存款、债券等政府资源，与银行全面协商接盘降息，降低刚兑风险，减少融资成本，将债务降息至合理区间，化解债务风险。</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十四、严肃财经管理纪律。</w:t>
      </w:r>
      <w:r>
        <w:rPr>
          <w:rFonts w:hint="eastAsia" w:ascii="方正仿宋_GBK" w:hAnsi="方正仿宋_GBK" w:eastAsia="方正仿宋_GBK" w:cs="方正仿宋_GBK"/>
          <w:sz w:val="32"/>
          <w:szCs w:val="32"/>
        </w:rPr>
        <w:t>开展财经秩序专项整治行动，规范财务收支行为，提高资金使用效益，提高精细化法制化管理水平。聚焦贯彻落实退税减税降费政策、政府过“紧日子”、规范国库管理、加强资产管理、涉农补助资金管理等重点领域，依法查处违规出借库款、违规兴建楼堂馆所、违规购置处置资产、违规新增隐性债务、违规发放津补贴等突出问题，通报问责典型案例，严肃财经纪律。</w:t>
      </w:r>
    </w:p>
    <w:p>
      <w:pPr>
        <w:keepNext w:val="0"/>
        <w:keepLines w:val="0"/>
        <w:pageBreakBefore w:val="0"/>
        <w:widowControl w:val="0"/>
        <w:kinsoku/>
        <w:wordWrap/>
        <w:overflowPunct/>
        <w:topLinePunct w:val="0"/>
        <w:autoSpaceDE/>
        <w:autoSpaceDN/>
        <w:bidi w:val="0"/>
        <w:adjustRightInd w:val="0"/>
        <w:snapToGrid w:val="0"/>
        <w:spacing w:after="0"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黑体" w:hAnsi="黑体" w:eastAsia="黑体" w:cs="黑体"/>
          <w:sz w:val="32"/>
          <w:szCs w:val="32"/>
        </w:rPr>
        <w:t>十五、健全监督问责机制。</w:t>
      </w:r>
      <w:r>
        <w:rPr>
          <w:rFonts w:hint="eastAsia" w:ascii="方正仿宋_GBK" w:hAnsi="方正仿宋_GBK" w:eastAsia="方正仿宋_GBK" w:cs="方正仿宋_GBK"/>
          <w:sz w:val="32"/>
          <w:szCs w:val="32"/>
        </w:rPr>
        <w:t>各</w:t>
      </w:r>
      <w:r>
        <w:rPr>
          <w:rFonts w:hint="eastAsia" w:ascii="方正仿宋_GBK" w:hAnsi="方正仿宋_GBK" w:eastAsia="方正仿宋_GBK" w:cs="方正仿宋_GBK"/>
          <w:sz w:val="32"/>
          <w:szCs w:val="32"/>
          <w:lang w:eastAsia="zh-CN"/>
        </w:rPr>
        <w:t>地</w:t>
      </w:r>
      <w:r>
        <w:rPr>
          <w:rFonts w:hint="eastAsia" w:ascii="方正仿宋_GBK" w:hAnsi="方正仿宋_GBK" w:eastAsia="方正仿宋_GBK" w:cs="方正仿宋_GBK"/>
          <w:sz w:val="32"/>
          <w:szCs w:val="32"/>
        </w:rPr>
        <w:t>各部门</w:t>
      </w:r>
      <w:r>
        <w:rPr>
          <w:rFonts w:hint="eastAsia" w:ascii="方正仿宋_GBK" w:hAnsi="方正仿宋_GBK" w:eastAsia="方正仿宋_GBK" w:cs="方正仿宋_GBK"/>
          <w:sz w:val="32"/>
          <w:szCs w:val="32"/>
          <w:lang w:eastAsia="zh-CN"/>
        </w:rPr>
        <w:t>单位</w:t>
      </w:r>
      <w:r>
        <w:rPr>
          <w:rFonts w:hint="eastAsia" w:ascii="方正仿宋_GBK" w:hAnsi="方正仿宋_GBK" w:eastAsia="方正仿宋_GBK" w:cs="方正仿宋_GBK"/>
          <w:sz w:val="32"/>
          <w:szCs w:val="32"/>
        </w:rPr>
        <w:t>要全力提升管理水平，履行好各自职责，厉行节约、勤俭办事。市政府督查室要对</w:t>
      </w:r>
      <w:r>
        <w:rPr>
          <w:rFonts w:hint="eastAsia" w:ascii="方正仿宋_GBK" w:hAnsi="方正仿宋_GBK" w:eastAsia="方正仿宋_GBK" w:cs="方正仿宋_GBK"/>
          <w:sz w:val="32"/>
          <w:szCs w:val="32"/>
          <w:lang w:eastAsia="zh-CN"/>
        </w:rPr>
        <w:t>各地</w:t>
      </w:r>
      <w:r>
        <w:rPr>
          <w:rFonts w:hint="eastAsia" w:ascii="方正仿宋_GBK" w:hAnsi="方正仿宋_GBK" w:eastAsia="方正仿宋_GBK" w:cs="方正仿宋_GBK"/>
          <w:sz w:val="32"/>
          <w:szCs w:val="32"/>
        </w:rPr>
        <w:t>各部门</w:t>
      </w:r>
      <w:r>
        <w:rPr>
          <w:rFonts w:hint="eastAsia" w:ascii="方正仿宋_GBK" w:hAnsi="方正仿宋_GBK" w:eastAsia="方正仿宋_GBK" w:cs="方正仿宋_GBK"/>
          <w:sz w:val="32"/>
          <w:szCs w:val="32"/>
          <w:lang w:eastAsia="zh-CN"/>
        </w:rPr>
        <w:t>单位</w:t>
      </w:r>
      <w:r>
        <w:rPr>
          <w:rFonts w:hint="eastAsia" w:ascii="方正仿宋_GBK" w:hAnsi="方正仿宋_GBK" w:eastAsia="方正仿宋_GBK" w:cs="方正仿宋_GBK"/>
          <w:sz w:val="32"/>
          <w:szCs w:val="32"/>
        </w:rPr>
        <w:t>的部署落实、推进进度、任务完成情况开展督查督导，对高质量完成、成效显著的单位在年度绩效考核时考虑单列加分，对表现优秀的个人给予表彰，对推进不力的单位和事项予以跟踪督办，对推诿塞责的单位和个人从严追责问责。</w:t>
      </w:r>
    </w:p>
    <w:sectPr>
      <w:footerReference r:id="rId4" w:type="default"/>
      <w:footerReference r:id="rId5" w:type="even"/>
      <w:pgSz w:w="11907" w:h="16840"/>
      <w:pgMar w:top="1984" w:right="1531" w:bottom="1587" w:left="1587" w:header="720" w:footer="72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4097" o:spid="_x0000_s4097" o:spt="202" type="#_x0000_t202" style="position:absolute;left:0pt;margin-top:-22.05pt;height:22.85pt;width:67pt;mso-position-horizontal:outside;mso-position-horizontal-relative:margin;z-index:251659264;mso-width-relative:page;mso-height-relative:page;" filled="f" stroked="f" coordsize="21600,21600">
          <v:path/>
          <v:fill on="f" focussize="0,0"/>
          <v:stroke on="f"/>
          <v:imagedata o:title=""/>
          <o:lock v:ext="edit" aspectratio="f"/>
          <v:textbox inset="0mm,0mm,0mm,0mm">
            <w:txbxContent>
              <w:p>
                <w:pPr>
                  <w:pStyle w:val="9"/>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30"/>
      </w:rPr>
      <w:pict>
        <v:shape id="_x0000_s4098" o:spid="_x0000_s4098" o:spt="202" type="#_x0000_t202" style="position:absolute;left:0pt;margin-top:-22.05pt;height:30.85pt;width:62.95pt;mso-position-horizontal:outside;mso-position-horizontal-relative:margin;z-index:251660288;mso-width-relative:page;mso-height-relative:page;" filled="f" stroked="f" coordsize="21600,21600">
          <v:path/>
          <v:fill on="f" focussize="0,0"/>
          <v:stroke on="f"/>
          <v:imagedata o:title=""/>
          <o:lock v:ext="edit" aspectratio="f"/>
          <v:textbox inset="0mm,0mm,0mm,0mm">
            <w:txbxContent>
              <w:p>
                <w:pPr>
                  <w:pStyle w:val="9"/>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mirrorMargins w:val="1"/>
  <w:bordersDoNotSurroundHeader w:val="1"/>
  <w:bordersDoNotSurroundFooter w:val="1"/>
  <w:documentProtection w:enforcement="0"/>
  <w:defaultTabStop w:val="720"/>
  <w:evenAndOddHeaders w:val="1"/>
  <w:drawingGridHorizontalSpacing w:val="110"/>
  <w:drawingGridVerticalSpacing w:val="156"/>
  <w:displayHorizontalDrawingGridEvery w:val="2"/>
  <w:displayVerticalDrawingGridEvery w:val="2"/>
  <w:characterSpacingControl w:val="doNotCompress"/>
  <w:hdrShapeDefaults>
    <o:shapelayout v:ext="edit">
      <o:idmap v:ext="edit" data="3,4"/>
    </o:shapelayout>
  </w:hdrShapeDefaults>
  <w:footnotePr>
    <w:footnote w:id="0"/>
    <w:footnote w:id="1"/>
  </w:footnotePr>
  <w:compat>
    <w:useFELayout/>
    <w:compatSetting w:name="compatibilityMode" w:uri="http://schemas.microsoft.com/office/word" w:val="12"/>
  </w:compat>
  <w:docVars>
    <w:docVar w:name="commondata" w:val="eyJoZGlkIjoiMGFjZWRmZDkxZDM5ZGZiODhmMzgxMGYzZmI0ZjBhZDQifQ=="/>
  </w:docVars>
  <w:rsids>
    <w:rsidRoot w:val="00D31D50"/>
    <w:rsid w:val="000422D1"/>
    <w:rsid w:val="000B1BF4"/>
    <w:rsid w:val="000F3EBF"/>
    <w:rsid w:val="0010511B"/>
    <w:rsid w:val="00106EE7"/>
    <w:rsid w:val="001209A6"/>
    <w:rsid w:val="001256BE"/>
    <w:rsid w:val="001A4035"/>
    <w:rsid w:val="001F3223"/>
    <w:rsid w:val="00317FB1"/>
    <w:rsid w:val="00323B43"/>
    <w:rsid w:val="003D37D8"/>
    <w:rsid w:val="00426133"/>
    <w:rsid w:val="004358AB"/>
    <w:rsid w:val="00436FC5"/>
    <w:rsid w:val="00455FC7"/>
    <w:rsid w:val="00467295"/>
    <w:rsid w:val="004E52B1"/>
    <w:rsid w:val="00500F43"/>
    <w:rsid w:val="00507FD9"/>
    <w:rsid w:val="00574E96"/>
    <w:rsid w:val="005A008D"/>
    <w:rsid w:val="006077FA"/>
    <w:rsid w:val="00615AA1"/>
    <w:rsid w:val="006255B6"/>
    <w:rsid w:val="0063605D"/>
    <w:rsid w:val="00672991"/>
    <w:rsid w:val="00673AA9"/>
    <w:rsid w:val="006A1150"/>
    <w:rsid w:val="006B5627"/>
    <w:rsid w:val="006C4A86"/>
    <w:rsid w:val="007C6AB3"/>
    <w:rsid w:val="007F2228"/>
    <w:rsid w:val="007F6F4F"/>
    <w:rsid w:val="008B7726"/>
    <w:rsid w:val="008D6AEC"/>
    <w:rsid w:val="00902E8E"/>
    <w:rsid w:val="00951FEA"/>
    <w:rsid w:val="009A33E7"/>
    <w:rsid w:val="009F4B32"/>
    <w:rsid w:val="00A1241A"/>
    <w:rsid w:val="00A337B7"/>
    <w:rsid w:val="00A36B29"/>
    <w:rsid w:val="00A92871"/>
    <w:rsid w:val="00B4320B"/>
    <w:rsid w:val="00B86F55"/>
    <w:rsid w:val="00BB0497"/>
    <w:rsid w:val="00BC28F0"/>
    <w:rsid w:val="00C04952"/>
    <w:rsid w:val="00C34885"/>
    <w:rsid w:val="00C72881"/>
    <w:rsid w:val="00CD5AE0"/>
    <w:rsid w:val="00D16E73"/>
    <w:rsid w:val="00D26046"/>
    <w:rsid w:val="00D31D50"/>
    <w:rsid w:val="00D32096"/>
    <w:rsid w:val="00D55CA4"/>
    <w:rsid w:val="00D86E70"/>
    <w:rsid w:val="00DA5FBC"/>
    <w:rsid w:val="00DC495A"/>
    <w:rsid w:val="00DE5F48"/>
    <w:rsid w:val="00E46D3E"/>
    <w:rsid w:val="00E637A1"/>
    <w:rsid w:val="00EC2E7D"/>
    <w:rsid w:val="00F16F95"/>
    <w:rsid w:val="00FD75E6"/>
    <w:rsid w:val="00FE3DB5"/>
    <w:rsid w:val="02152FDD"/>
    <w:rsid w:val="032F2B26"/>
    <w:rsid w:val="05A44A86"/>
    <w:rsid w:val="05DB2AAA"/>
    <w:rsid w:val="071E213B"/>
    <w:rsid w:val="07F911C9"/>
    <w:rsid w:val="09FE7206"/>
    <w:rsid w:val="0DA708DC"/>
    <w:rsid w:val="0DAE6112"/>
    <w:rsid w:val="0DCC51FE"/>
    <w:rsid w:val="0EBF5FDE"/>
    <w:rsid w:val="0FE663C2"/>
    <w:rsid w:val="110273FB"/>
    <w:rsid w:val="119C7B13"/>
    <w:rsid w:val="13442EB6"/>
    <w:rsid w:val="135654BE"/>
    <w:rsid w:val="13642BF6"/>
    <w:rsid w:val="14146BC7"/>
    <w:rsid w:val="14171240"/>
    <w:rsid w:val="149D6F99"/>
    <w:rsid w:val="14A05457"/>
    <w:rsid w:val="14A80576"/>
    <w:rsid w:val="1504400C"/>
    <w:rsid w:val="16234845"/>
    <w:rsid w:val="18B057C0"/>
    <w:rsid w:val="18B261EF"/>
    <w:rsid w:val="1ADF3CD2"/>
    <w:rsid w:val="1B3A5861"/>
    <w:rsid w:val="1D94685C"/>
    <w:rsid w:val="1F1610CA"/>
    <w:rsid w:val="1FD549E3"/>
    <w:rsid w:val="202D3A7E"/>
    <w:rsid w:val="20740591"/>
    <w:rsid w:val="208E39CA"/>
    <w:rsid w:val="209B5659"/>
    <w:rsid w:val="20B83BEE"/>
    <w:rsid w:val="2258054D"/>
    <w:rsid w:val="2344646A"/>
    <w:rsid w:val="23EA67C0"/>
    <w:rsid w:val="240D2A3E"/>
    <w:rsid w:val="266C50FF"/>
    <w:rsid w:val="270151C7"/>
    <w:rsid w:val="27960276"/>
    <w:rsid w:val="2859377E"/>
    <w:rsid w:val="2A2E769E"/>
    <w:rsid w:val="2AAE4D1A"/>
    <w:rsid w:val="2C932CAD"/>
    <w:rsid w:val="2FBF6887"/>
    <w:rsid w:val="31290DEC"/>
    <w:rsid w:val="312C4673"/>
    <w:rsid w:val="32D560F7"/>
    <w:rsid w:val="357E7F7F"/>
    <w:rsid w:val="372A2624"/>
    <w:rsid w:val="37536B59"/>
    <w:rsid w:val="392210D8"/>
    <w:rsid w:val="3940684A"/>
    <w:rsid w:val="394B1971"/>
    <w:rsid w:val="39AE264A"/>
    <w:rsid w:val="3BC22457"/>
    <w:rsid w:val="3C9D2F06"/>
    <w:rsid w:val="3FA71C20"/>
    <w:rsid w:val="40056512"/>
    <w:rsid w:val="405D663C"/>
    <w:rsid w:val="40D428C7"/>
    <w:rsid w:val="413C37E5"/>
    <w:rsid w:val="41DB3473"/>
    <w:rsid w:val="43B37091"/>
    <w:rsid w:val="43C705CD"/>
    <w:rsid w:val="45091B37"/>
    <w:rsid w:val="46A469D8"/>
    <w:rsid w:val="474E46DC"/>
    <w:rsid w:val="47B51CD7"/>
    <w:rsid w:val="48CE66D4"/>
    <w:rsid w:val="4C2F5118"/>
    <w:rsid w:val="4CDB553F"/>
    <w:rsid w:val="4E5141A5"/>
    <w:rsid w:val="4E920463"/>
    <w:rsid w:val="4EB60F32"/>
    <w:rsid w:val="4F6432C1"/>
    <w:rsid w:val="504C6970"/>
    <w:rsid w:val="525C7516"/>
    <w:rsid w:val="528F07AD"/>
    <w:rsid w:val="53734A39"/>
    <w:rsid w:val="53A34E81"/>
    <w:rsid w:val="54783A81"/>
    <w:rsid w:val="54884714"/>
    <w:rsid w:val="559D3795"/>
    <w:rsid w:val="5953318E"/>
    <w:rsid w:val="59B25AE7"/>
    <w:rsid w:val="5BC67C7D"/>
    <w:rsid w:val="5D9C5930"/>
    <w:rsid w:val="5E696576"/>
    <w:rsid w:val="5EBA601D"/>
    <w:rsid w:val="5FFB6F3E"/>
    <w:rsid w:val="613D4CE3"/>
    <w:rsid w:val="61A35109"/>
    <w:rsid w:val="623C4146"/>
    <w:rsid w:val="63536C9F"/>
    <w:rsid w:val="63CF11F3"/>
    <w:rsid w:val="64D01FF7"/>
    <w:rsid w:val="64E82DA5"/>
    <w:rsid w:val="65DD6159"/>
    <w:rsid w:val="694D6B91"/>
    <w:rsid w:val="695A0999"/>
    <w:rsid w:val="69FC1C33"/>
    <w:rsid w:val="6ABC172B"/>
    <w:rsid w:val="6B2A4824"/>
    <w:rsid w:val="6B706CBB"/>
    <w:rsid w:val="6DAA0215"/>
    <w:rsid w:val="6F3060F0"/>
    <w:rsid w:val="706202C3"/>
    <w:rsid w:val="723A7986"/>
    <w:rsid w:val="72C16555"/>
    <w:rsid w:val="73E64483"/>
    <w:rsid w:val="73F15ED7"/>
    <w:rsid w:val="74107614"/>
    <w:rsid w:val="75632A66"/>
    <w:rsid w:val="75AB12C4"/>
    <w:rsid w:val="75DE0E3F"/>
    <w:rsid w:val="766A1CAC"/>
    <w:rsid w:val="769A09C1"/>
    <w:rsid w:val="775B038F"/>
    <w:rsid w:val="7A8029C6"/>
    <w:rsid w:val="7AA93B23"/>
    <w:rsid w:val="7BEF4D68"/>
    <w:rsid w:val="7C8B65DC"/>
    <w:rsid w:val="7CF51A1D"/>
    <w:rsid w:val="7D7065A4"/>
    <w:rsid w:val="7D853828"/>
    <w:rsid w:val="7DEE13E8"/>
    <w:rsid w:val="7E5F69FE"/>
    <w:rsid w:val="7EB6388B"/>
    <w:rsid w:val="7FFD207B"/>
    <w:rsid w:val="AFDF1C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uiPriority="39" w:name="toc 1"/>
    <w:lsdException w:uiPriority="39" w:name="toc 2"/>
    <w:lsdException w:uiPriority="39" w:name="toc 3"/>
    <w:lsdException w:uiPriority="39" w:name="toc 4"/>
    <w:lsdException w:uiPriority="39" w:name="toc 5"/>
    <w:lsdException w:qFormat="1" w:unhideWhenUsed="0" w:uiPriority="9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widowControl/>
      <w:spacing w:after="120" w:line="240" w:lineRule="auto"/>
      <w:ind w:left="902" w:firstLine="560"/>
      <w:jc w:val="left"/>
      <w:textAlignment w:val="baseline"/>
    </w:pPr>
    <w:rPr>
      <w:rFonts w:eastAsia="楷体_GB2312"/>
    </w:rPr>
  </w:style>
  <w:style w:type="paragraph" w:styleId="3">
    <w:name w:val="Body Text Indent"/>
    <w:basedOn w:val="1"/>
    <w:next w:val="4"/>
    <w:unhideWhenUsed/>
    <w:qFormat/>
    <w:uiPriority w:val="99"/>
    <w:pPr>
      <w:widowControl w:val="0"/>
      <w:spacing w:line="765" w:lineRule="atLeast"/>
      <w:ind w:firstLine="634"/>
      <w:jc w:val="center"/>
    </w:pPr>
  </w:style>
  <w:style w:type="paragraph" w:styleId="4">
    <w:name w:val="Body Text Indent 2"/>
    <w:basedOn w:val="1"/>
    <w:next w:val="1"/>
    <w:qFormat/>
    <w:uiPriority w:val="0"/>
    <w:pPr>
      <w:spacing w:line="560" w:lineRule="exact"/>
      <w:ind w:firstLine="538" w:firstLineChars="192"/>
    </w:pPr>
    <w:rPr>
      <w:rFonts w:ascii="宋体" w:hAnsi="宋体" w:eastAsia="仿宋_GB2312" w:cs="宋体"/>
      <w:sz w:val="28"/>
      <w:szCs w:val="28"/>
    </w:rPr>
  </w:style>
  <w:style w:type="paragraph" w:styleId="5">
    <w:name w:val="index 8"/>
    <w:basedOn w:val="1"/>
    <w:next w:val="1"/>
    <w:qFormat/>
    <w:uiPriority w:val="0"/>
    <w:pPr>
      <w:spacing w:before="100" w:beforeAutospacing="1" w:after="100" w:afterAutospacing="1"/>
      <w:ind w:left="2940"/>
    </w:pPr>
  </w:style>
  <w:style w:type="paragraph" w:styleId="6">
    <w:name w:val="Body Text"/>
    <w:basedOn w:val="1"/>
    <w:next w:val="7"/>
    <w:qFormat/>
    <w:uiPriority w:val="99"/>
    <w:pPr>
      <w:spacing w:line="360" w:lineRule="auto"/>
    </w:pPr>
    <w:rPr>
      <w:szCs w:val="24"/>
    </w:rPr>
  </w:style>
  <w:style w:type="paragraph" w:styleId="7">
    <w:name w:val="toc 6"/>
    <w:basedOn w:val="1"/>
    <w:next w:val="1"/>
    <w:semiHidden/>
    <w:qFormat/>
    <w:uiPriority w:val="99"/>
    <w:pPr>
      <w:ind w:left="2100" w:leftChars="1000"/>
    </w:pPr>
  </w:style>
  <w:style w:type="paragraph" w:styleId="8">
    <w:name w:val="Balloon Text"/>
    <w:basedOn w:val="1"/>
    <w:link w:val="20"/>
    <w:semiHidden/>
    <w:unhideWhenUsed/>
    <w:qFormat/>
    <w:uiPriority w:val="99"/>
    <w:pPr>
      <w:spacing w:after="0"/>
    </w:pPr>
    <w:rPr>
      <w:sz w:val="18"/>
      <w:szCs w:val="18"/>
    </w:rPr>
  </w:style>
  <w:style w:type="paragraph" w:styleId="9">
    <w:name w:val="footer"/>
    <w:basedOn w:val="1"/>
    <w:link w:val="17"/>
    <w:unhideWhenUsed/>
    <w:qFormat/>
    <w:uiPriority w:val="99"/>
    <w:pPr>
      <w:tabs>
        <w:tab w:val="center" w:pos="4153"/>
        <w:tab w:val="right" w:pos="8306"/>
      </w:tabs>
    </w:pPr>
    <w:rPr>
      <w:sz w:val="18"/>
      <w:szCs w:val="18"/>
    </w:rPr>
  </w:style>
  <w:style w:type="paragraph" w:styleId="10">
    <w:name w:val="header"/>
    <w:basedOn w:val="1"/>
    <w:link w:val="16"/>
    <w:unhideWhenUsed/>
    <w:qFormat/>
    <w:uiPriority w:val="99"/>
    <w:pPr>
      <w:pBdr>
        <w:bottom w:val="single" w:color="auto" w:sz="6" w:space="1"/>
      </w:pBdr>
      <w:tabs>
        <w:tab w:val="center" w:pos="4153"/>
        <w:tab w:val="right" w:pos="8306"/>
      </w:tabs>
      <w:jc w:val="center"/>
    </w:pPr>
    <w:rPr>
      <w:sz w:val="18"/>
      <w:szCs w:val="18"/>
    </w:rPr>
  </w:style>
  <w:style w:type="paragraph" w:styleId="11">
    <w:name w:val="Normal (Web)"/>
    <w:basedOn w:val="1"/>
    <w:qFormat/>
    <w:uiPriority w:val="99"/>
    <w:pPr>
      <w:widowControl w:val="0"/>
      <w:adjustRightInd/>
      <w:snapToGrid/>
      <w:spacing w:beforeAutospacing="1" w:after="0" w:afterAutospacing="1"/>
    </w:pPr>
    <w:rPr>
      <w:rFonts w:ascii="Times New Roman" w:hAnsi="Times New Roman" w:cs="Times New Roman" w:eastAsiaTheme="minorEastAsia"/>
      <w:sz w:val="24"/>
    </w:rPr>
  </w:style>
  <w:style w:type="paragraph" w:customStyle="1" w:styleId="14">
    <w:name w:val="BodyText1I2"/>
    <w:basedOn w:val="15"/>
    <w:qFormat/>
    <w:uiPriority w:val="0"/>
    <w:pPr>
      <w:spacing w:before="100" w:beforeAutospacing="1" w:after="0"/>
      <w:ind w:left="0" w:firstLine="420" w:firstLineChars="200"/>
    </w:pPr>
  </w:style>
  <w:style w:type="paragraph" w:customStyle="1" w:styleId="15">
    <w:name w:val="BodyTextIndent"/>
    <w:basedOn w:val="1"/>
    <w:qFormat/>
    <w:uiPriority w:val="0"/>
    <w:pPr>
      <w:spacing w:after="120"/>
      <w:ind w:left="420" w:leftChars="200"/>
      <w:textAlignment w:val="baseline"/>
    </w:pPr>
  </w:style>
  <w:style w:type="character" w:customStyle="1" w:styleId="16">
    <w:name w:val="页眉 字符"/>
    <w:basedOn w:val="13"/>
    <w:link w:val="10"/>
    <w:qFormat/>
    <w:uiPriority w:val="99"/>
    <w:rPr>
      <w:rFonts w:ascii="Tahoma" w:hAnsi="Tahoma"/>
      <w:sz w:val="18"/>
      <w:szCs w:val="18"/>
    </w:rPr>
  </w:style>
  <w:style w:type="character" w:customStyle="1" w:styleId="17">
    <w:name w:val="页脚 字符"/>
    <w:basedOn w:val="13"/>
    <w:link w:val="9"/>
    <w:qFormat/>
    <w:uiPriority w:val="99"/>
    <w:rPr>
      <w:rFonts w:ascii="Tahoma" w:hAnsi="Tahoma"/>
      <w:sz w:val="18"/>
      <w:szCs w:val="18"/>
    </w:rPr>
  </w:style>
  <w:style w:type="paragraph" w:styleId="18">
    <w:name w:val="List Paragraph"/>
    <w:basedOn w:val="1"/>
    <w:qFormat/>
    <w:uiPriority w:val="34"/>
    <w:pPr>
      <w:widowControl w:val="0"/>
      <w:adjustRightInd/>
      <w:snapToGrid/>
      <w:spacing w:after="0"/>
      <w:ind w:firstLine="420" w:firstLineChars="200"/>
      <w:jc w:val="both"/>
    </w:pPr>
    <w:rPr>
      <w:rFonts w:asciiTheme="minorHAnsi" w:hAnsiTheme="minorHAnsi" w:eastAsiaTheme="minorEastAsia"/>
      <w:kern w:val="2"/>
      <w:sz w:val="21"/>
    </w:rPr>
  </w:style>
  <w:style w:type="paragraph" w:customStyle="1" w:styleId="19">
    <w:name w:val="UserStyle_2"/>
    <w:next w:val="1"/>
    <w:qFormat/>
    <w:uiPriority w:val="0"/>
    <w:pPr>
      <w:widowControl w:val="0"/>
      <w:ind w:left="1680" w:firstLine="843" w:firstLineChars="200"/>
      <w:jc w:val="both"/>
    </w:pPr>
    <w:rPr>
      <w:rFonts w:ascii="Calibri" w:hAnsi="Calibri" w:eastAsia="宋体" w:cs="Times New Roman"/>
      <w:kern w:val="2"/>
      <w:sz w:val="21"/>
      <w:szCs w:val="21"/>
      <w:lang w:val="en-US" w:eastAsia="zh-CN" w:bidi="ar-SA"/>
    </w:rPr>
  </w:style>
  <w:style w:type="character" w:customStyle="1" w:styleId="20">
    <w:name w:val="批注框文本 字符"/>
    <w:basedOn w:val="13"/>
    <w:link w:val="8"/>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3238</Words>
  <Characters>3294</Characters>
  <Lines>22</Lines>
  <Paragraphs>6</Paragraphs>
  <TotalTime>9</TotalTime>
  <ScaleCrop>false</ScaleCrop>
  <LinksUpToDate>false</LinksUpToDate>
  <CharactersWithSpaces>3318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2008-09-12T17:20:00Z</dcterms:created>
  <dc:creator>Administrator</dc:creator>
  <cp:lastModifiedBy>一缕茶香</cp:lastModifiedBy>
  <cp:lastPrinted>2023-01-12T07:44:00Z</cp:lastPrinted>
  <dcterms:modified xsi:type="dcterms:W3CDTF">2023-01-13T01:46:16Z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40A02586B9644D59BA472B47C16C4874</vt:lpwstr>
  </property>
</Properties>
</file>