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6" w:lineRule="exact"/>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关于东郊乡2022年财政预算执行情况及</w:t>
      </w:r>
    </w:p>
    <w:p>
      <w:pPr>
        <w:spacing w:line="576" w:lineRule="exact"/>
        <w:jc w:val="center"/>
        <w:rPr>
          <w:rFonts w:hint="eastAsia" w:ascii="仿宋" w:hAnsi="仿宋" w:eastAsia="仿宋" w:cs="仿宋"/>
          <w:sz w:val="32"/>
          <w:szCs w:val="32"/>
          <w:lang w:eastAsia="zh-CN"/>
        </w:rPr>
      </w:pPr>
      <w:r>
        <w:rPr>
          <w:rFonts w:hint="eastAsia" w:ascii="方正小标宋简体" w:hAnsi="方正小标宋简体" w:eastAsia="方正小标宋简体" w:cs="方正小标宋简体"/>
          <w:b w:val="0"/>
          <w:bCs/>
          <w:sz w:val="44"/>
          <w:szCs w:val="44"/>
        </w:rPr>
        <w:t>2023年预算的报告</w:t>
      </w:r>
    </w:p>
    <w:p>
      <w:pPr>
        <w:spacing w:line="576" w:lineRule="exact"/>
        <w:ind w:firstLine="640" w:firstLineChars="200"/>
        <w:rPr>
          <w:rFonts w:hint="eastAsia" w:ascii="仿宋" w:hAnsi="仿宋" w:eastAsia="仿宋"/>
          <w:sz w:val="32"/>
          <w:szCs w:val="32"/>
        </w:rPr>
      </w:pPr>
    </w:p>
    <w:p>
      <w:pPr>
        <w:spacing w:line="576" w:lineRule="exact"/>
        <w:ind w:firstLine="640" w:firstLineChars="200"/>
        <w:rPr>
          <w:rFonts w:ascii="仿宋" w:hAnsi="仿宋" w:eastAsia="仿宋"/>
          <w:sz w:val="32"/>
          <w:szCs w:val="21"/>
        </w:rPr>
      </w:pPr>
      <w:r>
        <w:rPr>
          <w:rFonts w:hint="eastAsia" w:ascii="仿宋" w:hAnsi="仿宋" w:eastAsia="仿宋"/>
          <w:sz w:val="32"/>
          <w:szCs w:val="32"/>
        </w:rPr>
        <w:t>2022年，我乡财政工作以习近平新时代中国特色社会主义思想为指导，深入学习贯彻党的工作会议精神。在全球新冠疫情肆虐、经济下行和收支矛盾尖锐的严峻形势中，通过</w:t>
      </w:r>
      <w:r>
        <w:rPr>
          <w:rFonts w:hint="eastAsia" w:ascii="仿宋" w:hAnsi="仿宋" w:eastAsia="仿宋" w:cs="Arial"/>
          <w:color w:val="000000"/>
          <w:kern w:val="0"/>
          <w:sz w:val="32"/>
          <w:szCs w:val="44"/>
        </w:rPr>
        <w:t>乡党委的正确领导，在乡人大有力监督与支持下，认真落实乡第七届人大二次会议通过的各项决议，</w:t>
      </w:r>
      <w:r>
        <w:rPr>
          <w:rFonts w:hint="eastAsia" w:ascii="仿宋" w:hAnsi="仿宋" w:eastAsia="仿宋" w:cs="宋体"/>
          <w:color w:val="000000"/>
          <w:kern w:val="0"/>
          <w:sz w:val="32"/>
          <w:szCs w:val="44"/>
        </w:rPr>
        <w:t>坚持</w:t>
      </w:r>
      <w:r>
        <w:rPr>
          <w:rFonts w:hint="eastAsia" w:ascii="仿宋" w:hAnsi="仿宋" w:eastAsia="仿宋"/>
          <w:sz w:val="32"/>
          <w:szCs w:val="21"/>
        </w:rPr>
        <w:t>以“保工资、保运转、保基本民生”为目标</w:t>
      </w:r>
      <w:r>
        <w:rPr>
          <w:rFonts w:hint="eastAsia" w:ascii="仿宋" w:hAnsi="仿宋" w:eastAsia="仿宋" w:cs="宋体"/>
          <w:color w:val="000000"/>
          <w:kern w:val="0"/>
          <w:sz w:val="32"/>
          <w:szCs w:val="44"/>
        </w:rPr>
        <w:t>，加效提升财政政策，真抓实干壮大财源，优化支出结构，提高资金使用效益，为全力推进东郊</w:t>
      </w:r>
      <w:r>
        <w:rPr>
          <w:rFonts w:hint="eastAsia" w:ascii="仿宋" w:hAnsi="仿宋" w:eastAsia="仿宋"/>
          <w:sz w:val="32"/>
          <w:szCs w:val="21"/>
        </w:rPr>
        <w:t>乡经济健康发展提供有力保障。</w:t>
      </w:r>
    </w:p>
    <w:p>
      <w:pPr>
        <w:spacing w:line="576" w:lineRule="exact"/>
        <w:ind w:firstLine="640" w:firstLineChars="200"/>
        <w:rPr>
          <w:rFonts w:hint="eastAsia" w:ascii="黑体" w:hAnsi="黑体" w:eastAsia="黑体" w:cs="黑体"/>
          <w:b w:val="0"/>
          <w:bCs/>
          <w:sz w:val="32"/>
          <w:szCs w:val="32"/>
        </w:rPr>
      </w:pPr>
      <w:r>
        <w:rPr>
          <w:rFonts w:hint="eastAsia" w:ascii="黑体" w:hAnsi="黑体" w:eastAsia="黑体" w:cs="黑体"/>
          <w:b w:val="0"/>
          <w:bCs/>
          <w:sz w:val="32"/>
          <w:szCs w:val="32"/>
        </w:rPr>
        <w:t>一、一般公共预算收支执行情况</w:t>
      </w:r>
    </w:p>
    <w:p>
      <w:pPr>
        <w:spacing w:line="576" w:lineRule="exact"/>
        <w:rPr>
          <w:rFonts w:hint="eastAsia" w:ascii="楷体" w:hAnsi="楷体" w:eastAsia="楷体" w:cs="楷体"/>
          <w:b/>
          <w:bCs/>
          <w:sz w:val="32"/>
          <w:szCs w:val="32"/>
        </w:rPr>
      </w:pPr>
      <w:r>
        <w:rPr>
          <w:rFonts w:hint="eastAsia" w:ascii="楷体" w:hAnsi="楷体" w:eastAsia="楷体" w:cs="楷体"/>
          <w:b/>
          <w:bCs/>
          <w:sz w:val="32"/>
          <w:szCs w:val="32"/>
        </w:rPr>
        <w:t xml:space="preserve">   （一）收入预算执行情况</w:t>
      </w:r>
    </w:p>
    <w:p>
      <w:pPr>
        <w:spacing w:line="576" w:lineRule="exact"/>
        <w:ind w:firstLine="640" w:firstLineChars="200"/>
        <w:rPr>
          <w:rFonts w:ascii="仿宋" w:hAnsi="仿宋" w:eastAsia="仿宋"/>
          <w:sz w:val="32"/>
          <w:szCs w:val="32"/>
        </w:rPr>
      </w:pPr>
      <w:r>
        <w:rPr>
          <w:rFonts w:hint="eastAsia" w:ascii="仿宋" w:hAnsi="仿宋" w:eastAsia="仿宋"/>
          <w:sz w:val="32"/>
          <w:szCs w:val="32"/>
        </w:rPr>
        <w:t>2022年实现财政总收入4914.50万元。其中：</w:t>
      </w:r>
    </w:p>
    <w:p>
      <w:pPr>
        <w:spacing w:line="576" w:lineRule="exact"/>
        <w:ind w:firstLine="640" w:firstLineChars="200"/>
        <w:rPr>
          <w:rFonts w:ascii="仿宋" w:hAnsi="仿宋" w:eastAsia="仿宋"/>
          <w:sz w:val="32"/>
          <w:szCs w:val="32"/>
        </w:rPr>
      </w:pPr>
      <w:r>
        <w:rPr>
          <w:rFonts w:hint="eastAsia" w:ascii="仿宋" w:hAnsi="仿宋" w:eastAsia="仿宋"/>
          <w:sz w:val="32"/>
          <w:szCs w:val="32"/>
        </w:rPr>
        <w:t>1</w:t>
      </w:r>
      <w:r>
        <w:rPr>
          <w:rFonts w:hint="eastAsia" w:ascii="仿宋" w:hAnsi="仿宋" w:eastAsia="仿宋"/>
          <w:sz w:val="32"/>
          <w:szCs w:val="32"/>
          <w:lang w:val="en-US" w:eastAsia="zh-CN"/>
        </w:rPr>
        <w:t>.</w:t>
      </w:r>
      <w:r>
        <w:rPr>
          <w:rFonts w:hint="eastAsia" w:ascii="仿宋" w:hAnsi="仿宋" w:eastAsia="仿宋"/>
          <w:sz w:val="32"/>
          <w:szCs w:val="32"/>
        </w:rPr>
        <w:t>一般公共预算本级收入1734.74万元，完成情况为：全口径税收收入1710.57万元（其中总部经济完成1009.01万元），为年初预算的112.16%； 同比减收625.65万元。完成地方税收682.62万元，为年度预算的80.83%，完成预期目标的66.92%；财政完成非税收入24.17万元，其中国有资产出租收入20.4万元，其他罚没收入3.77万元。</w:t>
      </w:r>
    </w:p>
    <w:p>
      <w:pPr>
        <w:spacing w:line="576" w:lineRule="exact"/>
        <w:ind w:firstLine="640" w:firstLineChars="200"/>
        <w:rPr>
          <w:rFonts w:ascii="仿宋" w:hAnsi="仿宋" w:eastAsia="仿宋"/>
          <w:color w:val="FF0000"/>
          <w:sz w:val="32"/>
          <w:szCs w:val="32"/>
        </w:rPr>
      </w:pPr>
      <w:r>
        <w:rPr>
          <w:rFonts w:hint="eastAsia" w:ascii="仿宋" w:hAnsi="仿宋" w:eastAsia="仿宋"/>
          <w:sz w:val="32"/>
          <w:szCs w:val="32"/>
        </w:rPr>
        <w:t>2</w:t>
      </w:r>
      <w:r>
        <w:rPr>
          <w:rFonts w:hint="eastAsia" w:ascii="仿宋" w:hAnsi="仿宋" w:eastAsia="仿宋"/>
          <w:sz w:val="32"/>
          <w:szCs w:val="32"/>
          <w:lang w:val="en-US" w:eastAsia="zh-CN"/>
        </w:rPr>
        <w:t>.</w:t>
      </w:r>
      <w:r>
        <w:rPr>
          <w:rFonts w:hint="eastAsia" w:ascii="仿宋" w:hAnsi="仿宋" w:eastAsia="仿宋"/>
          <w:sz w:val="32"/>
          <w:szCs w:val="32"/>
        </w:rPr>
        <w:t>补助收入3179.76万元，为年初预算的91.32%，与上年基本持平。</w:t>
      </w:r>
    </w:p>
    <w:p>
      <w:pPr>
        <w:spacing w:line="576" w:lineRule="exact"/>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（二）支出预算执行情况</w:t>
      </w:r>
    </w:p>
    <w:p>
      <w:pPr>
        <w:spacing w:line="576" w:lineRule="exact"/>
        <w:ind w:firstLine="660"/>
        <w:rPr>
          <w:rFonts w:ascii="仿宋" w:hAnsi="仿宋" w:eastAsia="仿宋"/>
          <w:sz w:val="32"/>
          <w:szCs w:val="32"/>
        </w:rPr>
      </w:pPr>
      <w:r>
        <w:rPr>
          <w:rFonts w:hint="eastAsia" w:ascii="仿宋" w:hAnsi="仿宋" w:eastAsia="仿宋"/>
          <w:sz w:val="32"/>
          <w:szCs w:val="32"/>
        </w:rPr>
        <w:t>2022年完成一般公共预算本级支出3179.76万元，为年度预算的98.09%，同比增支117.47万元，增长0.37%。其构成如下：</w:t>
      </w:r>
    </w:p>
    <w:p>
      <w:pPr>
        <w:spacing w:line="576" w:lineRule="exact"/>
        <w:ind w:firstLine="640" w:firstLineChars="200"/>
        <w:rPr>
          <w:rFonts w:ascii="仿宋" w:hAnsi="仿宋" w:eastAsia="仿宋"/>
          <w:sz w:val="32"/>
          <w:szCs w:val="32"/>
        </w:rPr>
      </w:pPr>
      <w:r>
        <w:rPr>
          <w:rFonts w:hint="eastAsia" w:ascii="仿宋" w:hAnsi="仿宋" w:eastAsia="仿宋"/>
          <w:sz w:val="32"/>
          <w:szCs w:val="32"/>
        </w:rPr>
        <w:t>一般公共服务支出986.18万元，完成年度预算的92.68%，同比增支114.77万元，增长13.20%。其中：</w:t>
      </w:r>
      <w:r>
        <w:rPr>
          <w:rFonts w:hint="eastAsia" w:ascii="仿宋" w:hAnsi="仿宋" w:eastAsia="仿宋"/>
          <w:color w:val="000000"/>
          <w:sz w:val="32"/>
          <w:szCs w:val="32"/>
        </w:rPr>
        <w:t>人大政协事</w:t>
      </w:r>
      <w:r>
        <w:rPr>
          <w:rFonts w:hint="eastAsia" w:ascii="仿宋" w:hAnsi="仿宋" w:eastAsia="仿宋"/>
          <w:sz w:val="32"/>
          <w:szCs w:val="32"/>
        </w:rPr>
        <w:t>务支出39.37万元，为年度预算88.73%，同比节支9.33万元，下降19.16%；政府机关行政运行支出525.39 万元，为</w:t>
      </w:r>
      <w:r>
        <w:rPr>
          <w:rFonts w:hint="eastAsia" w:ascii="仿宋" w:hAnsi="仿宋" w:eastAsia="仿宋"/>
          <w:color w:val="000000"/>
          <w:sz w:val="32"/>
          <w:szCs w:val="32"/>
        </w:rPr>
        <w:t>年度预算的88.06%，同比增支73.72万元，增长16.32%；</w:t>
      </w:r>
      <w:r>
        <w:rPr>
          <w:rFonts w:hint="eastAsia" w:ascii="仿宋" w:hAnsi="仿宋" w:eastAsia="仿宋"/>
          <w:color w:val="000000" w:themeColor="text1"/>
          <w:sz w:val="32"/>
          <w:szCs w:val="32"/>
          <w14:textFill>
            <w14:solidFill>
              <w14:schemeClr w14:val="tx1"/>
            </w14:solidFill>
          </w14:textFill>
        </w:rPr>
        <w:t>共产党事务支出189.22</w:t>
      </w:r>
      <w:r>
        <w:rPr>
          <w:rFonts w:hint="eastAsia" w:ascii="仿宋" w:hAnsi="仿宋" w:eastAsia="仿宋"/>
          <w:sz w:val="32"/>
          <w:szCs w:val="32"/>
        </w:rPr>
        <w:t>万元，为年度预算的111.06%，同比增支57.04万元，增长43.16%；群众团体事务12.02万元，为年度预算的77.20%；财政事务（含代理中心及税收工作经费）172.03万元，为年度预算的87.64%，同比节支17.56万元，下降9.22%，便民服务中心47.26万元，同比增支11.32万元，增长31.50%。</w:t>
      </w:r>
    </w:p>
    <w:p>
      <w:pPr>
        <w:spacing w:line="576" w:lineRule="exact"/>
        <w:ind w:firstLine="640" w:firstLineChars="200"/>
        <w:rPr>
          <w:rFonts w:ascii="仿宋" w:hAnsi="仿宋" w:eastAsia="仿宋"/>
          <w:sz w:val="32"/>
          <w:szCs w:val="32"/>
        </w:rPr>
      </w:pPr>
      <w:r>
        <w:rPr>
          <w:rFonts w:hint="eastAsia" w:ascii="仿宋" w:hAnsi="仿宋" w:eastAsia="仿宋"/>
          <w:sz w:val="32"/>
          <w:szCs w:val="32"/>
        </w:rPr>
        <w:t>文化支出83.26万元，为年度预算的91.39%，同比增支35.67万元，增长74.96%；</w:t>
      </w:r>
    </w:p>
    <w:p>
      <w:pPr>
        <w:spacing w:line="576" w:lineRule="exact"/>
        <w:ind w:firstLine="640" w:firstLineChars="200"/>
        <w:rPr>
          <w:rFonts w:ascii="仿宋" w:hAnsi="仿宋" w:eastAsia="仿宋"/>
          <w:sz w:val="32"/>
          <w:szCs w:val="32"/>
        </w:rPr>
      </w:pPr>
      <w:r>
        <w:rPr>
          <w:rFonts w:hint="eastAsia" w:ascii="仿宋" w:hAnsi="仿宋" w:eastAsia="仿宋"/>
          <w:sz w:val="32"/>
          <w:szCs w:val="32"/>
        </w:rPr>
        <w:t>医疗卫生与计划生育支出134.59万元，为年度预算的89.08%，同比节支63.23万元，下降31.97%。其中：合医支出24.09万元，与年度预算持平，同比增支2.46万元，增长</w:t>
      </w:r>
      <w:r>
        <w:rPr>
          <w:rFonts w:hint="eastAsia" w:ascii="仿宋" w:hAnsi="仿宋" w:eastAsia="仿宋"/>
          <w:color w:val="000000" w:themeColor="text1"/>
          <w:sz w:val="32"/>
          <w:szCs w:val="32"/>
          <w14:textFill>
            <w14:solidFill>
              <w14:schemeClr w14:val="tx1"/>
            </w14:solidFill>
          </w14:textFill>
        </w:rPr>
        <w:t>11.37%；</w:t>
      </w:r>
      <w:r>
        <w:rPr>
          <w:rFonts w:hint="eastAsia" w:ascii="仿宋" w:hAnsi="仿宋" w:eastAsia="仿宋"/>
          <w:sz w:val="32"/>
          <w:szCs w:val="32"/>
        </w:rPr>
        <w:t>卫健支出110.50万元，为年度预算的87.01%，同比节支66.70万元，下降37.29%；</w:t>
      </w:r>
    </w:p>
    <w:p>
      <w:pPr>
        <w:spacing w:line="576" w:lineRule="exact"/>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sz w:val="32"/>
          <w:szCs w:val="32"/>
        </w:rPr>
        <w:t>社会保障和就业支出79.01万元，为年度预算的85.79%，同比增支9.67万元，增长</w:t>
      </w:r>
      <w:r>
        <w:rPr>
          <w:rFonts w:hint="eastAsia" w:ascii="仿宋" w:hAnsi="仿宋" w:eastAsia="仿宋"/>
          <w:color w:val="000000" w:themeColor="text1"/>
          <w:sz w:val="32"/>
          <w:szCs w:val="32"/>
          <w14:textFill>
            <w14:solidFill>
              <w14:schemeClr w14:val="tx1"/>
            </w14:solidFill>
          </w14:textFill>
        </w:rPr>
        <w:t>13.95%。其中：社会保障支出53.58万元，</w:t>
      </w:r>
      <w:r>
        <w:rPr>
          <w:rFonts w:hint="eastAsia" w:ascii="仿宋" w:hAnsi="仿宋" w:eastAsia="仿宋"/>
          <w:sz w:val="32"/>
          <w:szCs w:val="32"/>
        </w:rPr>
        <w:t>为年度预算的92.92%，同比增支4.80万元，增长9.84%；</w:t>
      </w:r>
    </w:p>
    <w:p>
      <w:pPr>
        <w:spacing w:line="576" w:lineRule="exact"/>
        <w:rPr>
          <w:rFonts w:ascii="仿宋" w:hAnsi="仿宋" w:eastAsia="仿宋"/>
          <w:sz w:val="32"/>
          <w:szCs w:val="32"/>
        </w:rPr>
      </w:pPr>
      <w:r>
        <w:rPr>
          <w:rFonts w:hint="eastAsia" w:ascii="仿宋" w:hAnsi="仿宋" w:eastAsia="仿宋"/>
          <w:sz w:val="32"/>
          <w:szCs w:val="32"/>
        </w:rPr>
        <w:t>退役军人服务站支出25.43万元，为年度预算的73.86%，同比增支4.87万元，增长23.70%。</w:t>
      </w:r>
    </w:p>
    <w:p>
      <w:pPr>
        <w:spacing w:line="576" w:lineRule="exact"/>
        <w:ind w:firstLine="640" w:firstLineChars="200"/>
        <w:rPr>
          <w:rFonts w:ascii="仿宋" w:hAnsi="仿宋" w:eastAsia="仿宋"/>
          <w:sz w:val="32"/>
          <w:szCs w:val="32"/>
        </w:rPr>
      </w:pPr>
      <w:r>
        <w:rPr>
          <w:rFonts w:hint="eastAsia" w:ascii="仿宋" w:hAnsi="仿宋" w:eastAsia="仿宋"/>
          <w:sz w:val="32"/>
          <w:szCs w:val="32"/>
        </w:rPr>
        <w:t>节能环保支出74.61万元，为年度预算的103.31%，同比增支18.10万元，增长32.03%。</w:t>
      </w:r>
    </w:p>
    <w:p>
      <w:pPr>
        <w:spacing w:line="576" w:lineRule="exact"/>
        <w:ind w:firstLine="640" w:firstLineChars="200"/>
        <w:rPr>
          <w:rFonts w:ascii="仿宋" w:hAnsi="仿宋" w:eastAsia="仿宋"/>
          <w:sz w:val="32"/>
          <w:szCs w:val="32"/>
        </w:rPr>
      </w:pPr>
      <w:r>
        <w:rPr>
          <w:rFonts w:hint="eastAsia" w:ascii="仿宋" w:hAnsi="仿宋" w:eastAsia="仿宋"/>
          <w:sz w:val="32"/>
          <w:szCs w:val="32"/>
        </w:rPr>
        <w:t>城乡社区支出159.79万元，为年度预算的113.08%，同比增支20.86万元，增长15.01%。其中：城规支出73.15万元，为年度预算的115.86%，同比增支26.60万元，增长57.13%；人居环境整治支出86.64万元，为年度预算的110.83%。</w:t>
      </w:r>
    </w:p>
    <w:p>
      <w:pPr>
        <w:spacing w:line="576" w:lineRule="exact"/>
        <w:ind w:firstLine="640" w:firstLineChars="200"/>
        <w:rPr>
          <w:rFonts w:ascii="仿宋" w:hAnsi="仿宋" w:eastAsia="仿宋"/>
          <w:sz w:val="32"/>
          <w:szCs w:val="32"/>
        </w:rPr>
      </w:pPr>
      <w:r>
        <w:rPr>
          <w:rFonts w:hint="eastAsia" w:ascii="仿宋" w:hAnsi="仿宋" w:eastAsia="仿宋"/>
          <w:sz w:val="32"/>
          <w:szCs w:val="32"/>
        </w:rPr>
        <w:t>农林水事务支出1365.88万元，为年度预算的102.28%，同比节支166.67万元，下降10.88%。其中：农业支出（经管站、农机站、农技站、</w:t>
      </w:r>
      <w:r>
        <w:rPr>
          <w:rFonts w:hint="eastAsia" w:ascii="仿宋" w:hAnsi="仿宋" w:eastAsia="仿宋"/>
          <w:color w:val="000000"/>
          <w:sz w:val="32"/>
          <w:szCs w:val="32"/>
        </w:rPr>
        <w:t>动物防疫站）299.72万元；水利支出</w:t>
      </w:r>
      <w:r>
        <w:rPr>
          <w:rFonts w:hint="eastAsia" w:ascii="仿宋" w:hAnsi="仿宋" w:eastAsia="仿宋"/>
          <w:sz w:val="32"/>
          <w:szCs w:val="32"/>
        </w:rPr>
        <w:t>136.14万元；扶贫支出41.86万元；林业支出62.23万元；村级组织补助支出651.23万元；农村公益事业支出164.71万元，其他农业支出10万元。本类支出降幅较大，其主要原因是村级运转经费及村级项目资金支出没有在年度内支付到位。</w:t>
      </w:r>
    </w:p>
    <w:p>
      <w:pPr>
        <w:spacing w:line="576" w:lineRule="exact"/>
        <w:ind w:firstLine="640" w:firstLineChars="200"/>
        <w:rPr>
          <w:rFonts w:ascii="仿宋" w:hAnsi="仿宋" w:eastAsia="仿宋"/>
          <w:sz w:val="32"/>
          <w:szCs w:val="32"/>
        </w:rPr>
      </w:pPr>
      <w:r>
        <w:rPr>
          <w:rFonts w:hint="eastAsia" w:ascii="仿宋" w:hAnsi="仿宋" w:eastAsia="仿宋"/>
          <w:sz w:val="32"/>
          <w:szCs w:val="32"/>
        </w:rPr>
        <w:t>公共安全支出296.45 万元，为年度预算的100.72%，同比增支42.58万元，增长16.77%。其中：应急管理支出153.70万元，为年度预算的102.05%，同比节支20.04万元，下降11.54%；综合执法大队支出142.75万元，与年度预算持平，同比增支62.62万元，增长78.15%。</w:t>
      </w:r>
    </w:p>
    <w:p>
      <w:pPr>
        <w:spacing w:line="576" w:lineRule="exact"/>
        <w:ind w:firstLine="640" w:firstLineChars="200"/>
        <w:rPr>
          <w:rFonts w:ascii="仿宋" w:hAnsi="仿宋" w:eastAsia="仿宋"/>
          <w:sz w:val="32"/>
          <w:szCs w:val="32"/>
        </w:rPr>
      </w:pPr>
      <w:r>
        <w:rPr>
          <w:rFonts w:hint="eastAsia" w:ascii="仿宋" w:hAnsi="仿宋" w:eastAsia="仿宋"/>
          <w:sz w:val="32"/>
          <w:szCs w:val="32"/>
        </w:rPr>
        <w:t>从构成看，占比较大的是一般公共服务支出、公共安全支出和农林水事务支出三类，分别占支出总额的31.01% 、9.32%、42.96%，与上年比，一般公共服务支出和公共安全支出占比有所上升，农林水支出占比有所降低。</w:t>
      </w:r>
    </w:p>
    <w:p>
      <w:pPr>
        <w:spacing w:line="576" w:lineRule="exact"/>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（三）财政收支平衡情况</w:t>
      </w:r>
    </w:p>
    <w:p>
      <w:pPr>
        <w:spacing w:line="576" w:lineRule="exact"/>
        <w:ind w:firstLine="640" w:firstLineChars="200"/>
        <w:rPr>
          <w:rFonts w:ascii="仿宋" w:hAnsi="仿宋" w:eastAsia="仿宋"/>
          <w:sz w:val="32"/>
          <w:szCs w:val="32"/>
        </w:rPr>
      </w:pPr>
      <w:r>
        <w:rPr>
          <w:rFonts w:hint="eastAsia" w:ascii="仿宋" w:hAnsi="仿宋" w:eastAsia="仿宋"/>
          <w:sz w:val="32"/>
          <w:szCs w:val="32"/>
        </w:rPr>
        <w:t>2022年财政补助收入3179.76万元，一般预算支出3179.76万元，做到了收支平衡。</w:t>
      </w:r>
    </w:p>
    <w:p>
      <w:pPr>
        <w:spacing w:line="576" w:lineRule="exact"/>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（四）收支执行情况分析</w:t>
      </w:r>
    </w:p>
    <w:p>
      <w:pPr>
        <w:spacing w:line="576" w:lineRule="exact"/>
        <w:ind w:firstLine="640" w:firstLineChars="200"/>
        <w:rPr>
          <w:rFonts w:ascii="仿宋" w:hAnsi="仿宋" w:eastAsia="仿宋"/>
          <w:sz w:val="32"/>
          <w:szCs w:val="32"/>
        </w:rPr>
      </w:pPr>
      <w:r>
        <w:rPr>
          <w:rFonts w:hint="eastAsia" w:ascii="仿宋" w:hAnsi="仿宋" w:eastAsia="仿宋"/>
          <w:sz w:val="32"/>
          <w:szCs w:val="32"/>
        </w:rPr>
        <w:t>2022年，我乡在体制财力不足的情况下，通过努力完成总部经济收入，盘活存量资产，清收债权、清偿债务，积极向上争取项目资金，有效的增加了可用财力。同时，通过完善财务管理制度，提升财务管理水平，努力节约开支，提高资金使用效益，既保障了机关的正常运转，也高效的应对了新冠肺炎、防溺水等突发事件。具体来说，有以下特点：</w:t>
      </w:r>
    </w:p>
    <w:p>
      <w:pPr>
        <w:numPr>
          <w:ilvl w:val="0"/>
          <w:numId w:val="0"/>
        </w:numPr>
        <w:spacing w:line="576" w:lineRule="exact"/>
        <w:ind w:firstLine="640" w:firstLineChars="200"/>
        <w:rPr>
          <w:rFonts w:ascii="仿宋" w:hAnsi="仿宋" w:eastAsia="仿宋"/>
          <w:sz w:val="32"/>
          <w:szCs w:val="32"/>
        </w:rPr>
      </w:pPr>
      <w:r>
        <w:rPr>
          <w:rFonts w:hint="eastAsia" w:ascii="仿宋" w:hAnsi="仿宋" w:eastAsia="仿宋"/>
          <w:sz w:val="32"/>
          <w:szCs w:val="32"/>
          <w:lang w:val="en-US" w:eastAsia="zh-CN"/>
        </w:rPr>
        <w:t>1.</w:t>
      </w:r>
      <w:r>
        <w:rPr>
          <w:rFonts w:hint="eastAsia" w:ascii="仿宋" w:hAnsi="仿宋" w:eastAsia="仿宋"/>
          <w:sz w:val="32"/>
          <w:szCs w:val="32"/>
        </w:rPr>
        <w:t>以保工资、保运转、保基本民生为核心，保障刚性支出到位。</w:t>
      </w:r>
    </w:p>
    <w:p>
      <w:pPr>
        <w:numPr>
          <w:ilvl w:val="0"/>
          <w:numId w:val="0"/>
        </w:numPr>
        <w:spacing w:line="576" w:lineRule="exact"/>
        <w:ind w:firstLine="640" w:firstLineChars="200"/>
        <w:rPr>
          <w:rFonts w:ascii="仿宋" w:hAnsi="仿宋" w:eastAsia="仿宋"/>
          <w:sz w:val="32"/>
          <w:szCs w:val="32"/>
        </w:rPr>
      </w:pPr>
      <w:r>
        <w:rPr>
          <w:rFonts w:hint="eastAsia" w:ascii="仿宋" w:hAnsi="仿宋" w:eastAsia="仿宋"/>
          <w:sz w:val="32"/>
          <w:szCs w:val="32"/>
          <w:lang w:val="en-US" w:eastAsia="zh-CN"/>
        </w:rPr>
        <w:t>2.</w:t>
      </w:r>
      <w:r>
        <w:rPr>
          <w:rFonts w:hint="eastAsia" w:ascii="仿宋" w:hAnsi="仿宋" w:eastAsia="仿宋"/>
          <w:sz w:val="32"/>
          <w:szCs w:val="32"/>
        </w:rPr>
        <w:t>致力加强保障和改善民生，有效解决群众的“急难愁盼”问题，保证社会稳定。</w:t>
      </w:r>
    </w:p>
    <w:p>
      <w:pPr>
        <w:numPr>
          <w:ilvl w:val="0"/>
          <w:numId w:val="0"/>
        </w:numPr>
        <w:spacing w:line="576" w:lineRule="exact"/>
        <w:ind w:firstLine="640" w:firstLineChars="200"/>
        <w:rPr>
          <w:rFonts w:ascii="仿宋" w:hAnsi="仿宋" w:eastAsia="仿宋"/>
          <w:sz w:val="32"/>
          <w:szCs w:val="32"/>
        </w:rPr>
      </w:pPr>
      <w:r>
        <w:rPr>
          <w:rFonts w:hint="eastAsia" w:ascii="仿宋" w:hAnsi="仿宋" w:eastAsia="仿宋"/>
          <w:sz w:val="32"/>
          <w:szCs w:val="32"/>
          <w:lang w:val="en-US" w:eastAsia="zh-CN"/>
        </w:rPr>
        <w:t>3.</w:t>
      </w:r>
      <w:r>
        <w:rPr>
          <w:rFonts w:hint="eastAsia" w:ascii="仿宋" w:hAnsi="仿宋" w:eastAsia="仿宋"/>
          <w:sz w:val="32"/>
          <w:szCs w:val="32"/>
        </w:rPr>
        <w:t>乡镇情况复杂，人员分工有背离编制现象，影响了支出的准确性。</w:t>
      </w:r>
    </w:p>
    <w:p>
      <w:pPr>
        <w:spacing w:line="576" w:lineRule="exact"/>
        <w:ind w:firstLine="640" w:firstLineChars="200"/>
        <w:rPr>
          <w:rFonts w:ascii="仿宋" w:hAnsi="仿宋" w:eastAsia="仿宋"/>
          <w:sz w:val="32"/>
          <w:szCs w:val="32"/>
        </w:rPr>
      </w:pPr>
      <w:r>
        <w:rPr>
          <w:rFonts w:hint="eastAsia" w:ascii="仿宋" w:hAnsi="仿宋" w:eastAsia="仿宋"/>
          <w:sz w:val="32"/>
          <w:szCs w:val="32"/>
          <w:lang w:val="en-US" w:eastAsia="zh-CN"/>
        </w:rPr>
        <w:t>4.</w:t>
      </w:r>
      <w:r>
        <w:rPr>
          <w:rFonts w:hint="eastAsia" w:ascii="仿宋" w:hAnsi="仿宋" w:eastAsia="仿宋"/>
          <w:sz w:val="32"/>
          <w:szCs w:val="32"/>
        </w:rPr>
        <w:t>预算编制还需进一步精细化、科学化，预算约束力还需进一步加强。预算支出的刚性执行不够，各项收入预算有较大的不确定性，导致部分预算支出和时间节点不相匹配。</w:t>
      </w:r>
    </w:p>
    <w:p>
      <w:pPr>
        <w:spacing w:line="576" w:lineRule="exact"/>
        <w:ind w:firstLine="627" w:firstLineChars="196"/>
        <w:outlineLvl w:val="0"/>
        <w:rPr>
          <w:rFonts w:ascii="仿宋" w:hAnsi="仿宋" w:eastAsia="仿宋"/>
          <w:sz w:val="32"/>
          <w:szCs w:val="32"/>
        </w:rPr>
      </w:pPr>
      <w:r>
        <w:rPr>
          <w:rFonts w:hint="eastAsia" w:ascii="仿宋" w:hAnsi="仿宋" w:eastAsia="仿宋"/>
          <w:sz w:val="32"/>
          <w:szCs w:val="32"/>
          <w:lang w:val="en-US" w:eastAsia="zh-CN"/>
        </w:rPr>
        <w:t>5.</w:t>
      </w:r>
      <w:r>
        <w:rPr>
          <w:rFonts w:hint="eastAsia" w:ascii="仿宋" w:hAnsi="仿宋" w:eastAsia="仿宋"/>
          <w:sz w:val="32"/>
          <w:szCs w:val="32"/>
        </w:rPr>
        <w:t>因年度结算实行收付实现制，导致收支可比性不强。</w:t>
      </w:r>
    </w:p>
    <w:p>
      <w:pPr>
        <w:spacing w:line="576" w:lineRule="exact"/>
        <w:ind w:firstLine="640" w:firstLineChars="200"/>
        <w:rPr>
          <w:rFonts w:hint="eastAsia" w:ascii="黑体" w:hAnsi="黑体" w:eastAsia="黑体" w:cs="黑体"/>
          <w:b w:val="0"/>
          <w:bCs/>
          <w:sz w:val="32"/>
          <w:szCs w:val="32"/>
        </w:rPr>
      </w:pPr>
      <w:r>
        <w:rPr>
          <w:rFonts w:hint="eastAsia" w:ascii="黑体" w:hAnsi="黑体" w:eastAsia="黑体" w:cs="黑体"/>
          <w:b w:val="0"/>
          <w:bCs/>
          <w:sz w:val="32"/>
          <w:szCs w:val="32"/>
        </w:rPr>
        <w:t>二、代管资金收支执行情况</w:t>
      </w:r>
    </w:p>
    <w:p>
      <w:pPr>
        <w:spacing w:line="576" w:lineRule="exact"/>
        <w:ind w:firstLine="640" w:firstLineChars="200"/>
        <w:rPr>
          <w:rFonts w:ascii="仿宋" w:hAnsi="仿宋" w:eastAsia="仿宋"/>
          <w:sz w:val="32"/>
          <w:szCs w:val="32"/>
        </w:rPr>
      </w:pPr>
      <w:r>
        <w:rPr>
          <w:rFonts w:hint="eastAsia" w:ascii="仿宋" w:hAnsi="仿宋" w:eastAsia="仿宋"/>
          <w:color w:val="000000" w:themeColor="text1"/>
          <w:sz w:val="32"/>
          <w:szCs w:val="32"/>
          <w14:textFill>
            <w14:solidFill>
              <w14:schemeClr w14:val="tx1"/>
            </w14:solidFill>
          </w14:textFill>
        </w:rPr>
        <w:t>2022年代管资金收入总额638.04万元</w:t>
      </w:r>
      <w:r>
        <w:rPr>
          <w:rFonts w:hint="eastAsia" w:ascii="仿宋" w:hAnsi="仿宋" w:eastAsia="仿宋"/>
          <w:sz w:val="32"/>
          <w:szCs w:val="32"/>
        </w:rPr>
        <w:t>，代管资金支出总额1048.51万元。年度收支结余为-448.80万元。</w:t>
      </w:r>
    </w:p>
    <w:p>
      <w:pPr>
        <w:spacing w:line="576" w:lineRule="exact"/>
        <w:ind w:firstLine="640" w:firstLineChars="200"/>
        <w:rPr>
          <w:rFonts w:hint="eastAsia" w:ascii="黑体" w:hAnsi="黑体" w:eastAsia="黑体" w:cs="黑体"/>
          <w:b w:val="0"/>
          <w:bCs/>
          <w:sz w:val="32"/>
          <w:szCs w:val="32"/>
        </w:rPr>
      </w:pPr>
      <w:r>
        <w:rPr>
          <w:rFonts w:hint="eastAsia" w:ascii="黑体" w:hAnsi="黑体" w:eastAsia="黑体" w:cs="黑体"/>
          <w:b w:val="0"/>
          <w:bCs/>
          <w:sz w:val="32"/>
          <w:szCs w:val="32"/>
          <w:lang w:eastAsia="zh-CN"/>
        </w:rPr>
        <w:t>三</w:t>
      </w:r>
      <w:r>
        <w:rPr>
          <w:rFonts w:hint="eastAsia" w:ascii="黑体" w:hAnsi="黑体" w:eastAsia="黑体" w:cs="黑体"/>
          <w:b w:val="0"/>
          <w:bCs/>
          <w:sz w:val="32"/>
          <w:szCs w:val="32"/>
        </w:rPr>
        <w:t>、关于2022年财政工作</w:t>
      </w:r>
    </w:p>
    <w:p>
      <w:pPr>
        <w:spacing w:line="576" w:lineRule="exact"/>
        <w:ind w:firstLine="640" w:firstLineChars="200"/>
        <w:rPr>
          <w:rFonts w:ascii="仿宋" w:hAnsi="仿宋" w:eastAsia="仿宋"/>
          <w:sz w:val="32"/>
          <w:szCs w:val="32"/>
        </w:rPr>
      </w:pPr>
      <w:r>
        <w:rPr>
          <w:rFonts w:hint="eastAsia" w:ascii="仿宋" w:hAnsi="仿宋" w:eastAsia="仿宋"/>
          <w:sz w:val="32"/>
          <w:szCs w:val="32"/>
        </w:rPr>
        <w:t>2022年，东郊乡财政所在乡党委、政府的正确领导下，在市财政局的悉心指导下，不断创新工作思路，财政各项工作呈现出良好发展态势，有力地促进了全乡经济社会的和谐发展。总结全年工作，</w:t>
      </w:r>
      <w:r>
        <w:rPr>
          <w:rFonts w:hint="eastAsia" w:ascii="仿宋" w:hAnsi="仿宋" w:eastAsia="仿宋"/>
          <w:color w:val="000000"/>
          <w:sz w:val="32"/>
          <w:szCs w:val="32"/>
        </w:rPr>
        <w:t>主要有以下几个方面</w:t>
      </w:r>
      <w:r>
        <w:rPr>
          <w:rFonts w:hint="eastAsia" w:ascii="仿宋" w:hAnsi="仿宋" w:eastAsia="仿宋"/>
          <w:sz w:val="32"/>
          <w:szCs w:val="32"/>
        </w:rPr>
        <w:t>：</w:t>
      </w:r>
    </w:p>
    <w:p>
      <w:pPr>
        <w:spacing w:line="576" w:lineRule="exact"/>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（一）强化预算，注重实效，财政管理更加有序</w:t>
      </w:r>
    </w:p>
    <w:p>
      <w:pPr>
        <w:spacing w:line="576" w:lineRule="exact"/>
        <w:ind w:firstLine="640" w:firstLineChars="200"/>
        <w:jc w:val="left"/>
        <w:rPr>
          <w:rFonts w:ascii="仿宋" w:hAnsi="仿宋" w:eastAsia="仿宋"/>
          <w:sz w:val="32"/>
          <w:szCs w:val="32"/>
        </w:rPr>
      </w:pPr>
      <w:r>
        <w:rPr>
          <w:rFonts w:hint="eastAsia" w:ascii="仿宋" w:hAnsi="仿宋" w:eastAsia="仿宋"/>
          <w:sz w:val="32"/>
        </w:rPr>
        <w:t>深化财政预算体制改革，完善预算执行动态监管，定期进行预算执行分析，推进财政预算管理科学化、精细化。落实中央八项规定</w:t>
      </w:r>
      <w:r>
        <w:rPr>
          <w:rFonts w:hint="eastAsia" w:ascii="仿宋" w:hAnsi="仿宋" w:eastAsia="仿宋"/>
          <w:sz w:val="32"/>
          <w:lang w:eastAsia="zh-CN"/>
        </w:rPr>
        <w:t>精神</w:t>
      </w:r>
      <w:bookmarkStart w:id="0" w:name="_GoBack"/>
      <w:bookmarkEnd w:id="0"/>
      <w:r>
        <w:rPr>
          <w:rFonts w:hint="eastAsia" w:ascii="仿宋" w:hAnsi="仿宋" w:eastAsia="仿宋"/>
          <w:sz w:val="32"/>
        </w:rPr>
        <w:t>和厉行节约、福利限额、政府采购各项规定，牢固树立政府过紧日子的思想，严格控制“三公”经费，压缩会议、接待等一般性支出，降低行政运行成本，实现公用经费持续下降；同时，完善内控制度，规范资金审批手续和支付流程，提高资金使用效益；进一步加强和完善村帐乡代理工作，加强村级财务管理和监督，维护群众合法权益，</w:t>
      </w:r>
      <w:r>
        <w:rPr>
          <w:rFonts w:hint="eastAsia" w:ascii="仿宋" w:hAnsi="仿宋" w:eastAsia="仿宋"/>
          <w:sz w:val="32"/>
          <w:szCs w:val="32"/>
        </w:rPr>
        <w:t>从而促进干群关系更加融洽，维护农村社会更加稳定。</w:t>
      </w:r>
    </w:p>
    <w:p>
      <w:pPr>
        <w:spacing w:line="576" w:lineRule="exact"/>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（二）健全机制，夯实财源，保障收入均衡入库</w:t>
      </w:r>
    </w:p>
    <w:p>
      <w:pPr>
        <w:spacing w:line="576" w:lineRule="exact"/>
        <w:ind w:firstLine="640" w:firstLineChars="200"/>
        <w:jc w:val="left"/>
        <w:rPr>
          <w:rFonts w:ascii="仿宋" w:hAnsi="仿宋" w:eastAsia="仿宋"/>
          <w:color w:val="auto"/>
          <w:sz w:val="32"/>
        </w:rPr>
      </w:pPr>
      <w:r>
        <w:rPr>
          <w:rFonts w:hint="eastAsia" w:ascii="仿宋" w:hAnsi="仿宋" w:eastAsia="仿宋"/>
          <w:sz w:val="32"/>
        </w:rPr>
        <w:t>始终将组织收入作为财税工作的中心，坚持稳字当头、稳中求进，以做大、分好财政蛋糕为目标，为全乡经济发展提供更多财力保障。一是密切关注政策、经济走向，加强收入形式分析研判，坚决落实上级政策要求；二是会同税务部门，整理、分析好涉税信息，消除征管盲点，及时落实征管措施，强化征管责任，健全各项机制，力争完成财政收入任务</w:t>
      </w:r>
      <w:r>
        <w:rPr>
          <w:rFonts w:hint="eastAsia" w:ascii="仿宋" w:hAnsi="仿宋" w:eastAsia="仿宋"/>
          <w:sz w:val="32"/>
          <w:lang w:eastAsia="zh-CN"/>
        </w:rPr>
        <w:t>。</w:t>
      </w:r>
      <w:r>
        <w:rPr>
          <w:rFonts w:hint="eastAsia" w:ascii="仿宋" w:hAnsi="仿宋" w:eastAsia="仿宋"/>
          <w:sz w:val="32"/>
          <w:lang w:val="en-US" w:eastAsia="zh-CN"/>
        </w:rPr>
        <w:t>2022年在经济下行的大环境中，东郊乡企业效益滑坡，加之环保督促，关闭了几家不达标的企业，导致税源减少，税收任务完成不理想。但</w:t>
      </w:r>
      <w:r>
        <w:rPr>
          <w:rFonts w:hint="eastAsia" w:ascii="仿宋" w:hAnsi="仿宋" w:eastAsia="仿宋"/>
          <w:sz w:val="32"/>
        </w:rPr>
        <w:t>通过持续努力，</w:t>
      </w:r>
      <w:r>
        <w:rPr>
          <w:rFonts w:hint="eastAsia" w:ascii="仿宋" w:hAnsi="仿宋" w:eastAsia="仿宋"/>
          <w:color w:val="000000" w:themeColor="text1"/>
          <w:sz w:val="32"/>
          <w14:textFill>
            <w14:solidFill>
              <w14:schemeClr w14:val="tx1"/>
            </w14:solidFill>
          </w14:textFill>
        </w:rPr>
        <w:t>我乡全年完成总部经济收入1</w:t>
      </w:r>
      <w:r>
        <w:rPr>
          <w:rFonts w:hint="eastAsia" w:ascii="仿宋" w:hAnsi="仿宋" w:eastAsia="仿宋"/>
          <w:color w:val="000000" w:themeColor="text1"/>
          <w:sz w:val="32"/>
          <w:lang w:val="en-US" w:eastAsia="zh-CN"/>
          <w14:textFill>
            <w14:solidFill>
              <w14:schemeClr w14:val="tx1"/>
            </w14:solidFill>
          </w14:textFill>
        </w:rPr>
        <w:t>009</w:t>
      </w:r>
      <w:r>
        <w:rPr>
          <w:rFonts w:hint="eastAsia" w:ascii="仿宋" w:hAnsi="仿宋" w:eastAsia="仿宋"/>
          <w:color w:val="000000" w:themeColor="text1"/>
          <w:sz w:val="32"/>
          <w14:textFill>
            <w14:solidFill>
              <w14:schemeClr w14:val="tx1"/>
            </w14:solidFill>
          </w14:textFill>
        </w:rPr>
        <w:t>万元，</w:t>
      </w:r>
      <w:r>
        <w:rPr>
          <w:rFonts w:hint="eastAsia" w:ascii="仿宋" w:hAnsi="仿宋" w:eastAsia="仿宋"/>
          <w:color w:val="000000" w:themeColor="text1"/>
          <w:sz w:val="32"/>
          <w:lang w:val="en-US" w:eastAsia="zh-CN"/>
          <w14:textFill>
            <w14:solidFill>
              <w14:schemeClr w14:val="tx1"/>
            </w14:solidFill>
          </w14:textFill>
        </w:rPr>
        <w:t>名列全市前茅，</w:t>
      </w:r>
      <w:r>
        <w:rPr>
          <w:rFonts w:hint="eastAsia" w:ascii="仿宋" w:hAnsi="仿宋" w:eastAsia="仿宋"/>
          <w:color w:val="000000" w:themeColor="text1"/>
          <w:sz w:val="32"/>
          <w:lang w:eastAsia="zh-CN"/>
          <w14:textFill>
            <w14:solidFill>
              <w14:schemeClr w14:val="tx1"/>
            </w14:solidFill>
          </w14:textFill>
        </w:rPr>
        <w:t>在</w:t>
      </w:r>
      <w:r>
        <w:rPr>
          <w:rFonts w:hint="eastAsia" w:ascii="仿宋" w:hAnsi="仿宋" w:eastAsia="仿宋"/>
          <w:color w:val="000000" w:themeColor="text1"/>
          <w:sz w:val="32"/>
          <w:lang w:val="en-US" w:eastAsia="zh-CN"/>
          <w14:textFill>
            <w14:solidFill>
              <w14:schemeClr w14:val="tx1"/>
            </w14:solidFill>
          </w14:textFill>
        </w:rPr>
        <w:t>税收完成总额中占比较大</w:t>
      </w:r>
      <w:r>
        <w:rPr>
          <w:rFonts w:hint="eastAsia" w:ascii="仿宋" w:hAnsi="仿宋" w:eastAsia="仿宋"/>
          <w:sz w:val="32"/>
        </w:rPr>
        <w:t>；三是乡财政所持续开展宣传教育活动，增强全民纳税意识。</w:t>
      </w:r>
    </w:p>
    <w:p>
      <w:pPr>
        <w:spacing w:line="576" w:lineRule="exact"/>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（三）合理安排，突出重点，提高民生保障水平</w:t>
      </w:r>
    </w:p>
    <w:p>
      <w:pPr>
        <w:spacing w:line="576" w:lineRule="exact"/>
        <w:ind w:firstLine="640" w:firstLineChars="200"/>
        <w:jc w:val="left"/>
        <w:rPr>
          <w:rFonts w:hint="eastAsia" w:ascii="仿宋" w:hAnsi="仿宋" w:eastAsia="仿宋"/>
          <w:sz w:val="32"/>
        </w:rPr>
      </w:pPr>
      <w:r>
        <w:rPr>
          <w:rFonts w:hint="eastAsia" w:ascii="仿宋" w:hAnsi="仿宋" w:eastAsia="仿宋"/>
          <w:sz w:val="32"/>
        </w:rPr>
        <w:t>优化财政支出结构,将财政资金用在刀刃上,全力保障民生重点项目。统筹安排有限资金，重点保障民生领域，全力支持环保、</w:t>
      </w:r>
      <w:r>
        <w:rPr>
          <w:rFonts w:hint="eastAsia" w:ascii="仿宋" w:hAnsi="仿宋" w:eastAsia="仿宋"/>
          <w:sz w:val="32"/>
          <w:lang w:val="en-US" w:eastAsia="zh-CN"/>
        </w:rPr>
        <w:t>应急管理、</w:t>
      </w:r>
      <w:r>
        <w:rPr>
          <w:rFonts w:hint="eastAsia" w:ascii="仿宋" w:hAnsi="仿宋" w:eastAsia="仿宋"/>
          <w:sz w:val="32"/>
        </w:rPr>
        <w:t>医疗卫生、社会保障、农林水等工作项目的开展，促进基本公共服务均等化，彰显公共财政民生民本特色。同时，足额保障农村环境卫生整治的资金需要，为美化农村、打造宜居乡村积极创造条件。</w:t>
      </w:r>
    </w:p>
    <w:p>
      <w:pPr>
        <w:spacing w:line="576" w:lineRule="exact"/>
        <w:ind w:firstLine="640" w:firstLineChars="200"/>
        <w:jc w:val="left"/>
        <w:rPr>
          <w:rFonts w:ascii="仿宋" w:hAnsi="仿宋" w:eastAsia="仿宋"/>
          <w:sz w:val="32"/>
          <w:szCs w:val="32"/>
        </w:rPr>
      </w:pPr>
      <w:r>
        <w:rPr>
          <w:rFonts w:hint="eastAsia" w:ascii="仿宋" w:hAnsi="仿宋" w:eastAsia="仿宋"/>
          <w:sz w:val="32"/>
        </w:rPr>
        <w:t>虽然</w:t>
      </w:r>
      <w:r>
        <w:rPr>
          <w:rFonts w:hint="eastAsia" w:ascii="仿宋" w:hAnsi="仿宋" w:eastAsia="仿宋"/>
          <w:sz w:val="32"/>
          <w:szCs w:val="21"/>
        </w:rPr>
        <w:t>我乡较好地完成</w:t>
      </w:r>
      <w:r>
        <w:rPr>
          <w:rFonts w:hint="eastAsia" w:ascii="仿宋" w:hAnsi="仿宋" w:eastAsia="仿宋"/>
          <w:sz w:val="32"/>
          <w:szCs w:val="21"/>
          <w:lang w:eastAsia="zh-CN"/>
        </w:rPr>
        <w:t>了</w:t>
      </w:r>
      <w:r>
        <w:rPr>
          <w:rFonts w:hint="eastAsia" w:ascii="仿宋" w:hAnsi="仿宋" w:eastAsia="仿宋"/>
          <w:sz w:val="32"/>
          <w:szCs w:val="21"/>
          <w:lang w:val="en-US" w:eastAsia="zh-CN"/>
        </w:rPr>
        <w:t>各项财政工作任务</w:t>
      </w:r>
      <w:r>
        <w:rPr>
          <w:rFonts w:hint="eastAsia" w:ascii="仿宋" w:hAnsi="仿宋" w:eastAsia="仿宋"/>
          <w:sz w:val="32"/>
          <w:szCs w:val="21"/>
        </w:rPr>
        <w:t>，但财政面临的形势仍然不容乐观。一是乡财政自身财力并不宽裕，供养人员较多，乡财政正由“吃饭财政”向“民生财政”转型，造成支出供求矛盾加大；二是上级集中财权，经过多次财政体制调整，乡本级财力减少。特别是第六轮乡镇财政管理体制规定，乡镇不参与税收的分成，阻断了靠超额完成税收任务来增加乡级财力的途径；三是乡镇事务本就繁多，且地处城郊，维稳及环境卫生支出较多，社会保障、医疗卫生、环境保护等重点领域刚性支出逐年增长，压力较大、维系吃力；四是税收任务年年增加而企业发展后劲不足，招商引资难度大，完成财税任务压力逐年增大；五是我乡重点税源项目偏少，受宏观经济影响，部分传统产业经济不景气，给收入增长带来一定的不确定性；六是预算约束薄弱，乡镇经费支出存在难预测性，导致财政预算编制缺乏可操作性，预算执行与年初预算编制存在一定差距，同时存在预算的法律约束力严重被削弱的情况。我们必须正确认识到我乡财政工作存在的困难和问题，增强忧患意识，创新工作思路，加快经济发展，妥善解决问题。</w:t>
      </w:r>
    </w:p>
    <w:p>
      <w:pPr>
        <w:spacing w:line="576" w:lineRule="exact"/>
        <w:ind w:firstLine="640" w:firstLineChars="200"/>
        <w:rPr>
          <w:rFonts w:hint="eastAsia" w:ascii="黑体" w:hAnsi="黑体" w:eastAsia="黑体" w:cs="黑体"/>
          <w:b w:val="0"/>
          <w:bCs/>
          <w:sz w:val="32"/>
          <w:szCs w:val="32"/>
        </w:rPr>
      </w:pPr>
      <w:r>
        <w:rPr>
          <w:rFonts w:hint="eastAsia" w:ascii="黑体" w:hAnsi="黑体" w:eastAsia="黑体" w:cs="黑体"/>
          <w:b w:val="0"/>
          <w:bCs/>
          <w:sz w:val="32"/>
          <w:szCs w:val="32"/>
          <w:lang w:eastAsia="zh-CN"/>
        </w:rPr>
        <w:t>四</w:t>
      </w:r>
      <w:r>
        <w:rPr>
          <w:rFonts w:hint="eastAsia" w:ascii="黑体" w:hAnsi="黑体" w:eastAsia="黑体" w:cs="黑体"/>
          <w:b w:val="0"/>
          <w:bCs/>
          <w:sz w:val="32"/>
          <w:szCs w:val="32"/>
        </w:rPr>
        <w:t>、关于2023年财政预算</w:t>
      </w:r>
    </w:p>
    <w:p>
      <w:pPr>
        <w:spacing w:line="576" w:lineRule="exact"/>
        <w:ind w:firstLine="660"/>
        <w:rPr>
          <w:rFonts w:ascii="仿宋" w:hAnsi="仿宋" w:eastAsia="仿宋" w:cs="宋体"/>
          <w:color w:val="333333"/>
          <w:kern w:val="0"/>
          <w:sz w:val="32"/>
          <w:szCs w:val="32"/>
        </w:rPr>
      </w:pPr>
      <w:r>
        <w:rPr>
          <w:rFonts w:hint="eastAsia" w:ascii="仿宋" w:hAnsi="仿宋" w:eastAsia="仿宋"/>
          <w:sz w:val="32"/>
          <w:szCs w:val="32"/>
        </w:rPr>
        <w:t>我乡财政工作的指导思想是：坚持以习近平新时代中国特色社会主义思想为指导，全面贯彻党的二十大精神，贯彻省、市、县财政工作会议精神，按照市委市政府“保重点、压一般、促统筹、提绩效”的要求，建立全面规范透明、标准科学、</w:t>
      </w:r>
      <w:r>
        <w:rPr>
          <w:rFonts w:hint="eastAsia" w:ascii="仿宋" w:hAnsi="仿宋" w:eastAsia="仿宋" w:cs="宋体"/>
          <w:color w:val="333333"/>
          <w:kern w:val="0"/>
          <w:sz w:val="32"/>
          <w:szCs w:val="32"/>
        </w:rPr>
        <w:t>约束有力的预算制度</w:t>
      </w:r>
      <w:r>
        <w:rPr>
          <w:rFonts w:hint="eastAsia" w:ascii="仿宋" w:hAnsi="仿宋" w:eastAsia="仿宋"/>
          <w:sz w:val="32"/>
          <w:szCs w:val="32"/>
        </w:rPr>
        <w:t>；以收定支，优化支出结构，树立真正过紧日子的思</w:t>
      </w:r>
      <w:r>
        <w:rPr>
          <w:rFonts w:hint="eastAsia" w:ascii="仿宋" w:hAnsi="仿宋" w:eastAsia="仿宋" w:cs="宋体"/>
          <w:color w:val="333333"/>
          <w:kern w:val="0"/>
          <w:sz w:val="32"/>
          <w:szCs w:val="32"/>
        </w:rPr>
        <w:t>想，厉行勤俭节约；以“乡村振兴战略”为契机，保障基本民生，增进民生福祉，促进东郊高质量发展。根据上述思路，综合考虑经济发展形势和各项收支增减因素，本着依法预算、确保稳定、促进发展、保障重点、科学分配的原则，编制2023年财政预算</w:t>
      </w:r>
      <w:r>
        <w:rPr>
          <w:rFonts w:hint="eastAsia" w:ascii="仿宋" w:hAnsi="仿宋" w:eastAsia="仿宋" w:cs="宋体"/>
          <w:color w:val="333333"/>
          <w:kern w:val="0"/>
          <w:sz w:val="32"/>
          <w:szCs w:val="32"/>
          <w:lang w:eastAsia="zh-CN"/>
        </w:rPr>
        <w:t>。</w:t>
      </w:r>
      <w:r>
        <w:rPr>
          <w:rFonts w:hint="eastAsia" w:ascii="仿宋" w:hAnsi="仿宋" w:eastAsia="仿宋" w:cs="宋体"/>
          <w:color w:val="333333"/>
          <w:kern w:val="0"/>
          <w:sz w:val="32"/>
          <w:szCs w:val="32"/>
        </w:rPr>
        <w:t> </w:t>
      </w:r>
    </w:p>
    <w:p>
      <w:pPr>
        <w:spacing w:line="576" w:lineRule="exact"/>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（一）财政收入预算</w:t>
      </w:r>
    </w:p>
    <w:p>
      <w:pPr>
        <w:spacing w:line="576" w:lineRule="exact"/>
        <w:ind w:firstLine="660"/>
        <w:rPr>
          <w:rFonts w:ascii="仿宋" w:hAnsi="仿宋" w:eastAsia="仿宋"/>
          <w:sz w:val="32"/>
          <w:szCs w:val="32"/>
        </w:rPr>
      </w:pPr>
      <w:r>
        <w:rPr>
          <w:rFonts w:hint="eastAsia" w:ascii="仿宋" w:hAnsi="仿宋" w:eastAsia="仿宋"/>
          <w:sz w:val="32"/>
          <w:szCs w:val="32"/>
        </w:rPr>
        <w:t>根据我乡现有税源及税源发展情况，本着收入与经济社会发展相适应的原则，市政府下达我乡地方税收任务900万元。我乡计划在2023年引进2个总部经济企业，力争提高总部经济收入，增加乡级可用财力300万元。按上级要求，积极盘活存量资产，计划对3处闲置国有资产进行清理处置，处置收入预计100万元。</w:t>
      </w:r>
    </w:p>
    <w:p>
      <w:pPr>
        <w:spacing w:line="576" w:lineRule="exact"/>
        <w:ind w:firstLine="660"/>
        <w:rPr>
          <w:rFonts w:ascii="仿宋" w:hAnsi="仿宋" w:eastAsia="仿宋"/>
          <w:sz w:val="32"/>
          <w:szCs w:val="32"/>
        </w:rPr>
      </w:pPr>
      <w:r>
        <w:rPr>
          <w:rFonts w:hint="eastAsia" w:ascii="仿宋" w:hAnsi="仿宋" w:eastAsia="仿宋"/>
          <w:sz w:val="32"/>
          <w:szCs w:val="32"/>
        </w:rPr>
        <w:t>预计本年度一般公共预算可用财力为3687万元。</w:t>
      </w:r>
    </w:p>
    <w:p>
      <w:pPr>
        <w:spacing w:line="576" w:lineRule="exact"/>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（二）财政支出预算</w:t>
      </w:r>
    </w:p>
    <w:p>
      <w:pPr>
        <w:spacing w:line="576" w:lineRule="exact"/>
        <w:ind w:firstLine="660"/>
        <w:rPr>
          <w:rFonts w:ascii="仿宋" w:hAnsi="仿宋" w:eastAsia="仿宋"/>
          <w:sz w:val="32"/>
          <w:szCs w:val="32"/>
        </w:rPr>
      </w:pPr>
      <w:r>
        <w:rPr>
          <w:rFonts w:hint="eastAsia" w:ascii="仿宋" w:hAnsi="仿宋" w:eastAsia="仿宋"/>
          <w:sz w:val="32"/>
          <w:szCs w:val="32"/>
        </w:rPr>
        <w:t>预计2023年乡级可用财力3686万元，上年无结余。本着预算支出安排“保工资、保运转，保基本民生”及收支平衡的原则，支出预算3687万元，具体安排如下：</w:t>
      </w:r>
    </w:p>
    <w:p>
      <w:pPr>
        <w:spacing w:line="576" w:lineRule="exact"/>
        <w:ind w:firstLine="660"/>
        <w:rPr>
          <w:rFonts w:ascii="仿宋" w:hAnsi="仿宋" w:eastAsia="仿宋"/>
          <w:sz w:val="32"/>
          <w:szCs w:val="32"/>
        </w:rPr>
      </w:pPr>
      <w:r>
        <w:rPr>
          <w:rFonts w:hint="eastAsia" w:ascii="仿宋" w:hAnsi="仿宋" w:eastAsia="仿宋"/>
          <w:sz w:val="32"/>
          <w:szCs w:val="32"/>
          <w:lang w:val="en-US" w:eastAsia="zh-CN"/>
        </w:rPr>
        <w:t>1.</w:t>
      </w:r>
      <w:r>
        <w:rPr>
          <w:rFonts w:hint="eastAsia" w:ascii="仿宋" w:hAnsi="仿宋" w:eastAsia="仿宋"/>
          <w:sz w:val="32"/>
          <w:szCs w:val="32"/>
        </w:rPr>
        <w:t>一般公共服务1354万元，其中：共产党事务211万元，政府机关787万元，人大政协事务63万元（含人大代表及政协委员活动经费10万元），群众团体事务19万元(含妇联工作经费2万元)，财政事务（含代理中心及税收工作经费）215万元，政务（便民）服务中心59万元。</w:t>
      </w:r>
    </w:p>
    <w:p>
      <w:pPr>
        <w:spacing w:line="576" w:lineRule="exact"/>
        <w:ind w:firstLine="660"/>
        <w:rPr>
          <w:rFonts w:ascii="仿宋" w:hAnsi="仿宋" w:eastAsia="仿宋"/>
          <w:sz w:val="32"/>
          <w:szCs w:val="32"/>
        </w:rPr>
      </w:pPr>
      <w:r>
        <w:rPr>
          <w:rFonts w:hint="eastAsia" w:ascii="仿宋" w:hAnsi="仿宋" w:eastAsia="仿宋"/>
          <w:sz w:val="32"/>
          <w:szCs w:val="32"/>
          <w:lang w:val="en-US" w:eastAsia="zh-CN"/>
        </w:rPr>
        <w:t>2.</w:t>
      </w:r>
      <w:r>
        <w:rPr>
          <w:rFonts w:hint="eastAsia" w:ascii="仿宋" w:hAnsi="仿宋" w:eastAsia="仿宋"/>
          <w:sz w:val="32"/>
          <w:szCs w:val="32"/>
        </w:rPr>
        <w:t>公共安全支出277万元，其中：社会治安和应急管理办公室（含综治、民调、群众工作、应急管理、安全生产及消防等）经费95万元（其中禁毒专项经费2万元、群众工作专项经费20万元，平安建设专项经费30万元,矛盾纠纷多元化解工作经费及人民调解工作经费20万元，铁路护路经费2万元，普法经费3.5万元,打非工作经费3万元）；综合行政执法大队182万元。</w:t>
      </w:r>
    </w:p>
    <w:p>
      <w:pPr>
        <w:spacing w:line="576" w:lineRule="exact"/>
        <w:ind w:firstLine="660"/>
        <w:rPr>
          <w:rFonts w:ascii="仿宋" w:hAnsi="仿宋" w:eastAsia="仿宋"/>
          <w:sz w:val="32"/>
          <w:szCs w:val="32"/>
        </w:rPr>
      </w:pPr>
      <w:r>
        <w:rPr>
          <w:rFonts w:hint="eastAsia" w:ascii="仿宋" w:hAnsi="仿宋" w:eastAsia="仿宋"/>
          <w:sz w:val="32"/>
          <w:szCs w:val="32"/>
          <w:lang w:val="en-US" w:eastAsia="zh-CN"/>
        </w:rPr>
        <w:t>3.</w:t>
      </w:r>
      <w:r>
        <w:rPr>
          <w:rFonts w:hint="eastAsia" w:ascii="仿宋" w:hAnsi="仿宋" w:eastAsia="仿宋"/>
          <w:sz w:val="32"/>
          <w:szCs w:val="32"/>
        </w:rPr>
        <w:t>文化体育与传媒支出117万元。</w:t>
      </w:r>
    </w:p>
    <w:p>
      <w:pPr>
        <w:spacing w:line="576" w:lineRule="exact"/>
        <w:ind w:firstLine="660"/>
        <w:rPr>
          <w:rFonts w:ascii="仿宋" w:hAnsi="仿宋" w:eastAsia="仿宋"/>
          <w:sz w:val="32"/>
          <w:szCs w:val="32"/>
        </w:rPr>
      </w:pPr>
      <w:r>
        <w:rPr>
          <w:rFonts w:hint="eastAsia" w:ascii="仿宋" w:hAnsi="仿宋" w:eastAsia="仿宋"/>
          <w:sz w:val="32"/>
          <w:szCs w:val="32"/>
          <w:lang w:val="en-US" w:eastAsia="zh-CN"/>
        </w:rPr>
        <w:t>4.</w:t>
      </w:r>
      <w:r>
        <w:rPr>
          <w:rFonts w:hint="eastAsia" w:ascii="仿宋" w:hAnsi="仿宋" w:eastAsia="仿宋"/>
          <w:sz w:val="32"/>
          <w:szCs w:val="32"/>
        </w:rPr>
        <w:t>社会保障和就业支出107万元，其中社会保障支出66万元，退役军人事务支出41万元。</w:t>
      </w:r>
    </w:p>
    <w:p>
      <w:pPr>
        <w:spacing w:line="576" w:lineRule="exact"/>
        <w:ind w:firstLine="660"/>
        <w:rPr>
          <w:rFonts w:ascii="仿宋" w:hAnsi="仿宋" w:eastAsia="仿宋"/>
          <w:sz w:val="32"/>
          <w:szCs w:val="32"/>
        </w:rPr>
      </w:pPr>
      <w:r>
        <w:rPr>
          <w:rFonts w:hint="eastAsia" w:ascii="仿宋" w:hAnsi="仿宋" w:eastAsia="仿宋"/>
          <w:sz w:val="32"/>
          <w:szCs w:val="32"/>
          <w:lang w:val="en-US" w:eastAsia="zh-CN"/>
        </w:rPr>
        <w:t>5.</w:t>
      </w:r>
      <w:r>
        <w:rPr>
          <w:rFonts w:hint="eastAsia" w:ascii="仿宋" w:hAnsi="仿宋" w:eastAsia="仿宋"/>
          <w:sz w:val="32"/>
          <w:szCs w:val="32"/>
        </w:rPr>
        <w:t>医疗卫生与计划生育支出178万元，其中：计划生育支出150万元、合医支出28万元。</w:t>
      </w:r>
    </w:p>
    <w:p>
      <w:pPr>
        <w:spacing w:line="576" w:lineRule="exact"/>
        <w:ind w:firstLine="660"/>
        <w:rPr>
          <w:rFonts w:ascii="仿宋" w:hAnsi="仿宋" w:eastAsia="仿宋"/>
          <w:sz w:val="32"/>
          <w:szCs w:val="32"/>
        </w:rPr>
      </w:pPr>
      <w:r>
        <w:rPr>
          <w:rFonts w:hint="eastAsia" w:ascii="仿宋" w:hAnsi="仿宋" w:eastAsia="仿宋"/>
          <w:sz w:val="32"/>
          <w:szCs w:val="32"/>
          <w:lang w:val="en-US" w:eastAsia="zh-CN"/>
        </w:rPr>
        <w:t>6.</w:t>
      </w:r>
      <w:r>
        <w:rPr>
          <w:rFonts w:hint="eastAsia" w:ascii="仿宋" w:hAnsi="仿宋" w:eastAsia="仿宋"/>
          <w:sz w:val="32"/>
          <w:szCs w:val="32"/>
        </w:rPr>
        <w:t>节能环保支出81万元。</w:t>
      </w:r>
    </w:p>
    <w:p>
      <w:pPr>
        <w:spacing w:line="576" w:lineRule="exact"/>
        <w:ind w:firstLine="660"/>
        <w:rPr>
          <w:rFonts w:ascii="仿宋" w:hAnsi="仿宋" w:eastAsia="仿宋"/>
          <w:sz w:val="32"/>
          <w:szCs w:val="32"/>
        </w:rPr>
      </w:pPr>
      <w:r>
        <w:rPr>
          <w:rFonts w:hint="eastAsia" w:ascii="仿宋" w:hAnsi="仿宋" w:eastAsia="仿宋"/>
          <w:sz w:val="32"/>
          <w:szCs w:val="32"/>
          <w:lang w:val="en-US" w:eastAsia="zh-CN"/>
        </w:rPr>
        <w:t>7.</w:t>
      </w:r>
      <w:r>
        <w:rPr>
          <w:rFonts w:hint="eastAsia" w:ascii="仿宋" w:hAnsi="仿宋" w:eastAsia="仿宋"/>
          <w:sz w:val="32"/>
          <w:szCs w:val="32"/>
        </w:rPr>
        <w:t>城乡社区支出186万元，其中城规办支出75万元、人居环境整治支出111万元。</w:t>
      </w:r>
    </w:p>
    <w:p>
      <w:pPr>
        <w:spacing w:line="576" w:lineRule="exact"/>
        <w:ind w:firstLine="660"/>
        <w:rPr>
          <w:rFonts w:ascii="仿宋" w:hAnsi="仿宋" w:eastAsia="仿宋"/>
          <w:sz w:val="32"/>
          <w:szCs w:val="32"/>
        </w:rPr>
      </w:pPr>
      <w:r>
        <w:rPr>
          <w:rFonts w:hint="eastAsia" w:ascii="仿宋" w:hAnsi="仿宋" w:eastAsia="仿宋"/>
          <w:sz w:val="32"/>
          <w:szCs w:val="32"/>
          <w:lang w:val="en-US" w:eastAsia="zh-CN"/>
        </w:rPr>
        <w:t>8.</w:t>
      </w:r>
      <w:r>
        <w:rPr>
          <w:rFonts w:hint="eastAsia" w:ascii="仿宋" w:hAnsi="仿宋" w:eastAsia="仿宋"/>
          <w:sz w:val="32"/>
          <w:szCs w:val="32"/>
        </w:rPr>
        <w:t>农林水事务支出1386万元，其中经济发展办公室175万元、畜牧58万元、农技84万元、农机51万元；林业与草原支出73万元、水利150万元、扶贫28万元、村级运转经费573万元、村级项目资金194万元。</w:t>
      </w:r>
    </w:p>
    <w:p>
      <w:pPr>
        <w:spacing w:line="576" w:lineRule="exact"/>
        <w:ind w:firstLine="660"/>
        <w:outlineLvl w:val="0"/>
        <w:rPr>
          <w:rFonts w:hint="eastAsia" w:ascii="黑体" w:hAnsi="黑体" w:eastAsia="黑体" w:cs="黑体"/>
          <w:b w:val="0"/>
          <w:bCs/>
          <w:sz w:val="32"/>
          <w:szCs w:val="32"/>
        </w:rPr>
      </w:pPr>
      <w:r>
        <w:rPr>
          <w:rFonts w:hint="eastAsia" w:ascii="黑体" w:hAnsi="黑体" w:eastAsia="黑体" w:cs="黑体"/>
          <w:b w:val="0"/>
          <w:bCs/>
          <w:sz w:val="32"/>
          <w:szCs w:val="32"/>
          <w:lang w:eastAsia="zh-CN"/>
        </w:rPr>
        <w:t>五</w:t>
      </w:r>
      <w:r>
        <w:rPr>
          <w:rFonts w:hint="eastAsia" w:ascii="黑体" w:hAnsi="黑体" w:eastAsia="黑体" w:cs="黑体"/>
          <w:b w:val="0"/>
          <w:bCs/>
          <w:sz w:val="32"/>
          <w:szCs w:val="32"/>
        </w:rPr>
        <w:t>、关于2023年财政工作</w:t>
      </w:r>
    </w:p>
    <w:p>
      <w:pPr>
        <w:widowControl/>
        <w:spacing w:line="576" w:lineRule="exact"/>
        <w:ind w:firstLine="640" w:firstLineChars="200"/>
        <w:jc w:val="left"/>
        <w:rPr>
          <w:rFonts w:ascii="仿宋" w:hAnsi="仿宋" w:eastAsia="仿宋"/>
          <w:color w:val="000000"/>
          <w:sz w:val="32"/>
          <w:szCs w:val="32"/>
        </w:rPr>
      </w:pPr>
      <w:r>
        <w:rPr>
          <w:rFonts w:hint="eastAsia" w:ascii="仿宋" w:hAnsi="仿宋" w:eastAsia="仿宋"/>
          <w:sz w:val="32"/>
          <w:szCs w:val="32"/>
        </w:rPr>
        <w:t>2023年，我们将按照工作目标和工作重点，拓展思路、锐意进取、踏实工作，力争圆满完成全年财政预算收支任务，为实现我乡民生和谐稳定、经济稳中向好发展，</w:t>
      </w:r>
      <w:r>
        <w:rPr>
          <w:rFonts w:hint="eastAsia" w:ascii="仿宋" w:hAnsi="仿宋" w:eastAsia="仿宋" w:cs="宋体"/>
          <w:color w:val="333333"/>
          <w:kern w:val="0"/>
          <w:sz w:val="32"/>
          <w:szCs w:val="32"/>
        </w:rPr>
        <w:t>着重做</w:t>
      </w:r>
      <w:r>
        <w:rPr>
          <w:rFonts w:hint="eastAsia" w:ascii="仿宋" w:hAnsi="仿宋" w:eastAsia="仿宋"/>
          <w:sz w:val="32"/>
          <w:szCs w:val="32"/>
        </w:rPr>
        <w:t>好以下几方面工作</w:t>
      </w:r>
      <w:r>
        <w:rPr>
          <w:rFonts w:hint="eastAsia" w:ascii="仿宋" w:hAnsi="仿宋" w:eastAsia="仿宋"/>
          <w:color w:val="000000"/>
          <w:sz w:val="32"/>
          <w:szCs w:val="32"/>
        </w:rPr>
        <w:t>：</w:t>
      </w:r>
    </w:p>
    <w:p>
      <w:pPr>
        <w:widowControl/>
        <w:spacing w:line="576" w:lineRule="exact"/>
        <w:ind w:firstLine="538"/>
        <w:jc w:val="left"/>
        <w:rPr>
          <w:rFonts w:ascii="仿宋" w:hAnsi="仿宋" w:eastAsia="仿宋" w:cs="宋体"/>
          <w:kern w:val="0"/>
          <w:sz w:val="32"/>
          <w:szCs w:val="32"/>
        </w:rPr>
      </w:pPr>
      <w:r>
        <w:rPr>
          <w:rFonts w:hint="eastAsia" w:ascii="楷体" w:hAnsi="楷体" w:eastAsia="楷体" w:cs="楷体"/>
          <w:b/>
          <w:bCs/>
          <w:sz w:val="32"/>
          <w:szCs w:val="32"/>
        </w:rPr>
        <w:t>（一）稳收入、保支出。</w:t>
      </w:r>
      <w:r>
        <w:rPr>
          <w:rFonts w:hint="eastAsia" w:ascii="仿宋" w:hAnsi="仿宋" w:eastAsia="仿宋" w:cs="宋体"/>
          <w:kern w:val="0"/>
          <w:sz w:val="32"/>
          <w:szCs w:val="32"/>
        </w:rPr>
        <w:t>加强税收收入征管，多措并举稳税源，筑巢引凤增税源，颗粒归仓保税源</w:t>
      </w:r>
      <w:r>
        <w:rPr>
          <w:rFonts w:hint="eastAsia" w:ascii="仿宋" w:hAnsi="仿宋" w:eastAsia="仿宋" w:cs="宋体"/>
          <w:kern w:val="0"/>
          <w:sz w:val="32"/>
          <w:szCs w:val="32"/>
          <w:lang w:eastAsia="zh-CN"/>
        </w:rPr>
        <w:t>。</w:t>
      </w:r>
      <w:r>
        <w:rPr>
          <w:rFonts w:hint="eastAsia" w:ascii="仿宋" w:hAnsi="仿宋" w:eastAsia="仿宋" w:cs="宋体"/>
          <w:kern w:val="0"/>
          <w:sz w:val="32"/>
          <w:szCs w:val="32"/>
          <w:lang w:val="en-US" w:eastAsia="zh-CN"/>
        </w:rPr>
        <w:t>2023年，计划引进2个总部经济企业</w:t>
      </w:r>
      <w:r>
        <w:rPr>
          <w:rFonts w:hint="eastAsia" w:ascii="仿宋" w:hAnsi="仿宋" w:eastAsia="仿宋" w:cs="宋体"/>
          <w:kern w:val="0"/>
          <w:sz w:val="32"/>
          <w:szCs w:val="32"/>
        </w:rPr>
        <w:t>。强化财政支出管理，从预算编制、预算执行、预算监督入手，提高资金使用效益，促进收支良性循环。</w:t>
      </w:r>
    </w:p>
    <w:p>
      <w:pPr>
        <w:widowControl/>
        <w:spacing w:line="576" w:lineRule="exact"/>
        <w:ind w:firstLine="538"/>
        <w:jc w:val="left"/>
        <w:rPr>
          <w:rFonts w:ascii="仿宋" w:hAnsi="仿宋" w:eastAsia="仿宋" w:cs="宋体"/>
          <w:kern w:val="0"/>
          <w:sz w:val="32"/>
          <w:szCs w:val="32"/>
        </w:rPr>
      </w:pPr>
      <w:r>
        <w:rPr>
          <w:rFonts w:hint="eastAsia" w:ascii="楷体" w:hAnsi="楷体" w:eastAsia="楷体" w:cs="楷体"/>
          <w:b/>
          <w:bCs/>
          <w:sz w:val="32"/>
          <w:szCs w:val="32"/>
        </w:rPr>
        <w:t>（二）重民生、优保障。</w:t>
      </w:r>
      <w:r>
        <w:rPr>
          <w:rFonts w:hint="eastAsia" w:ascii="仿宋" w:hAnsi="仿宋" w:eastAsia="仿宋" w:cs="宋体"/>
          <w:kern w:val="0"/>
          <w:sz w:val="32"/>
          <w:szCs w:val="32"/>
        </w:rPr>
        <w:t>始终坚持以人民为中心的发展思路，把提升人民群众的幸福感作为财政工作的出发点和落脚点，确保各项惠农政策落到实处，确保各类社会群体应享尽享。注重加大对各项普惠性、基础性、民生性工程财政投入，优化公共服务，提高保障水平，增强人民群众获得感、幸福感、安全感，增进民生福祉。</w:t>
      </w:r>
    </w:p>
    <w:p>
      <w:pPr>
        <w:widowControl/>
        <w:spacing w:line="576" w:lineRule="exact"/>
        <w:ind w:firstLine="538"/>
        <w:jc w:val="left"/>
        <w:rPr>
          <w:rFonts w:hint="eastAsia" w:ascii="仿宋" w:hAnsi="仿宋" w:eastAsia="仿宋" w:cs="宋体"/>
          <w:kern w:val="0"/>
          <w:sz w:val="32"/>
          <w:szCs w:val="32"/>
        </w:rPr>
      </w:pPr>
      <w:r>
        <w:rPr>
          <w:rFonts w:hint="eastAsia" w:ascii="楷体" w:hAnsi="楷体" w:eastAsia="楷体" w:cs="楷体"/>
          <w:b/>
          <w:bCs/>
          <w:sz w:val="32"/>
          <w:szCs w:val="32"/>
        </w:rPr>
        <w:t>（三）强管理，提效益。</w:t>
      </w:r>
      <w:r>
        <w:rPr>
          <w:rFonts w:hint="eastAsia" w:ascii="仿宋" w:hAnsi="仿宋" w:eastAsia="仿宋" w:cs="宋体"/>
          <w:kern w:val="0"/>
          <w:sz w:val="32"/>
          <w:szCs w:val="32"/>
        </w:rPr>
        <w:t>健全财政运行机制，提高干部队伍整体素质，加强财会队伍建设，按照行为规范化、服务高效化、工作机制化的原则，健全完善财务管理制度，进一步提高会计核算水平，加强对专项资金使用的全程监管，确保资金及时、准确拨付到位，做到专款专用。真正为全乡人民当好家、理好财。</w:t>
      </w:r>
    </w:p>
    <w:p>
      <w:pPr>
        <w:widowControl/>
        <w:spacing w:line="576" w:lineRule="exact"/>
        <w:jc w:val="left"/>
        <w:rPr>
          <w:rFonts w:ascii="微软雅黑" w:hAnsi="微软雅黑" w:eastAsia="微软雅黑" w:cs="宋体"/>
          <w:color w:val="333333"/>
          <w:kern w:val="0"/>
          <w:szCs w:val="21"/>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F24D8B18-497D-4C2F-AA86-2E1F6A19A469}"/>
  </w:font>
  <w:font w:name="黑体">
    <w:panose1 w:val="02010609060101010101"/>
    <w:charset w:val="86"/>
    <w:family w:val="auto"/>
    <w:pitch w:val="default"/>
    <w:sig w:usb0="800002BF" w:usb1="38CF7CFA" w:usb2="00000016" w:usb3="00000000" w:csb0="00040001" w:csb1="00000000"/>
    <w:embedRegular r:id="rId2" w:fontKey="{D7D73087-3B43-47C0-AB4B-641C585250A3}"/>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00000001" w:usb1="08000000" w:usb2="00000000" w:usb3="00000000" w:csb0="00040000" w:csb1="00000000"/>
    <w:embedRegular r:id="rId3" w:fontKey="{DA7B58F7-7798-4CF2-A7DC-51C47DC47633}"/>
  </w:font>
  <w:font w:name="仿宋">
    <w:panose1 w:val="02010609060101010101"/>
    <w:charset w:val="86"/>
    <w:family w:val="auto"/>
    <w:pitch w:val="default"/>
    <w:sig w:usb0="800002BF" w:usb1="38CF7CFA" w:usb2="00000016" w:usb3="00000000" w:csb0="00040001" w:csb1="00000000"/>
    <w:embedRegular r:id="rId4" w:fontKey="{A5C5D72D-5E6A-4C1D-BDC1-42EF07D9AA01}"/>
  </w:font>
  <w:font w:name="楷体">
    <w:panose1 w:val="02010609060101010101"/>
    <w:charset w:val="86"/>
    <w:family w:val="auto"/>
    <w:pitch w:val="default"/>
    <w:sig w:usb0="800002BF" w:usb1="38CF7CFA" w:usb2="00000016" w:usb3="00000000" w:csb0="00040001" w:csb1="00000000"/>
    <w:embedRegular r:id="rId5" w:fontKey="{A938C059-133B-4274-AE35-24FDA3745F93}"/>
  </w:font>
  <w:font w:name="微软雅黑">
    <w:panose1 w:val="020B0503020204020204"/>
    <w:charset w:val="86"/>
    <w:family w:val="swiss"/>
    <w:pitch w:val="default"/>
    <w:sig w:usb0="80000287" w:usb1="280F3C52" w:usb2="00000016" w:usb3="00000000" w:csb0="0004001F" w:csb1="00000000"/>
    <w:embedRegular r:id="rId6" w:fontKey="{AD378351-AA4F-40A5-82FC-13C80CF77ED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534374"/>
    </w:sdtPr>
    <w:sdtContent>
      <w:p>
        <w:pPr>
          <w:pStyle w:val="5"/>
          <w:jc w:val="center"/>
        </w:pPr>
        <w:r>
          <w:fldChar w:fldCharType="begin"/>
        </w:r>
        <w:r>
          <w:instrText xml:space="preserve"> PAGE   \* MERGEFORMAT </w:instrText>
        </w:r>
        <w:r>
          <w:fldChar w:fldCharType="separate"/>
        </w:r>
        <w:r>
          <w:rPr>
            <w:lang w:val="zh-CN"/>
          </w:rPr>
          <w:t>5</w:t>
        </w:r>
        <w:r>
          <w:rPr>
            <w:lang w:val="zh-CN"/>
          </w:rPr>
          <w:fldChar w:fldCharType="end"/>
        </w:r>
      </w:p>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VlNmM3YTA5ODRhOGY5NTc0ZTY5MzViY2M3MDUzNzAifQ=="/>
  </w:docVars>
  <w:rsids>
    <w:rsidRoot w:val="002411DE"/>
    <w:rsid w:val="00011752"/>
    <w:rsid w:val="00046F18"/>
    <w:rsid w:val="00052C5F"/>
    <w:rsid w:val="000864A8"/>
    <w:rsid w:val="00097C59"/>
    <w:rsid w:val="000C4067"/>
    <w:rsid w:val="000D311A"/>
    <w:rsid w:val="000F3A9C"/>
    <w:rsid w:val="001019EF"/>
    <w:rsid w:val="00106D67"/>
    <w:rsid w:val="0011395F"/>
    <w:rsid w:val="0013418E"/>
    <w:rsid w:val="00184227"/>
    <w:rsid w:val="00195E8A"/>
    <w:rsid w:val="001A1783"/>
    <w:rsid w:val="001B4268"/>
    <w:rsid w:val="001B5E73"/>
    <w:rsid w:val="001E63E9"/>
    <w:rsid w:val="001F2CD2"/>
    <w:rsid w:val="002031FA"/>
    <w:rsid w:val="0022047B"/>
    <w:rsid w:val="002279D7"/>
    <w:rsid w:val="00230056"/>
    <w:rsid w:val="002411DE"/>
    <w:rsid w:val="00252059"/>
    <w:rsid w:val="002634E1"/>
    <w:rsid w:val="002B5879"/>
    <w:rsid w:val="002C2199"/>
    <w:rsid w:val="002E2531"/>
    <w:rsid w:val="00307504"/>
    <w:rsid w:val="00317C89"/>
    <w:rsid w:val="00327F89"/>
    <w:rsid w:val="00337447"/>
    <w:rsid w:val="00345F5D"/>
    <w:rsid w:val="00352123"/>
    <w:rsid w:val="0036773A"/>
    <w:rsid w:val="00367914"/>
    <w:rsid w:val="00373836"/>
    <w:rsid w:val="00385262"/>
    <w:rsid w:val="003B3D78"/>
    <w:rsid w:val="003E70B4"/>
    <w:rsid w:val="003F137F"/>
    <w:rsid w:val="003F703B"/>
    <w:rsid w:val="004001B5"/>
    <w:rsid w:val="004019FE"/>
    <w:rsid w:val="00440807"/>
    <w:rsid w:val="00463C71"/>
    <w:rsid w:val="004D036B"/>
    <w:rsid w:val="004E7651"/>
    <w:rsid w:val="004F03AB"/>
    <w:rsid w:val="00516161"/>
    <w:rsid w:val="00522C49"/>
    <w:rsid w:val="00525CF2"/>
    <w:rsid w:val="00531CB7"/>
    <w:rsid w:val="00544FC9"/>
    <w:rsid w:val="0055549E"/>
    <w:rsid w:val="005839AC"/>
    <w:rsid w:val="005A1EBD"/>
    <w:rsid w:val="005D4E7A"/>
    <w:rsid w:val="005F3A7F"/>
    <w:rsid w:val="005F5772"/>
    <w:rsid w:val="005F5AC6"/>
    <w:rsid w:val="0064584E"/>
    <w:rsid w:val="00657E62"/>
    <w:rsid w:val="006602CB"/>
    <w:rsid w:val="00675DF3"/>
    <w:rsid w:val="006904C3"/>
    <w:rsid w:val="006A168A"/>
    <w:rsid w:val="006A5300"/>
    <w:rsid w:val="006B4EED"/>
    <w:rsid w:val="006C1BDE"/>
    <w:rsid w:val="006F7AF9"/>
    <w:rsid w:val="0070128F"/>
    <w:rsid w:val="007017E4"/>
    <w:rsid w:val="0071236E"/>
    <w:rsid w:val="0071605B"/>
    <w:rsid w:val="007319EA"/>
    <w:rsid w:val="007343DD"/>
    <w:rsid w:val="00741BE6"/>
    <w:rsid w:val="007B0A93"/>
    <w:rsid w:val="007B25E7"/>
    <w:rsid w:val="007E5F3F"/>
    <w:rsid w:val="008049CF"/>
    <w:rsid w:val="00804DD1"/>
    <w:rsid w:val="008142C2"/>
    <w:rsid w:val="008206B6"/>
    <w:rsid w:val="00851019"/>
    <w:rsid w:val="00852F22"/>
    <w:rsid w:val="00867CD1"/>
    <w:rsid w:val="00884988"/>
    <w:rsid w:val="008A3A09"/>
    <w:rsid w:val="009038FB"/>
    <w:rsid w:val="00912D91"/>
    <w:rsid w:val="009260E1"/>
    <w:rsid w:val="00927A13"/>
    <w:rsid w:val="00941876"/>
    <w:rsid w:val="00984271"/>
    <w:rsid w:val="00992851"/>
    <w:rsid w:val="00993261"/>
    <w:rsid w:val="00994E39"/>
    <w:rsid w:val="009B7869"/>
    <w:rsid w:val="009C28A3"/>
    <w:rsid w:val="009E5755"/>
    <w:rsid w:val="009E63EC"/>
    <w:rsid w:val="009F180B"/>
    <w:rsid w:val="009F55A6"/>
    <w:rsid w:val="00A2328F"/>
    <w:rsid w:val="00A34CA3"/>
    <w:rsid w:val="00A353FB"/>
    <w:rsid w:val="00A47CAD"/>
    <w:rsid w:val="00A562F9"/>
    <w:rsid w:val="00A64280"/>
    <w:rsid w:val="00A83602"/>
    <w:rsid w:val="00A84DE2"/>
    <w:rsid w:val="00A92291"/>
    <w:rsid w:val="00AB55FC"/>
    <w:rsid w:val="00AC4A04"/>
    <w:rsid w:val="00AE1901"/>
    <w:rsid w:val="00B02DD0"/>
    <w:rsid w:val="00B06AB0"/>
    <w:rsid w:val="00B144C8"/>
    <w:rsid w:val="00B25D5E"/>
    <w:rsid w:val="00B26850"/>
    <w:rsid w:val="00B304CC"/>
    <w:rsid w:val="00B31593"/>
    <w:rsid w:val="00B3190F"/>
    <w:rsid w:val="00B41213"/>
    <w:rsid w:val="00B42C17"/>
    <w:rsid w:val="00B455AD"/>
    <w:rsid w:val="00B5401E"/>
    <w:rsid w:val="00B60205"/>
    <w:rsid w:val="00B73EE9"/>
    <w:rsid w:val="00BC3F4E"/>
    <w:rsid w:val="00BE0049"/>
    <w:rsid w:val="00C0585D"/>
    <w:rsid w:val="00C101AA"/>
    <w:rsid w:val="00C10B01"/>
    <w:rsid w:val="00C268A7"/>
    <w:rsid w:val="00C27155"/>
    <w:rsid w:val="00C431C5"/>
    <w:rsid w:val="00C53A14"/>
    <w:rsid w:val="00C57F0C"/>
    <w:rsid w:val="00C72436"/>
    <w:rsid w:val="00CA6D12"/>
    <w:rsid w:val="00CC36A1"/>
    <w:rsid w:val="00CD0289"/>
    <w:rsid w:val="00CE6A68"/>
    <w:rsid w:val="00D21313"/>
    <w:rsid w:val="00D322EE"/>
    <w:rsid w:val="00D45F4D"/>
    <w:rsid w:val="00D50B6D"/>
    <w:rsid w:val="00D52804"/>
    <w:rsid w:val="00D62C07"/>
    <w:rsid w:val="00D825D7"/>
    <w:rsid w:val="00D975D7"/>
    <w:rsid w:val="00DE4713"/>
    <w:rsid w:val="00E17152"/>
    <w:rsid w:val="00E37AB8"/>
    <w:rsid w:val="00E4351B"/>
    <w:rsid w:val="00E51FE6"/>
    <w:rsid w:val="00E529CA"/>
    <w:rsid w:val="00E86974"/>
    <w:rsid w:val="00E91F45"/>
    <w:rsid w:val="00E960C2"/>
    <w:rsid w:val="00EA7509"/>
    <w:rsid w:val="00ED3074"/>
    <w:rsid w:val="00EE64FA"/>
    <w:rsid w:val="00F24AED"/>
    <w:rsid w:val="00F341DC"/>
    <w:rsid w:val="00F37ECD"/>
    <w:rsid w:val="00F77E98"/>
    <w:rsid w:val="00F83163"/>
    <w:rsid w:val="00FC1369"/>
    <w:rsid w:val="00FD43B7"/>
    <w:rsid w:val="00FE7055"/>
    <w:rsid w:val="00FF2B04"/>
    <w:rsid w:val="011E2315"/>
    <w:rsid w:val="034B4400"/>
    <w:rsid w:val="050F3E3F"/>
    <w:rsid w:val="06436D0C"/>
    <w:rsid w:val="078A1212"/>
    <w:rsid w:val="07E3389F"/>
    <w:rsid w:val="081F0D83"/>
    <w:rsid w:val="085F6D0F"/>
    <w:rsid w:val="08B5745D"/>
    <w:rsid w:val="08F052F0"/>
    <w:rsid w:val="0C8E0522"/>
    <w:rsid w:val="0D983167"/>
    <w:rsid w:val="0E4F22F0"/>
    <w:rsid w:val="0EBA6C59"/>
    <w:rsid w:val="106F12D0"/>
    <w:rsid w:val="14EE0026"/>
    <w:rsid w:val="15797355"/>
    <w:rsid w:val="15C95972"/>
    <w:rsid w:val="1647618D"/>
    <w:rsid w:val="16D64014"/>
    <w:rsid w:val="1A345010"/>
    <w:rsid w:val="1A7C3CEF"/>
    <w:rsid w:val="1E524191"/>
    <w:rsid w:val="1F42478E"/>
    <w:rsid w:val="21AA6437"/>
    <w:rsid w:val="22575EF6"/>
    <w:rsid w:val="2744685B"/>
    <w:rsid w:val="29513770"/>
    <w:rsid w:val="298B6A96"/>
    <w:rsid w:val="2BA04F09"/>
    <w:rsid w:val="2D731EB7"/>
    <w:rsid w:val="2EA014CF"/>
    <w:rsid w:val="2FFE336F"/>
    <w:rsid w:val="33CF3F58"/>
    <w:rsid w:val="346E2115"/>
    <w:rsid w:val="370B1B8E"/>
    <w:rsid w:val="393D6986"/>
    <w:rsid w:val="3C9B4E42"/>
    <w:rsid w:val="3CE95815"/>
    <w:rsid w:val="3DE16AF0"/>
    <w:rsid w:val="3E923BC0"/>
    <w:rsid w:val="3FCE69EF"/>
    <w:rsid w:val="412A53D0"/>
    <w:rsid w:val="41323F68"/>
    <w:rsid w:val="4226233C"/>
    <w:rsid w:val="42920891"/>
    <w:rsid w:val="44120811"/>
    <w:rsid w:val="448714F4"/>
    <w:rsid w:val="463B5A7D"/>
    <w:rsid w:val="47734EE5"/>
    <w:rsid w:val="47E46D16"/>
    <w:rsid w:val="4DDA350F"/>
    <w:rsid w:val="4E0A55CB"/>
    <w:rsid w:val="508475EE"/>
    <w:rsid w:val="54212A91"/>
    <w:rsid w:val="55E86DC0"/>
    <w:rsid w:val="571D5A8E"/>
    <w:rsid w:val="578A30FE"/>
    <w:rsid w:val="579C31AA"/>
    <w:rsid w:val="5A7A29FE"/>
    <w:rsid w:val="5B636243"/>
    <w:rsid w:val="5B643DFC"/>
    <w:rsid w:val="5CAB1691"/>
    <w:rsid w:val="5EDB5077"/>
    <w:rsid w:val="607D3EA3"/>
    <w:rsid w:val="60ED22E2"/>
    <w:rsid w:val="621B7175"/>
    <w:rsid w:val="643C120C"/>
    <w:rsid w:val="65626A46"/>
    <w:rsid w:val="666B15A6"/>
    <w:rsid w:val="66CF38A7"/>
    <w:rsid w:val="6A5A4F3C"/>
    <w:rsid w:val="6E941629"/>
    <w:rsid w:val="73084F10"/>
    <w:rsid w:val="74D56CDD"/>
    <w:rsid w:val="74DC6C0F"/>
    <w:rsid w:val="77F539BE"/>
    <w:rsid w:val="7941380E"/>
    <w:rsid w:val="7C7828D6"/>
    <w:rsid w:val="7CCB5B29"/>
    <w:rsid w:val="7D30075B"/>
    <w:rsid w:val="7D810DB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qFormat="1" w:uiPriority="99"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endnote text"/>
    <w:basedOn w:val="1"/>
    <w:unhideWhenUsed/>
    <w:qFormat/>
    <w:uiPriority w:val="99"/>
  </w:style>
  <w:style w:type="paragraph" w:styleId="3">
    <w:name w:val="Body Text Indent"/>
    <w:basedOn w:val="1"/>
    <w:qFormat/>
    <w:uiPriority w:val="99"/>
    <w:pPr>
      <w:spacing w:after="120"/>
      <w:ind w:left="420" w:leftChars="200"/>
    </w:pPr>
    <w:rPr>
      <w:rFonts w:ascii="宋体" w:hAnsi="宋体"/>
    </w:rPr>
  </w:style>
  <w:style w:type="paragraph" w:styleId="4">
    <w:name w:val="Balloon Text"/>
    <w:basedOn w:val="1"/>
    <w:link w:val="13"/>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Body Text First Indent 2"/>
    <w:basedOn w:val="3"/>
    <w:qFormat/>
    <w:uiPriority w:val="99"/>
    <w:pPr>
      <w:ind w:firstLine="420" w:firstLineChars="200"/>
    </w:pPr>
  </w:style>
  <w:style w:type="paragraph" w:styleId="10">
    <w:name w:val="List Paragraph"/>
    <w:basedOn w:val="1"/>
    <w:qFormat/>
    <w:uiPriority w:val="34"/>
    <w:pPr>
      <w:ind w:firstLine="420" w:firstLineChars="200"/>
    </w:pPr>
  </w:style>
  <w:style w:type="character" w:customStyle="1" w:styleId="11">
    <w:name w:val="页眉 Char"/>
    <w:basedOn w:val="9"/>
    <w:link w:val="6"/>
    <w:semiHidden/>
    <w:qFormat/>
    <w:uiPriority w:val="99"/>
    <w:rPr>
      <w:rFonts w:ascii="Times New Roman" w:hAnsi="Times New Roman" w:eastAsia="宋体" w:cs="Times New Roman"/>
      <w:sz w:val="18"/>
      <w:szCs w:val="18"/>
    </w:rPr>
  </w:style>
  <w:style w:type="character" w:customStyle="1" w:styleId="12">
    <w:name w:val="页脚 Char"/>
    <w:basedOn w:val="9"/>
    <w:link w:val="5"/>
    <w:qFormat/>
    <w:uiPriority w:val="99"/>
    <w:rPr>
      <w:rFonts w:ascii="Times New Roman" w:hAnsi="Times New Roman" w:eastAsia="宋体" w:cs="Times New Roman"/>
      <w:sz w:val="18"/>
      <w:szCs w:val="18"/>
    </w:rPr>
  </w:style>
  <w:style w:type="character" w:customStyle="1" w:styleId="13">
    <w:name w:val="批注框文本 Char"/>
    <w:basedOn w:val="9"/>
    <w:link w:val="4"/>
    <w:semiHidden/>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C7DD5D6-5552-4089-99A1-AF208038AFE6}">
  <ds:schemaRefs/>
</ds:datastoreItem>
</file>

<file path=docProps/app.xml><?xml version="1.0" encoding="utf-8"?>
<Properties xmlns="http://schemas.openxmlformats.org/officeDocument/2006/extended-properties" xmlns:vt="http://schemas.openxmlformats.org/officeDocument/2006/docPropsVTypes">
  <Template>Normal</Template>
  <Pages>10</Pages>
  <Words>4562</Words>
  <Characters>5246</Characters>
  <Lines>40</Lines>
  <Paragraphs>11</Paragraphs>
  <TotalTime>16</TotalTime>
  <ScaleCrop>false</ScaleCrop>
  <LinksUpToDate>false</LinksUpToDate>
  <CharactersWithSpaces>5254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2023-05-30T08:59:00Z</dcterms:created>
  <dc:creator>PC</dc:creator>
  <cp:lastModifiedBy>黄燕</cp:lastModifiedBy>
  <dcterms:modified xsi:type="dcterms:W3CDTF">2023-07-21T07:08:53Z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12A80110C63A4851869F56B3DE57C58B_13</vt:lpwstr>
  </property>
</Properties>
</file>