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0" w:name="_Hlk113603907"/>
      <w:bookmarkEnd w:id="0"/>
      <w:r>
        <w:rPr>
          <w:rFonts w:hint="eastAsia" w:ascii="方正黑体_GBK" w:hAnsi="方正黑体_GBK" w:eastAsia="方正黑体_GBK" w:cs="方正黑体_GBK"/>
          <w:color w:val="auto"/>
          <w:sz w:val="32"/>
          <w:szCs w:val="32"/>
          <w:lang w:val="en-US" w:eastAsia="zh-CN"/>
        </w:rPr>
        <w:t>XXDR-2023-01002</w:t>
      </w:r>
    </w:p>
    <w:p>
      <w:pPr>
        <w:pStyle w:val="11"/>
        <w:keepNext w:val="0"/>
        <w:keepLines w:val="0"/>
        <w:pageBreakBefore w:val="0"/>
        <w:widowControl/>
        <w:kinsoku/>
        <w:wordWrap/>
        <w:overflowPunct/>
        <w:topLinePunct w:val="0"/>
        <w:autoSpaceDE/>
        <w:autoSpaceDN/>
        <w:bidi w:val="0"/>
        <w:adjustRightInd/>
        <w:snapToGrid/>
        <w:spacing w:line="380" w:lineRule="exact"/>
        <w:textAlignment w:val="auto"/>
        <w:rPr>
          <w:rFonts w:ascii="方正仿宋_GBK" w:hAnsi="黑体" w:eastAsia="方正仿宋_GBK" w:cs="仿宋_GB2312"/>
          <w:color w:val="000000"/>
          <w:szCs w:val="32"/>
        </w:rPr>
      </w:pPr>
    </w:p>
    <w:p>
      <w:pPr>
        <w:pStyle w:val="11"/>
        <w:keepNext w:val="0"/>
        <w:keepLines w:val="0"/>
        <w:pageBreakBefore w:val="0"/>
        <w:widowControl/>
        <w:kinsoku/>
        <w:wordWrap/>
        <w:overflowPunct/>
        <w:topLinePunct w:val="0"/>
        <w:autoSpaceDE/>
        <w:autoSpaceDN/>
        <w:bidi w:val="0"/>
        <w:adjustRightInd/>
        <w:snapToGrid/>
        <w:spacing w:line="360" w:lineRule="exact"/>
        <w:textAlignment w:val="auto"/>
        <w:rPr>
          <w:rFonts w:ascii="方正仿宋_GBK" w:hAnsi="黑体" w:eastAsia="方正仿宋_GBK" w:cs="仿宋_GB2312"/>
          <w:color w:val="000000"/>
          <w:szCs w:val="32"/>
        </w:rPr>
      </w:pPr>
    </w:p>
    <w:p>
      <w:pPr>
        <w:rPr>
          <w:rFonts w:ascii="方正仿宋_GBK" w:hAnsi="黑体" w:eastAsia="方正仿宋_GBK" w:cs="仿宋_GB2312"/>
          <w:color w:val="000000"/>
          <w:szCs w:val="32"/>
        </w:rPr>
      </w:pPr>
    </w:p>
    <w:p>
      <w:pPr>
        <w:pStyle w:val="11"/>
      </w:pPr>
    </w:p>
    <w:p/>
    <w:p>
      <w:bookmarkStart w:id="1" w:name="_GoBack"/>
      <w:bookmarkEnd w:id="1"/>
    </w:p>
    <w:p>
      <w:pPr>
        <w:pStyle w:val="11"/>
        <w:keepNext w:val="0"/>
        <w:keepLines w:val="0"/>
        <w:pageBreakBefore w:val="0"/>
        <w:widowControl w:val="0"/>
        <w:kinsoku/>
        <w:wordWrap/>
        <w:overflowPunct/>
        <w:topLinePunct w:val="0"/>
        <w:autoSpaceDE/>
        <w:autoSpaceDN/>
        <w:bidi w:val="0"/>
        <w:adjustRightInd/>
        <w:snapToGrid/>
        <w:spacing w:line="200" w:lineRule="exact"/>
        <w:ind w:left="0" w:leftChars="0" w:firstLine="0" w:firstLineChars="0"/>
        <w:textAlignment w:val="auto"/>
        <w:rPr>
          <w:color w:val="000000"/>
        </w:rPr>
      </w:pPr>
    </w:p>
    <w:p>
      <w:pPr>
        <w:rPr>
          <w:color w:val="000000"/>
        </w:rPr>
      </w:pPr>
    </w:p>
    <w:p>
      <w:pPr>
        <w:keepNext w:val="0"/>
        <w:keepLines w:val="0"/>
        <w:pageBreakBefore w:val="0"/>
        <w:widowControl/>
        <w:kinsoku/>
        <w:wordWrap/>
        <w:overflowPunct/>
        <w:topLinePunct w:val="0"/>
        <w:autoSpaceDE/>
        <w:autoSpaceDN/>
        <w:bidi w:val="0"/>
        <w:adjustRightInd w:val="0"/>
        <w:snapToGrid w:val="0"/>
        <w:spacing w:before="625" w:beforeLines="200" w:beforeAutospacing="0" w:after="0" w:line="400" w:lineRule="exact"/>
        <w:ind w:left="0" w:leftChars="0" w:firstLine="0" w:firstLineChars="0"/>
        <w:jc w:val="center"/>
        <w:textAlignment w:val="auto"/>
        <w:rPr>
          <w:rFonts w:ascii="方正仿宋_GBK" w:eastAsia="方正仿宋_GBK"/>
          <w:color w:val="000000"/>
          <w:sz w:val="32"/>
          <w:szCs w:val="32"/>
        </w:rPr>
      </w:pPr>
      <w:r>
        <w:rPr>
          <w:rFonts w:hint="eastAsia" w:ascii="方正仿宋_GBK" w:hAnsi="方正仿宋_GBK" w:eastAsia="方正仿宋_GBK" w:cs="方正仿宋_GBK"/>
          <w:sz w:val="32"/>
          <w:szCs w:val="32"/>
        </w:rPr>
        <w:t>湘乡政办发〔20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号</w:t>
      </w:r>
    </w:p>
    <w:p>
      <w:pPr>
        <w:keepNext w:val="0"/>
        <w:keepLines w:val="0"/>
        <w:pageBreakBefore w:val="0"/>
        <w:widowControl w:val="0"/>
        <w:kinsoku/>
        <w:wordWrap/>
        <w:overflowPunct/>
        <w:topLinePunct w:val="0"/>
        <w:autoSpaceDE/>
        <w:autoSpaceDN/>
        <w:bidi w:val="0"/>
        <w:adjustRightInd/>
        <w:snapToGrid/>
        <w:spacing w:beforeAutospacing="0" w:line="360" w:lineRule="exact"/>
        <w:ind w:left="0" w:leftChars="0"/>
        <w:jc w:val="both"/>
        <w:textAlignment w:val="auto"/>
        <w:rPr>
          <w:rFonts w:hint="eastAsia"/>
          <w:color w:val="000000"/>
        </w:rPr>
      </w:pPr>
    </w:p>
    <w:p>
      <w:pPr>
        <w:pStyle w:val="11"/>
        <w:keepNext w:val="0"/>
        <w:keepLines w:val="0"/>
        <w:pageBreakBefore w:val="0"/>
        <w:widowControl w:val="0"/>
        <w:kinsoku/>
        <w:wordWrap/>
        <w:overflowPunct/>
        <w:topLinePunct w:val="0"/>
        <w:autoSpaceDE/>
        <w:autoSpaceDN/>
        <w:bidi w:val="0"/>
        <w:adjustRightInd/>
        <w:snapToGrid/>
        <w:spacing w:before="0" w:beforeAutospacing="0" w:line="360" w:lineRule="exact"/>
        <w:ind w:left="0" w:leftChars="0" w:firstLine="0" w:firstLineChars="0"/>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湘乡市人民政府办公室</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关于印发《湘乡市耕地地力保护补贴政策</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实施方案》的通知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各乡镇人民政府、街道办事处，市直</w:t>
      </w:r>
      <w:r>
        <w:rPr>
          <w:rFonts w:hint="eastAsia" w:ascii="方正仿宋_GBK" w:hAnsi="方正仿宋_GBK" w:eastAsia="方正仿宋_GBK" w:cs="方正仿宋_GBK"/>
          <w:sz w:val="32"/>
          <w:szCs w:val="32"/>
          <w:lang w:eastAsia="zh-CN"/>
        </w:rPr>
        <w:t>机关</w:t>
      </w:r>
      <w:r>
        <w:rPr>
          <w:rFonts w:hint="eastAsia" w:ascii="方正仿宋_GBK" w:hAnsi="方正仿宋_GBK" w:eastAsia="方正仿宋_GBK" w:cs="方正仿宋_GBK"/>
          <w:sz w:val="32"/>
          <w:szCs w:val="32"/>
        </w:rPr>
        <w:t>各单位：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《湘乡市耕地地力保护补贴政策实施方案》己经市人民政府同意，现印发给你们，请认真组织实施。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pStyle w:val="10"/>
        <w:keepNext w:val="0"/>
        <w:keepLines w:val="0"/>
        <w:pageBreakBefore w:val="0"/>
        <w:widowControl w:val="0"/>
        <w:kinsoku/>
        <w:overflowPunct/>
        <w:topLinePunct w:val="0"/>
        <w:autoSpaceDE/>
        <w:autoSpaceDN/>
        <w:bidi w:val="0"/>
        <w:adjustRightInd/>
        <w:snapToGrid/>
        <w:spacing w:line="600" w:lineRule="exact"/>
        <w:ind w:left="0" w:leftChars="0" w:firstLine="0" w:firstLineChars="0"/>
        <w:textAlignment w:val="auto"/>
        <w:rPr>
          <w:rFonts w:hint="eastAsia"/>
        </w:rPr>
      </w:pP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湘乡市人民政府办公室</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2023年</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16</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湘乡市耕地地力保护补贴政策实施方案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为保障国家粮食安全、维护种地群众利益和提升耕地地力水平，根据《湖南省人民政府办公厅</w:t>
      </w:r>
      <w:r>
        <w:rPr>
          <w:rFonts w:hint="eastAsia" w:ascii="方正仿宋_GBK" w:hAnsi="方正仿宋_GBK" w:eastAsia="方正仿宋_GBK" w:cs="方正仿宋_GBK"/>
          <w:sz w:val="32"/>
          <w:szCs w:val="32"/>
          <w:lang w:val="en-US" w:eastAsia="zh-CN"/>
        </w:rPr>
        <w:t>&lt;</w:t>
      </w:r>
      <w:r>
        <w:rPr>
          <w:rFonts w:hint="eastAsia" w:ascii="方正仿宋_GBK" w:hAnsi="方正仿宋_GBK" w:eastAsia="方正仿宋_GBK" w:cs="方正仿宋_GBK"/>
          <w:sz w:val="32"/>
          <w:szCs w:val="32"/>
        </w:rPr>
        <w:t>关于印发湖南省耕地地力保护补贴政策实施方案</w:t>
      </w:r>
      <w:r>
        <w:rPr>
          <w:rFonts w:hint="eastAsia" w:ascii="方正仿宋_GBK" w:hAnsi="方正仿宋_GBK" w:eastAsia="方正仿宋_GBK" w:cs="方正仿宋_GBK"/>
          <w:sz w:val="32"/>
          <w:szCs w:val="32"/>
          <w:lang w:val="en-US" w:eastAsia="zh-CN"/>
        </w:rPr>
        <w:t>&gt;</w:t>
      </w:r>
      <w:r>
        <w:rPr>
          <w:rFonts w:hint="eastAsia" w:ascii="方正仿宋_GBK" w:hAnsi="方正仿宋_GBK" w:eastAsia="方正仿宋_GBK" w:cs="方正仿宋_GBK"/>
          <w:sz w:val="32"/>
          <w:szCs w:val="32"/>
        </w:rPr>
        <w:t>的通知》（湘政办发〔2022〕69号）和《湖南省农业农村厅湖南省财政厅关于贯彻落实耕地地力保护补贴政策的通知》（湘农联〔2023〕24号）</w:t>
      </w:r>
      <w:r>
        <w:rPr>
          <w:rFonts w:hint="eastAsia" w:ascii="方正仿宋_GBK" w:hAnsi="方正仿宋_GBK" w:eastAsia="方正仿宋_GBK" w:cs="方正仿宋_GBK"/>
          <w:sz w:val="32"/>
          <w:szCs w:val="32"/>
          <w:lang w:eastAsia="zh-CN"/>
        </w:rPr>
        <w:t>等文件</w:t>
      </w:r>
      <w:r>
        <w:rPr>
          <w:rFonts w:hint="eastAsia" w:ascii="方正仿宋_GBK" w:hAnsi="方正仿宋_GBK" w:eastAsia="方正仿宋_GBK" w:cs="方正仿宋_GBK"/>
          <w:sz w:val="32"/>
          <w:szCs w:val="32"/>
        </w:rPr>
        <w:t>精神，结合我市实际，制定本实施方案。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（一）保障国家粮食安全。</w:t>
      </w:r>
      <w:r>
        <w:rPr>
          <w:rFonts w:hint="eastAsia" w:ascii="方正仿宋_GBK" w:hAnsi="方正仿宋_GBK" w:eastAsia="方正仿宋_GBK" w:cs="方正仿宋_GBK"/>
          <w:sz w:val="32"/>
          <w:szCs w:val="32"/>
          <w:lang w:eastAsia="zh-CN"/>
        </w:rPr>
        <w:t>严格落实粮食安全党政同责，</w:t>
      </w:r>
      <w:r>
        <w:rPr>
          <w:rFonts w:hint="eastAsia" w:ascii="方正仿宋_GBK" w:hAnsi="方正仿宋_GBK" w:eastAsia="方正仿宋_GBK" w:cs="方正仿宋_GBK"/>
          <w:sz w:val="32"/>
          <w:szCs w:val="32"/>
        </w:rPr>
        <w:t>鼓励倾斜支持粮食生产特别是双季稻生产，确保每年完成粮食生产目标任务。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（二）维护种地农民利益。</w:t>
      </w:r>
      <w:r>
        <w:rPr>
          <w:rFonts w:hint="eastAsia" w:ascii="方正仿宋_GBK" w:hAnsi="方正仿宋_GBK" w:eastAsia="方正仿宋_GBK" w:cs="方正仿宋_GBK"/>
          <w:sz w:val="32"/>
          <w:szCs w:val="32"/>
        </w:rPr>
        <w:t>充分调动农民种粮积极性，强化正向激励，在保障耕地承包经营权农民既得利益不受损基础上，鼓励多种粮、种好粮。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（三）提升耕地地力水平。</w:t>
      </w:r>
      <w:r>
        <w:rPr>
          <w:rFonts w:hint="eastAsia" w:ascii="方正仿宋_GBK" w:hAnsi="方正仿宋_GBK" w:eastAsia="方正仿宋_GBK" w:cs="方正仿宋_GBK"/>
          <w:sz w:val="32"/>
          <w:szCs w:val="32"/>
        </w:rPr>
        <w:t>严守耕地保护红线，建立健全耕地地力保护补贴资金发放与耕地保护行为相挂钩机制，保障耕地数量不减少、耕地质量不降低，不断提升耕地地力水平。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（一）补贴对象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耕地地力保护补贴资金补贴对象为拥有耕地承包权的种地农民，具体包括以下三种情形：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1. </w:t>
      </w:r>
      <w:r>
        <w:rPr>
          <w:rFonts w:hint="eastAsia" w:ascii="方正仿宋_GBK" w:hAnsi="方正仿宋_GBK" w:eastAsia="方正仿宋_GBK" w:cs="方正仿宋_GBK"/>
          <w:sz w:val="32"/>
          <w:szCs w:val="32"/>
        </w:rPr>
        <w:t>已确权颁证到承包方的耕地，承包方自行实施或组织耕种的，补贴资金由承包方领取；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2. </w:t>
      </w:r>
      <w:r>
        <w:rPr>
          <w:rFonts w:hint="eastAsia" w:ascii="方正仿宋_GBK" w:hAnsi="方正仿宋_GBK" w:eastAsia="方正仿宋_GBK" w:cs="方正仿宋_GBK"/>
          <w:sz w:val="32"/>
          <w:szCs w:val="32"/>
        </w:rPr>
        <w:t>已确权颁证到承包方的耕地，承包方将耕地流转至经营方，且承包方、经营方在流转协议中约定了补贴资金收益人，流转协议报经乡镇人民政府</w:t>
      </w:r>
      <w:r>
        <w:rPr>
          <w:rFonts w:hint="eastAsia" w:ascii="方正仿宋_GBK" w:hAnsi="方正仿宋_GBK" w:eastAsia="方正仿宋_GBK" w:cs="方正仿宋_GBK"/>
          <w:sz w:val="32"/>
          <w:szCs w:val="32"/>
          <w:lang w:eastAsia="zh-CN"/>
        </w:rPr>
        <w:t>（街道办事处）</w:t>
      </w:r>
      <w:r>
        <w:rPr>
          <w:rFonts w:hint="eastAsia" w:ascii="方正仿宋_GBK" w:hAnsi="方正仿宋_GBK" w:eastAsia="方正仿宋_GBK" w:cs="方正仿宋_GBK"/>
          <w:sz w:val="32"/>
          <w:szCs w:val="32"/>
        </w:rPr>
        <w:t>或其指定机构备案后，按照协议执行；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3. </w:t>
      </w:r>
      <w:r>
        <w:rPr>
          <w:rFonts w:hint="eastAsia" w:ascii="方正仿宋_GBK" w:hAnsi="方正仿宋_GBK" w:eastAsia="方正仿宋_GBK" w:cs="方正仿宋_GBK"/>
          <w:sz w:val="32"/>
          <w:szCs w:val="32"/>
          <w:lang w:eastAsia="zh-CN"/>
        </w:rPr>
        <w:t>暂未</w:t>
      </w:r>
      <w:r>
        <w:rPr>
          <w:rFonts w:hint="eastAsia" w:ascii="方正仿宋_GBK" w:hAnsi="方正仿宋_GBK" w:eastAsia="方正仿宋_GBK" w:cs="方正仿宋_GBK"/>
          <w:sz w:val="32"/>
          <w:szCs w:val="32"/>
        </w:rPr>
        <w:t>确权颁证到承包方的村组未发包</w:t>
      </w:r>
      <w:r>
        <w:rPr>
          <w:rFonts w:hint="eastAsia" w:ascii="方正仿宋_GBK" w:hAnsi="方正仿宋_GBK" w:eastAsia="方正仿宋_GBK" w:cs="方正仿宋_GBK"/>
          <w:sz w:val="32"/>
          <w:szCs w:val="32"/>
          <w:lang w:eastAsia="zh-CN"/>
        </w:rPr>
        <w:t>耕</w:t>
      </w:r>
      <w:r>
        <w:rPr>
          <w:rFonts w:hint="eastAsia" w:ascii="方正仿宋_GBK" w:hAnsi="方正仿宋_GBK" w:eastAsia="方正仿宋_GBK" w:cs="方正仿宋_GBK"/>
          <w:sz w:val="32"/>
          <w:szCs w:val="32"/>
        </w:rPr>
        <w:t>地和国有农场耕地，补贴对象原则上为村组集体、国有农场，如有协议的按照备案协议约定对实际种植者进行补贴。承包方家庭成员发生变动且不影响承包合同效力的，其承包权不变，继续享受耕地地力保护补贴；承包方为整体消亡户的，应及时销户，不再享受耕地地力保护补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（二）补贴标准和依据</w:t>
      </w:r>
      <w:r>
        <w:rPr>
          <w:rFonts w:hint="eastAsia" w:ascii="方正楷体_GBK" w:hAnsi="方正楷体_GBK" w:eastAsia="方正楷体_GBK" w:cs="方正楷体_GBK"/>
          <w:b/>
          <w:bCs/>
          <w:sz w:val="32"/>
          <w:szCs w:val="32"/>
          <w:lang w:eastAsia="zh-CN"/>
        </w:rPr>
        <w:t>。</w:t>
      </w:r>
      <w:r>
        <w:rPr>
          <w:rFonts w:hint="eastAsia" w:ascii="方正仿宋_GBK" w:hAnsi="方正仿宋_GBK" w:eastAsia="方正仿宋_GBK" w:cs="方正仿宋_GBK"/>
          <w:sz w:val="32"/>
          <w:szCs w:val="32"/>
        </w:rPr>
        <w:t>对已确权登记颁证到户的耕地，</w:t>
      </w:r>
      <w:r>
        <w:rPr>
          <w:rFonts w:hint="eastAsia" w:ascii="方正仿宋_GBK" w:hAnsi="方正仿宋_GBK" w:eastAsia="方正仿宋_GBK" w:cs="方正仿宋_GBK"/>
          <w:sz w:val="32"/>
          <w:szCs w:val="32"/>
          <w:lang w:val="en-US" w:eastAsia="zh-CN"/>
        </w:rPr>
        <w:t>以上年度实际种植作物的耕地面积作为补贴依据。耕地上种植粮食和棉、油、糖、蔬菜等农产品及饲草饲料纳入补贴范围。2018—2020年纳入长株潭地区种植结构调整、休耕治理工作任务范围的耕地，参照本方案明确的补贴标准执行。补贴面积以组内确权面积</w:t>
      </w:r>
      <w:r>
        <w:rPr>
          <w:rFonts w:hint="eastAsia" w:ascii="方正仿宋_GBK" w:hAnsi="方正仿宋_GBK" w:eastAsia="方正仿宋_GBK" w:cs="方正仿宋_GBK"/>
          <w:sz w:val="32"/>
          <w:szCs w:val="32"/>
        </w:rPr>
        <w:t>为基数，由所在组、村、乡镇</w:t>
      </w:r>
      <w:r>
        <w:rPr>
          <w:rFonts w:hint="eastAsia" w:ascii="方正仿宋_GBK" w:hAnsi="方正仿宋_GBK" w:eastAsia="方正仿宋_GBK" w:cs="方正仿宋_GBK"/>
          <w:sz w:val="32"/>
          <w:szCs w:val="32"/>
          <w:lang w:eastAsia="zh-CN"/>
        </w:rPr>
        <w:t>（街道）</w:t>
      </w:r>
      <w:r>
        <w:rPr>
          <w:rFonts w:hint="eastAsia" w:ascii="方正仿宋_GBK" w:hAnsi="方正仿宋_GBK" w:eastAsia="方正仿宋_GBK" w:cs="方正仿宋_GBK"/>
          <w:sz w:val="32"/>
          <w:szCs w:val="32"/>
        </w:rPr>
        <w:t>核实到户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按照95元/亩的标准发放。</w:t>
      </w:r>
      <w:r>
        <w:rPr>
          <w:rFonts w:hint="eastAsia" w:ascii="方正仿宋_GBK" w:hAnsi="方正仿宋_GBK" w:eastAsia="方正仿宋_GBK" w:cs="方正仿宋_GBK"/>
          <w:sz w:val="32"/>
          <w:szCs w:val="32"/>
          <w:lang w:val="en-US" w:eastAsia="zh-CN"/>
        </w:rPr>
        <w:t>对暂未确权登记颁证到户的耕地，参照已确权登记颁证到户耕地的标准发放。以上年度结转</w:t>
      </w:r>
      <w:r>
        <w:rPr>
          <w:rFonts w:hint="eastAsia" w:ascii="方正仿宋_GBK" w:hAnsi="方正仿宋_GBK" w:eastAsia="方正仿宋_GBK" w:cs="方正仿宋_GBK"/>
          <w:sz w:val="32"/>
          <w:szCs w:val="32"/>
        </w:rPr>
        <w:t>结余资金和当年预算安排的耕地地力保护补贴资金统筹安排使用</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为确保完成年度粮食播种面积和耕地地力不降低的任务目标，耕地地力保护补贴结余资金可用于</w:t>
      </w:r>
      <w:r>
        <w:rPr>
          <w:rFonts w:hint="eastAsia" w:ascii="方正仿宋_GBK" w:hAnsi="方正仿宋_GBK" w:eastAsia="方正仿宋_GBK" w:cs="方正仿宋_GBK"/>
          <w:sz w:val="32"/>
          <w:szCs w:val="32"/>
          <w:lang w:eastAsia="zh-CN"/>
        </w:rPr>
        <w:t>种植</w:t>
      </w:r>
      <w:r>
        <w:rPr>
          <w:rFonts w:hint="eastAsia" w:ascii="方正仿宋_GBK" w:hAnsi="方正仿宋_GBK" w:eastAsia="方正仿宋_GBK" w:cs="方正仿宋_GBK"/>
          <w:sz w:val="32"/>
          <w:szCs w:val="32"/>
          <w:lang w:val="en-US" w:eastAsia="zh-CN"/>
        </w:rPr>
        <w:t>30亩以上（含）</w:t>
      </w:r>
      <w:r>
        <w:rPr>
          <w:rFonts w:hint="eastAsia" w:ascii="方正仿宋_GBK" w:hAnsi="方正仿宋_GBK" w:eastAsia="方正仿宋_GBK" w:cs="方正仿宋_GBK"/>
          <w:sz w:val="32"/>
          <w:szCs w:val="32"/>
        </w:rPr>
        <w:t>双季稻</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规模种植</w:t>
      </w:r>
      <w:r>
        <w:rPr>
          <w:rFonts w:hint="eastAsia" w:ascii="方正仿宋_GBK" w:hAnsi="方正仿宋_GBK" w:eastAsia="方正仿宋_GBK" w:cs="方正仿宋_GBK"/>
          <w:sz w:val="32"/>
          <w:szCs w:val="32"/>
          <w:lang w:eastAsia="zh-CN"/>
        </w:rPr>
        <w:t>大户</w:t>
      </w:r>
      <w:r>
        <w:rPr>
          <w:rFonts w:hint="eastAsia" w:ascii="方正仿宋_GBK" w:hAnsi="方正仿宋_GBK" w:eastAsia="方正仿宋_GBK" w:cs="方正仿宋_GBK"/>
          <w:sz w:val="32"/>
          <w:szCs w:val="32"/>
        </w:rPr>
        <w:t>补</w:t>
      </w:r>
      <w:r>
        <w:rPr>
          <w:rFonts w:hint="eastAsia" w:ascii="方正仿宋_GBK" w:hAnsi="方正仿宋_GBK" w:eastAsia="方正仿宋_GBK" w:cs="方正仿宋_GBK"/>
          <w:sz w:val="32"/>
          <w:szCs w:val="32"/>
          <w:lang w:eastAsia="zh-CN"/>
        </w:rPr>
        <w:t>贴，补贴对象按照条款（一）执行，</w:t>
      </w:r>
      <w:r>
        <w:rPr>
          <w:rFonts w:hint="eastAsia" w:ascii="方正仿宋_GBK" w:hAnsi="方正仿宋_GBK" w:eastAsia="方正仿宋_GBK" w:cs="方正仿宋_GBK"/>
          <w:sz w:val="32"/>
          <w:szCs w:val="32"/>
          <w:lang w:val="en-US" w:eastAsia="zh-CN"/>
        </w:rPr>
        <w:t>补助标准根据双季稻实际种植面积和</w:t>
      </w:r>
      <w:r>
        <w:rPr>
          <w:rFonts w:hint="eastAsia" w:ascii="方正仿宋_GBK" w:hAnsi="方正仿宋_GBK" w:eastAsia="方正仿宋_GBK" w:cs="方正仿宋_GBK"/>
          <w:sz w:val="32"/>
          <w:szCs w:val="32"/>
        </w:rPr>
        <w:t>结余</w:t>
      </w:r>
      <w:r>
        <w:rPr>
          <w:rFonts w:hint="eastAsia" w:ascii="方正仿宋_GBK" w:hAnsi="方正仿宋_GBK" w:eastAsia="方正仿宋_GBK" w:cs="方正仿宋_GBK"/>
          <w:sz w:val="32"/>
          <w:szCs w:val="32"/>
          <w:lang w:val="en-US" w:eastAsia="zh-CN"/>
        </w:rPr>
        <w:t>资金额度由财政部门会同农业部门商定，报市人民政府批准后执行。</w:t>
      </w:r>
      <w:r>
        <w:rPr>
          <w:rFonts w:hint="eastAsia" w:ascii="方正仿宋_GBK" w:hAnsi="方正仿宋_GBK" w:eastAsia="方正仿宋_GBK" w:cs="方正仿宋_GBK"/>
          <w:sz w:val="32"/>
          <w:szCs w:val="32"/>
        </w:rPr>
        <w:t>严禁擅自统筹</w:t>
      </w:r>
      <w:r>
        <w:rPr>
          <w:rFonts w:hint="eastAsia" w:ascii="方正仿宋_GBK" w:hAnsi="方正仿宋_GBK" w:eastAsia="方正仿宋_GBK" w:cs="方正仿宋_GBK"/>
          <w:sz w:val="32"/>
          <w:szCs w:val="32"/>
          <w:lang w:eastAsia="zh-CN"/>
        </w:rPr>
        <w:t>使用</w:t>
      </w:r>
      <w:r>
        <w:rPr>
          <w:rFonts w:hint="eastAsia" w:ascii="方正仿宋_GBK" w:hAnsi="方正仿宋_GBK" w:eastAsia="方正仿宋_GBK" w:cs="方正仿宋_GBK"/>
          <w:sz w:val="32"/>
          <w:szCs w:val="32"/>
        </w:rPr>
        <w:t>耕地地力保护补贴。</w:t>
      </w:r>
      <w:r>
        <w:rPr>
          <w:rFonts w:hint="eastAsia" w:ascii="方正仿宋_GBK" w:hAnsi="方正仿宋_GBK" w:eastAsia="方正仿宋_GBK" w:cs="方正仿宋_GBK"/>
          <w:sz w:val="32"/>
          <w:szCs w:val="32"/>
          <w:lang w:val="en-US" w:eastAsia="zh-CN"/>
        </w:rPr>
        <w:t>本市范围内补贴标准统一，原则上应保持政策的连续性和稳定性。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（三）补贴发放负面清单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以下情形不得发放补贴：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1. </w:t>
      </w:r>
      <w:r>
        <w:rPr>
          <w:rFonts w:hint="eastAsia" w:ascii="方正仿宋_GBK" w:hAnsi="方正仿宋_GBK" w:eastAsia="方正仿宋_GBK" w:cs="方正仿宋_GBK"/>
          <w:sz w:val="32"/>
          <w:szCs w:val="32"/>
        </w:rPr>
        <w:t>已经作为畜牧水产养殖场使用的耕地；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2. </w:t>
      </w:r>
      <w:r>
        <w:rPr>
          <w:rFonts w:hint="eastAsia" w:ascii="方正仿宋_GBK" w:hAnsi="方正仿宋_GBK" w:eastAsia="方正仿宋_GBK" w:cs="方正仿宋_GBK"/>
          <w:sz w:val="32"/>
          <w:szCs w:val="32"/>
        </w:rPr>
        <w:t>已经转为林地、园地的耕地，即种植园林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水果、茶叶、花卉苗木、林木及其相关间作、套作模式的耕地</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3. </w:t>
      </w:r>
      <w:r>
        <w:rPr>
          <w:rFonts w:hint="eastAsia" w:ascii="方正仿宋_GBK" w:hAnsi="方正仿宋_GBK" w:eastAsia="方正仿宋_GBK" w:cs="方正仿宋_GBK"/>
          <w:sz w:val="32"/>
          <w:szCs w:val="32"/>
        </w:rPr>
        <w:t>成片粮田转为设施农业用地的耕地；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4. </w:t>
      </w:r>
      <w:r>
        <w:rPr>
          <w:rFonts w:hint="eastAsia" w:ascii="方正仿宋_GBK" w:hAnsi="方正仿宋_GBK" w:eastAsia="方正仿宋_GBK" w:cs="方正仿宋_GBK"/>
          <w:sz w:val="32"/>
          <w:szCs w:val="32"/>
        </w:rPr>
        <w:t>非农业征（占）用等已经改变用途的耕地；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5. </w:t>
      </w:r>
      <w:r>
        <w:rPr>
          <w:rFonts w:hint="eastAsia" w:ascii="方正仿宋_GBK" w:hAnsi="方正仿宋_GBK" w:eastAsia="方正仿宋_GBK" w:cs="方正仿宋_GBK"/>
          <w:sz w:val="32"/>
          <w:szCs w:val="32"/>
        </w:rPr>
        <w:t>占补平衡中“补”的面积和质量达不到耕种条件的耕地；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6. </w:t>
      </w:r>
      <w:r>
        <w:rPr>
          <w:rFonts w:hint="eastAsia" w:ascii="方正仿宋_GBK" w:hAnsi="方正仿宋_GBK" w:eastAsia="方正仿宋_GBK" w:cs="方正仿宋_GBK"/>
          <w:sz w:val="32"/>
          <w:szCs w:val="32"/>
        </w:rPr>
        <w:t>长年抛荒的耕地。对抛荒一年以上的耕地，取消次年补贴资格；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7. </w:t>
      </w:r>
      <w:r>
        <w:rPr>
          <w:rFonts w:hint="eastAsia" w:ascii="方正仿宋_GBK" w:hAnsi="方正仿宋_GBK" w:eastAsia="方正仿宋_GBK" w:cs="方正仿宋_GBK"/>
          <w:sz w:val="32"/>
          <w:szCs w:val="32"/>
        </w:rPr>
        <w:t>违反耕地保护的其他情形（含建房、打坪、挖塘、修路、草皮基地、种树等耕地“非农化”情况和永久基本农田“非粮化”情况</w:t>
      </w:r>
      <w:r>
        <w:rPr>
          <w:rFonts w:hint="eastAsia" w:ascii="方正仿宋_GBK" w:hAnsi="方正仿宋_GBK" w:eastAsia="方正仿宋_GBK" w:cs="方正仿宋_GBK"/>
          <w:sz w:val="32"/>
          <w:szCs w:val="32"/>
          <w:lang w:eastAsia="zh-CN"/>
        </w:rPr>
        <w:t>等</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（四）补贴资金发放</w:t>
      </w:r>
      <w:r>
        <w:rPr>
          <w:rFonts w:hint="eastAsia" w:ascii="方正楷体_GBK" w:hAnsi="方正楷体_GBK" w:eastAsia="方正楷体_GBK" w:cs="方正楷体_GBK"/>
          <w:b/>
          <w:bCs/>
          <w:sz w:val="32"/>
          <w:szCs w:val="32"/>
          <w:lang w:eastAsia="zh-CN"/>
        </w:rPr>
        <w:t>。</w:t>
      </w:r>
      <w:r>
        <w:rPr>
          <w:rFonts w:hint="eastAsia" w:ascii="方正仿宋_GBK" w:hAnsi="方正仿宋_GBK" w:eastAsia="方正仿宋_GBK" w:cs="方正仿宋_GBK"/>
          <w:sz w:val="32"/>
          <w:szCs w:val="32"/>
        </w:rPr>
        <w:t>严格执行</w:t>
      </w:r>
      <w:r>
        <w:rPr>
          <w:rFonts w:hint="eastAsia" w:ascii="方正仿宋_GBK" w:hAnsi="方正仿宋_GBK" w:eastAsia="方正仿宋_GBK" w:cs="方正仿宋_GBK"/>
          <w:sz w:val="32"/>
          <w:szCs w:val="32"/>
          <w:lang w:eastAsia="zh-CN"/>
        </w:rPr>
        <w:t>补贴</w:t>
      </w:r>
      <w:r>
        <w:rPr>
          <w:rFonts w:hint="eastAsia" w:ascii="方正仿宋_GBK" w:hAnsi="方正仿宋_GBK" w:eastAsia="方正仿宋_GBK" w:cs="方正仿宋_GBK"/>
          <w:sz w:val="32"/>
          <w:szCs w:val="32"/>
        </w:rPr>
        <w:t>资金管理制度，确保补贴资金封闭运行，原则上每年6月30日前发放补贴资金（具体根据中央资金下达时间确定）。各乡镇（街道）应按要求于每年12月</w:t>
      </w:r>
      <w:r>
        <w:rPr>
          <w:rFonts w:hint="eastAsia" w:ascii="方正仿宋_GBK" w:hAnsi="方正仿宋_GBK" w:eastAsia="方正仿宋_GBK" w:cs="方正仿宋_GBK"/>
          <w:sz w:val="32"/>
          <w:szCs w:val="32"/>
          <w:lang w:eastAsia="zh-CN"/>
        </w:rPr>
        <w:t>月</w:t>
      </w:r>
      <w:r>
        <w:rPr>
          <w:rFonts w:hint="eastAsia" w:ascii="方正仿宋_GBK" w:hAnsi="方正仿宋_GBK" w:eastAsia="方正仿宋_GBK" w:cs="方正仿宋_GBK"/>
          <w:sz w:val="32"/>
          <w:szCs w:val="32"/>
        </w:rPr>
        <w:t>底</w:t>
      </w:r>
      <w:r>
        <w:rPr>
          <w:rFonts w:hint="eastAsia" w:ascii="方正仿宋_GBK" w:hAnsi="方正仿宋_GBK" w:eastAsia="方正仿宋_GBK" w:cs="方正仿宋_GBK"/>
          <w:sz w:val="32"/>
          <w:szCs w:val="32"/>
          <w:lang w:eastAsia="zh-CN"/>
        </w:rPr>
        <w:t>前</w:t>
      </w:r>
      <w:r>
        <w:rPr>
          <w:rFonts w:hint="eastAsia" w:ascii="方正仿宋_GBK" w:hAnsi="方正仿宋_GBK" w:eastAsia="方正仿宋_GBK" w:cs="方正仿宋_GBK"/>
          <w:sz w:val="32"/>
          <w:szCs w:val="32"/>
        </w:rPr>
        <w:t>完成补贴数据收集和核对，于次年</w:t>
      </w:r>
      <w:r>
        <w:rPr>
          <w:rFonts w:hint="eastAsia" w:ascii="方正仿宋_GBK" w:hAnsi="方正仿宋_GBK" w:eastAsia="方正仿宋_GBK" w:cs="方正仿宋_GBK"/>
          <w:sz w:val="32"/>
          <w:szCs w:val="32"/>
          <w:lang w:eastAsia="zh-CN"/>
        </w:rPr>
        <w:t>由</w:t>
      </w:r>
      <w:r>
        <w:rPr>
          <w:rFonts w:hint="eastAsia" w:ascii="方正仿宋_GBK" w:hAnsi="方正仿宋_GBK" w:eastAsia="方正仿宋_GBK" w:cs="方正仿宋_GBK"/>
          <w:sz w:val="32"/>
          <w:szCs w:val="32"/>
        </w:rPr>
        <w:t>村</w:t>
      </w:r>
      <w:r>
        <w:rPr>
          <w:rFonts w:hint="eastAsia" w:ascii="方正仿宋_GBK" w:hAnsi="方正仿宋_GBK" w:eastAsia="方正仿宋_GBK" w:cs="方正仿宋_GBK"/>
          <w:sz w:val="32"/>
          <w:szCs w:val="32"/>
          <w:lang w:eastAsia="zh-CN"/>
        </w:rPr>
        <w:t>（社区）</w:t>
      </w:r>
      <w:r>
        <w:rPr>
          <w:rFonts w:hint="eastAsia" w:ascii="方正仿宋_GBK" w:hAnsi="方正仿宋_GBK" w:eastAsia="方正仿宋_GBK" w:cs="方正仿宋_GBK"/>
          <w:sz w:val="32"/>
          <w:szCs w:val="32"/>
        </w:rPr>
        <w:t>初审、乡镇（街道）复审、市终审，按照</w:t>
      </w:r>
      <w:r>
        <w:rPr>
          <w:rFonts w:hint="eastAsia" w:ascii="方正仿宋_GBK" w:hAnsi="方正仿宋_GBK" w:eastAsia="方正仿宋_GBK" w:cs="方正仿宋_GBK"/>
          <w:sz w:val="32"/>
          <w:szCs w:val="32"/>
          <w:lang w:eastAsia="zh-CN"/>
        </w:rPr>
        <w:t>规定</w:t>
      </w:r>
      <w:r>
        <w:rPr>
          <w:rFonts w:hint="eastAsia" w:ascii="方正仿宋_GBK" w:hAnsi="方正仿宋_GBK" w:eastAsia="方正仿宋_GBK" w:cs="方正仿宋_GBK"/>
          <w:sz w:val="32"/>
          <w:szCs w:val="32"/>
        </w:rPr>
        <w:t>程序和时间节点在惠民惠农财政补贴资金“一卡通”阳光审批系统</w:t>
      </w:r>
      <w:r>
        <w:rPr>
          <w:rFonts w:hint="eastAsia" w:ascii="方正仿宋_GBK" w:hAnsi="方正仿宋_GBK" w:eastAsia="方正仿宋_GBK" w:cs="方正仿宋_GBK"/>
          <w:sz w:val="32"/>
          <w:szCs w:val="32"/>
          <w:lang w:eastAsia="zh-CN"/>
        </w:rPr>
        <w:t>中</w:t>
      </w:r>
      <w:r>
        <w:rPr>
          <w:rFonts w:hint="eastAsia" w:ascii="方正仿宋_GBK" w:hAnsi="方正仿宋_GBK" w:eastAsia="方正仿宋_GBK" w:cs="方正仿宋_GBK"/>
          <w:sz w:val="32"/>
          <w:szCs w:val="32"/>
        </w:rPr>
        <w:t>进行申报、审批、公示和申请发放。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lang w:eastAsia="zh-CN"/>
        </w:rPr>
        <w:t>（五）</w:t>
      </w:r>
      <w:r>
        <w:rPr>
          <w:rFonts w:hint="eastAsia" w:ascii="方正楷体_GBK" w:hAnsi="方正楷体_GBK" w:eastAsia="方正楷体_GBK" w:cs="方正楷体_GBK"/>
          <w:b/>
          <w:bCs/>
          <w:sz w:val="32"/>
          <w:szCs w:val="32"/>
        </w:rPr>
        <w:t xml:space="preserve">耕地地力保护补贴发放具体流程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农户申报。</w:t>
      </w:r>
      <w:r>
        <w:rPr>
          <w:rFonts w:hint="eastAsia" w:ascii="方正仿宋_GBK" w:hAnsi="方正仿宋_GBK" w:eastAsia="方正仿宋_GBK" w:cs="方正仿宋_GBK"/>
          <w:sz w:val="32"/>
          <w:szCs w:val="32"/>
        </w:rPr>
        <w:t>农户自行向村民小组组长申报登记已确权登记颁证到户耕地上实际种植作物的耕地面积等相关信息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村民小组组长逐户核实后，如实填写市农业农村局统一制定的登记表，并汇总上报到村委会。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2</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村组公示。</w:t>
      </w:r>
      <w:r>
        <w:rPr>
          <w:rFonts w:hint="eastAsia" w:ascii="方正仿宋_GBK" w:hAnsi="方正仿宋_GBK" w:eastAsia="方正仿宋_GBK" w:cs="方正仿宋_GBK"/>
          <w:sz w:val="32"/>
          <w:szCs w:val="32"/>
        </w:rPr>
        <w:t xml:space="preserve">村委会对本村各村民小组上报的数据逐户核实，在村组人流集中处张榜公示，公示时间不得少于7天，并拍照存查，接受群众监督。对公示期内有异议的，村委会要组织相关人员调查核实，根据调查结果再予以公示。国有农场开展数据采集申报，公示无异议后上报市农业农村局。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3</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乡镇（街道）核录。</w:t>
      </w:r>
      <w:r>
        <w:rPr>
          <w:rFonts w:hint="eastAsia" w:ascii="方正仿宋_GBK" w:hAnsi="方正仿宋_GBK" w:eastAsia="方正仿宋_GBK" w:cs="方正仿宋_GBK"/>
          <w:sz w:val="32"/>
          <w:szCs w:val="32"/>
        </w:rPr>
        <w:t>根据各村上报面积，乡镇</w:t>
      </w:r>
      <w:r>
        <w:rPr>
          <w:rFonts w:hint="eastAsia" w:ascii="方正仿宋_GBK" w:hAnsi="方正仿宋_GBK" w:eastAsia="方正仿宋_GBK" w:cs="方正仿宋_GBK"/>
          <w:sz w:val="32"/>
          <w:szCs w:val="32"/>
          <w:lang w:eastAsia="zh-CN"/>
        </w:rPr>
        <w:t>（街道）</w:t>
      </w:r>
      <w:r>
        <w:rPr>
          <w:rFonts w:hint="eastAsia" w:ascii="方正仿宋_GBK" w:hAnsi="方正仿宋_GBK" w:eastAsia="方正仿宋_GBK" w:cs="方正仿宋_GBK"/>
          <w:sz w:val="32"/>
          <w:szCs w:val="32"/>
        </w:rPr>
        <w:t>组织逐村复核上报数据，并将核定无误的数据经乡镇</w:t>
      </w:r>
      <w:r>
        <w:rPr>
          <w:rFonts w:hint="eastAsia" w:ascii="方正仿宋_GBK" w:hAnsi="方正仿宋_GBK" w:eastAsia="方正仿宋_GBK" w:cs="方正仿宋_GBK"/>
          <w:sz w:val="32"/>
          <w:szCs w:val="32"/>
          <w:lang w:eastAsia="zh-CN"/>
        </w:rPr>
        <w:t>（街道）</w:t>
      </w:r>
      <w:r>
        <w:rPr>
          <w:rFonts w:hint="eastAsia" w:ascii="方正仿宋_GBK" w:hAnsi="方正仿宋_GBK" w:eastAsia="方正仿宋_GBK" w:cs="方正仿宋_GBK"/>
          <w:sz w:val="32"/>
          <w:szCs w:val="32"/>
        </w:rPr>
        <w:t>主要负责人签字、加盖公章后在乡镇</w:t>
      </w:r>
      <w:r>
        <w:rPr>
          <w:rFonts w:hint="eastAsia" w:ascii="方正仿宋_GBK" w:hAnsi="方正仿宋_GBK" w:eastAsia="方正仿宋_GBK" w:cs="方正仿宋_GBK"/>
          <w:sz w:val="32"/>
          <w:szCs w:val="32"/>
          <w:lang w:eastAsia="zh-CN"/>
        </w:rPr>
        <w:t>（街道）公示栏</w:t>
      </w:r>
      <w:r>
        <w:rPr>
          <w:rFonts w:hint="eastAsia" w:ascii="方正仿宋_GBK" w:hAnsi="方正仿宋_GBK" w:eastAsia="方正仿宋_GBK" w:cs="方正仿宋_GBK"/>
          <w:sz w:val="32"/>
          <w:szCs w:val="32"/>
        </w:rPr>
        <w:t>进行公示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公示无异议后，报</w:t>
      </w:r>
      <w:r>
        <w:rPr>
          <w:rFonts w:hint="eastAsia" w:ascii="方正仿宋_GBK" w:hAnsi="方正仿宋_GBK" w:eastAsia="方正仿宋_GBK" w:cs="方正仿宋_GBK"/>
          <w:sz w:val="32"/>
          <w:szCs w:val="32"/>
          <w:lang w:eastAsia="zh-CN"/>
        </w:rPr>
        <w:t>送至</w:t>
      </w:r>
      <w:r>
        <w:rPr>
          <w:rFonts w:hint="eastAsia" w:ascii="方正仿宋_GBK" w:hAnsi="方正仿宋_GBK" w:eastAsia="方正仿宋_GBK" w:cs="方正仿宋_GBK"/>
          <w:sz w:val="32"/>
          <w:szCs w:val="32"/>
        </w:rPr>
        <w:t>市农业农村局、</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财政局，并根据市农业农村局</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 xml:space="preserve">核实结果，录入补贴面积等补贴发放相关基础数据。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4</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市核发。</w:t>
      </w:r>
      <w:r>
        <w:rPr>
          <w:rFonts w:hint="eastAsia" w:ascii="方正仿宋_GBK" w:hAnsi="方正仿宋_GBK" w:eastAsia="方正仿宋_GBK" w:cs="方正仿宋_GBK"/>
          <w:sz w:val="32"/>
          <w:szCs w:val="32"/>
        </w:rPr>
        <w:t>市农业农村局组织对上报数据抽查核实后进行公示。公示无异议后，市农业农村局提出补贴资金发放建议，市财政局审核后发放耕地地力保护补贴资金。</w:t>
      </w:r>
      <w:r>
        <w:rPr>
          <w:rFonts w:hint="eastAsia" w:ascii="方正仿宋_GBK" w:hAnsi="方正仿宋_GBK" w:eastAsia="方正仿宋_GBK" w:cs="方正仿宋_GBK"/>
          <w:sz w:val="32"/>
          <w:szCs w:val="32"/>
          <w:lang w:eastAsia="zh-CN"/>
        </w:rPr>
        <w:t>严禁将补贴资金切块安排到乡镇（街道），再由乡镇（街道）收集数据发放补贴。</w:t>
      </w:r>
      <w:r>
        <w:rPr>
          <w:rFonts w:hint="eastAsia" w:ascii="方正仿宋_GBK" w:hAnsi="方正仿宋_GBK" w:eastAsia="方正仿宋_GBK" w:cs="方正仿宋_GBK"/>
          <w:sz w:val="32"/>
          <w:szCs w:val="32"/>
        </w:rPr>
        <w:t xml:space="preserve">所有直接兑付到人到户的补贴资金均要通过惠民惠农补贴资金“一卡通”系统发放。村组集体、国有农场、农民合作社、龙头企业等享有耕地地力保护补贴的，应拨付到其对公账户。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三、职责分工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农业农村</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财政</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自然资源</w:t>
      </w:r>
      <w:r>
        <w:rPr>
          <w:rFonts w:hint="eastAsia" w:ascii="方正仿宋_GBK" w:hAnsi="方正仿宋_GBK" w:eastAsia="方正仿宋_GBK" w:cs="方正仿宋_GBK"/>
          <w:sz w:val="32"/>
          <w:szCs w:val="32"/>
          <w:lang w:eastAsia="zh-CN"/>
        </w:rPr>
        <w:t>局</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各</w:t>
      </w:r>
      <w:r>
        <w:rPr>
          <w:rFonts w:hint="eastAsia" w:ascii="方正仿宋_GBK" w:hAnsi="方正仿宋_GBK" w:eastAsia="方正仿宋_GBK" w:cs="方正仿宋_GBK"/>
          <w:sz w:val="32"/>
          <w:szCs w:val="32"/>
        </w:rPr>
        <w:t>乡镇</w:t>
      </w:r>
      <w:r>
        <w:rPr>
          <w:rFonts w:hint="eastAsia" w:ascii="方正仿宋_GBK" w:hAnsi="方正仿宋_GBK" w:eastAsia="方正仿宋_GBK" w:cs="方正仿宋_GBK"/>
          <w:sz w:val="32"/>
          <w:szCs w:val="32"/>
          <w:lang w:eastAsia="zh-CN"/>
        </w:rPr>
        <w:t>（街道）</w:t>
      </w:r>
      <w:r>
        <w:rPr>
          <w:rFonts w:hint="eastAsia" w:ascii="方正仿宋_GBK" w:hAnsi="方正仿宋_GBK" w:eastAsia="方正仿宋_GBK" w:cs="方正仿宋_GBK"/>
          <w:sz w:val="32"/>
          <w:szCs w:val="32"/>
        </w:rPr>
        <w:t>、代发金融机构等部门</w:t>
      </w:r>
      <w:r>
        <w:rPr>
          <w:rFonts w:hint="eastAsia" w:ascii="方正仿宋_GBK" w:hAnsi="方正仿宋_GBK" w:eastAsia="方正仿宋_GBK" w:cs="方正仿宋_GBK"/>
          <w:sz w:val="32"/>
          <w:szCs w:val="32"/>
          <w:lang w:eastAsia="zh-CN"/>
        </w:rPr>
        <w:t>单位要密切配合、分工协作，形成合力，按照各自职责</w:t>
      </w:r>
      <w:r>
        <w:rPr>
          <w:rFonts w:hint="eastAsia" w:ascii="方正仿宋_GBK" w:hAnsi="方正仿宋_GBK" w:eastAsia="方正仿宋_GBK" w:cs="方正仿宋_GBK"/>
          <w:sz w:val="32"/>
          <w:szCs w:val="32"/>
        </w:rPr>
        <w:t>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rPr>
        <w:t>市农业农村局</w:t>
      </w:r>
      <w:r>
        <w:rPr>
          <w:rFonts w:hint="eastAsia" w:ascii="方正仿宋_GBK" w:hAnsi="方正仿宋_GBK" w:eastAsia="方正仿宋_GBK" w:cs="方正仿宋_GBK"/>
          <w:b/>
          <w:bCs/>
          <w:sz w:val="32"/>
          <w:szCs w:val="32"/>
          <w:lang w:val="en-US" w:eastAsia="zh-CN"/>
        </w:rPr>
        <w:t>：</w:t>
      </w:r>
      <w:r>
        <w:rPr>
          <w:rFonts w:hint="eastAsia" w:ascii="方正仿宋_GBK" w:hAnsi="方正仿宋_GBK" w:eastAsia="方正仿宋_GBK" w:cs="方正仿宋_GBK"/>
          <w:sz w:val="32"/>
          <w:szCs w:val="32"/>
        </w:rPr>
        <w:t>负责组织乡镇</w:t>
      </w:r>
      <w:r>
        <w:rPr>
          <w:rFonts w:hint="eastAsia" w:ascii="方正仿宋_GBK" w:hAnsi="方正仿宋_GBK" w:eastAsia="方正仿宋_GBK" w:cs="方正仿宋_GBK"/>
          <w:sz w:val="32"/>
          <w:szCs w:val="32"/>
          <w:lang w:eastAsia="zh-CN"/>
        </w:rPr>
        <w:t>（街道）</w:t>
      </w:r>
      <w:r>
        <w:rPr>
          <w:rFonts w:hint="eastAsia" w:ascii="方正仿宋_GBK" w:hAnsi="方正仿宋_GBK" w:eastAsia="方正仿宋_GBK" w:cs="方正仿宋_GBK"/>
          <w:sz w:val="32"/>
          <w:szCs w:val="32"/>
        </w:rPr>
        <w:t>开展采集、汇总、公示、录入耕地地力保护补贴面积和补贴对象</w:t>
      </w:r>
      <w:r>
        <w:rPr>
          <w:rFonts w:hint="eastAsia" w:ascii="方正仿宋_GBK" w:hAnsi="方正仿宋_GBK" w:eastAsia="方正仿宋_GBK" w:cs="方正仿宋_GBK"/>
          <w:sz w:val="32"/>
          <w:szCs w:val="32"/>
          <w:lang w:eastAsia="zh-CN"/>
        </w:rPr>
        <w:t>身份</w:t>
      </w:r>
      <w:r>
        <w:rPr>
          <w:rFonts w:hint="eastAsia" w:ascii="方正仿宋_GBK" w:hAnsi="方正仿宋_GBK" w:eastAsia="方正仿宋_GBK" w:cs="方正仿宋_GBK"/>
          <w:sz w:val="32"/>
          <w:szCs w:val="32"/>
        </w:rPr>
        <w:t>等基础数据，提出资金安排建议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负责项目组织实施和监督，</w:t>
      </w:r>
      <w:r>
        <w:rPr>
          <w:rFonts w:hint="eastAsia" w:ascii="方正仿宋_GBK" w:hAnsi="方正仿宋_GBK" w:eastAsia="方正仿宋_GBK" w:cs="方正仿宋_GBK"/>
          <w:sz w:val="32"/>
          <w:szCs w:val="32"/>
          <w:lang w:eastAsia="zh-CN"/>
        </w:rPr>
        <w:t>实施</w:t>
      </w:r>
      <w:r>
        <w:rPr>
          <w:rFonts w:hint="eastAsia" w:ascii="方正仿宋_GBK" w:hAnsi="方正仿宋_GBK" w:eastAsia="方正仿宋_GBK" w:cs="方正仿宋_GBK"/>
          <w:sz w:val="32"/>
          <w:szCs w:val="32"/>
        </w:rPr>
        <w:t>绩效评价等工作</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rPr>
        <w:t>市财政局</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rPr>
        <w:t>负责资金分配下达、资金审核拨付、预算绩效管理及资金使用监管等工作</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bCs/>
          <w:sz w:val="32"/>
          <w:szCs w:val="32"/>
        </w:rPr>
        <w:t>市自然资源局</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rPr>
        <w:t>负责提供到村</w:t>
      </w:r>
      <w:r>
        <w:rPr>
          <w:rFonts w:hint="eastAsia" w:ascii="方正仿宋_GBK" w:hAnsi="方正仿宋_GBK" w:eastAsia="方正仿宋_GBK" w:cs="方正仿宋_GBK"/>
          <w:sz w:val="32"/>
          <w:szCs w:val="32"/>
          <w:lang w:eastAsia="zh-CN"/>
        </w:rPr>
        <w:t>（社区）</w:t>
      </w:r>
      <w:r>
        <w:rPr>
          <w:rFonts w:hint="eastAsia" w:ascii="方正仿宋_GBK" w:hAnsi="方正仿宋_GBK" w:eastAsia="方正仿宋_GBK" w:cs="方正仿宋_GBK"/>
          <w:sz w:val="32"/>
          <w:szCs w:val="32"/>
        </w:rPr>
        <w:t>的耕地面积数据以及负面清单中与其职能相关的数据等工作</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各乡镇（街道）</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rPr>
        <w:t>负责组织辖区村</w:t>
      </w:r>
      <w:r>
        <w:rPr>
          <w:rFonts w:hint="eastAsia" w:ascii="方正仿宋_GBK" w:hAnsi="方正仿宋_GBK" w:eastAsia="方正仿宋_GBK" w:cs="方正仿宋_GBK"/>
          <w:sz w:val="32"/>
          <w:szCs w:val="32"/>
          <w:lang w:eastAsia="zh-CN"/>
        </w:rPr>
        <w:t>组</w:t>
      </w:r>
      <w:r>
        <w:rPr>
          <w:rFonts w:hint="eastAsia" w:ascii="方正仿宋_GBK" w:hAnsi="方正仿宋_GBK" w:eastAsia="方正仿宋_GBK" w:cs="方正仿宋_GBK"/>
          <w:sz w:val="32"/>
          <w:szCs w:val="32"/>
        </w:rPr>
        <w:t>采集补贴对象的身份</w:t>
      </w:r>
      <w:r>
        <w:rPr>
          <w:rFonts w:hint="eastAsia" w:ascii="方正仿宋_GBK" w:hAnsi="方正仿宋_GBK" w:eastAsia="方正仿宋_GBK" w:cs="方正仿宋_GBK"/>
          <w:sz w:val="32"/>
          <w:szCs w:val="32"/>
          <w:lang w:eastAsia="zh-CN"/>
        </w:rPr>
        <w:t>信息、</w:t>
      </w:r>
      <w:r>
        <w:rPr>
          <w:rFonts w:hint="eastAsia" w:ascii="方正仿宋_GBK" w:hAnsi="方正仿宋_GBK" w:eastAsia="方正仿宋_GBK" w:cs="方正仿宋_GBK"/>
          <w:sz w:val="32"/>
          <w:szCs w:val="32"/>
        </w:rPr>
        <w:t>银行账户信息、种植面积等基础数据，并根据相关规定进行审核、汇总、公示，按照要求将基础数据录入惠民惠农财政补贴资金“一卡通”阳光审批系统，并根据录入情况汇总报</w:t>
      </w:r>
      <w:r>
        <w:rPr>
          <w:rFonts w:hint="eastAsia" w:ascii="方正仿宋_GBK" w:hAnsi="方正仿宋_GBK" w:eastAsia="方正仿宋_GBK" w:cs="方正仿宋_GBK"/>
          <w:sz w:val="32"/>
          <w:szCs w:val="32"/>
          <w:lang w:eastAsia="zh-CN"/>
        </w:rPr>
        <w:t>送至</w:t>
      </w:r>
      <w:r>
        <w:rPr>
          <w:rFonts w:hint="eastAsia" w:ascii="方正仿宋_GBK" w:hAnsi="方正仿宋_GBK" w:eastAsia="方正仿宋_GBK" w:cs="方正仿宋_GBK"/>
          <w:sz w:val="32"/>
          <w:szCs w:val="32"/>
        </w:rPr>
        <w:t>市农业农村局</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代发金融机构</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rPr>
        <w:t>负责对全市“一卡通”系统不定期排查、更新、升级，确保</w:t>
      </w:r>
      <w:r>
        <w:rPr>
          <w:rFonts w:hint="eastAsia" w:ascii="方正仿宋_GBK" w:hAnsi="方正仿宋_GBK" w:eastAsia="方正仿宋_GBK" w:cs="方正仿宋_GBK"/>
          <w:sz w:val="32"/>
          <w:szCs w:val="32"/>
          <w:lang w:eastAsia="zh-CN"/>
        </w:rPr>
        <w:t>系统内</w:t>
      </w:r>
      <w:r>
        <w:rPr>
          <w:rFonts w:hint="eastAsia" w:ascii="方正仿宋_GBK" w:hAnsi="方正仿宋_GBK" w:eastAsia="方正仿宋_GBK" w:cs="方正仿宋_GBK"/>
          <w:sz w:val="32"/>
          <w:szCs w:val="32"/>
        </w:rPr>
        <w:t>信息准确无误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发放精准及时。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（一）加强组织实施。</w:t>
      </w:r>
      <w:r>
        <w:rPr>
          <w:rFonts w:hint="eastAsia" w:ascii="方正仿宋_GBK" w:hAnsi="方正仿宋_GBK" w:eastAsia="方正仿宋_GBK" w:cs="方正仿宋_GBK"/>
          <w:sz w:val="32"/>
          <w:szCs w:val="32"/>
          <w:lang w:eastAsia="zh-CN"/>
        </w:rPr>
        <w:t>市人民政府</w:t>
      </w:r>
      <w:r>
        <w:rPr>
          <w:rFonts w:hint="eastAsia" w:ascii="方正仿宋_GBK" w:hAnsi="方正仿宋_GBK" w:eastAsia="方正仿宋_GBK" w:cs="方正仿宋_GBK"/>
          <w:sz w:val="32"/>
          <w:szCs w:val="32"/>
        </w:rPr>
        <w:t>在省总体方案基础上，因地制宜制定我市耕地地力保护补贴政策实施方案，对补贴对象、补贴依据、补贴标准、补贴程序等内容进行细化完善，</w:t>
      </w:r>
      <w:r>
        <w:rPr>
          <w:rFonts w:hint="eastAsia" w:ascii="方正仿宋_GBK" w:hAnsi="方正仿宋_GBK" w:eastAsia="方正仿宋_GBK" w:cs="方正仿宋_GBK"/>
          <w:sz w:val="32"/>
          <w:szCs w:val="32"/>
          <w:lang w:eastAsia="zh-CN"/>
        </w:rPr>
        <w:t>确保</w:t>
      </w:r>
      <w:r>
        <w:rPr>
          <w:rFonts w:hint="eastAsia" w:ascii="方正仿宋_GBK" w:hAnsi="方正仿宋_GBK" w:eastAsia="方正仿宋_GBK" w:cs="方正仿宋_GBK"/>
          <w:sz w:val="32"/>
          <w:szCs w:val="32"/>
        </w:rPr>
        <w:t>执行标准统一</w:t>
      </w:r>
      <w:r>
        <w:rPr>
          <w:rFonts w:hint="eastAsia" w:ascii="方正仿宋_GBK" w:hAnsi="方正仿宋_GBK" w:eastAsia="方正仿宋_GBK" w:cs="方正仿宋_GBK"/>
          <w:sz w:val="32"/>
          <w:szCs w:val="32"/>
          <w:lang w:eastAsia="zh-CN"/>
        </w:rPr>
        <w:t>、政策总体稳定</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（二）严格资金监管。</w:t>
      </w:r>
      <w:r>
        <w:rPr>
          <w:rFonts w:hint="eastAsia" w:ascii="方正仿宋_GBK" w:hAnsi="方正仿宋_GBK" w:eastAsia="方正仿宋_GBK" w:cs="方正仿宋_GBK"/>
          <w:sz w:val="32"/>
          <w:szCs w:val="32"/>
        </w:rPr>
        <w:t>依托相关科学技术、现代设备，加大对耕地使用情况核实力度。采取定期与不定期、明查与暗访、专项检查、交叉检查等形式，对耕地面积核定、补贴资金发放等环节进行严格监管，严防“跑冒滴漏”，对骗取、套取、贪污、挪用、挤占或违规发放耕地地力保护补贴资金的行为，依法依规严肃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（三）做好宣传解释。</w:t>
      </w:r>
      <w:r>
        <w:rPr>
          <w:rFonts w:hint="eastAsia" w:ascii="方正仿宋_GBK" w:hAnsi="方正仿宋_GBK" w:eastAsia="方正仿宋_GBK" w:cs="方正仿宋_GBK"/>
          <w:sz w:val="32"/>
          <w:szCs w:val="32"/>
          <w:lang w:eastAsia="zh-CN"/>
        </w:rPr>
        <w:t>各地各相关部门单位</w:t>
      </w:r>
      <w:r>
        <w:rPr>
          <w:rFonts w:hint="eastAsia" w:ascii="方正仿宋_GBK" w:hAnsi="方正仿宋_GBK" w:eastAsia="方正仿宋_GBK" w:cs="方正仿宋_GBK"/>
          <w:sz w:val="32"/>
          <w:szCs w:val="32"/>
        </w:rPr>
        <w:t>要对耕地地力保护补贴政策进行广泛宣传，通过电视、广播、电话等形式做好政策解读工作，特别是要及时答复群众来电来访，确保政策顺利实施。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sectPr>
      <w:footerReference r:id="rId3" w:type="default"/>
      <w:pgSz w:w="11906" w:h="16838"/>
      <w:pgMar w:top="1984" w:right="1531"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-214630</wp:posOffset>
              </wp:positionV>
              <wp:extent cx="635635" cy="3606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35635" cy="360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6.9pt;height:28.4pt;width:50.05pt;mso-position-horizontal:outside;mso-position-horizontal-relative:margin;z-index:251659264;mso-width-relative:page;mso-height-relative:page;" filled="f" stroked="f" coordsize="21600,21600" o:gfxdata="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2x6+mdQAAAAHAQAADwAAAAAAAAABACAAAAAiAAAAZHJzL2Rvd25yZXYueG1sUEsB&#10;AhQAFAAAAAgAh07iQDAlO6AyAgAAYQQAAA4AAAAAAAAAAQAgAAAAIwEAAGRycy9lMm9Eb2MueG1s&#10;UEsFBgAAAAAGAAYAWQEAAMcFAAAAAA==&#10;">
              <v:fill on="f" focussize="0,0"/>
              <v:stroke on="f" weight="0.5pt"/>
              <v:imagedata o:title=""/>
              <o:lock v:ext="edit" aspectratio="f"/>
              <v:textbox inset="0mm,0mm,0mm,0mm">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ODU0NGQwMjdmN2JmZGM3NzY4MjY3Mzk1Nzk4MWMifQ=="/>
  </w:docVars>
  <w:rsids>
    <w:rsidRoot w:val="00513C3E"/>
    <w:rsid w:val="0005482C"/>
    <w:rsid w:val="005115E8"/>
    <w:rsid w:val="00513C3E"/>
    <w:rsid w:val="03A77B65"/>
    <w:rsid w:val="04DF383A"/>
    <w:rsid w:val="068D73B6"/>
    <w:rsid w:val="071E2216"/>
    <w:rsid w:val="128A4C7C"/>
    <w:rsid w:val="135E1F1F"/>
    <w:rsid w:val="139863A3"/>
    <w:rsid w:val="19E35149"/>
    <w:rsid w:val="1C0A168B"/>
    <w:rsid w:val="21C4408A"/>
    <w:rsid w:val="245220A7"/>
    <w:rsid w:val="290F5E40"/>
    <w:rsid w:val="2A5D7E44"/>
    <w:rsid w:val="2FDD5D5F"/>
    <w:rsid w:val="32446F7C"/>
    <w:rsid w:val="34552D37"/>
    <w:rsid w:val="398B1DA0"/>
    <w:rsid w:val="400C5BC5"/>
    <w:rsid w:val="4207661C"/>
    <w:rsid w:val="45786C29"/>
    <w:rsid w:val="4663091A"/>
    <w:rsid w:val="5BA059F6"/>
    <w:rsid w:val="5BDF2798"/>
    <w:rsid w:val="5FF74A0F"/>
    <w:rsid w:val="613E0337"/>
    <w:rsid w:val="6297236F"/>
    <w:rsid w:val="62EB733F"/>
    <w:rsid w:val="66A11501"/>
    <w:rsid w:val="66E72C9A"/>
    <w:rsid w:val="67670CFA"/>
    <w:rsid w:val="6893201C"/>
    <w:rsid w:val="69D45783"/>
    <w:rsid w:val="6A9D6B2E"/>
    <w:rsid w:val="6F545262"/>
    <w:rsid w:val="7464128A"/>
    <w:rsid w:val="754B452A"/>
    <w:rsid w:val="7CDC4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ascii="宋体" w:hAnsi="Calibri"/>
      <w:b/>
      <w:bCs/>
      <w:szCs w:val="21"/>
    </w:rPr>
  </w:style>
  <w:style w:type="paragraph" w:styleId="3">
    <w:name w:val="Body Text"/>
    <w:basedOn w:val="1"/>
    <w:next w:val="4"/>
    <w:qFormat/>
    <w:uiPriority w:val="0"/>
    <w:pPr>
      <w:spacing w:line="360" w:lineRule="auto"/>
    </w:pPr>
    <w:rPr>
      <w:rFonts w:ascii="Calibri" w:hAnsi="Calibri" w:eastAsia="宋体"/>
      <w:kern w:val="2"/>
      <w:sz w:val="21"/>
    </w:rPr>
  </w:style>
  <w:style w:type="paragraph" w:styleId="4">
    <w:name w:val="Body Text 2"/>
    <w:basedOn w:val="1"/>
    <w:qFormat/>
    <w:uiPriority w:val="0"/>
  </w:style>
  <w:style w:type="paragraph" w:styleId="5">
    <w:name w:val="Body Text Indent"/>
    <w:basedOn w:val="1"/>
    <w:next w:val="6"/>
    <w:qFormat/>
    <w:uiPriority w:val="0"/>
    <w:pPr>
      <w:spacing w:after="120"/>
      <w:ind w:left="420" w:leftChars="200"/>
    </w:pPr>
    <w:rPr>
      <w:rFonts w:ascii="Calibri" w:hAnsi="Calibri" w:eastAsia="宋体"/>
    </w:rPr>
  </w:style>
  <w:style w:type="paragraph" w:styleId="6">
    <w:name w:val="Body Text Indent 2"/>
    <w:basedOn w:val="1"/>
    <w:next w:val="1"/>
    <w:qFormat/>
    <w:uiPriority w:val="0"/>
    <w:pPr>
      <w:spacing w:line="560" w:lineRule="exact"/>
      <w:ind w:firstLine="538" w:firstLineChars="192"/>
    </w:pPr>
    <w:rPr>
      <w:rFonts w:ascii="宋体" w:hAnsi="宋体" w:cs="宋体"/>
      <w:sz w:val="28"/>
      <w:szCs w:val="28"/>
    </w:rPr>
  </w:style>
  <w:style w:type="paragraph" w:styleId="7">
    <w:name w:val="footer"/>
    <w:basedOn w:val="1"/>
    <w:semiHidden/>
    <w:unhideWhenUsed/>
    <w:qFormat/>
    <w:uiPriority w:val="99"/>
    <w:pPr>
      <w:tabs>
        <w:tab w:val="center" w:pos="4153"/>
        <w:tab w:val="right" w:pos="8306"/>
      </w:tabs>
      <w:snapToGrid w:val="0"/>
      <w:jc w:val="left"/>
    </w:pPr>
    <w:rPr>
      <w:sz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3"/>
    <w:next w:val="1"/>
    <w:qFormat/>
    <w:uiPriority w:val="0"/>
    <w:pPr>
      <w:ind w:firstLine="420" w:firstLineChars="100"/>
    </w:pPr>
  </w:style>
  <w:style w:type="paragraph" w:styleId="11">
    <w:name w:val="Body Text First Indent 2"/>
    <w:basedOn w:val="5"/>
    <w:next w:val="1"/>
    <w:qFormat/>
    <w:uiPriority w:val="0"/>
    <w:pPr>
      <w:spacing w:before="100" w:beforeAutospacing="1" w:after="0"/>
      <w:ind w:firstLine="420" w:firstLineChars="200"/>
    </w:pPr>
  </w:style>
  <w:style w:type="paragraph" w:customStyle="1" w:styleId="14">
    <w:name w:val="_Style 1"/>
    <w:basedOn w:val="1"/>
    <w:next w:val="10"/>
    <w:qFormat/>
    <w:uiPriority w:val="0"/>
    <w:pPr>
      <w:ind w:firstLine="420" w:firstLineChars="200"/>
    </w:pPr>
    <w:rPr>
      <w:rFonts w:ascii="Calibri" w:hAnsi="Calibri" w:eastAsia="宋体"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2934</Words>
  <Characters>2987</Characters>
  <Lines>2</Lines>
  <Paragraphs>1</Paragraphs>
  <TotalTime>1</TotalTime>
  <ScaleCrop>false</ScaleCrop>
  <LinksUpToDate>false</LinksUpToDate>
  <CharactersWithSpaces>3020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2023-06-25T00:06:00Z</dcterms:created>
  <dc:creator>Administrator</dc:creator>
  <cp:lastModifiedBy>ωёi゛</cp:lastModifiedBy>
  <cp:lastPrinted>2023-07-25T00:23:00Z</cp:lastPrinted>
  <dcterms:modified xsi:type="dcterms:W3CDTF">2023-08-30T03:03:21Z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35840053698949D982B6B62FF57C57CC_13</vt:lpwstr>
  </property>
</Properties>
</file>