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bookmarkStart w:id="6" w:name="_GoBack"/>
      <w:bookmarkEnd w:id="6"/>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2022年度</w:t>
      </w:r>
    </w:p>
    <w:p>
      <w:pPr>
        <w:pStyle w:val="9"/>
        <w:jc w:val="center"/>
        <w:rPr>
          <w:sz w:val="84"/>
          <w:szCs w:val="84"/>
        </w:rPr>
      </w:pPr>
      <w:r>
        <w:rPr>
          <w:rFonts w:hint="eastAsia" w:ascii="宋体" w:hAnsi="宋体" w:eastAsia="宋体" w:cs="Arial"/>
          <w:sz w:val="84"/>
          <w:szCs w:val="84"/>
        </w:rPr>
        <w:t>湘乡市虞唐镇人民政府</w:t>
      </w: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ascii="宋体" w:hAnsi="宋体" w:eastAsia="宋体" w:cs="Arial"/>
          <w:sz w:val="28"/>
          <w:szCs w:val="28"/>
        </w:rPr>
        <w:t>湘乡市虞唐镇人民政府</w:t>
      </w:r>
      <w:r>
        <w:rPr>
          <w:rFonts w:hint="eastAsia"/>
          <w:b/>
          <w:sz w:val="28"/>
          <w:szCs w:val="28"/>
        </w:rPr>
        <w:t>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22年度部门决算表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22年度部门决算情况说明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2022年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第四部分附件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ascii="宋体" w:hAnsi="宋体" w:eastAsia="宋体" w:cs="Arial"/>
          <w:sz w:val="84"/>
          <w:szCs w:val="84"/>
        </w:rPr>
        <w:t>湘乡市虞唐镇人民政府</w:t>
      </w:r>
      <w:r>
        <w:rPr>
          <w:rFonts w:hint="eastAsia"/>
          <w:sz w:val="84"/>
          <w:szCs w:val="84"/>
        </w:rPr>
        <w:t>概况</w:t>
      </w:r>
    </w:p>
    <w:p>
      <w:pPr>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0"/>
        <w:spacing w:line="490" w:lineRule="exact"/>
        <w:ind w:left="720" w:firstLine="0" w:firstLineChars="0"/>
        <w:rPr>
          <w:rFonts w:ascii="仿宋" w:hAnsi="仿宋" w:eastAsia="仿宋" w:cs="仿宋"/>
          <w:sz w:val="28"/>
          <w:szCs w:val="30"/>
        </w:rPr>
      </w:pPr>
      <w:r>
        <w:rPr>
          <w:rFonts w:hint="eastAsia" w:asciiTheme="minorEastAsia" w:hAnsiTheme="minorEastAsia"/>
          <w:sz w:val="32"/>
          <w:szCs w:val="32"/>
        </w:rPr>
        <w:t>（一）</w:t>
      </w:r>
      <w:r>
        <w:rPr>
          <w:rFonts w:hint="eastAsia" w:ascii="仿宋" w:hAnsi="仿宋" w:eastAsia="仿宋" w:cs="仿宋"/>
          <w:sz w:val="28"/>
          <w:szCs w:val="30"/>
        </w:rPr>
        <w:t>执行本行政区域内的经济和社会发展计划、预算，管理本行政区域内的经济、教育、科学、文化、卫生、交通、水利、环境保护、招商引资、林业、就业、精准扶贫、体育事业、财政、民政、安全、司法行政、计划生育等行政工作。</w:t>
      </w:r>
    </w:p>
    <w:p>
      <w:pPr>
        <w:autoSpaceDE w:val="0"/>
        <w:autoSpaceDN w:val="0"/>
        <w:adjustRightInd w:val="0"/>
        <w:spacing w:line="490" w:lineRule="exact"/>
        <w:ind w:firstLine="640" w:firstLineChars="200"/>
        <w:rPr>
          <w:rFonts w:ascii="仿宋" w:hAnsi="仿宋" w:eastAsia="仿宋" w:cs="仿宋"/>
          <w:sz w:val="28"/>
          <w:szCs w:val="30"/>
        </w:rPr>
      </w:pPr>
      <w:r>
        <w:rPr>
          <w:rFonts w:hint="eastAsia" w:asciiTheme="minorEastAsia" w:hAnsiTheme="minorEastAsia"/>
          <w:sz w:val="32"/>
          <w:szCs w:val="32"/>
        </w:rPr>
        <w:t>（二）</w:t>
      </w:r>
      <w:r>
        <w:rPr>
          <w:rFonts w:hint="eastAsia" w:ascii="仿宋" w:hAnsi="仿宋" w:eastAsia="仿宋" w:cs="仿宋"/>
          <w:sz w:val="28"/>
          <w:szCs w:val="30"/>
        </w:rPr>
        <w:t>保护各种经济组织的合法权益,承办上级人民政府交办的其他事项。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jc w:val="center"/>
        <w:rPr>
          <w:rFonts w:ascii="黑体" w:hAnsi="黑体" w:eastAsia="黑体"/>
          <w:sz w:val="28"/>
          <w:szCs w:val="28"/>
        </w:rPr>
      </w:pP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sz w:val="28"/>
          <w:szCs w:val="28"/>
        </w:rPr>
        <w:t>湘乡市虞唐镇人民政府</w:t>
      </w:r>
      <w:r>
        <w:rPr>
          <w:rFonts w:hint="eastAsia" w:asciiTheme="minorEastAsia" w:hAnsiTheme="minorEastAsia"/>
          <w:bCs/>
          <w:kern w:val="0"/>
          <w:sz w:val="32"/>
          <w:szCs w:val="32"/>
        </w:rPr>
        <w:t>内设机构包括：</w:t>
      </w:r>
      <w:r>
        <w:rPr>
          <w:rFonts w:hint="eastAsia" w:ascii="仿宋" w:hAnsi="仿宋" w:eastAsia="仿宋" w:cs="仿宋"/>
          <w:sz w:val="28"/>
          <w:szCs w:val="28"/>
          <w:shd w:val="clear" w:color="auto" w:fill="FFFFFF"/>
        </w:rPr>
        <w:t>党政综合办公室、党建工作办公室、经济发展办公室（农业农村和扶贫工作办公室）、社会事务办公室（卫生健康办公室）、自然资源和生态环境办公室（村镇建设管理办公室）、社会治安和应急管理办公室。</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w:t>
      </w:r>
      <w:r>
        <w:rPr>
          <w:rFonts w:hint="eastAsia"/>
          <w:sz w:val="28"/>
          <w:szCs w:val="28"/>
        </w:rPr>
        <w:t>湘乡市虞唐镇人民政府</w:t>
      </w:r>
      <w:r>
        <w:rPr>
          <w:rFonts w:asciiTheme="minorEastAsia" w:hAnsiTheme="minorEastAsia"/>
          <w:bCs/>
          <w:kern w:val="0"/>
          <w:sz w:val="32"/>
          <w:szCs w:val="32"/>
        </w:rPr>
        <w:t>20</w:t>
      </w:r>
      <w:r>
        <w:rPr>
          <w:rFonts w:hint="eastAsia" w:asciiTheme="minorEastAsia" w:hAnsiTheme="minorEastAsia"/>
          <w:bCs/>
          <w:kern w:val="0"/>
          <w:sz w:val="32"/>
          <w:szCs w:val="32"/>
        </w:rPr>
        <w:t>22年部门决算汇总公开单位构成包括：</w:t>
      </w:r>
      <w:r>
        <w:rPr>
          <w:rFonts w:hint="eastAsia"/>
          <w:sz w:val="28"/>
          <w:szCs w:val="28"/>
        </w:rPr>
        <w:t>湘乡市虞唐镇人民政府</w:t>
      </w:r>
      <w:r>
        <w:rPr>
          <w:rFonts w:hint="eastAsia" w:asciiTheme="minorEastAsia" w:hAnsiTheme="minorEastAsia"/>
          <w:bCs/>
          <w:kern w:val="0"/>
          <w:sz w:val="32"/>
          <w:szCs w:val="32"/>
        </w:rPr>
        <w:t>本级、党委事务、人大事务、政协事务以及</w:t>
      </w:r>
      <w:r>
        <w:rPr>
          <w:rFonts w:hint="eastAsia" w:ascii="仿宋" w:hAnsi="仿宋" w:eastAsia="仿宋" w:cs="仿宋"/>
          <w:sz w:val="28"/>
          <w:szCs w:val="28"/>
          <w:shd w:val="clear" w:color="auto" w:fill="FFFFFF"/>
        </w:rPr>
        <w:t>党建工作办公室、经济发展办公室（农业农村和扶贫工作办公室）、社会事务办公室（卫生健康办公室）、自然资源和生态环境办公室（村镇建设管理办公室）、社会治安和应急管理办公室。</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081" w:type="dxa"/>
        <w:tblInd w:w="93" w:type="dxa"/>
        <w:tblLayout w:type="autofit"/>
        <w:tblCellMar>
          <w:top w:w="0" w:type="dxa"/>
          <w:left w:w="108" w:type="dxa"/>
          <w:bottom w:w="0" w:type="dxa"/>
          <w:right w:w="108" w:type="dxa"/>
        </w:tblCellMar>
      </w:tblPr>
      <w:tblGrid>
        <w:gridCol w:w="14081"/>
      </w:tblGrid>
      <w:tr>
        <w:tblPrEx>
          <w:tblCellMar>
            <w:top w:w="0" w:type="dxa"/>
            <w:left w:w="108" w:type="dxa"/>
            <w:bottom w:w="0" w:type="dxa"/>
            <w:right w:w="108" w:type="dxa"/>
          </w:tblCellMar>
        </w:tblPrEx>
        <w:trPr>
          <w:trHeight w:val="360" w:hRule="atLeast"/>
        </w:trPr>
        <w:tc>
          <w:tcPr>
            <w:tcW w:w="14081" w:type="dxa"/>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020" w:hRule="atLeast"/>
        </w:trPr>
        <w:tc>
          <w:tcPr>
            <w:tcW w:w="14081" w:type="dxa"/>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bl>
            <w:tblPr>
              <w:tblStyle w:val="5"/>
              <w:tblW w:w="13515" w:type="dxa"/>
              <w:tblInd w:w="0" w:type="dxa"/>
              <w:tblLayout w:type="autofit"/>
              <w:tblCellMar>
                <w:top w:w="0" w:type="dxa"/>
                <w:left w:w="108" w:type="dxa"/>
                <w:bottom w:w="0" w:type="dxa"/>
                <w:right w:w="108" w:type="dxa"/>
              </w:tblCellMar>
            </w:tblPr>
            <w:tblGrid>
              <w:gridCol w:w="4160"/>
              <w:gridCol w:w="669"/>
              <w:gridCol w:w="652"/>
              <w:gridCol w:w="1656"/>
              <w:gridCol w:w="2268"/>
              <w:gridCol w:w="1701"/>
              <w:gridCol w:w="153"/>
              <w:gridCol w:w="652"/>
              <w:gridCol w:w="1604"/>
            </w:tblGrid>
            <w:tr>
              <w:tblPrEx>
                <w:tblCellMar>
                  <w:top w:w="0" w:type="dxa"/>
                  <w:left w:w="108" w:type="dxa"/>
                  <w:bottom w:w="0" w:type="dxa"/>
                  <w:right w:w="108" w:type="dxa"/>
                </w:tblCellMar>
              </w:tblPrEx>
              <w:trPr>
                <w:trHeight w:val="390" w:hRule="atLeast"/>
              </w:trPr>
              <w:tc>
                <w:tcPr>
                  <w:tcW w:w="13515" w:type="dxa"/>
                  <w:gridSpan w:val="9"/>
                  <w:tcBorders>
                    <w:top w:val="nil"/>
                    <w:left w:val="nil"/>
                    <w:bottom w:val="nil"/>
                    <w:right w:val="nil"/>
                  </w:tcBorders>
                  <w:shd w:val="clear" w:color="auto" w:fill="auto"/>
                  <w:noWrap/>
                  <w:vAlign w:val="bottom"/>
                </w:tcPr>
                <w:p>
                  <w:pPr>
                    <w:widowControl/>
                    <w:rPr>
                      <w:rFonts w:ascii="宋体" w:hAnsi="宋体" w:eastAsia="宋体" w:cs="Arial"/>
                      <w:color w:val="000000"/>
                      <w:kern w:val="0"/>
                      <w:sz w:val="30"/>
                      <w:szCs w:val="30"/>
                    </w:rPr>
                  </w:pPr>
                </w:p>
              </w:tc>
            </w:tr>
            <w:tr>
              <w:tblPrEx>
                <w:tblCellMar>
                  <w:top w:w="0" w:type="dxa"/>
                  <w:left w:w="108" w:type="dxa"/>
                  <w:bottom w:w="0" w:type="dxa"/>
                  <w:right w:w="108" w:type="dxa"/>
                </w:tblCellMar>
              </w:tblPrEx>
              <w:trPr>
                <w:trHeight w:val="255" w:hRule="atLeast"/>
              </w:trPr>
              <w:tc>
                <w:tcPr>
                  <w:tcW w:w="4829"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5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5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122"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5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04"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4829" w:type="dxa"/>
                  <w:gridSpan w:val="2"/>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65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5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122"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5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04"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7137"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收入</w:t>
                  </w:r>
                </w:p>
              </w:tc>
              <w:tc>
                <w:tcPr>
                  <w:tcW w:w="6378" w:type="dxa"/>
                  <w:gridSpan w:val="5"/>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支出</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65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2409" w:type="dxa"/>
                  <w:gridSpan w:val="3"/>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65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2409" w:type="dxa"/>
                  <w:gridSpan w:val="3"/>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2,593.69</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14.70</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三、国有资本经营预算财政拨款收入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四、上级补助收入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五、事业收入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六、经营收入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七、附属单位上缴收入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八、其他收入</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122.42</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2,369.36</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十四、资源勘探工业信息等支出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二十一、国有资本经营预算支出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二十二、灾害防治及应急管理支出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二十三、其他支出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0"/>
                      <w:szCs w:val="20"/>
                    </w:rPr>
                  </w:pPr>
                  <w:r>
                    <w:rPr>
                      <w:rFonts w:hint="eastAsia" w:ascii="宋体" w:hAnsi="宋体" w:eastAsia="宋体" w:cs="Arial"/>
                      <w:b/>
                      <w:bCs/>
                      <w:color w:val="000000"/>
                      <w:kern w:val="0"/>
                      <w:sz w:val="20"/>
                      <w:szCs w:val="20"/>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24</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二十四、债务还本支出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25</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二十五、债务付息支出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26</w:t>
                  </w:r>
                </w:p>
              </w:tc>
              <w:tc>
                <w:tcPr>
                  <w:tcW w:w="16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二十六、抗疫特别国债安排的支出</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2409"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2,730.81</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cs="Arial"/>
                      <w:color w:val="000000"/>
                      <w:sz w:val="22"/>
                    </w:rPr>
                    <w:t>2,730.81</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使用非财政拨款结余</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结余分配</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59</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年初结转和结余</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年末结转和结余</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60</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61</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60"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1321"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16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2,730.81</w:t>
                  </w:r>
                </w:p>
              </w:tc>
              <w:tc>
                <w:tcPr>
                  <w:tcW w:w="226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62</w:t>
                  </w:r>
                </w:p>
              </w:tc>
              <w:tc>
                <w:tcPr>
                  <w:tcW w:w="2409"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cs="Arial"/>
                      <w:color w:val="000000"/>
                      <w:sz w:val="22"/>
                    </w:rPr>
                    <w:t>2,730.81</w:t>
                  </w:r>
                </w:p>
              </w:tc>
            </w:tr>
            <w:tr>
              <w:tblPrEx>
                <w:tblCellMar>
                  <w:top w:w="0" w:type="dxa"/>
                  <w:left w:w="108" w:type="dxa"/>
                  <w:bottom w:w="0" w:type="dxa"/>
                  <w:right w:w="108" w:type="dxa"/>
                </w:tblCellMar>
              </w:tblPrEx>
              <w:trPr>
                <w:trHeight w:val="308" w:hRule="atLeast"/>
              </w:trPr>
              <w:tc>
                <w:tcPr>
                  <w:tcW w:w="13515" w:type="dxa"/>
                  <w:gridSpan w:val="9"/>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注：1.本表反映部门本年度的总收支和年末结转结余情况。</w:t>
                  </w:r>
                </w:p>
              </w:tc>
            </w:tr>
            <w:tr>
              <w:tblPrEx>
                <w:tblCellMar>
                  <w:top w:w="0" w:type="dxa"/>
                  <w:left w:w="108" w:type="dxa"/>
                  <w:bottom w:w="0" w:type="dxa"/>
                  <w:right w:w="108" w:type="dxa"/>
                </w:tblCellMar>
              </w:tblPrEx>
              <w:trPr>
                <w:trHeight w:val="308" w:hRule="atLeast"/>
              </w:trPr>
              <w:tc>
                <w:tcPr>
                  <w:tcW w:w="13515" w:type="dxa"/>
                  <w:gridSpan w:val="9"/>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2.本套报表金额单位转换时可能存在尾数误差。</w:t>
                  </w:r>
                </w:p>
              </w:tc>
            </w:tr>
          </w:tbl>
          <w:p>
            <w:pPr>
              <w:widowControl/>
              <w:jc w:val="left"/>
              <w:rPr>
                <w:rFonts w:ascii="宋体" w:hAnsi="宋体" w:eastAsia="宋体" w:cs="宋体"/>
                <w:kern w:val="0"/>
                <w:sz w:val="24"/>
                <w:szCs w:val="24"/>
              </w:rPr>
            </w:pPr>
          </w:p>
        </w:tc>
      </w:tr>
    </w:tbl>
    <w:p>
      <w:pP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5421" w:type="dxa"/>
        <w:tblInd w:w="-4" w:type="dxa"/>
        <w:tblLayout w:type="autofit"/>
        <w:tblCellMar>
          <w:top w:w="0" w:type="dxa"/>
          <w:left w:w="0" w:type="dxa"/>
          <w:bottom w:w="0" w:type="dxa"/>
          <w:right w:w="0" w:type="dxa"/>
        </w:tblCellMar>
      </w:tblPr>
      <w:tblGrid>
        <w:gridCol w:w="6"/>
        <w:gridCol w:w="436"/>
        <w:gridCol w:w="204"/>
        <w:gridCol w:w="232"/>
        <w:gridCol w:w="283"/>
        <w:gridCol w:w="153"/>
        <w:gridCol w:w="178"/>
        <w:gridCol w:w="3969"/>
        <w:gridCol w:w="249"/>
        <w:gridCol w:w="1240"/>
        <w:gridCol w:w="51"/>
        <w:gridCol w:w="1569"/>
        <w:gridCol w:w="11"/>
        <w:gridCol w:w="1129"/>
        <w:gridCol w:w="331"/>
        <w:gridCol w:w="689"/>
        <w:gridCol w:w="471"/>
        <w:gridCol w:w="489"/>
        <w:gridCol w:w="871"/>
        <w:gridCol w:w="221"/>
        <w:gridCol w:w="519"/>
        <w:gridCol w:w="566"/>
        <w:gridCol w:w="194"/>
        <w:gridCol w:w="159"/>
        <w:gridCol w:w="358"/>
        <w:gridCol w:w="681"/>
        <w:gridCol w:w="162"/>
      </w:tblGrid>
      <w:tr>
        <w:tblPrEx>
          <w:tblCellMar>
            <w:top w:w="0" w:type="dxa"/>
            <w:left w:w="0" w:type="dxa"/>
            <w:bottom w:w="0" w:type="dxa"/>
            <w:right w:w="0" w:type="dxa"/>
          </w:tblCellMar>
        </w:tblPrEx>
        <w:trPr>
          <w:gridAfter w:val="1"/>
          <w:wAfter w:w="162" w:type="dxa"/>
          <w:trHeight w:val="435" w:hRule="atLeast"/>
        </w:trPr>
        <w:tc>
          <w:tcPr>
            <w:tcW w:w="15259" w:type="dxa"/>
            <w:gridSpan w:val="26"/>
            <w:tcBorders>
              <w:top w:val="nil"/>
              <w:left w:val="nil"/>
              <w:bottom w:val="nil"/>
              <w:right w:val="nil"/>
            </w:tcBorders>
            <w:shd w:val="clear" w:color="auto" w:fill="auto"/>
            <w:noWrap/>
            <w:tcMar>
              <w:top w:w="15" w:type="dxa"/>
              <w:left w:w="15" w:type="dxa"/>
              <w:bottom w:w="0" w:type="dxa"/>
              <w:right w:w="15" w:type="dxa"/>
            </w:tcMar>
            <w:vAlign w:val="center"/>
          </w:tcPr>
          <w:p>
            <w:pPr>
              <w:rPr>
                <w:rFonts w:ascii="华文中宋" w:hAnsi="华文中宋" w:eastAsia="华文中宋" w:cs="宋体"/>
                <w:color w:val="000000"/>
                <w:sz w:val="32"/>
                <w:szCs w:val="32"/>
              </w:rPr>
            </w:pPr>
          </w:p>
        </w:tc>
      </w:tr>
      <w:tr>
        <w:tblPrEx>
          <w:tblCellMar>
            <w:top w:w="0" w:type="dxa"/>
            <w:left w:w="0" w:type="dxa"/>
            <w:bottom w:w="0" w:type="dxa"/>
            <w:right w:w="0" w:type="dxa"/>
          </w:tblCellMar>
        </w:tblPrEx>
        <w:trPr>
          <w:gridAfter w:val="1"/>
          <w:wAfter w:w="162" w:type="dxa"/>
          <w:trHeight w:val="435" w:hRule="atLeast"/>
        </w:trPr>
        <w:tc>
          <w:tcPr>
            <w:tcW w:w="15259" w:type="dxa"/>
            <w:gridSpan w:val="26"/>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olor w:val="000000"/>
                <w:sz w:val="32"/>
                <w:szCs w:val="32"/>
              </w:rPr>
            </w:pPr>
            <w:r>
              <w:rPr>
                <w:rFonts w:hint="eastAsia" w:ascii="华文中宋" w:hAnsi="华文中宋" w:eastAsia="华文中宋"/>
                <w:color w:val="000000"/>
                <w:sz w:val="32"/>
                <w:szCs w:val="32"/>
              </w:rPr>
              <w:t>收入决算表</w:t>
            </w:r>
          </w:p>
        </w:tc>
      </w:tr>
      <w:tr>
        <w:tblPrEx>
          <w:tblCellMar>
            <w:top w:w="0" w:type="dxa"/>
            <w:left w:w="108" w:type="dxa"/>
            <w:bottom w:w="0" w:type="dxa"/>
            <w:right w:w="108" w:type="dxa"/>
          </w:tblCellMar>
        </w:tblPrEx>
        <w:trPr>
          <w:gridAfter w:val="3"/>
          <w:wAfter w:w="1201" w:type="dxa"/>
          <w:trHeight w:val="255" w:hRule="atLeast"/>
        </w:trPr>
        <w:tc>
          <w:tcPr>
            <w:tcW w:w="646"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15"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31"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218"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2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4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6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2"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8" w:type="dxa"/>
            <w:gridSpan w:val="4"/>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公开02表</w:t>
            </w:r>
          </w:p>
        </w:tc>
      </w:tr>
      <w:tr>
        <w:tblPrEx>
          <w:tblCellMar>
            <w:top w:w="0" w:type="dxa"/>
            <w:left w:w="108" w:type="dxa"/>
            <w:bottom w:w="0" w:type="dxa"/>
            <w:right w:w="108" w:type="dxa"/>
          </w:tblCellMar>
        </w:tblPrEx>
        <w:trPr>
          <w:gridAfter w:val="2"/>
          <w:wAfter w:w="843" w:type="dxa"/>
          <w:trHeight w:val="255" w:hRule="atLeast"/>
        </w:trPr>
        <w:tc>
          <w:tcPr>
            <w:tcW w:w="5710" w:type="dxa"/>
            <w:gridSpan w:val="9"/>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12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2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4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6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2"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96" w:type="dxa"/>
            <w:gridSpan w:val="5"/>
            <w:tcBorders>
              <w:top w:val="nil"/>
              <w:left w:val="nil"/>
              <w:bottom w:val="nil"/>
              <w:right w:val="nil"/>
            </w:tcBorders>
            <w:shd w:val="clear" w:color="auto" w:fill="auto"/>
            <w:noWrap/>
            <w:vAlign w:val="bottom"/>
          </w:tcPr>
          <w:p>
            <w:pPr>
              <w:widowControl/>
              <w:ind w:right="200"/>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gridBefore w:val="1"/>
          <w:wBefore w:w="6" w:type="dxa"/>
          <w:trHeight w:val="308" w:hRule="atLeast"/>
        </w:trPr>
        <w:tc>
          <w:tcPr>
            <w:tcW w:w="5455"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项目</w:t>
            </w:r>
          </w:p>
        </w:tc>
        <w:tc>
          <w:tcPr>
            <w:tcW w:w="1540" w:type="dxa"/>
            <w:gridSpan w:val="3"/>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本年收入合计</w:t>
            </w:r>
          </w:p>
        </w:tc>
        <w:tc>
          <w:tcPr>
            <w:tcW w:w="158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财政拨款收入</w:t>
            </w:r>
          </w:p>
        </w:tc>
        <w:tc>
          <w:tcPr>
            <w:tcW w:w="146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上级补助收入</w:t>
            </w:r>
          </w:p>
        </w:tc>
        <w:tc>
          <w:tcPr>
            <w:tcW w:w="2520" w:type="dxa"/>
            <w:gridSpan w:val="4"/>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事业收入</w:t>
            </w:r>
          </w:p>
        </w:tc>
        <w:tc>
          <w:tcPr>
            <w:tcW w:w="74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经营收入</w:t>
            </w:r>
          </w:p>
        </w:tc>
        <w:tc>
          <w:tcPr>
            <w:tcW w:w="76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附属单位上缴收入</w:t>
            </w:r>
          </w:p>
        </w:tc>
        <w:tc>
          <w:tcPr>
            <w:tcW w:w="1360" w:type="dxa"/>
            <w:gridSpan w:val="4"/>
            <w:vMerge w:val="restart"/>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其他收入</w:t>
            </w:r>
          </w:p>
        </w:tc>
      </w:tr>
      <w:tr>
        <w:tblPrEx>
          <w:tblCellMar>
            <w:top w:w="0" w:type="dxa"/>
            <w:left w:w="108" w:type="dxa"/>
            <w:bottom w:w="0" w:type="dxa"/>
            <w:right w:w="108" w:type="dxa"/>
          </w:tblCellMar>
        </w:tblPrEx>
        <w:trPr>
          <w:gridBefore w:val="1"/>
          <w:wBefore w:w="6" w:type="dxa"/>
          <w:trHeight w:val="312" w:hRule="atLeast"/>
        </w:trPr>
        <w:tc>
          <w:tcPr>
            <w:tcW w:w="1308" w:type="dxa"/>
            <w:gridSpan w:val="5"/>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支出功能分类科目代码</w:t>
            </w:r>
          </w:p>
        </w:tc>
        <w:tc>
          <w:tcPr>
            <w:tcW w:w="4147" w:type="dxa"/>
            <w:gridSpan w:val="2"/>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科目名称</w:t>
            </w:r>
          </w:p>
        </w:tc>
        <w:tc>
          <w:tcPr>
            <w:tcW w:w="1540" w:type="dxa"/>
            <w:gridSpan w:val="3"/>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58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4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160" w:type="dxa"/>
            <w:gridSpan w:val="2"/>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小计</w:t>
            </w:r>
          </w:p>
        </w:tc>
        <w:tc>
          <w:tcPr>
            <w:tcW w:w="1360" w:type="dxa"/>
            <w:gridSpan w:val="2"/>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其中：教育收费</w:t>
            </w:r>
          </w:p>
        </w:tc>
        <w:tc>
          <w:tcPr>
            <w:tcW w:w="7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7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360" w:type="dxa"/>
            <w:gridSpan w:val="4"/>
            <w:vMerge w:val="continue"/>
            <w:tcBorders>
              <w:top w:val="single" w:color="000000" w:sz="4" w:space="0"/>
              <w:left w:val="nil"/>
              <w:bottom w:val="single" w:color="000000" w:sz="4" w:space="0"/>
              <w:right w:val="single" w:color="000000" w:sz="8"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gridBefore w:val="1"/>
          <w:wBefore w:w="6" w:type="dxa"/>
          <w:trHeight w:val="312" w:hRule="atLeast"/>
        </w:trPr>
        <w:tc>
          <w:tcPr>
            <w:tcW w:w="1308" w:type="dxa"/>
            <w:gridSpan w:val="5"/>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4147"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540" w:type="dxa"/>
            <w:gridSpan w:val="3"/>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58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4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160"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360"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7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7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360" w:type="dxa"/>
            <w:gridSpan w:val="4"/>
            <w:vMerge w:val="continue"/>
            <w:tcBorders>
              <w:top w:val="single" w:color="000000" w:sz="4" w:space="0"/>
              <w:left w:val="nil"/>
              <w:bottom w:val="single" w:color="000000" w:sz="4" w:space="0"/>
              <w:right w:val="single" w:color="000000" w:sz="8"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gridBefore w:val="1"/>
          <w:wBefore w:w="6" w:type="dxa"/>
          <w:trHeight w:val="312" w:hRule="atLeast"/>
        </w:trPr>
        <w:tc>
          <w:tcPr>
            <w:tcW w:w="1308" w:type="dxa"/>
            <w:gridSpan w:val="5"/>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4147"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540" w:type="dxa"/>
            <w:gridSpan w:val="3"/>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58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4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160"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360"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7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7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360" w:type="dxa"/>
            <w:gridSpan w:val="4"/>
            <w:vMerge w:val="continue"/>
            <w:tcBorders>
              <w:top w:val="single" w:color="000000" w:sz="4" w:space="0"/>
              <w:left w:val="nil"/>
              <w:bottom w:val="single" w:color="000000" w:sz="4" w:space="0"/>
              <w:right w:val="single" w:color="000000" w:sz="8"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gridBefore w:val="1"/>
          <w:wBefore w:w="6" w:type="dxa"/>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类</w:t>
            </w:r>
          </w:p>
        </w:tc>
        <w:tc>
          <w:tcPr>
            <w:tcW w:w="436" w:type="dxa"/>
            <w:gridSpan w:val="2"/>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款</w:t>
            </w:r>
          </w:p>
        </w:tc>
        <w:tc>
          <w:tcPr>
            <w:tcW w:w="436" w:type="dxa"/>
            <w:gridSpan w:val="2"/>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项</w:t>
            </w:r>
          </w:p>
        </w:tc>
        <w:tc>
          <w:tcPr>
            <w:tcW w:w="4147"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栏次</w:t>
            </w:r>
          </w:p>
        </w:tc>
        <w:tc>
          <w:tcPr>
            <w:tcW w:w="1540" w:type="dxa"/>
            <w:gridSpan w:val="3"/>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1</w:t>
            </w:r>
          </w:p>
        </w:tc>
        <w:tc>
          <w:tcPr>
            <w:tcW w:w="158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2</w:t>
            </w:r>
          </w:p>
        </w:tc>
        <w:tc>
          <w:tcPr>
            <w:tcW w:w="146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3</w:t>
            </w:r>
          </w:p>
        </w:tc>
        <w:tc>
          <w:tcPr>
            <w:tcW w:w="116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4</w:t>
            </w:r>
          </w:p>
        </w:tc>
        <w:tc>
          <w:tcPr>
            <w:tcW w:w="136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5</w:t>
            </w:r>
          </w:p>
        </w:tc>
        <w:tc>
          <w:tcPr>
            <w:tcW w:w="74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6</w:t>
            </w:r>
          </w:p>
        </w:tc>
        <w:tc>
          <w:tcPr>
            <w:tcW w:w="76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7</w:t>
            </w:r>
          </w:p>
        </w:tc>
        <w:tc>
          <w:tcPr>
            <w:tcW w:w="1360" w:type="dxa"/>
            <w:gridSpan w:val="4"/>
            <w:tcBorders>
              <w:top w:val="nil"/>
              <w:left w:val="nil"/>
              <w:bottom w:val="single" w:color="000000" w:sz="4" w:space="0"/>
              <w:right w:val="single" w:color="000000" w:sz="8"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8</w:t>
            </w:r>
          </w:p>
        </w:tc>
      </w:tr>
      <w:tr>
        <w:tblPrEx>
          <w:tblCellMar>
            <w:top w:w="0" w:type="dxa"/>
            <w:left w:w="108" w:type="dxa"/>
            <w:bottom w:w="0" w:type="dxa"/>
            <w:right w:w="108" w:type="dxa"/>
          </w:tblCellMar>
        </w:tblPrEx>
        <w:trPr>
          <w:gridBefore w:val="1"/>
          <w:wBefore w:w="6" w:type="dxa"/>
          <w:trHeight w:val="308" w:hRule="atLeast"/>
        </w:trPr>
        <w:tc>
          <w:tcPr>
            <w:tcW w:w="436"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436"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436"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4147"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合计</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2,730.81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2,608.39</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122.42</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一般公共服务支出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人大事务</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2010108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代表工作</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公共安全支出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公安</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2040220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执法办案</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社会保障和就业支出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行政事业单位养老支出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2080505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机关事业单位基本养老保险缴费支出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20825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其他生活救助</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2082502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其他农村生活救助</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其他社会保障和就业支出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2089999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其他社会保障和就业支出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卫生健康支出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公共卫生</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49.51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49.51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2100409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重大公共卫生服务</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42.91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42.91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其他公共卫生支出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6.60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6.60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行政事业单位医疗</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54.90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54.90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行政单位医疗</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13.82</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13.82</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事业单位医疗</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41.09</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41.09</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城乡社区支出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国有土地使用权出让收入安排的支出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2120804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农村基础设施建设支出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4.93</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4.93</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2120814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农业生产发展支出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4.98</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4.98</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农林水支出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2,369.36</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2,246.94</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122.42</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农业农村</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1,706.80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1,584.37</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122.42</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行政运行</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744.23</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621.80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122.42</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一般行政管理事务</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98.19</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98.19</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事业运行</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854.37</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854.37</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其他农业农村支出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巩固脱贫衔接乡村振兴</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2130504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农村基础设施建设</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农村综合改革</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557.56</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557.56</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对村级公益事业建设的补助</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对村民委员会和村党支部的补助</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普惠金融发展支出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2130899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其他普惠金融发展支出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自然资源海洋气象等支出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自然资源事务</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2200199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其他自然资源事务支出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住房保障支出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住房改革支出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2210201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住房公积金</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22960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彩票公益金安排的支出</w:t>
            </w:r>
          </w:p>
        </w:tc>
        <w:tc>
          <w:tcPr>
            <w:tcW w:w="154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5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4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8"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2296002</w:t>
            </w:r>
          </w:p>
        </w:tc>
        <w:tc>
          <w:tcPr>
            <w:tcW w:w="4147" w:type="dxa"/>
            <w:gridSpan w:val="2"/>
            <w:tcBorders>
              <w:top w:val="nil"/>
              <w:left w:val="nil"/>
              <w:bottom w:val="single" w:color="000000" w:sz="8"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用于社会福利的彩票公益金支出</w:t>
            </w:r>
          </w:p>
        </w:tc>
        <w:tc>
          <w:tcPr>
            <w:tcW w:w="1540" w:type="dxa"/>
            <w:gridSpan w:val="3"/>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58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46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16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4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76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60" w:type="dxa"/>
            <w:gridSpan w:val="4"/>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After w:val="3"/>
          <w:wAfter w:w="1201" w:type="dxa"/>
          <w:trHeight w:val="308" w:hRule="atLeast"/>
        </w:trPr>
        <w:tc>
          <w:tcPr>
            <w:tcW w:w="14220" w:type="dxa"/>
            <w:gridSpan w:val="24"/>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注：本表反映部门本年度取得的各项收入情况。</w:t>
            </w:r>
          </w:p>
        </w:tc>
      </w:tr>
      <w:tr>
        <w:tblPrEx>
          <w:tblCellMar>
            <w:top w:w="0" w:type="dxa"/>
            <w:left w:w="108" w:type="dxa"/>
            <w:bottom w:w="0" w:type="dxa"/>
            <w:right w:w="108" w:type="dxa"/>
          </w:tblCellMar>
        </w:tblPrEx>
        <w:trPr>
          <w:gridAfter w:val="5"/>
          <w:wAfter w:w="1554" w:type="dxa"/>
          <w:trHeight w:val="435" w:hRule="atLeast"/>
        </w:trPr>
        <w:tc>
          <w:tcPr>
            <w:tcW w:w="13867" w:type="dxa"/>
            <w:gridSpan w:val="22"/>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p>
        </w:tc>
      </w:tr>
    </w:tbl>
    <w:p>
      <w:pPr>
        <w:widowControl/>
        <w:ind w:left="93"/>
        <w:jc w:val="center"/>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br w:type="page"/>
      </w:r>
    </w:p>
    <w:p>
      <w:pPr>
        <w:widowControl/>
        <w:ind w:left="93"/>
        <w:jc w:val="center"/>
        <w:rPr>
          <w:rFonts w:ascii="Times New Roman" w:hAnsi="Times New Roman" w:eastAsia="方正小标宋_GBK" w:cs="Times New Roman"/>
          <w:color w:val="000000"/>
          <w:kern w:val="0"/>
          <w:sz w:val="36"/>
          <w:szCs w:val="21"/>
        </w:rPr>
      </w:pPr>
    </w:p>
    <w:tbl>
      <w:tblPr>
        <w:tblStyle w:val="5"/>
        <w:tblW w:w="13941" w:type="dxa"/>
        <w:tblInd w:w="89" w:type="dxa"/>
        <w:tblLayout w:type="autofit"/>
        <w:tblCellMar>
          <w:top w:w="0" w:type="dxa"/>
          <w:left w:w="108" w:type="dxa"/>
          <w:bottom w:w="0" w:type="dxa"/>
          <w:right w:w="108" w:type="dxa"/>
        </w:tblCellMar>
      </w:tblPr>
      <w:tblGrid>
        <w:gridCol w:w="6"/>
        <w:gridCol w:w="436"/>
        <w:gridCol w:w="198"/>
        <w:gridCol w:w="238"/>
        <w:gridCol w:w="270"/>
        <w:gridCol w:w="166"/>
        <w:gridCol w:w="167"/>
        <w:gridCol w:w="3980"/>
        <w:gridCol w:w="238"/>
        <w:gridCol w:w="1380"/>
        <w:gridCol w:w="82"/>
        <w:gridCol w:w="1298"/>
        <w:gridCol w:w="302"/>
        <w:gridCol w:w="1078"/>
        <w:gridCol w:w="562"/>
        <w:gridCol w:w="603"/>
        <w:gridCol w:w="457"/>
        <w:gridCol w:w="677"/>
        <w:gridCol w:w="563"/>
        <w:gridCol w:w="1138"/>
        <w:gridCol w:w="102"/>
      </w:tblGrid>
      <w:tr>
        <w:tblPrEx>
          <w:tblCellMar>
            <w:top w:w="0" w:type="dxa"/>
            <w:left w:w="108" w:type="dxa"/>
            <w:bottom w:w="0" w:type="dxa"/>
            <w:right w:w="108" w:type="dxa"/>
          </w:tblCellMar>
        </w:tblPrEx>
        <w:trPr>
          <w:gridAfter w:val="1"/>
          <w:wAfter w:w="102" w:type="dxa"/>
          <w:trHeight w:val="390" w:hRule="atLeast"/>
        </w:trPr>
        <w:tc>
          <w:tcPr>
            <w:tcW w:w="13839" w:type="dxa"/>
            <w:gridSpan w:val="20"/>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gridAfter w:val="1"/>
          <w:wAfter w:w="102" w:type="dxa"/>
          <w:trHeight w:val="255" w:hRule="atLeast"/>
        </w:trPr>
        <w:tc>
          <w:tcPr>
            <w:tcW w:w="640"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08"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33"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218"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65"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34"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1" w:type="dxa"/>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公开03表</w:t>
            </w:r>
          </w:p>
        </w:tc>
      </w:tr>
      <w:tr>
        <w:tblPrEx>
          <w:tblCellMar>
            <w:top w:w="0" w:type="dxa"/>
            <w:left w:w="108" w:type="dxa"/>
            <w:bottom w:w="0" w:type="dxa"/>
            <w:right w:w="108" w:type="dxa"/>
          </w:tblCellMar>
        </w:tblPrEx>
        <w:trPr>
          <w:gridAfter w:val="1"/>
          <w:wAfter w:w="102" w:type="dxa"/>
          <w:trHeight w:val="255" w:hRule="atLeast"/>
        </w:trPr>
        <w:tc>
          <w:tcPr>
            <w:tcW w:w="5699" w:type="dxa"/>
            <w:gridSpan w:val="9"/>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13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65"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34"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1" w:type="dxa"/>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gridBefore w:val="1"/>
          <w:wBefore w:w="6" w:type="dxa"/>
          <w:trHeight w:val="308" w:hRule="atLeast"/>
        </w:trPr>
        <w:tc>
          <w:tcPr>
            <w:tcW w:w="5455"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项目</w:t>
            </w:r>
          </w:p>
        </w:tc>
        <w:tc>
          <w:tcPr>
            <w:tcW w:w="1700" w:type="dxa"/>
            <w:gridSpan w:val="3"/>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本年支出合计</w:t>
            </w:r>
          </w:p>
        </w:tc>
        <w:tc>
          <w:tcPr>
            <w:tcW w:w="160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基本支出</w:t>
            </w:r>
          </w:p>
        </w:tc>
        <w:tc>
          <w:tcPr>
            <w:tcW w:w="164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项目支出</w:t>
            </w:r>
          </w:p>
        </w:tc>
        <w:tc>
          <w:tcPr>
            <w:tcW w:w="106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上缴上级支出</w:t>
            </w:r>
          </w:p>
        </w:tc>
        <w:tc>
          <w:tcPr>
            <w:tcW w:w="124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经营支出</w:t>
            </w:r>
          </w:p>
        </w:tc>
        <w:tc>
          <w:tcPr>
            <w:tcW w:w="1240" w:type="dxa"/>
            <w:gridSpan w:val="2"/>
            <w:vMerge w:val="restart"/>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对附属单位补助支出</w:t>
            </w:r>
          </w:p>
        </w:tc>
      </w:tr>
      <w:tr>
        <w:tblPrEx>
          <w:tblCellMar>
            <w:top w:w="0" w:type="dxa"/>
            <w:left w:w="108" w:type="dxa"/>
            <w:bottom w:w="0" w:type="dxa"/>
            <w:right w:w="108" w:type="dxa"/>
          </w:tblCellMar>
        </w:tblPrEx>
        <w:trPr>
          <w:gridBefore w:val="1"/>
          <w:wBefore w:w="6" w:type="dxa"/>
          <w:trHeight w:val="312" w:hRule="atLeast"/>
        </w:trPr>
        <w:tc>
          <w:tcPr>
            <w:tcW w:w="1308" w:type="dxa"/>
            <w:gridSpan w:val="5"/>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支出功能分类科目代码</w:t>
            </w:r>
          </w:p>
        </w:tc>
        <w:tc>
          <w:tcPr>
            <w:tcW w:w="4147" w:type="dxa"/>
            <w:gridSpan w:val="2"/>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科目名称</w:t>
            </w:r>
          </w:p>
        </w:tc>
        <w:tc>
          <w:tcPr>
            <w:tcW w:w="1700" w:type="dxa"/>
            <w:gridSpan w:val="3"/>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60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6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0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2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240" w:type="dxa"/>
            <w:gridSpan w:val="2"/>
            <w:vMerge w:val="continue"/>
            <w:tcBorders>
              <w:top w:val="single" w:color="000000" w:sz="4" w:space="0"/>
              <w:left w:val="nil"/>
              <w:bottom w:val="single" w:color="000000" w:sz="4" w:space="0"/>
              <w:right w:val="single" w:color="000000" w:sz="8"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gridBefore w:val="1"/>
          <w:wBefore w:w="6" w:type="dxa"/>
          <w:trHeight w:val="312" w:hRule="atLeast"/>
        </w:trPr>
        <w:tc>
          <w:tcPr>
            <w:tcW w:w="1308" w:type="dxa"/>
            <w:gridSpan w:val="5"/>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4147"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700" w:type="dxa"/>
            <w:gridSpan w:val="3"/>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60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6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0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2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240" w:type="dxa"/>
            <w:gridSpan w:val="2"/>
            <w:vMerge w:val="continue"/>
            <w:tcBorders>
              <w:top w:val="single" w:color="000000" w:sz="4" w:space="0"/>
              <w:left w:val="nil"/>
              <w:bottom w:val="single" w:color="000000" w:sz="4" w:space="0"/>
              <w:right w:val="single" w:color="000000" w:sz="8"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gridBefore w:val="1"/>
          <w:wBefore w:w="6" w:type="dxa"/>
          <w:trHeight w:val="312" w:hRule="atLeast"/>
        </w:trPr>
        <w:tc>
          <w:tcPr>
            <w:tcW w:w="1308" w:type="dxa"/>
            <w:gridSpan w:val="5"/>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4147"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700" w:type="dxa"/>
            <w:gridSpan w:val="3"/>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60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6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06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240" w:type="dxa"/>
            <w:gridSpan w:val="2"/>
            <w:vMerge w:val="continue"/>
            <w:tcBorders>
              <w:top w:val="single" w:color="000000" w:sz="4" w:space="0"/>
              <w:left w:val="nil"/>
              <w:bottom w:val="single" w:color="000000" w:sz="4" w:space="0"/>
              <w:right w:val="single" w:color="000000" w:sz="4" w:space="0"/>
            </w:tcBorders>
            <w:vAlign w:val="center"/>
          </w:tcPr>
          <w:p>
            <w:pPr>
              <w:rPr>
                <w:rFonts w:ascii="宋体" w:hAnsi="宋体" w:eastAsia="宋体" w:cs="Arial"/>
                <w:color w:val="000000"/>
                <w:sz w:val="22"/>
              </w:rPr>
            </w:pPr>
          </w:p>
        </w:tc>
        <w:tc>
          <w:tcPr>
            <w:tcW w:w="1240" w:type="dxa"/>
            <w:gridSpan w:val="2"/>
            <w:vMerge w:val="continue"/>
            <w:tcBorders>
              <w:top w:val="single" w:color="000000" w:sz="4" w:space="0"/>
              <w:left w:val="nil"/>
              <w:bottom w:val="single" w:color="000000" w:sz="4" w:space="0"/>
              <w:right w:val="single" w:color="000000" w:sz="8"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gridBefore w:val="1"/>
          <w:wBefore w:w="6" w:type="dxa"/>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类</w:t>
            </w:r>
          </w:p>
        </w:tc>
        <w:tc>
          <w:tcPr>
            <w:tcW w:w="436" w:type="dxa"/>
            <w:gridSpan w:val="2"/>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款</w:t>
            </w:r>
          </w:p>
        </w:tc>
        <w:tc>
          <w:tcPr>
            <w:tcW w:w="436" w:type="dxa"/>
            <w:gridSpan w:val="2"/>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项</w:t>
            </w:r>
          </w:p>
        </w:tc>
        <w:tc>
          <w:tcPr>
            <w:tcW w:w="4147"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栏次</w:t>
            </w:r>
          </w:p>
        </w:tc>
        <w:tc>
          <w:tcPr>
            <w:tcW w:w="1700" w:type="dxa"/>
            <w:gridSpan w:val="3"/>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1</w:t>
            </w:r>
          </w:p>
        </w:tc>
        <w:tc>
          <w:tcPr>
            <w:tcW w:w="160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2</w:t>
            </w:r>
          </w:p>
        </w:tc>
        <w:tc>
          <w:tcPr>
            <w:tcW w:w="164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3</w:t>
            </w:r>
          </w:p>
        </w:tc>
        <w:tc>
          <w:tcPr>
            <w:tcW w:w="106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4</w:t>
            </w:r>
          </w:p>
        </w:tc>
        <w:tc>
          <w:tcPr>
            <w:tcW w:w="1240"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5</w:t>
            </w:r>
          </w:p>
        </w:tc>
        <w:tc>
          <w:tcPr>
            <w:tcW w:w="1240" w:type="dxa"/>
            <w:gridSpan w:val="2"/>
            <w:tcBorders>
              <w:top w:val="nil"/>
              <w:left w:val="nil"/>
              <w:bottom w:val="single" w:color="000000" w:sz="4" w:space="0"/>
              <w:right w:val="single" w:color="000000" w:sz="8"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6</w:t>
            </w:r>
          </w:p>
        </w:tc>
      </w:tr>
      <w:tr>
        <w:tblPrEx>
          <w:tblCellMar>
            <w:top w:w="0" w:type="dxa"/>
            <w:left w:w="108" w:type="dxa"/>
            <w:bottom w:w="0" w:type="dxa"/>
            <w:right w:w="108" w:type="dxa"/>
          </w:tblCellMar>
        </w:tblPrEx>
        <w:trPr>
          <w:gridBefore w:val="1"/>
          <w:wBefore w:w="6" w:type="dxa"/>
          <w:trHeight w:val="308" w:hRule="atLeast"/>
        </w:trPr>
        <w:tc>
          <w:tcPr>
            <w:tcW w:w="436"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436"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436" w:type="dxa"/>
            <w:gridSpan w:val="2"/>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4147"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合计</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2,730.81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2,550.81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180.00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一般公共服务支出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人大事务</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2010108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代表工作</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公共安全支出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公安</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2040220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执法办案</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社会保障和就业支出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行政事业单位养老支出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2080505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机关事业单位基本养老保险缴费支出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20825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其他生活救助</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2082502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其他农村生活救助</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其他社会保障和就业支出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2089999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其他社会保障和就业支出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卫生健康支出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公共卫生</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49.51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49.51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2100409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重大公共卫生服务</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42.91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42.91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其他公共卫生支出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6.60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6.60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行政事业单位医疗</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54.90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54.90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行政单位医疗</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13.82</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13.82</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事业单位医疗</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41.09</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41.09</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城乡社区支出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国有土地使用权出让收入安排的支出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2120804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农村基础设施建设支出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4.93</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4.93</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2120814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农业生产发展支出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4.98</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4.98</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农林水支出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2,369.36</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2,189.36</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180.00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农业农村</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1,706.80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1,696.80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行政运行</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744.23</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744.23</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一般行政管理事务</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98.19</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98.19</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事业运行</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854.37</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854.37</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其他农业农村支出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巩固脱贫衔接乡村振兴</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2130504</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农村基础设施建设</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农村综合改革</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557.56</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对村级公益事业建设的补助</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2130705</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对村民委员会和村党支部的补助</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21308</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普惠金融发展支出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2130899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其他普惠金融发展支出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自然资源海洋气象等支出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自然资源事务</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2200199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其他自然资源事务支出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住房保障支出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22102</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住房改革支出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2210201</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住房公积金</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229</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22960</w:t>
            </w:r>
          </w:p>
        </w:tc>
        <w:tc>
          <w:tcPr>
            <w:tcW w:w="4147" w:type="dxa"/>
            <w:gridSpan w:val="2"/>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彩票公益金安排的支出</w:t>
            </w:r>
          </w:p>
        </w:tc>
        <w:tc>
          <w:tcPr>
            <w:tcW w:w="17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0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Before w:val="1"/>
          <w:wBefore w:w="6" w:type="dxa"/>
          <w:trHeight w:val="308" w:hRule="atLeast"/>
        </w:trPr>
        <w:tc>
          <w:tcPr>
            <w:tcW w:w="1308" w:type="dxa"/>
            <w:gridSpan w:val="5"/>
            <w:tcBorders>
              <w:top w:val="nil"/>
              <w:left w:val="single" w:color="000000" w:sz="4" w:space="0"/>
              <w:bottom w:val="single" w:color="000000" w:sz="8"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2296002</w:t>
            </w:r>
          </w:p>
        </w:tc>
        <w:tc>
          <w:tcPr>
            <w:tcW w:w="4147" w:type="dxa"/>
            <w:gridSpan w:val="2"/>
            <w:tcBorders>
              <w:top w:val="nil"/>
              <w:left w:val="nil"/>
              <w:bottom w:val="single" w:color="000000" w:sz="8"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用于社会福利的彩票公益金支出</w:t>
            </w:r>
          </w:p>
        </w:tc>
        <w:tc>
          <w:tcPr>
            <w:tcW w:w="1700" w:type="dxa"/>
            <w:gridSpan w:val="3"/>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0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4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06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40"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gridAfter w:val="1"/>
          <w:wAfter w:w="102" w:type="dxa"/>
          <w:trHeight w:val="308" w:hRule="atLeast"/>
        </w:trPr>
        <w:tc>
          <w:tcPr>
            <w:tcW w:w="13839" w:type="dxa"/>
            <w:gridSpan w:val="20"/>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注：本表反映部门本年度各项支出情况。</w:t>
            </w:r>
          </w:p>
        </w:tc>
      </w:tr>
    </w:tbl>
    <w:p>
      <w:pPr>
        <w:widowControl/>
        <w:jc w:val="center"/>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kern w:val="0"/>
          <w:sz w:val="36"/>
          <w:szCs w:val="36"/>
        </w:rPr>
      </w:pPr>
      <w:bookmarkStart w:id="0" w:name="RANGE!A1:F16"/>
      <w:r>
        <w:rPr>
          <w:rFonts w:ascii="Times New Roman" w:hAnsi="Times New Roman" w:eastAsia="方正小标宋_GBK" w:cs="Times New Roman"/>
          <w:kern w:val="0"/>
          <w:sz w:val="36"/>
          <w:szCs w:val="36"/>
        </w:rPr>
        <w:br w:type="page"/>
      </w:r>
    </w:p>
    <w:p>
      <w:pPr>
        <w:widowControl/>
        <w:jc w:val="center"/>
        <w:rPr>
          <w:rFonts w:ascii="Times New Roman" w:hAnsi="Times New Roman" w:eastAsia="方正小标宋_GBK" w:cs="Times New Roman"/>
          <w:kern w:val="0"/>
          <w:sz w:val="36"/>
          <w:szCs w:val="36"/>
        </w:rPr>
      </w:pPr>
    </w:p>
    <w:tbl>
      <w:tblPr>
        <w:tblStyle w:val="5"/>
        <w:tblW w:w="16693" w:type="dxa"/>
        <w:tblInd w:w="89" w:type="dxa"/>
        <w:tblLayout w:type="autofit"/>
        <w:tblCellMar>
          <w:top w:w="0" w:type="dxa"/>
          <w:left w:w="108" w:type="dxa"/>
          <w:bottom w:w="0" w:type="dxa"/>
          <w:right w:w="108" w:type="dxa"/>
        </w:tblCellMar>
      </w:tblPr>
      <w:tblGrid>
        <w:gridCol w:w="3232"/>
        <w:gridCol w:w="562"/>
        <w:gridCol w:w="18"/>
        <w:gridCol w:w="497"/>
        <w:gridCol w:w="1023"/>
        <w:gridCol w:w="573"/>
        <w:gridCol w:w="3149"/>
        <w:gridCol w:w="580"/>
        <w:gridCol w:w="609"/>
        <w:gridCol w:w="487"/>
        <w:gridCol w:w="60"/>
        <w:gridCol w:w="1128"/>
        <w:gridCol w:w="112"/>
        <w:gridCol w:w="1280"/>
        <w:gridCol w:w="204"/>
        <w:gridCol w:w="1190"/>
        <w:gridCol w:w="210"/>
        <w:gridCol w:w="1779"/>
      </w:tblGrid>
      <w:tr>
        <w:tblPrEx>
          <w:tblCellMar>
            <w:top w:w="0" w:type="dxa"/>
            <w:left w:w="108" w:type="dxa"/>
            <w:bottom w:w="0" w:type="dxa"/>
            <w:right w:w="108" w:type="dxa"/>
          </w:tblCellMar>
        </w:tblPrEx>
        <w:trPr>
          <w:trHeight w:val="390" w:hRule="atLeast"/>
        </w:trPr>
        <w:tc>
          <w:tcPr>
            <w:tcW w:w="16693" w:type="dxa"/>
            <w:gridSpan w:val="18"/>
            <w:tcBorders>
              <w:top w:val="nil"/>
              <w:left w:val="nil"/>
              <w:bottom w:val="nil"/>
              <w:right w:val="nil"/>
            </w:tcBorders>
            <w:shd w:val="clear" w:color="auto" w:fill="auto"/>
            <w:noWrap/>
            <w:vAlign w:val="bottom"/>
          </w:tcPr>
          <w:p>
            <w:pPr>
              <w:widowControl/>
              <w:rPr>
                <w:rFonts w:ascii="宋体" w:hAnsi="宋体" w:eastAsia="宋体" w:cs="Arial"/>
                <w:color w:val="000000"/>
                <w:kern w:val="0"/>
                <w:sz w:val="30"/>
                <w:szCs w:val="30"/>
              </w:rPr>
            </w:pPr>
          </w:p>
        </w:tc>
      </w:tr>
      <w:tr>
        <w:tblPrEx>
          <w:tblCellMar>
            <w:top w:w="0" w:type="dxa"/>
            <w:left w:w="108" w:type="dxa"/>
            <w:bottom w:w="0" w:type="dxa"/>
            <w:right w:w="108" w:type="dxa"/>
          </w:tblCellMar>
        </w:tblPrEx>
        <w:trPr>
          <w:trHeight w:val="255" w:hRule="atLeast"/>
        </w:trPr>
        <w:tc>
          <w:tcPr>
            <w:tcW w:w="3794"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15"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96"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338"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47"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96"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9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89" w:type="dxa"/>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表</w:t>
            </w:r>
          </w:p>
        </w:tc>
      </w:tr>
      <w:bookmarkEnd w:id="0"/>
      <w:tr>
        <w:tblPrEx>
          <w:tblCellMar>
            <w:top w:w="0" w:type="dxa"/>
            <w:left w:w="108" w:type="dxa"/>
            <w:bottom w:w="0" w:type="dxa"/>
            <w:right w:w="108" w:type="dxa"/>
          </w:tblCellMar>
        </w:tblPrEx>
        <w:trPr>
          <w:gridAfter w:val="1"/>
          <w:wAfter w:w="1779" w:type="dxa"/>
          <w:trHeight w:val="390" w:hRule="atLeast"/>
        </w:trPr>
        <w:tc>
          <w:tcPr>
            <w:tcW w:w="14914" w:type="dxa"/>
            <w:gridSpan w:val="17"/>
            <w:tcBorders>
              <w:top w:val="nil"/>
              <w:left w:val="nil"/>
              <w:bottom w:val="nil"/>
              <w:right w:val="nil"/>
            </w:tcBorders>
            <w:shd w:val="clear" w:color="auto" w:fill="auto"/>
            <w:noWrap/>
            <w:vAlign w:val="bottom"/>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gridAfter w:val="1"/>
          <w:wAfter w:w="1779" w:type="dxa"/>
          <w:trHeight w:val="255" w:hRule="atLeast"/>
        </w:trPr>
        <w:tc>
          <w:tcPr>
            <w:tcW w:w="323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8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2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722"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00"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04" w:type="dxa"/>
            <w:gridSpan w:val="3"/>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公开04表</w:t>
            </w:r>
          </w:p>
        </w:tc>
      </w:tr>
      <w:tr>
        <w:tblPrEx>
          <w:tblCellMar>
            <w:top w:w="0" w:type="dxa"/>
            <w:left w:w="108" w:type="dxa"/>
            <w:bottom w:w="0" w:type="dxa"/>
            <w:right w:w="108" w:type="dxa"/>
          </w:tblCellMar>
        </w:tblPrEx>
        <w:trPr>
          <w:gridAfter w:val="1"/>
          <w:wAfter w:w="1779" w:type="dxa"/>
          <w:trHeight w:val="255" w:hRule="atLeast"/>
        </w:trPr>
        <w:tc>
          <w:tcPr>
            <w:tcW w:w="3232" w:type="dxa"/>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58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2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722"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00" w:type="dxa"/>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04" w:type="dxa"/>
            <w:gridSpan w:val="3"/>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gridAfter w:val="1"/>
          <w:wAfter w:w="1779" w:type="dxa"/>
          <w:trHeight w:val="308" w:hRule="atLeast"/>
        </w:trPr>
        <w:tc>
          <w:tcPr>
            <w:tcW w:w="5332"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收     入</w:t>
            </w:r>
          </w:p>
        </w:tc>
        <w:tc>
          <w:tcPr>
            <w:tcW w:w="9582" w:type="dxa"/>
            <w:gridSpan w:val="12"/>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支     出</w:t>
            </w:r>
          </w:p>
        </w:tc>
      </w:tr>
      <w:tr>
        <w:tblPrEx>
          <w:tblCellMar>
            <w:top w:w="0" w:type="dxa"/>
            <w:left w:w="108" w:type="dxa"/>
            <w:bottom w:w="0" w:type="dxa"/>
            <w:right w:w="108" w:type="dxa"/>
          </w:tblCellMar>
        </w:tblPrEx>
        <w:trPr>
          <w:gridAfter w:val="1"/>
          <w:wAfter w:w="1779" w:type="dxa"/>
          <w:trHeight w:val="312" w:hRule="atLeast"/>
        </w:trPr>
        <w:tc>
          <w:tcPr>
            <w:tcW w:w="3232"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580"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520"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3722"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5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096" w:type="dxa"/>
            <w:gridSpan w:val="2"/>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300" w:type="dxa"/>
            <w:gridSpan w:val="3"/>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一般公共预算财政拨款</w:t>
            </w:r>
          </w:p>
        </w:tc>
        <w:tc>
          <w:tcPr>
            <w:tcW w:w="12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政府性基金预算财政拨款</w:t>
            </w:r>
          </w:p>
        </w:tc>
        <w:tc>
          <w:tcPr>
            <w:tcW w:w="1604" w:type="dxa"/>
            <w:gridSpan w:val="3"/>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国有资本经营预算财政拨款</w:t>
            </w:r>
          </w:p>
        </w:tc>
      </w:tr>
      <w:tr>
        <w:tblPrEx>
          <w:tblCellMar>
            <w:top w:w="0" w:type="dxa"/>
            <w:left w:w="108" w:type="dxa"/>
            <w:bottom w:w="0" w:type="dxa"/>
            <w:right w:w="108" w:type="dxa"/>
          </w:tblCellMar>
        </w:tblPrEx>
        <w:trPr>
          <w:gridAfter w:val="1"/>
          <w:wAfter w:w="1779" w:type="dxa"/>
          <w:trHeight w:val="615" w:hRule="atLeast"/>
        </w:trPr>
        <w:tc>
          <w:tcPr>
            <w:tcW w:w="323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80"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20"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722"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96"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00" w:type="dxa"/>
            <w:gridSpan w:val="3"/>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04" w:type="dxa"/>
            <w:gridSpan w:val="3"/>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52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096"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300" w:type="dxa"/>
            <w:gridSpan w:val="3"/>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2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604" w:type="dxa"/>
            <w:gridSpan w:val="3"/>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2,593.69</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14.70</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三、国有资本经营财政拨款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9.91</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2,246.94</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2,246.94</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十四、资源勘探工业信息等支出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二十一、国有资本经营预算支出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二十二、灾害防治及应急管理支出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二十三、其他支出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4.79</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0"/>
                <w:szCs w:val="20"/>
              </w:rPr>
            </w:pPr>
            <w:r>
              <w:rPr>
                <w:rFonts w:hint="eastAsia" w:ascii="宋体" w:hAnsi="宋体" w:eastAsia="宋体" w:cs="Arial"/>
                <w:b/>
                <w:bCs/>
                <w:color w:val="000000"/>
                <w:kern w:val="0"/>
                <w:sz w:val="20"/>
                <w:szCs w:val="20"/>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24</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二十四、债务还本支出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25</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二十五、债务付息支出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26</w:t>
            </w:r>
          </w:p>
        </w:tc>
        <w:tc>
          <w:tcPr>
            <w:tcW w:w="1520"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二十六、抗疫特别国债安排的支出</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2,608.39</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59</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2,608.39</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2,593.69</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14.70</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年初财政拨款结转和结余</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年末财政拨款结转和结余</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60</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61</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62</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63</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323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152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2,608.39</w:t>
            </w:r>
          </w:p>
        </w:tc>
        <w:tc>
          <w:tcPr>
            <w:tcW w:w="3722"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5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64</w:t>
            </w:r>
          </w:p>
        </w:tc>
        <w:tc>
          <w:tcPr>
            <w:tcW w:w="1096"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2,608.39</w:t>
            </w:r>
          </w:p>
        </w:tc>
        <w:tc>
          <w:tcPr>
            <w:tcW w:w="1300"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2,593.69</w:t>
            </w:r>
          </w:p>
        </w:tc>
        <w:tc>
          <w:tcPr>
            <w:tcW w:w="128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14.70</w:t>
            </w:r>
          </w:p>
        </w:tc>
        <w:tc>
          <w:tcPr>
            <w:tcW w:w="1604"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gridAfter w:val="1"/>
          <w:wAfter w:w="1779" w:type="dxa"/>
          <w:trHeight w:val="308" w:hRule="atLeast"/>
        </w:trPr>
        <w:tc>
          <w:tcPr>
            <w:tcW w:w="13310" w:type="dxa"/>
            <w:gridSpan w:val="14"/>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注：本表反映部门本年度一般公共预算财政拨款、政府性基金预算财政拨款和国有资本经营预算财政拨款的总收支和年末结转结余情况。</w:t>
            </w:r>
          </w:p>
        </w:tc>
        <w:tc>
          <w:tcPr>
            <w:tcW w:w="1604" w:type="dxa"/>
            <w:gridSpan w:val="3"/>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0"/>
                <w:szCs w:val="20"/>
              </w:rPr>
            </w:pPr>
          </w:p>
        </w:tc>
      </w:tr>
    </w:tbl>
    <w:p>
      <w:r>
        <w:br w:type="page"/>
      </w:r>
    </w:p>
    <w:tbl>
      <w:tblPr>
        <w:tblStyle w:val="5"/>
        <w:tblpPr w:leftFromText="180" w:rightFromText="180" w:vertAnchor="text" w:tblpY="1"/>
        <w:tblOverlap w:val="never"/>
        <w:tblW w:w="14295" w:type="dxa"/>
        <w:tblInd w:w="0" w:type="dxa"/>
        <w:tblLayout w:type="autofit"/>
        <w:tblCellMar>
          <w:top w:w="0" w:type="dxa"/>
          <w:left w:w="108" w:type="dxa"/>
          <w:bottom w:w="0" w:type="dxa"/>
          <w:right w:w="108" w:type="dxa"/>
        </w:tblCellMar>
      </w:tblPr>
      <w:tblGrid>
        <w:gridCol w:w="14295"/>
      </w:tblGrid>
      <w:tr>
        <w:tblPrEx>
          <w:tblCellMar>
            <w:top w:w="0" w:type="dxa"/>
            <w:left w:w="108" w:type="dxa"/>
            <w:bottom w:w="0" w:type="dxa"/>
            <w:right w:w="108" w:type="dxa"/>
          </w:tblCellMar>
        </w:tblPrEx>
        <w:trPr>
          <w:trHeight w:val="390" w:hRule="atLeast"/>
        </w:trPr>
        <w:tc>
          <w:tcPr>
            <w:tcW w:w="11601" w:type="dxa"/>
            <w:tcBorders>
              <w:top w:val="nil"/>
              <w:left w:val="nil"/>
              <w:bottom w:val="nil"/>
              <w:right w:val="nil"/>
            </w:tcBorders>
            <w:shd w:val="clear" w:color="auto" w:fill="auto"/>
            <w:noWrap/>
            <w:vAlign w:val="bottom"/>
          </w:tcPr>
          <w:p>
            <w:pPr>
              <w:widowControl/>
              <w:ind w:firstLine="2240" w:firstLineChars="700"/>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一般公共预算财政拨款支出决算表</w:t>
            </w:r>
          </w:p>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                                                          公开05表</w:t>
            </w:r>
          </w:p>
          <w:p>
            <w:pPr>
              <w:widowControl/>
              <w:ind w:right="400" w:firstLine="8100" w:firstLineChars="4050"/>
              <w:rPr>
                <w:rFonts w:ascii="华文中宋" w:hAnsi="华文中宋" w:eastAsia="华文中宋" w:cs="宋体"/>
                <w:color w:val="000000"/>
                <w:kern w:val="0"/>
                <w:sz w:val="32"/>
                <w:szCs w:val="32"/>
              </w:rPr>
            </w:pPr>
            <w:r>
              <w:rPr>
                <w:rFonts w:hint="eastAsia" w:ascii="宋体" w:hAnsi="宋体" w:eastAsia="宋体" w:cs="Arial"/>
                <w:color w:val="000000"/>
                <w:kern w:val="0"/>
                <w:sz w:val="20"/>
                <w:szCs w:val="20"/>
              </w:rPr>
              <w:t xml:space="preserve">金额单位：万元                                                                             </w:t>
            </w:r>
          </w:p>
        </w:tc>
      </w:tr>
    </w:tbl>
    <w:tbl>
      <w:tblPr>
        <w:tblStyle w:val="5"/>
        <w:tblW w:w="9220" w:type="dxa"/>
        <w:tblInd w:w="95" w:type="dxa"/>
        <w:tblLayout w:type="autofit"/>
        <w:tblCellMar>
          <w:top w:w="0" w:type="dxa"/>
          <w:left w:w="108" w:type="dxa"/>
          <w:bottom w:w="0" w:type="dxa"/>
          <w:right w:w="108" w:type="dxa"/>
        </w:tblCellMar>
      </w:tblPr>
      <w:tblGrid>
        <w:gridCol w:w="436"/>
        <w:gridCol w:w="436"/>
        <w:gridCol w:w="436"/>
        <w:gridCol w:w="3766"/>
        <w:gridCol w:w="1510"/>
        <w:gridCol w:w="1510"/>
        <w:gridCol w:w="1462"/>
      </w:tblGrid>
      <w:tr>
        <w:trPr>
          <w:trHeight w:val="308" w:hRule="atLeast"/>
        </w:trPr>
        <w:tc>
          <w:tcPr>
            <w:tcW w:w="473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项目</w:t>
            </w:r>
          </w:p>
        </w:tc>
        <w:tc>
          <w:tcPr>
            <w:tcW w:w="4482" w:type="dxa"/>
            <w:gridSpan w:val="3"/>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本年支出</w:t>
            </w:r>
          </w:p>
        </w:tc>
      </w:tr>
      <w:tr>
        <w:tblPrEx>
          <w:tblCellMar>
            <w:top w:w="0" w:type="dxa"/>
            <w:left w:w="108" w:type="dxa"/>
            <w:bottom w:w="0" w:type="dxa"/>
            <w:right w:w="108" w:type="dxa"/>
          </w:tblCellMar>
        </w:tblPrEx>
        <w:trPr>
          <w:trHeight w:val="312" w:hRule="atLeast"/>
        </w:trPr>
        <w:tc>
          <w:tcPr>
            <w:tcW w:w="97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支出功能分类科目代码</w:t>
            </w:r>
          </w:p>
        </w:tc>
        <w:tc>
          <w:tcPr>
            <w:tcW w:w="3766"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科目名称</w:t>
            </w:r>
          </w:p>
        </w:tc>
        <w:tc>
          <w:tcPr>
            <w:tcW w:w="1510"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合计</w:t>
            </w:r>
          </w:p>
        </w:tc>
        <w:tc>
          <w:tcPr>
            <w:tcW w:w="1510" w:type="dxa"/>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基本支出</w:t>
            </w:r>
          </w:p>
        </w:tc>
        <w:tc>
          <w:tcPr>
            <w:tcW w:w="1462"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项目支出</w:t>
            </w:r>
          </w:p>
        </w:tc>
      </w:tr>
      <w:tr>
        <w:tblPrEx>
          <w:tblCellMar>
            <w:top w:w="0" w:type="dxa"/>
            <w:left w:w="108" w:type="dxa"/>
            <w:bottom w:w="0" w:type="dxa"/>
            <w:right w:w="108" w:type="dxa"/>
          </w:tblCellMar>
        </w:tblPrEx>
        <w:trPr>
          <w:trHeight w:val="312" w:hRule="atLeast"/>
        </w:trPr>
        <w:tc>
          <w:tcPr>
            <w:tcW w:w="972" w:type="dxa"/>
            <w:gridSpan w:val="3"/>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3766"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510"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51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1462"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trHeight w:val="615" w:hRule="atLeast"/>
        </w:trPr>
        <w:tc>
          <w:tcPr>
            <w:tcW w:w="972" w:type="dxa"/>
            <w:gridSpan w:val="3"/>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3766"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510"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151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1462"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r>
      <w:tr>
        <w:tblPrEx>
          <w:tblCellMar>
            <w:top w:w="0" w:type="dxa"/>
            <w:left w:w="108" w:type="dxa"/>
            <w:bottom w:w="0" w:type="dxa"/>
            <w:right w:w="108" w:type="dxa"/>
          </w:tblCellMar>
        </w:tblPrEx>
        <w:trPr>
          <w:trHeight w:val="308" w:hRule="atLeast"/>
        </w:trPr>
        <w:tc>
          <w:tcPr>
            <w:tcW w:w="326" w:type="dxa"/>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类</w:t>
            </w:r>
          </w:p>
        </w:tc>
        <w:tc>
          <w:tcPr>
            <w:tcW w:w="324"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款</w:t>
            </w:r>
          </w:p>
        </w:tc>
        <w:tc>
          <w:tcPr>
            <w:tcW w:w="322"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项</w:t>
            </w:r>
          </w:p>
        </w:tc>
        <w:tc>
          <w:tcPr>
            <w:tcW w:w="3766" w:type="dxa"/>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栏次</w:t>
            </w:r>
          </w:p>
        </w:tc>
        <w:tc>
          <w:tcPr>
            <w:tcW w:w="1510"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7</w:t>
            </w:r>
          </w:p>
        </w:tc>
        <w:tc>
          <w:tcPr>
            <w:tcW w:w="1510"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8</w:t>
            </w:r>
          </w:p>
        </w:tc>
        <w:tc>
          <w:tcPr>
            <w:tcW w:w="1462"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11</w:t>
            </w:r>
          </w:p>
        </w:tc>
      </w:tr>
      <w:tr>
        <w:tblPrEx>
          <w:tblCellMar>
            <w:top w:w="0" w:type="dxa"/>
            <w:left w:w="108" w:type="dxa"/>
            <w:bottom w:w="0" w:type="dxa"/>
            <w:right w:w="108" w:type="dxa"/>
          </w:tblCellMar>
        </w:tblPrEx>
        <w:trPr>
          <w:trHeight w:val="308" w:hRule="atLeast"/>
        </w:trPr>
        <w:tc>
          <w:tcPr>
            <w:tcW w:w="326"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Arial"/>
                <w:color w:val="000000"/>
                <w:sz w:val="22"/>
              </w:rPr>
            </w:pPr>
          </w:p>
        </w:tc>
        <w:tc>
          <w:tcPr>
            <w:tcW w:w="324"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322" w:type="dxa"/>
            <w:vMerge w:val="continue"/>
            <w:tcBorders>
              <w:top w:val="nil"/>
              <w:left w:val="nil"/>
              <w:bottom w:val="single" w:color="000000" w:sz="4" w:space="0"/>
              <w:right w:val="single" w:color="000000" w:sz="4" w:space="0"/>
            </w:tcBorders>
            <w:vAlign w:val="center"/>
          </w:tcPr>
          <w:p>
            <w:pPr>
              <w:rPr>
                <w:rFonts w:ascii="宋体" w:hAnsi="宋体" w:eastAsia="宋体" w:cs="Arial"/>
                <w:color w:val="000000"/>
                <w:sz w:val="22"/>
              </w:rPr>
            </w:pPr>
          </w:p>
        </w:tc>
        <w:tc>
          <w:tcPr>
            <w:tcW w:w="3766" w:type="dxa"/>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Arial"/>
                <w:color w:val="000000"/>
                <w:sz w:val="22"/>
              </w:rPr>
            </w:pPr>
            <w:r>
              <w:rPr>
                <w:rFonts w:hint="eastAsia" w:cs="Arial"/>
                <w:color w:val="000000"/>
                <w:sz w:val="22"/>
              </w:rPr>
              <w:t>合计</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2,593.69</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2,413.69</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180.00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一般公共服务支出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人大事务</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2010108</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代表工作</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1.20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公共安全支出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20402</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公安</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2040220</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执法办案</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7.50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社会保障和就业支出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117.12</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20805</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行政事业单位养老支出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2080505</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机关事业单位基本养老保险缴费支出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103.42</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20825</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其他生活救助</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2082502</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其他农村生活救助</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20899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其他社会保障和就业支出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2089999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其他社会保障和就业支出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8.70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卫生健康支出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104.42</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公共卫生</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49.51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49.51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2100409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重大公共卫生服务</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42.91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42.91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2100499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其他公共卫生支出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6.60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6.60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行政事业单位医疗</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54.90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54.90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行政单位医疗</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13.82</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13.82</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2101102</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事业单位医疗</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41.09</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41.09</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农林水支出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2,246.94</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2,066.94</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180.00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农业农村</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1,584.37</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1,574.37</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行政运行</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621.80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621.80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2130102</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一般行政管理事务</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98.19</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98.19</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2130104</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事业运行</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854.37</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854.37</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2130199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其他农业农村支出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21305</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巩固脱贫衔接乡村振兴</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2130504</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农村基础设施建设</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102.00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农村综合改革</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557.56</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对村级公益事业建设的补助</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68.00</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2130705</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对村民委员会和村党支部的补助</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489.56</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21308</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普惠金融发展支出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2130899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其他普惠金融发展支出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3.00</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自然资源海洋气象等支出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22001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自然资源事务</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2200199</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其他自然资源事务支出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7.91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住房保障支出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22102</w:t>
            </w:r>
          </w:p>
        </w:tc>
        <w:tc>
          <w:tcPr>
            <w:tcW w:w="3766"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住房改革支出</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51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46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972" w:type="dxa"/>
            <w:gridSpan w:val="3"/>
            <w:tcBorders>
              <w:top w:val="nil"/>
              <w:left w:val="single" w:color="000000" w:sz="4" w:space="0"/>
              <w:bottom w:val="single" w:color="000000" w:sz="8"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2210201</w:t>
            </w:r>
          </w:p>
        </w:tc>
        <w:tc>
          <w:tcPr>
            <w:tcW w:w="3766" w:type="dxa"/>
            <w:tcBorders>
              <w:top w:val="nil"/>
              <w:left w:val="nil"/>
              <w:bottom w:val="single" w:color="000000" w:sz="8"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xml:space="preserve">  住房公积金</w:t>
            </w:r>
          </w:p>
        </w:tc>
        <w:tc>
          <w:tcPr>
            <w:tcW w:w="1510" w:type="dxa"/>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510" w:type="dxa"/>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108.61</w:t>
            </w:r>
          </w:p>
        </w:tc>
        <w:tc>
          <w:tcPr>
            <w:tcW w:w="1462" w:type="dxa"/>
            <w:tcBorders>
              <w:top w:val="nil"/>
              <w:left w:val="nil"/>
              <w:bottom w:val="single" w:color="000000" w:sz="8"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bl>
    <w:tbl>
      <w:tblPr>
        <w:tblStyle w:val="5"/>
        <w:tblpPr w:leftFromText="180" w:rightFromText="180" w:vertAnchor="text" w:tblpY="1"/>
        <w:tblOverlap w:val="never"/>
        <w:tblW w:w="14295" w:type="dxa"/>
        <w:tblInd w:w="0" w:type="dxa"/>
        <w:tblLayout w:type="autofit"/>
        <w:tblCellMar>
          <w:top w:w="0" w:type="dxa"/>
          <w:left w:w="108" w:type="dxa"/>
          <w:bottom w:w="0" w:type="dxa"/>
          <w:right w:w="108" w:type="dxa"/>
        </w:tblCellMar>
      </w:tblPr>
      <w:tblGrid>
        <w:gridCol w:w="14295"/>
      </w:tblGrid>
      <w:tr>
        <w:tblPrEx>
          <w:tblCellMar>
            <w:top w:w="0" w:type="dxa"/>
            <w:left w:w="108" w:type="dxa"/>
            <w:bottom w:w="0" w:type="dxa"/>
            <w:right w:w="108" w:type="dxa"/>
          </w:tblCellMar>
        </w:tblPrEx>
        <w:trPr>
          <w:trHeight w:val="645" w:hRule="atLeast"/>
        </w:trPr>
        <w:tc>
          <w:tcPr>
            <w:tcW w:w="14295" w:type="dxa"/>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tc>
      </w:tr>
    </w:tbl>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textWrapping" w:clear="all"/>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15328" w:type="dxa"/>
        <w:tblInd w:w="89" w:type="dxa"/>
        <w:tblLayout w:type="autofit"/>
        <w:tblCellMar>
          <w:top w:w="0" w:type="dxa"/>
          <w:left w:w="108" w:type="dxa"/>
          <w:bottom w:w="0" w:type="dxa"/>
          <w:right w:w="108" w:type="dxa"/>
        </w:tblCellMar>
      </w:tblPr>
      <w:tblGrid>
        <w:gridCol w:w="766"/>
        <w:gridCol w:w="3338"/>
        <w:gridCol w:w="1096"/>
        <w:gridCol w:w="766"/>
        <w:gridCol w:w="2238"/>
        <w:gridCol w:w="876"/>
        <w:gridCol w:w="766"/>
        <w:gridCol w:w="3640"/>
        <w:gridCol w:w="578"/>
        <w:gridCol w:w="1264"/>
      </w:tblGrid>
      <w:tr>
        <w:tblPrEx>
          <w:tblCellMar>
            <w:top w:w="0" w:type="dxa"/>
            <w:left w:w="108" w:type="dxa"/>
            <w:bottom w:w="0" w:type="dxa"/>
            <w:right w:w="108" w:type="dxa"/>
          </w:tblCellMar>
        </w:tblPrEx>
        <w:trPr>
          <w:trHeight w:val="390" w:hRule="atLeast"/>
        </w:trPr>
        <w:tc>
          <w:tcPr>
            <w:tcW w:w="15328" w:type="dxa"/>
            <w:gridSpan w:val="10"/>
            <w:tcBorders>
              <w:top w:val="nil"/>
              <w:left w:val="nil"/>
              <w:bottom w:val="nil"/>
              <w:right w:val="nil"/>
            </w:tcBorders>
            <w:shd w:val="clear" w:color="auto" w:fill="auto"/>
            <w:noWrap/>
            <w:vAlign w:val="bottom"/>
          </w:tcPr>
          <w:p>
            <w:pPr>
              <w:widowControl/>
              <w:jc w:val="center"/>
              <w:rPr>
                <w:rFonts w:ascii="华文中宋" w:hAnsi="华文中宋" w:eastAsia="华文中宋" w:cs="宋体"/>
                <w:color w:val="000000"/>
                <w:kern w:val="0"/>
                <w:sz w:val="32"/>
                <w:szCs w:val="32"/>
              </w:rPr>
            </w:pPr>
          </w:p>
          <w:p>
            <w:pPr>
              <w:widowControl/>
              <w:jc w:val="center"/>
              <w:rPr>
                <w:rFonts w:ascii="华文中宋" w:hAnsi="华文中宋" w:eastAsia="华文中宋" w:cs="宋体"/>
                <w:color w:val="000000"/>
                <w:kern w:val="0"/>
                <w:sz w:val="32"/>
                <w:szCs w:val="32"/>
              </w:rPr>
            </w:pPr>
          </w:p>
          <w:p>
            <w:pPr>
              <w:widowControl/>
              <w:jc w:val="center"/>
              <w:rPr>
                <w:rFonts w:ascii="宋体" w:hAnsi="宋体" w:eastAsia="宋体" w:cs="Arial"/>
                <w:color w:val="000000"/>
                <w:kern w:val="0"/>
                <w:sz w:val="30"/>
                <w:szCs w:val="30"/>
              </w:rPr>
            </w:pPr>
            <w:r>
              <w:rPr>
                <w:rFonts w:hint="eastAsia" w:ascii="华文中宋" w:hAnsi="华文中宋" w:eastAsia="华文中宋" w:cs="宋体"/>
                <w:color w:val="000000"/>
                <w:kern w:val="0"/>
                <w:sz w:val="32"/>
                <w:szCs w:val="32"/>
              </w:rPr>
              <w:t>一般公共预算财政拨款基本支出决算明细表</w:t>
            </w:r>
          </w:p>
        </w:tc>
      </w:tr>
      <w:tr>
        <w:tblPrEx>
          <w:tblCellMar>
            <w:top w:w="0" w:type="dxa"/>
            <w:left w:w="108" w:type="dxa"/>
            <w:bottom w:w="0" w:type="dxa"/>
            <w:right w:w="108" w:type="dxa"/>
          </w:tblCellMar>
        </w:tblPrEx>
        <w:trPr>
          <w:trHeight w:val="255" w:hRule="atLeast"/>
        </w:trPr>
        <w:tc>
          <w:tcPr>
            <w:tcW w:w="76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33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6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23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7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6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218"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64"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公开06表</w:t>
            </w:r>
          </w:p>
        </w:tc>
      </w:tr>
      <w:tr>
        <w:tblPrEx>
          <w:tblCellMar>
            <w:top w:w="0" w:type="dxa"/>
            <w:left w:w="108" w:type="dxa"/>
            <w:bottom w:w="0" w:type="dxa"/>
            <w:right w:w="108" w:type="dxa"/>
          </w:tblCellMar>
        </w:tblPrEx>
        <w:trPr>
          <w:trHeight w:val="255" w:hRule="atLeast"/>
        </w:trPr>
        <w:tc>
          <w:tcPr>
            <w:tcW w:w="4104" w:type="dxa"/>
            <w:gridSpan w:val="2"/>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10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6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23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7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6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218"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64" w:type="dxa"/>
            <w:tcBorders>
              <w:top w:val="nil"/>
              <w:left w:val="nil"/>
              <w:bottom w:val="nil"/>
              <w:right w:val="nil"/>
            </w:tcBorders>
            <w:shd w:val="clear" w:color="auto" w:fill="auto"/>
            <w:noWrap/>
            <w:vAlign w:val="bottom"/>
          </w:tcPr>
          <w:p>
            <w:pPr>
              <w:widowControl/>
              <w:ind w:right="300"/>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20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w:t>
            </w:r>
          </w:p>
        </w:tc>
        <w:tc>
          <w:tcPr>
            <w:tcW w:w="10128" w:type="dxa"/>
            <w:gridSpan w:val="7"/>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w:t>
            </w:r>
          </w:p>
        </w:tc>
      </w:tr>
      <w:tr>
        <w:tblPrEx>
          <w:tblCellMar>
            <w:top w:w="0" w:type="dxa"/>
            <w:left w:w="108" w:type="dxa"/>
            <w:bottom w:w="0" w:type="dxa"/>
            <w:right w:w="108" w:type="dxa"/>
          </w:tblCellMar>
        </w:tblPrEx>
        <w:trPr>
          <w:trHeight w:val="312" w:hRule="atLeast"/>
        </w:trPr>
        <w:tc>
          <w:tcPr>
            <w:tcW w:w="76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333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09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76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223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87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76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364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842"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CellMar>
            <w:top w:w="0" w:type="dxa"/>
            <w:left w:w="108" w:type="dxa"/>
            <w:bottom w:w="0" w:type="dxa"/>
            <w:right w:w="108" w:type="dxa"/>
          </w:tblCellMar>
        </w:tblPrEx>
        <w:trPr>
          <w:trHeight w:val="312" w:hRule="atLeast"/>
        </w:trPr>
        <w:tc>
          <w:tcPr>
            <w:tcW w:w="76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33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76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23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7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76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6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42"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工资福利支出</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1868.02</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商品和服务支出</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310.01</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债务利息及费用支出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基本工资</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1032.22</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30201</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87.01</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30701</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国内债务付息</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30102</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津贴补贴</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307.98</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30202</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印刷费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29.84</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30702</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国外债务付息</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奖金</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127.34</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30203</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咨询费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资本性支出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30106</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伙食补助费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30204</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手续费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31001</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房屋建筑物购建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30107</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绩效工资</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133.55</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30205</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水费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31002</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办公设备购置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30108</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103.42</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30206</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电费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4.93</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31003</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专用设备购置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职业年金缴费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30207</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邮电费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31005</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基础设施建设</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160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30110</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职工基本医疗保险缴费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30208</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取暖费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31006</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大型修缮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公务员医疗补助缴费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54.90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30209</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物业管理费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31007</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信息网络及软件购置更新</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30112</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其他社会保障缴费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30211</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差旅费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18</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31008</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物资储备</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108.61</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30212</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因公出国（境）费用</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31009</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土地补偿</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30114</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30213</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维修（护）费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15</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31010</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安置补助</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30199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其他工资福利支出</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30214</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租赁费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31011</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地上附着物和青苗补偿</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对个人和家庭的补助</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255.65</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30215</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会议费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12.72</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31012</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拆迁补偿</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离休费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7.29</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30216</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培训费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4.99</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31013</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公务用车购置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30302</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退休费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30217</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公务接待费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31019</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其他交通工具购置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退职（役）费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30218</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专用材料费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31021</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文物和陈列品购置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30304</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抚恤金</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30224</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被装购置费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31022</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无形资产购置</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30305</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生活补助</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207.35</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30225</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专用燃料费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31099</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其他资本性支出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30306</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救济费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16</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30226</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劳务费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43.38</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其他支出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30307</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医疗费补助</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5</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30227</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委托业务费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39906</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赠与</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30308</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助学金</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30228</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工会经费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3.78</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39907</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国家赔偿费用支出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奖励金</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20</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30229</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福利费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6.91</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39908</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对民间非营利组织和群众性自治组织补贴</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30310</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个人农业生产补贴</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30231</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公务用车运行维护费</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39999</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其他支出</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30311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代缴社会保险费</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30239</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其他交通费用</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73.45</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30399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其他对个人和家庭的补助</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30240</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税金及附加费用</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30299</w:t>
            </w:r>
          </w:p>
        </w:tc>
        <w:tc>
          <w:tcPr>
            <w:tcW w:w="22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其他商品和服务支出</w:t>
            </w:r>
          </w:p>
        </w:tc>
        <w:tc>
          <w:tcPr>
            <w:tcW w:w="8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w:t>
            </w:r>
          </w:p>
        </w:tc>
        <w:tc>
          <w:tcPr>
            <w:tcW w:w="76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64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4104"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人员经费合计</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2123.67</w:t>
            </w:r>
          </w:p>
        </w:tc>
        <w:tc>
          <w:tcPr>
            <w:tcW w:w="8286" w:type="dxa"/>
            <w:gridSpan w:val="5"/>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公用经费合计</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470.01</w:t>
            </w:r>
          </w:p>
        </w:tc>
      </w:tr>
      <w:tr>
        <w:tblPrEx>
          <w:tblCellMar>
            <w:top w:w="0" w:type="dxa"/>
            <w:left w:w="108" w:type="dxa"/>
            <w:bottom w:w="0" w:type="dxa"/>
            <w:right w:w="108" w:type="dxa"/>
          </w:tblCellMar>
        </w:tblPrEx>
        <w:trPr>
          <w:trHeight w:val="308" w:hRule="atLeast"/>
        </w:trPr>
        <w:tc>
          <w:tcPr>
            <w:tcW w:w="15328" w:type="dxa"/>
            <w:gridSpan w:val="10"/>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p>
    <w:p>
      <w:pPr>
        <w:widowControl/>
        <w:jc w:val="left"/>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tbl>
      <w:tblPr>
        <w:tblStyle w:val="5"/>
        <w:tblW w:w="13202" w:type="dxa"/>
        <w:tblInd w:w="89" w:type="dxa"/>
        <w:tblLayout w:type="autofit"/>
        <w:tblCellMar>
          <w:top w:w="0" w:type="dxa"/>
          <w:left w:w="108" w:type="dxa"/>
          <w:bottom w:w="0" w:type="dxa"/>
          <w:right w:w="108" w:type="dxa"/>
        </w:tblCellMar>
      </w:tblPr>
      <w:tblGrid>
        <w:gridCol w:w="1120"/>
        <w:gridCol w:w="1000"/>
        <w:gridCol w:w="1120"/>
        <w:gridCol w:w="1120"/>
        <w:gridCol w:w="1119"/>
        <w:gridCol w:w="1020"/>
        <w:gridCol w:w="1060"/>
        <w:gridCol w:w="1120"/>
        <w:gridCol w:w="968"/>
        <w:gridCol w:w="933"/>
        <w:gridCol w:w="902"/>
        <w:gridCol w:w="1720"/>
      </w:tblGrid>
      <w:tr>
        <w:tblPrEx>
          <w:tblCellMar>
            <w:top w:w="0" w:type="dxa"/>
            <w:left w:w="108" w:type="dxa"/>
            <w:bottom w:w="0" w:type="dxa"/>
            <w:right w:w="108" w:type="dxa"/>
          </w:tblCellMar>
        </w:tblPrEx>
        <w:trPr>
          <w:trHeight w:val="390" w:hRule="atLeast"/>
        </w:trPr>
        <w:tc>
          <w:tcPr>
            <w:tcW w:w="13202" w:type="dxa"/>
            <w:gridSpan w:val="12"/>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华文中宋" w:hAnsi="华文中宋" w:eastAsia="华文中宋" w:cs="宋体"/>
                <w:color w:val="000000"/>
                <w:kern w:val="0"/>
                <w:sz w:val="32"/>
                <w:szCs w:val="32"/>
              </w:rPr>
              <w:t>一般公共预算财政拨款“三公”经费支出决算表</w:t>
            </w:r>
          </w:p>
        </w:tc>
      </w:tr>
      <w:tr>
        <w:tblPrEx>
          <w:tblCellMar>
            <w:top w:w="0" w:type="dxa"/>
            <w:left w:w="108" w:type="dxa"/>
            <w:bottom w:w="0" w:type="dxa"/>
            <w:right w:w="108" w:type="dxa"/>
          </w:tblCellMar>
        </w:tblPrEx>
        <w:trPr>
          <w:trHeight w:val="255" w:hRule="atLeast"/>
        </w:trPr>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1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6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3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0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2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公开07表</w:t>
            </w:r>
          </w:p>
        </w:tc>
      </w:tr>
      <w:tr>
        <w:tblPrEx>
          <w:tblCellMar>
            <w:top w:w="0" w:type="dxa"/>
            <w:left w:w="108" w:type="dxa"/>
            <w:bottom w:w="0" w:type="dxa"/>
            <w:right w:w="108" w:type="dxa"/>
          </w:tblCellMar>
        </w:tblPrEx>
        <w:trPr>
          <w:trHeight w:val="255" w:hRule="atLeast"/>
        </w:trPr>
        <w:tc>
          <w:tcPr>
            <w:tcW w:w="3240" w:type="dxa"/>
            <w:gridSpan w:val="3"/>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1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6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3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0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2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6499"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预算数</w:t>
            </w:r>
          </w:p>
        </w:tc>
        <w:tc>
          <w:tcPr>
            <w:tcW w:w="6703" w:type="dxa"/>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CellMar>
            <w:top w:w="0" w:type="dxa"/>
            <w:left w:w="108" w:type="dxa"/>
            <w:bottom w:w="0" w:type="dxa"/>
            <w:right w:w="108" w:type="dxa"/>
          </w:tblCellMar>
        </w:tblPrEx>
        <w:trPr>
          <w:trHeight w:val="308" w:hRule="atLeast"/>
        </w:trPr>
        <w:tc>
          <w:tcPr>
            <w:tcW w:w="1120"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00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3359"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102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c>
          <w:tcPr>
            <w:tcW w:w="10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12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2803"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172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r>
      <w:tr>
        <w:tblPrEx>
          <w:tblCellMar>
            <w:top w:w="0" w:type="dxa"/>
            <w:left w:w="108" w:type="dxa"/>
            <w:bottom w:w="0" w:type="dxa"/>
            <w:right w:w="108" w:type="dxa"/>
          </w:tblCellMar>
        </w:tblPrEx>
        <w:trPr>
          <w:trHeight w:val="615" w:hRule="atLeast"/>
        </w:trPr>
        <w:tc>
          <w:tcPr>
            <w:tcW w:w="11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1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11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10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68"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93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902"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17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1120" w:type="dxa"/>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0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1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1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11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0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06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1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968"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93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902"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7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r>
      <w:tr>
        <w:tblPrEx>
          <w:tblCellMar>
            <w:top w:w="0" w:type="dxa"/>
            <w:left w:w="108" w:type="dxa"/>
            <w:bottom w:w="0" w:type="dxa"/>
            <w:right w:w="108" w:type="dxa"/>
          </w:tblCellMar>
        </w:tblPrEx>
        <w:trPr>
          <w:trHeight w:val="308" w:hRule="atLeast"/>
        </w:trPr>
        <w:tc>
          <w:tcPr>
            <w:tcW w:w="1120" w:type="dxa"/>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15</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1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15</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0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w:t>
            </w:r>
          </w:p>
        </w:tc>
      </w:tr>
      <w:tr>
        <w:tblPrEx>
          <w:tblCellMar>
            <w:top w:w="0" w:type="dxa"/>
            <w:left w:w="108" w:type="dxa"/>
            <w:bottom w:w="0" w:type="dxa"/>
            <w:right w:w="108" w:type="dxa"/>
          </w:tblCellMar>
        </w:tblPrEx>
        <w:trPr>
          <w:trHeight w:val="615" w:hRule="atLeast"/>
        </w:trPr>
        <w:tc>
          <w:tcPr>
            <w:tcW w:w="13202" w:type="dxa"/>
            <w:gridSpan w:val="12"/>
            <w:tcBorders>
              <w:top w:val="nil"/>
              <w:left w:val="nil"/>
              <w:bottom w:val="nil"/>
              <w:right w:val="nil"/>
            </w:tcBorders>
            <w:shd w:val="clear" w:color="auto" w:fill="auto"/>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center"/>
        <w:rPr>
          <w:rFonts w:ascii="华文中宋" w:hAnsi="华文中宋" w:eastAsia="华文中宋" w:cs="宋体"/>
          <w:color w:val="000000"/>
          <w:kern w:val="0"/>
          <w:sz w:val="32"/>
          <w:szCs w:val="32"/>
        </w:rPr>
        <w:sectPr>
          <w:pgSz w:w="16838" w:h="11906" w:orient="landscape"/>
          <w:pgMar w:top="720" w:right="720" w:bottom="720" w:left="720" w:header="851" w:footer="992" w:gutter="0"/>
          <w:cols w:space="425" w:num="1"/>
          <w:docGrid w:type="lines" w:linePitch="312" w:charSpace="0"/>
        </w:sectPr>
      </w:pPr>
    </w:p>
    <w:p>
      <w:pPr>
        <w:widowControl/>
        <w:jc w:val="center"/>
        <w:rPr>
          <w:rFonts w:hint="eastAsia" w:ascii="华文中宋" w:hAnsi="华文中宋" w:eastAsia="华文中宋" w:cs="宋体"/>
          <w:color w:val="000000"/>
          <w:kern w:val="0"/>
          <w:sz w:val="32"/>
          <w:szCs w:val="32"/>
        </w:rPr>
      </w:pPr>
    </w:p>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政府性基金预算财政拨款收入支出决算表</w:t>
      </w:r>
    </w:p>
    <w:tbl>
      <w:tblPr>
        <w:tblStyle w:val="5"/>
        <w:tblW w:w="13202" w:type="dxa"/>
        <w:tblInd w:w="89" w:type="dxa"/>
        <w:tblLayout w:type="autofit"/>
        <w:tblCellMar>
          <w:top w:w="0" w:type="dxa"/>
          <w:left w:w="108" w:type="dxa"/>
          <w:bottom w:w="0" w:type="dxa"/>
          <w:right w:w="108" w:type="dxa"/>
        </w:tblCellMar>
      </w:tblPr>
      <w:tblGrid>
        <w:gridCol w:w="1120"/>
        <w:gridCol w:w="1000"/>
        <w:gridCol w:w="1120"/>
        <w:gridCol w:w="1120"/>
        <w:gridCol w:w="1119"/>
        <w:gridCol w:w="1020"/>
        <w:gridCol w:w="1060"/>
        <w:gridCol w:w="1120"/>
        <w:gridCol w:w="968"/>
        <w:gridCol w:w="933"/>
        <w:gridCol w:w="902"/>
        <w:gridCol w:w="1720"/>
      </w:tblGrid>
      <w:tr>
        <w:tblPrEx>
          <w:tblCellMar>
            <w:top w:w="0" w:type="dxa"/>
            <w:left w:w="108" w:type="dxa"/>
            <w:bottom w:w="0" w:type="dxa"/>
            <w:right w:w="108" w:type="dxa"/>
          </w:tblCellMar>
        </w:tblPrEx>
        <w:trPr>
          <w:trHeight w:val="255" w:hRule="atLeast"/>
        </w:trPr>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1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6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3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0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2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3240" w:type="dxa"/>
            <w:gridSpan w:val="3"/>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部门：湘乡市虞唐镇人民政府</w:t>
            </w: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1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6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3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0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2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bl>
    <w:p>
      <w:pPr>
        <w:widowControl/>
        <w:rPr>
          <w:rFonts w:ascii="华文中宋" w:hAnsi="华文中宋" w:eastAsia="华文中宋" w:cs="宋体"/>
          <w:color w:val="000000"/>
          <w:kern w:val="0"/>
          <w:sz w:val="32"/>
          <w:szCs w:val="32"/>
        </w:rPr>
      </w:pPr>
    </w:p>
    <w:tbl>
      <w:tblPr>
        <w:tblStyle w:val="5"/>
        <w:tblW w:w="14988" w:type="dxa"/>
        <w:tblInd w:w="95" w:type="dxa"/>
        <w:tblLayout w:type="autofit"/>
        <w:tblCellMar>
          <w:top w:w="0" w:type="dxa"/>
          <w:left w:w="108" w:type="dxa"/>
          <w:bottom w:w="0" w:type="dxa"/>
          <w:right w:w="108" w:type="dxa"/>
        </w:tblCellMar>
      </w:tblPr>
      <w:tblGrid>
        <w:gridCol w:w="436"/>
        <w:gridCol w:w="436"/>
        <w:gridCol w:w="436"/>
        <w:gridCol w:w="3940"/>
        <w:gridCol w:w="1360"/>
        <w:gridCol w:w="1480"/>
        <w:gridCol w:w="1200"/>
        <w:gridCol w:w="1040"/>
        <w:gridCol w:w="1280"/>
        <w:gridCol w:w="1180"/>
        <w:gridCol w:w="1140"/>
        <w:gridCol w:w="1060"/>
      </w:tblGrid>
      <w:tr>
        <w:tblPrEx>
          <w:tblCellMar>
            <w:top w:w="0" w:type="dxa"/>
            <w:left w:w="108" w:type="dxa"/>
            <w:bottom w:w="0" w:type="dxa"/>
            <w:right w:w="108" w:type="dxa"/>
          </w:tblCellMar>
        </w:tblPrEx>
        <w:trPr>
          <w:trHeight w:val="308" w:hRule="atLeast"/>
        </w:trPr>
        <w:tc>
          <w:tcPr>
            <w:tcW w:w="524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4040"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本年收入</w:t>
            </w:r>
          </w:p>
        </w:tc>
        <w:tc>
          <w:tcPr>
            <w:tcW w:w="5700" w:type="dxa"/>
            <w:gridSpan w:val="5"/>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r>
      <w:tr>
        <w:tblPrEx>
          <w:tblCellMar>
            <w:top w:w="0" w:type="dxa"/>
            <w:left w:w="108" w:type="dxa"/>
            <w:bottom w:w="0" w:type="dxa"/>
            <w:right w:w="108" w:type="dxa"/>
          </w:tblCellMar>
        </w:tblPrEx>
        <w:trPr>
          <w:trHeight w:val="308" w:hRule="atLeast"/>
        </w:trPr>
        <w:tc>
          <w:tcPr>
            <w:tcW w:w="130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支出功能分类科目代码</w:t>
            </w:r>
          </w:p>
        </w:tc>
        <w:tc>
          <w:tcPr>
            <w:tcW w:w="394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3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4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120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c>
          <w:tcPr>
            <w:tcW w:w="104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3600"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10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r>
      <w:tr>
        <w:tblPrEx>
          <w:tblCellMar>
            <w:top w:w="0" w:type="dxa"/>
            <w:left w:w="108" w:type="dxa"/>
            <w:bottom w:w="0" w:type="dxa"/>
            <w:right w:w="108" w:type="dxa"/>
          </w:tblCellMar>
        </w:tblPrEx>
        <w:trPr>
          <w:trHeight w:val="312" w:hRule="atLeast"/>
        </w:trPr>
        <w:tc>
          <w:tcPr>
            <w:tcW w:w="13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1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w:t>
            </w:r>
          </w:p>
        </w:tc>
        <w:tc>
          <w:tcPr>
            <w:tcW w:w="114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w:t>
            </w:r>
          </w:p>
        </w:tc>
        <w:tc>
          <w:tcPr>
            <w:tcW w:w="10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615" w:hRule="atLeast"/>
        </w:trPr>
        <w:tc>
          <w:tcPr>
            <w:tcW w:w="13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类</w:t>
            </w:r>
          </w:p>
        </w:tc>
        <w:tc>
          <w:tcPr>
            <w:tcW w:w="43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款</w:t>
            </w:r>
          </w:p>
        </w:tc>
        <w:tc>
          <w:tcPr>
            <w:tcW w:w="43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w:t>
            </w:r>
          </w:p>
        </w:tc>
        <w:tc>
          <w:tcPr>
            <w:tcW w:w="39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36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4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20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04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2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1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14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06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r>
      <w:tr>
        <w:tblPrEx>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3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3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9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14.70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14.70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14.70</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14.70</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14.70</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21208</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国有土地使用权出让收入安排的支出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9.91</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2120804</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农村基础设施建设支出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4.93</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4.93</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4.93</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4.93</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4.93</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2120814</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农业生产发展支出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4.98</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4.98</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4.98</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4.98</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4.98</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229</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其他支出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22960</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彩票公益金安排的支出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2296002</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用于社会福利的彩票公益金支出</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2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4.79</w:t>
            </w:r>
          </w:p>
        </w:tc>
        <w:tc>
          <w:tcPr>
            <w:tcW w:w="10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308"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940"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0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4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8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6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r>
        <w:rPr>
          <w:rFonts w:hint="eastAsia" w:ascii="宋体" w:hAnsi="宋体" w:eastAsia="宋体" w:cs="Arial"/>
          <w:sz w:val="22"/>
        </w:rPr>
        <w:t>注：本表反映部门本年度政府性基金预算财政拨款收入支出情况。</w:t>
      </w: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22年度部门决算情况说明</w:t>
      </w:r>
    </w:p>
    <w:p>
      <w:pPr>
        <w:widowControl/>
        <w:jc w:val="left"/>
        <w:rPr>
          <w:rFonts w:ascii="黑体" w:eastAsia="黑体" w:cs="黑体"/>
          <w:color w:val="000000"/>
          <w:kern w:val="0"/>
          <w:sz w:val="70"/>
          <w:szCs w:val="70"/>
        </w:rPr>
      </w:pPr>
      <w:r>
        <w:rPr>
          <w:sz w:val="70"/>
          <w:szCs w:val="70"/>
        </w:rPr>
        <w:br w:type="page"/>
      </w:r>
    </w:p>
    <w:p>
      <w:pPr>
        <w:spacing w:line="490" w:lineRule="exact"/>
        <w:ind w:firstLine="560" w:firstLineChars="200"/>
        <w:rPr>
          <w:rFonts w:ascii="黑体" w:hAnsi="黑体" w:eastAsia="黑体" w:cs="仿宋"/>
          <w:sz w:val="28"/>
          <w:szCs w:val="30"/>
        </w:rPr>
      </w:pPr>
      <w:r>
        <w:rPr>
          <w:rFonts w:hint="eastAsia" w:ascii="黑体" w:hAnsi="黑体" w:eastAsia="黑体" w:cs="仿宋"/>
          <w:sz w:val="28"/>
          <w:szCs w:val="30"/>
        </w:rPr>
        <w:t>收入支出预算执行情况分析</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（一）收入支出预算安排情况</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2022年预算收入为：2608.39万元，其中基本收入2428.39万元，项目收入180万元；较2021年预算收入为2655.92万元，减少47.53万元，减少1.79%。减少原因是干部工资奖金、社保调减。</w:t>
      </w:r>
    </w:p>
    <w:p>
      <w:pPr>
        <w:autoSpaceDE w:val="0"/>
        <w:autoSpaceDN w:val="0"/>
        <w:adjustRightInd w:val="0"/>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2022年预算支出为：2608.39万元，其中基本支出2428.39万元,比上年增加122.84万元，增加5.33</w:t>
      </w:r>
      <w:r>
        <w:rPr>
          <w:rFonts w:ascii="仿宋" w:hAnsi="仿宋" w:eastAsia="仿宋" w:cs="仿宋"/>
          <w:sz w:val="28"/>
          <w:szCs w:val="30"/>
        </w:rPr>
        <w:t>%</w:t>
      </w:r>
      <w:r>
        <w:rPr>
          <w:rFonts w:hint="eastAsia" w:ascii="仿宋" w:hAnsi="仿宋" w:eastAsia="仿宋" w:cs="仿宋"/>
          <w:sz w:val="28"/>
          <w:szCs w:val="30"/>
        </w:rPr>
        <w:t>；项目支出180万元,比上年减少170.38万元，减少48.63</w:t>
      </w:r>
      <w:r>
        <w:rPr>
          <w:rFonts w:ascii="仿宋" w:hAnsi="仿宋" w:eastAsia="仿宋" w:cs="仿宋"/>
          <w:sz w:val="28"/>
          <w:szCs w:val="30"/>
        </w:rPr>
        <w:t>%</w:t>
      </w:r>
      <w:r>
        <w:rPr>
          <w:rFonts w:hint="eastAsia" w:ascii="仿宋" w:hAnsi="仿宋" w:eastAsia="仿宋" w:cs="仿宋"/>
          <w:sz w:val="28"/>
          <w:szCs w:val="30"/>
        </w:rPr>
        <w:t>。较2021年预算支出为2655.92万元，减少47.53万元，减少1.79%。减少原因是干部工资奖金、社保调减。</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（二）收入支出预算执行情况</w:t>
      </w:r>
    </w:p>
    <w:p>
      <w:pPr>
        <w:autoSpaceDE w:val="0"/>
        <w:autoSpaceDN w:val="0"/>
        <w:adjustRightInd w:val="0"/>
        <w:spacing w:line="490" w:lineRule="exact"/>
        <w:ind w:firstLine="640"/>
        <w:rPr>
          <w:rFonts w:ascii="仿宋" w:hAnsi="仿宋" w:eastAsia="仿宋" w:cs="仿宋"/>
          <w:sz w:val="28"/>
          <w:szCs w:val="30"/>
        </w:rPr>
      </w:pPr>
      <w:r>
        <w:rPr>
          <w:rFonts w:ascii="仿宋" w:hAnsi="Times New Roman" w:eastAsia="仿宋" w:cs="仿宋"/>
          <w:sz w:val="28"/>
          <w:szCs w:val="30"/>
        </w:rPr>
        <w:t>20</w:t>
      </w:r>
      <w:r>
        <w:rPr>
          <w:rFonts w:hint="eastAsia" w:ascii="仿宋" w:hAnsi="Times New Roman" w:eastAsia="仿宋" w:cs="仿宋"/>
          <w:sz w:val="28"/>
          <w:szCs w:val="30"/>
        </w:rPr>
        <w:t>22年收入实际完成</w:t>
      </w:r>
      <w:r>
        <w:rPr>
          <w:rFonts w:hint="eastAsia" w:ascii="仿宋" w:hAnsi="仿宋" w:eastAsia="仿宋" w:cs="仿宋"/>
          <w:sz w:val="28"/>
          <w:szCs w:val="30"/>
        </w:rPr>
        <w:t>2730.81</w:t>
      </w:r>
      <w:r>
        <w:rPr>
          <w:rFonts w:hint="eastAsia" w:ascii="仿宋" w:hAnsi="Times New Roman" w:eastAsia="仿宋" w:cs="仿宋"/>
          <w:sz w:val="28"/>
          <w:szCs w:val="30"/>
        </w:rPr>
        <w:t>万元，比上年</w:t>
      </w:r>
      <w:r>
        <w:rPr>
          <w:rFonts w:hint="eastAsia" w:ascii="仿宋" w:hAnsi="仿宋" w:eastAsia="仿宋" w:cs="仿宋"/>
          <w:sz w:val="28"/>
          <w:szCs w:val="30"/>
        </w:rPr>
        <w:t>增加74.89万元</w:t>
      </w:r>
      <w:r>
        <w:rPr>
          <w:rFonts w:hint="eastAsia" w:ascii="仿宋" w:hAnsi="Times New Roman" w:eastAsia="仿宋" w:cs="仿宋"/>
          <w:sz w:val="28"/>
          <w:szCs w:val="30"/>
        </w:rPr>
        <w:t>，</w:t>
      </w:r>
      <w:r>
        <w:rPr>
          <w:rFonts w:hint="eastAsia" w:ascii="仿宋" w:hAnsi="仿宋" w:eastAsia="仿宋" w:cs="仿宋"/>
          <w:sz w:val="28"/>
          <w:szCs w:val="30"/>
        </w:rPr>
        <w:t>增加2.82%</w:t>
      </w:r>
      <w:r>
        <w:rPr>
          <w:rFonts w:hint="eastAsia" w:ascii="仿宋" w:hAnsi="Times New Roman" w:eastAsia="仿宋" w:cs="仿宋"/>
          <w:sz w:val="28"/>
          <w:szCs w:val="30"/>
        </w:rPr>
        <w:t>。主要原因是：</w:t>
      </w:r>
      <w:r>
        <w:rPr>
          <w:rFonts w:hint="eastAsia" w:ascii="仿宋" w:hAnsi="仿宋" w:eastAsia="仿宋" w:cs="仿宋"/>
          <w:sz w:val="28"/>
          <w:szCs w:val="30"/>
        </w:rPr>
        <w:t>财力增加</w:t>
      </w:r>
      <w:r>
        <w:rPr>
          <w:rFonts w:hint="eastAsia" w:ascii="仿宋" w:hAnsi="Times New Roman" w:eastAsia="仿宋" w:cs="仿宋"/>
          <w:sz w:val="28"/>
          <w:szCs w:val="30"/>
        </w:rPr>
        <w:t>。其中：一般公共预算财政拨款收入完成2593.69万元，比上年</w:t>
      </w:r>
      <w:r>
        <w:rPr>
          <w:rFonts w:hint="eastAsia" w:ascii="仿宋" w:hAnsi="仿宋" w:eastAsia="仿宋" w:cs="仿宋"/>
          <w:sz w:val="28"/>
          <w:szCs w:val="30"/>
        </w:rPr>
        <w:t>减少62.23</w:t>
      </w:r>
      <w:r>
        <w:rPr>
          <w:rFonts w:hint="eastAsia" w:ascii="仿宋" w:hAnsi="Times New Roman" w:eastAsia="仿宋" w:cs="仿宋"/>
          <w:sz w:val="28"/>
          <w:szCs w:val="30"/>
        </w:rPr>
        <w:t>万元，</w:t>
      </w:r>
      <w:r>
        <w:rPr>
          <w:rFonts w:hint="eastAsia" w:ascii="仿宋" w:hAnsi="仿宋" w:eastAsia="仿宋" w:cs="仿宋"/>
          <w:sz w:val="28"/>
          <w:szCs w:val="30"/>
        </w:rPr>
        <w:t>减少2.34%。</w:t>
      </w:r>
      <w:r>
        <w:rPr>
          <w:rFonts w:hint="eastAsia" w:ascii="仿宋" w:hAnsi="Times New Roman" w:eastAsia="仿宋" w:cs="仿宋"/>
          <w:sz w:val="28"/>
          <w:szCs w:val="30"/>
        </w:rPr>
        <w:t>；此</w:t>
      </w:r>
      <w:r>
        <w:rPr>
          <w:rFonts w:hint="eastAsia" w:ascii="仿宋" w:hAnsi="Times New Roman" w:eastAsia="仿宋" w:cs="仿宋"/>
          <w:sz w:val="28"/>
          <w:szCs w:val="30"/>
          <w:lang w:val="zh-CN"/>
        </w:rPr>
        <w:t>变化的主要原因：</w:t>
      </w:r>
      <w:r>
        <w:rPr>
          <w:rFonts w:hint="eastAsia" w:ascii="仿宋" w:hAnsi="仿宋" w:eastAsia="仿宋" w:cs="仿宋"/>
          <w:sz w:val="28"/>
          <w:szCs w:val="30"/>
        </w:rPr>
        <w:t>财力减少；政府性基金预算财政拨款收入14.70万元，比上一年增加14.70万元;其他收入122.42万元。</w:t>
      </w:r>
    </w:p>
    <w:p>
      <w:pPr>
        <w:autoSpaceDE w:val="0"/>
        <w:autoSpaceDN w:val="0"/>
        <w:adjustRightInd w:val="0"/>
        <w:spacing w:line="490" w:lineRule="exact"/>
        <w:ind w:firstLine="643"/>
        <w:rPr>
          <w:rFonts w:ascii="仿宋" w:hAnsi="Times New Roman" w:eastAsia="仿宋" w:cs="仿宋"/>
          <w:sz w:val="28"/>
          <w:szCs w:val="30"/>
        </w:rPr>
      </w:pPr>
      <w:r>
        <w:rPr>
          <w:rFonts w:ascii="仿宋" w:hAnsi="Times New Roman" w:eastAsia="仿宋" w:cs="仿宋"/>
          <w:sz w:val="28"/>
          <w:szCs w:val="30"/>
        </w:rPr>
        <w:t>20</w:t>
      </w:r>
      <w:r>
        <w:rPr>
          <w:rFonts w:hint="eastAsia" w:ascii="仿宋" w:hAnsi="Times New Roman" w:eastAsia="仿宋" w:cs="仿宋"/>
          <w:sz w:val="28"/>
          <w:szCs w:val="30"/>
        </w:rPr>
        <w:t>22年，本部门支出</w:t>
      </w:r>
      <w:r>
        <w:rPr>
          <w:rFonts w:hint="eastAsia" w:ascii="仿宋" w:hAnsi="仿宋" w:eastAsia="仿宋" w:cs="仿宋"/>
          <w:sz w:val="28"/>
          <w:szCs w:val="30"/>
        </w:rPr>
        <w:t>2730.81</w:t>
      </w:r>
      <w:r>
        <w:rPr>
          <w:rFonts w:hint="eastAsia" w:ascii="仿宋" w:hAnsi="Times New Roman" w:eastAsia="仿宋" w:cs="仿宋"/>
          <w:sz w:val="28"/>
          <w:szCs w:val="30"/>
        </w:rPr>
        <w:t>万元，比上年</w:t>
      </w:r>
      <w:r>
        <w:rPr>
          <w:rFonts w:hint="eastAsia" w:ascii="仿宋" w:hAnsi="仿宋" w:eastAsia="仿宋" w:cs="仿宋"/>
          <w:sz w:val="28"/>
          <w:szCs w:val="30"/>
        </w:rPr>
        <w:t>增加74.89万元</w:t>
      </w:r>
      <w:r>
        <w:rPr>
          <w:rFonts w:hint="eastAsia" w:ascii="仿宋" w:hAnsi="Times New Roman" w:eastAsia="仿宋" w:cs="仿宋"/>
          <w:sz w:val="28"/>
          <w:szCs w:val="30"/>
        </w:rPr>
        <w:t>，</w:t>
      </w:r>
      <w:r>
        <w:rPr>
          <w:rFonts w:hint="eastAsia" w:ascii="仿宋" w:hAnsi="仿宋" w:eastAsia="仿宋" w:cs="仿宋"/>
          <w:sz w:val="28"/>
          <w:szCs w:val="30"/>
        </w:rPr>
        <w:t>增加2.82%</w:t>
      </w:r>
      <w:r>
        <w:rPr>
          <w:rFonts w:hint="eastAsia" w:ascii="仿宋" w:hAnsi="Times New Roman" w:eastAsia="仿宋" w:cs="仿宋"/>
          <w:sz w:val="28"/>
          <w:szCs w:val="30"/>
        </w:rPr>
        <w:t>。</w:t>
      </w:r>
      <w:r>
        <w:rPr>
          <w:rFonts w:hint="eastAsia" w:ascii="仿宋" w:hAnsi="Times New Roman" w:eastAsia="仿宋" w:cs="仿宋"/>
          <w:sz w:val="28"/>
          <w:szCs w:val="30"/>
          <w:lang w:val="zh-CN"/>
        </w:rPr>
        <w:t>变化的主要原因：</w:t>
      </w:r>
      <w:r>
        <w:rPr>
          <w:rFonts w:hint="eastAsia" w:ascii="仿宋" w:hAnsi="仿宋" w:eastAsia="仿宋" w:cs="仿宋"/>
          <w:sz w:val="28"/>
          <w:szCs w:val="30"/>
        </w:rPr>
        <w:t>增加</w:t>
      </w:r>
      <w:r>
        <w:rPr>
          <w:rFonts w:hint="eastAsia" w:ascii="仿宋" w:hAnsi="Times New Roman" w:eastAsia="仿宋" w:cs="仿宋"/>
          <w:sz w:val="28"/>
          <w:szCs w:val="30"/>
        </w:rPr>
        <w:t>一般性支出。</w:t>
      </w:r>
      <w:r>
        <w:rPr>
          <w:rFonts w:hint="eastAsia" w:ascii="仿宋" w:hAnsi="仿宋" w:eastAsia="仿宋" w:cs="仿宋"/>
          <w:sz w:val="28"/>
          <w:szCs w:val="30"/>
        </w:rPr>
        <w:t>其中基本支出2550.81万元,比上年增加245.27万元，增加10.64</w:t>
      </w:r>
      <w:r>
        <w:rPr>
          <w:rFonts w:ascii="仿宋" w:hAnsi="仿宋" w:eastAsia="仿宋" w:cs="仿宋"/>
          <w:sz w:val="28"/>
          <w:szCs w:val="30"/>
        </w:rPr>
        <w:t>%</w:t>
      </w:r>
      <w:r>
        <w:rPr>
          <w:rFonts w:hint="eastAsia" w:ascii="仿宋" w:hAnsi="仿宋" w:eastAsia="仿宋" w:cs="仿宋"/>
          <w:sz w:val="28"/>
          <w:szCs w:val="30"/>
        </w:rPr>
        <w:t>；项目支出180万元,比上年减少170.38万元，减少48.63</w:t>
      </w:r>
      <w:r>
        <w:rPr>
          <w:rFonts w:ascii="仿宋" w:hAnsi="仿宋" w:eastAsia="仿宋" w:cs="仿宋"/>
          <w:sz w:val="28"/>
          <w:szCs w:val="30"/>
        </w:rPr>
        <w:t>%</w:t>
      </w:r>
      <w:r>
        <w:rPr>
          <w:rFonts w:hint="eastAsia" w:ascii="仿宋" w:hAnsi="仿宋" w:eastAsia="仿宋" w:cs="仿宋"/>
          <w:sz w:val="28"/>
          <w:szCs w:val="30"/>
        </w:rPr>
        <w:t>。较2021年预算支出为2655.92万元，减少47.53万元，减少1.79%。减少原因是减少一般性支出（非生产性支出增加）。</w:t>
      </w:r>
      <w:r>
        <w:rPr>
          <w:rFonts w:hint="eastAsia" w:ascii="仿宋" w:hAnsi="Times New Roman" w:eastAsia="仿宋" w:cs="仿宋"/>
          <w:sz w:val="28"/>
          <w:szCs w:val="30"/>
          <w:lang w:val="zh-CN"/>
        </w:rPr>
        <w:t>人员经费</w:t>
      </w:r>
      <w:r>
        <w:rPr>
          <w:rFonts w:hint="eastAsia" w:ascii="仿宋" w:hAnsi="Times New Roman" w:eastAsia="仿宋" w:cs="仿宋"/>
          <w:sz w:val="28"/>
          <w:szCs w:val="30"/>
        </w:rPr>
        <w:t>完成2123.67万元，比上年</w:t>
      </w:r>
      <w:r>
        <w:rPr>
          <w:rFonts w:hint="eastAsia" w:ascii="仿宋" w:hAnsi="仿宋" w:eastAsia="仿宋" w:cs="仿宋"/>
          <w:sz w:val="28"/>
          <w:szCs w:val="30"/>
        </w:rPr>
        <w:t>增加</w:t>
      </w:r>
      <w:r>
        <w:rPr>
          <w:rFonts w:hint="eastAsia" w:ascii="仿宋" w:hAnsi="Times New Roman" w:eastAsia="仿宋" w:cs="仿宋"/>
          <w:sz w:val="28"/>
          <w:szCs w:val="30"/>
        </w:rPr>
        <w:t>369.54万元，</w:t>
      </w:r>
      <w:r>
        <w:rPr>
          <w:rFonts w:hint="eastAsia" w:ascii="仿宋" w:hAnsi="仿宋" w:eastAsia="仿宋" w:cs="仿宋"/>
          <w:sz w:val="28"/>
          <w:szCs w:val="30"/>
        </w:rPr>
        <w:t>增加21.07</w:t>
      </w:r>
      <w:r>
        <w:rPr>
          <w:rFonts w:ascii="仿宋" w:hAnsi="Times New Roman" w:eastAsia="仿宋" w:cs="仿宋"/>
          <w:sz w:val="28"/>
          <w:szCs w:val="30"/>
        </w:rPr>
        <w:t>%</w:t>
      </w:r>
      <w:r>
        <w:rPr>
          <w:rFonts w:hint="eastAsia" w:ascii="仿宋" w:hAnsi="Times New Roman" w:eastAsia="仿宋" w:cs="仿宋"/>
          <w:sz w:val="28"/>
          <w:szCs w:val="30"/>
        </w:rPr>
        <w:t>，</w:t>
      </w:r>
      <w:r>
        <w:rPr>
          <w:rFonts w:hint="eastAsia" w:ascii="仿宋" w:hAnsi="Times New Roman" w:eastAsia="仿宋" w:cs="仿宋"/>
          <w:sz w:val="28"/>
          <w:szCs w:val="30"/>
          <w:lang w:val="zh-CN"/>
        </w:rPr>
        <w:t>变化的主要原因：</w:t>
      </w:r>
      <w:r>
        <w:rPr>
          <w:rFonts w:hint="eastAsia" w:ascii="仿宋" w:hAnsi="Times New Roman" w:eastAsia="仿宋" w:cs="仿宋"/>
          <w:sz w:val="28"/>
          <w:szCs w:val="30"/>
        </w:rPr>
        <w:t>五险一金等福利调</w:t>
      </w:r>
      <w:r>
        <w:rPr>
          <w:rFonts w:hint="eastAsia" w:ascii="仿宋" w:hAnsi="仿宋" w:eastAsia="仿宋" w:cs="仿宋"/>
          <w:sz w:val="28"/>
          <w:szCs w:val="30"/>
        </w:rPr>
        <w:t>增</w:t>
      </w:r>
      <w:r>
        <w:rPr>
          <w:rFonts w:hint="eastAsia" w:ascii="仿宋" w:hAnsi="Times New Roman" w:eastAsia="仿宋" w:cs="仿宋"/>
          <w:sz w:val="28"/>
          <w:szCs w:val="30"/>
        </w:rPr>
        <w:t>；公用</w:t>
      </w:r>
      <w:r>
        <w:rPr>
          <w:rFonts w:hint="eastAsia" w:ascii="仿宋" w:hAnsi="Times New Roman" w:eastAsia="仿宋" w:cs="仿宋"/>
          <w:sz w:val="28"/>
          <w:szCs w:val="30"/>
          <w:lang w:val="zh-CN"/>
        </w:rPr>
        <w:t>经费</w:t>
      </w:r>
      <w:r>
        <w:rPr>
          <w:rFonts w:hint="eastAsia" w:ascii="仿宋" w:hAnsi="Times New Roman" w:eastAsia="仿宋" w:cs="仿宋"/>
          <w:sz w:val="28"/>
          <w:szCs w:val="30"/>
        </w:rPr>
        <w:t>完成427.14万元，比上年减少124.27万元，下降22.54</w:t>
      </w:r>
      <w:r>
        <w:rPr>
          <w:rFonts w:ascii="仿宋" w:hAnsi="Times New Roman" w:eastAsia="仿宋" w:cs="仿宋"/>
          <w:sz w:val="28"/>
          <w:szCs w:val="30"/>
        </w:rPr>
        <w:t>%</w:t>
      </w:r>
      <w:r>
        <w:rPr>
          <w:rFonts w:hint="eastAsia" w:ascii="仿宋" w:hAnsi="Times New Roman" w:eastAsia="仿宋" w:cs="仿宋"/>
          <w:sz w:val="28"/>
          <w:szCs w:val="30"/>
        </w:rPr>
        <w:t>，</w:t>
      </w:r>
      <w:r>
        <w:rPr>
          <w:rFonts w:hint="eastAsia" w:ascii="仿宋" w:hAnsi="Times New Roman" w:eastAsia="仿宋" w:cs="仿宋"/>
          <w:sz w:val="28"/>
          <w:szCs w:val="30"/>
          <w:lang w:val="zh-CN"/>
        </w:rPr>
        <w:t>变化的主要原因：</w:t>
      </w:r>
      <w:r>
        <w:rPr>
          <w:rFonts w:hint="eastAsia" w:ascii="仿宋" w:hAnsi="Times New Roman" w:eastAsia="仿宋" w:cs="仿宋"/>
          <w:sz w:val="28"/>
          <w:szCs w:val="30"/>
        </w:rPr>
        <w:t>一般性支出有所减少。</w:t>
      </w:r>
    </w:p>
    <w:p>
      <w:pPr>
        <w:autoSpaceDE w:val="0"/>
        <w:autoSpaceDN w:val="0"/>
        <w:adjustRightInd w:val="0"/>
        <w:spacing w:line="490" w:lineRule="exact"/>
        <w:ind w:firstLine="640"/>
        <w:rPr>
          <w:rFonts w:ascii="仿宋" w:hAnsi="仿宋" w:eastAsia="仿宋" w:cs="仿宋"/>
          <w:sz w:val="28"/>
          <w:szCs w:val="30"/>
        </w:rPr>
      </w:pPr>
      <w:r>
        <w:rPr>
          <w:rFonts w:ascii="仿宋" w:hAnsi="仿宋" w:eastAsia="仿宋" w:cs="仿宋_GB2312"/>
          <w:bCs/>
          <w:sz w:val="28"/>
          <w:szCs w:val="30"/>
        </w:rPr>
        <w:t xml:space="preserve"> 1</w:t>
      </w:r>
      <w:r>
        <w:rPr>
          <w:rFonts w:hint="eastAsia" w:ascii="仿宋" w:hAnsi="仿宋" w:eastAsia="仿宋" w:cs="仿宋_GB2312"/>
          <w:bCs/>
          <w:sz w:val="28"/>
          <w:szCs w:val="30"/>
        </w:rPr>
        <w:t>．收入支出与预算对比分析</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（1）预、决算差异情况</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无</w:t>
      </w:r>
    </w:p>
    <w:p>
      <w:pPr>
        <w:autoSpaceDE w:val="0"/>
        <w:autoSpaceDN w:val="0"/>
        <w:adjustRightInd w:val="0"/>
        <w:spacing w:line="490" w:lineRule="exact"/>
        <w:ind w:firstLine="640"/>
        <w:rPr>
          <w:rFonts w:ascii="仿宋" w:hAnsi="Times New Roman" w:eastAsia="仿宋" w:cs="仿宋"/>
          <w:sz w:val="28"/>
          <w:szCs w:val="30"/>
        </w:rPr>
      </w:pPr>
      <w:r>
        <w:rPr>
          <w:rFonts w:hint="eastAsia" w:ascii="仿宋" w:hAnsi="Times New Roman" w:eastAsia="仿宋" w:cs="仿宋"/>
          <w:sz w:val="28"/>
          <w:szCs w:val="30"/>
        </w:rPr>
        <w:t>（</w:t>
      </w:r>
      <w:r>
        <w:rPr>
          <w:rFonts w:ascii="仿宋" w:hAnsi="Times New Roman" w:eastAsia="仿宋" w:cs="仿宋"/>
          <w:sz w:val="28"/>
          <w:szCs w:val="30"/>
        </w:rPr>
        <w:t>2</w:t>
      </w:r>
      <w:r>
        <w:rPr>
          <w:rFonts w:hint="eastAsia" w:ascii="仿宋" w:hAnsi="Times New Roman" w:eastAsia="仿宋" w:cs="仿宋"/>
          <w:sz w:val="28"/>
          <w:szCs w:val="30"/>
        </w:rPr>
        <w:t>）差异原因分析</w:t>
      </w:r>
    </w:p>
    <w:tbl>
      <w:tblPr>
        <w:tblStyle w:val="5"/>
        <w:tblW w:w="9776" w:type="dxa"/>
        <w:tblInd w:w="113" w:type="dxa"/>
        <w:tblLayout w:type="fixed"/>
        <w:tblCellMar>
          <w:top w:w="0" w:type="dxa"/>
          <w:left w:w="108" w:type="dxa"/>
          <w:bottom w:w="0" w:type="dxa"/>
          <w:right w:w="108" w:type="dxa"/>
        </w:tblCellMar>
      </w:tblPr>
      <w:tblGrid>
        <w:gridCol w:w="1129"/>
        <w:gridCol w:w="1560"/>
        <w:gridCol w:w="1701"/>
        <w:gridCol w:w="1559"/>
        <w:gridCol w:w="1701"/>
        <w:gridCol w:w="2126"/>
      </w:tblGrid>
      <w:tr>
        <w:tblPrEx>
          <w:tblCellMar>
            <w:top w:w="0" w:type="dxa"/>
            <w:left w:w="108" w:type="dxa"/>
            <w:bottom w:w="0" w:type="dxa"/>
            <w:right w:w="108" w:type="dxa"/>
          </w:tblCellMar>
        </w:tblPrEx>
        <w:trPr>
          <w:trHeight w:val="699" w:hRule="atLeast"/>
        </w:trPr>
        <w:tc>
          <w:tcPr>
            <w:tcW w:w="1129" w:type="dxa"/>
            <w:tcBorders>
              <w:top w:val="single" w:color="auto" w:sz="4" w:space="0"/>
              <w:left w:val="single" w:color="auto" w:sz="4" w:space="0"/>
              <w:bottom w:val="single" w:color="auto"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w:t>
            </w:r>
          </w:p>
        </w:tc>
        <w:tc>
          <w:tcPr>
            <w:tcW w:w="1560"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2021年收入</w:t>
            </w:r>
          </w:p>
        </w:tc>
        <w:tc>
          <w:tcPr>
            <w:tcW w:w="1701"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2022年收入</w:t>
            </w:r>
          </w:p>
        </w:tc>
        <w:tc>
          <w:tcPr>
            <w:tcW w:w="1559"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2021年支出</w:t>
            </w:r>
          </w:p>
        </w:tc>
        <w:tc>
          <w:tcPr>
            <w:tcW w:w="1701"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2022年支出</w:t>
            </w:r>
          </w:p>
        </w:tc>
        <w:tc>
          <w:tcPr>
            <w:tcW w:w="2126"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差异原因</w:t>
            </w:r>
          </w:p>
        </w:tc>
      </w:tr>
      <w:tr>
        <w:tblPrEx>
          <w:tblCellMar>
            <w:top w:w="0" w:type="dxa"/>
            <w:left w:w="108" w:type="dxa"/>
            <w:bottom w:w="0" w:type="dxa"/>
            <w:right w:w="108" w:type="dxa"/>
          </w:tblCellMar>
        </w:tblPrEx>
        <w:trPr>
          <w:trHeight w:val="662" w:hRule="atLeast"/>
        </w:trPr>
        <w:tc>
          <w:tcPr>
            <w:tcW w:w="112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Arial"/>
                <w:color w:val="000000"/>
                <w:sz w:val="22"/>
              </w:rPr>
            </w:pPr>
            <w:r>
              <w:rPr>
                <w:rFonts w:hint="eastAsia" w:ascii="宋体" w:hAnsi="宋体" w:eastAsia="宋体" w:cs="Arial"/>
                <w:color w:val="000000"/>
                <w:kern w:val="0"/>
                <w:sz w:val="22"/>
              </w:rPr>
              <w:t>2101101</w:t>
            </w:r>
          </w:p>
        </w:tc>
        <w:tc>
          <w:tcPr>
            <w:tcW w:w="156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Arial"/>
                <w:color w:val="000000"/>
                <w:kern w:val="0"/>
                <w:sz w:val="22"/>
              </w:rPr>
            </w:pPr>
            <w:r>
              <w:rPr>
                <w:rFonts w:hint="eastAsia" w:ascii="宋体" w:hAnsi="宋体" w:eastAsia="宋体" w:cs="Arial"/>
                <w:color w:val="000000"/>
                <w:kern w:val="0"/>
                <w:sz w:val="22"/>
              </w:rPr>
              <w:t>542,605.32</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Arial"/>
                <w:color w:val="000000"/>
                <w:sz w:val="22"/>
              </w:rPr>
            </w:pPr>
            <w:r>
              <w:rPr>
                <w:rFonts w:hint="eastAsia" w:ascii="宋体" w:hAnsi="宋体" w:eastAsia="宋体" w:cs="Arial"/>
                <w:color w:val="000000"/>
                <w:kern w:val="0"/>
                <w:sz w:val="22"/>
              </w:rPr>
              <w:t>138,175.00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Arial"/>
                <w:color w:val="000000"/>
                <w:kern w:val="0"/>
                <w:sz w:val="22"/>
              </w:rPr>
            </w:pPr>
            <w:r>
              <w:rPr>
                <w:rFonts w:hint="eastAsia" w:ascii="宋体" w:hAnsi="宋体" w:eastAsia="宋体" w:cs="Arial"/>
                <w:color w:val="000000"/>
                <w:kern w:val="0"/>
                <w:sz w:val="22"/>
              </w:rPr>
              <w:t>542,605.32</w:t>
            </w:r>
          </w:p>
        </w:tc>
        <w:tc>
          <w:tcPr>
            <w:tcW w:w="1701" w:type="dxa"/>
            <w:tcBorders>
              <w:top w:val="nil"/>
              <w:left w:val="nil"/>
              <w:bottom w:val="single" w:color="auto" w:sz="4" w:space="0"/>
              <w:right w:val="nil"/>
            </w:tcBorders>
            <w:shd w:val="clear" w:color="auto" w:fill="auto"/>
            <w:noWrap/>
            <w:vAlign w:val="center"/>
          </w:tcPr>
          <w:p>
            <w:pPr>
              <w:jc w:val="center"/>
              <w:rPr>
                <w:rFonts w:ascii="宋体" w:hAnsi="宋体" w:eastAsia="宋体" w:cs="Arial"/>
                <w:color w:val="000000"/>
                <w:kern w:val="0"/>
                <w:sz w:val="22"/>
              </w:rPr>
            </w:pPr>
            <w:r>
              <w:rPr>
                <w:rFonts w:hint="eastAsia" w:ascii="宋体" w:hAnsi="宋体" w:eastAsia="宋体" w:cs="Arial"/>
                <w:color w:val="000000"/>
                <w:kern w:val="0"/>
                <w:sz w:val="22"/>
              </w:rPr>
              <w:t>138,175.00</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医疗项目减少</w:t>
            </w:r>
          </w:p>
        </w:tc>
      </w:tr>
      <w:tr>
        <w:tblPrEx>
          <w:tblCellMar>
            <w:top w:w="0" w:type="dxa"/>
            <w:left w:w="108" w:type="dxa"/>
            <w:bottom w:w="0" w:type="dxa"/>
            <w:right w:w="108" w:type="dxa"/>
          </w:tblCellMar>
        </w:tblPrEx>
        <w:trPr>
          <w:trHeight w:val="742" w:hRule="atLeast"/>
        </w:trPr>
        <w:tc>
          <w:tcPr>
            <w:tcW w:w="11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2130101</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1,912,210.99</w:t>
            </w:r>
          </w:p>
        </w:tc>
        <w:tc>
          <w:tcPr>
            <w:tcW w:w="1701" w:type="dxa"/>
            <w:tcBorders>
              <w:top w:val="nil"/>
              <w:left w:val="nil"/>
              <w:bottom w:val="single" w:color="auto" w:sz="4" w:space="0"/>
              <w:right w:val="single" w:color="auto" w:sz="4" w:space="0"/>
            </w:tcBorders>
            <w:shd w:val="clear" w:color="auto" w:fill="auto"/>
            <w:noWrap/>
            <w:vAlign w:val="center"/>
          </w:tcPr>
          <w:p>
            <w:pPr>
              <w:widowControl/>
              <w:ind w:right="140"/>
              <w:rPr>
                <w:rFonts w:ascii="宋体" w:hAnsi="宋体" w:eastAsia="宋体" w:cs="Arial"/>
                <w:color w:val="000000"/>
                <w:kern w:val="0"/>
                <w:sz w:val="22"/>
              </w:rPr>
            </w:pPr>
            <w:r>
              <w:rPr>
                <w:rFonts w:ascii="宋体" w:hAnsi="宋体" w:eastAsia="宋体" w:cs="Arial"/>
                <w:color w:val="000000"/>
                <w:kern w:val="0"/>
                <w:sz w:val="22"/>
              </w:rPr>
              <w:t>7,442,291.49</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1,912,210.99</w:t>
            </w:r>
          </w:p>
        </w:tc>
        <w:tc>
          <w:tcPr>
            <w:tcW w:w="1701" w:type="dxa"/>
            <w:tcBorders>
              <w:top w:val="nil"/>
              <w:left w:val="nil"/>
              <w:bottom w:val="single" w:color="auto" w:sz="4" w:space="0"/>
              <w:right w:val="nil"/>
            </w:tcBorders>
            <w:shd w:val="clear" w:color="auto" w:fill="auto"/>
            <w:noWrap/>
            <w:vAlign w:val="center"/>
          </w:tcPr>
          <w:p>
            <w:pPr>
              <w:widowControl/>
              <w:rPr>
                <w:rFonts w:ascii="宋体" w:hAnsi="宋体" w:eastAsia="宋体" w:cs="Arial"/>
                <w:color w:val="000000"/>
                <w:kern w:val="0"/>
                <w:sz w:val="22"/>
              </w:rPr>
            </w:pPr>
            <w:r>
              <w:rPr>
                <w:rFonts w:ascii="宋体" w:hAnsi="宋体" w:eastAsia="宋体" w:cs="Arial"/>
                <w:color w:val="000000"/>
                <w:kern w:val="0"/>
                <w:sz w:val="22"/>
              </w:rPr>
              <w:t>7,442,291.49</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一般性支出增加</w:t>
            </w:r>
          </w:p>
        </w:tc>
      </w:tr>
      <w:tr>
        <w:tblPrEx>
          <w:tblCellMar>
            <w:top w:w="0" w:type="dxa"/>
            <w:left w:w="108" w:type="dxa"/>
            <w:bottom w:w="0" w:type="dxa"/>
            <w:right w:w="108" w:type="dxa"/>
          </w:tblCellMar>
        </w:tblPrEx>
        <w:trPr>
          <w:trHeight w:val="663" w:hRule="atLeast"/>
        </w:trPr>
        <w:tc>
          <w:tcPr>
            <w:tcW w:w="11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1,076,913.00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1,086,064.00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1,076,913.00</w:t>
            </w:r>
          </w:p>
        </w:tc>
        <w:tc>
          <w:tcPr>
            <w:tcW w:w="1701" w:type="dxa"/>
            <w:tcBorders>
              <w:top w:val="nil"/>
              <w:left w:val="nil"/>
              <w:bottom w:val="single" w:color="auto" w:sz="4" w:space="0"/>
              <w:right w:val="nil"/>
            </w:tcBorders>
            <w:shd w:val="clear" w:color="auto" w:fill="auto"/>
            <w:noWrap/>
            <w:vAlign w:val="center"/>
          </w:tcPr>
          <w:p>
            <w:pPr>
              <w:widowControl/>
              <w:jc w:val="center"/>
              <w:rPr>
                <w:rFonts w:ascii="宋体" w:hAnsi="宋体" w:eastAsia="宋体" w:cs="Arial"/>
                <w:color w:val="000000"/>
                <w:sz w:val="22"/>
              </w:rPr>
            </w:pPr>
            <w:r>
              <w:rPr>
                <w:rFonts w:hint="eastAsia" w:ascii="宋体" w:hAnsi="宋体" w:eastAsia="宋体" w:cs="Arial"/>
                <w:color w:val="000000"/>
                <w:kern w:val="0"/>
                <w:sz w:val="22"/>
              </w:rPr>
              <w:t>1,086,064.00</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缴费基数略调高</w:t>
            </w:r>
          </w:p>
        </w:tc>
      </w:tr>
      <w:tr>
        <w:tblPrEx>
          <w:tblCellMar>
            <w:top w:w="0" w:type="dxa"/>
            <w:left w:w="108" w:type="dxa"/>
            <w:bottom w:w="0" w:type="dxa"/>
            <w:right w:w="108" w:type="dxa"/>
          </w:tblCellMar>
        </w:tblPrEx>
        <w:trPr>
          <w:trHeight w:val="663" w:hRule="atLeast"/>
        </w:trPr>
        <w:tc>
          <w:tcPr>
            <w:tcW w:w="11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2130705</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2"/>
              </w:rPr>
            </w:pPr>
          </w:p>
          <w:p>
            <w:pPr>
              <w:widowControl/>
              <w:rPr>
                <w:rFonts w:ascii="宋体" w:hAnsi="宋体" w:eastAsia="宋体" w:cs="Arial"/>
                <w:color w:val="000000"/>
                <w:kern w:val="0"/>
                <w:sz w:val="22"/>
              </w:rPr>
            </w:pPr>
            <w:r>
              <w:rPr>
                <w:rFonts w:hint="eastAsia" w:ascii="宋体" w:hAnsi="宋体" w:eastAsia="宋体" w:cs="Arial"/>
                <w:color w:val="000000"/>
                <w:kern w:val="0"/>
                <w:sz w:val="22"/>
              </w:rPr>
              <w:t>5,832,130.00</w:t>
            </w:r>
          </w:p>
          <w:p>
            <w:pPr>
              <w:widowControl/>
              <w:jc w:val="center"/>
              <w:rPr>
                <w:rFonts w:ascii="宋体" w:hAnsi="宋体" w:eastAsia="宋体" w:cs="Arial"/>
                <w:color w:val="000000"/>
                <w:kern w:val="0"/>
                <w:sz w:val="22"/>
              </w:rPr>
            </w:pPr>
          </w:p>
        </w:tc>
        <w:tc>
          <w:tcPr>
            <w:tcW w:w="1701" w:type="dxa"/>
            <w:tcBorders>
              <w:top w:val="nil"/>
              <w:left w:val="nil"/>
              <w:bottom w:val="single" w:color="000000" w:sz="8" w:space="0"/>
              <w:right w:val="single" w:color="000000" w:sz="4" w:space="0"/>
            </w:tcBorders>
            <w:shd w:val="clear" w:color="auto" w:fill="auto"/>
            <w:noWrap/>
            <w:vAlign w:val="center"/>
          </w:tcPr>
          <w:p>
            <w:pPr>
              <w:jc w:val="center"/>
              <w:rPr>
                <w:rFonts w:ascii="宋体" w:hAnsi="宋体" w:eastAsia="宋体" w:cs="Arial"/>
                <w:color w:val="000000"/>
                <w:kern w:val="0"/>
                <w:sz w:val="22"/>
              </w:rPr>
            </w:pPr>
            <w:r>
              <w:rPr>
                <w:rFonts w:ascii="宋体" w:hAnsi="宋体" w:eastAsia="宋体" w:cs="Arial"/>
                <w:color w:val="000000"/>
                <w:kern w:val="0"/>
                <w:sz w:val="22"/>
              </w:rPr>
              <w:t>4,895,642.00</w:t>
            </w:r>
          </w:p>
        </w:tc>
        <w:tc>
          <w:tcPr>
            <w:tcW w:w="1559" w:type="dxa"/>
            <w:tcBorders>
              <w:top w:val="nil"/>
              <w:left w:val="nil"/>
              <w:bottom w:val="single" w:color="000000" w:sz="8" w:space="0"/>
              <w:right w:val="single" w:color="000000" w:sz="4" w:space="0"/>
            </w:tcBorders>
            <w:shd w:val="clear" w:color="auto" w:fill="auto"/>
            <w:noWrap/>
            <w:vAlign w:val="center"/>
          </w:tcPr>
          <w:p>
            <w:pPr>
              <w:widowControl/>
              <w:rPr>
                <w:rFonts w:ascii="宋体" w:hAnsi="宋体" w:eastAsia="宋体" w:cs="Arial"/>
                <w:color w:val="000000"/>
                <w:kern w:val="0"/>
                <w:sz w:val="22"/>
              </w:rPr>
            </w:pPr>
            <w:r>
              <w:rPr>
                <w:rFonts w:hint="eastAsia" w:ascii="宋体" w:hAnsi="宋体" w:eastAsia="宋体" w:cs="Arial"/>
                <w:color w:val="000000"/>
                <w:kern w:val="0"/>
                <w:sz w:val="22"/>
              </w:rPr>
              <w:t>5,832,130.00</w:t>
            </w:r>
          </w:p>
        </w:tc>
        <w:tc>
          <w:tcPr>
            <w:tcW w:w="1701" w:type="dxa"/>
            <w:tcBorders>
              <w:top w:val="nil"/>
              <w:left w:val="nil"/>
              <w:bottom w:val="single" w:color="000000" w:sz="8" w:space="0"/>
              <w:right w:val="nil"/>
            </w:tcBorders>
            <w:shd w:val="clear" w:color="auto" w:fill="auto"/>
            <w:noWrap/>
            <w:vAlign w:val="center"/>
          </w:tcPr>
          <w:p>
            <w:pPr>
              <w:widowControl/>
              <w:rPr>
                <w:rFonts w:ascii="宋体" w:hAnsi="宋体" w:eastAsia="宋体" w:cs="Arial"/>
                <w:color w:val="000000"/>
                <w:kern w:val="0"/>
                <w:sz w:val="22"/>
              </w:rPr>
            </w:pPr>
            <w:r>
              <w:rPr>
                <w:rFonts w:ascii="宋体" w:hAnsi="宋体" w:eastAsia="宋体" w:cs="Arial"/>
                <w:color w:val="000000"/>
                <w:kern w:val="0"/>
                <w:sz w:val="22"/>
              </w:rPr>
              <w:t>4,895,642.00</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2"/>
              </w:rPr>
              <w:t>村干部工资待遇调低</w:t>
            </w:r>
          </w:p>
        </w:tc>
      </w:tr>
    </w:tbl>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2．收入支出结构分析</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全年决算收入2730.81</w:t>
      </w:r>
      <w:r>
        <w:rPr>
          <w:rFonts w:hint="eastAsia" w:ascii="仿宋" w:hAnsi="Times New Roman" w:eastAsia="仿宋" w:cs="仿宋"/>
          <w:sz w:val="28"/>
          <w:szCs w:val="30"/>
        </w:rPr>
        <w:t>万元</w:t>
      </w:r>
      <w:r>
        <w:rPr>
          <w:rFonts w:hint="eastAsia" w:ascii="仿宋" w:hAnsi="仿宋" w:eastAsia="仿宋" w:cs="仿宋"/>
          <w:sz w:val="28"/>
          <w:szCs w:val="30"/>
        </w:rPr>
        <w:t>，一般公共预算财政拨款收入</w:t>
      </w:r>
      <w:r>
        <w:rPr>
          <w:rFonts w:hint="eastAsia" w:ascii="仿宋" w:hAnsi="Times New Roman" w:eastAsia="仿宋" w:cs="仿宋"/>
          <w:sz w:val="28"/>
          <w:szCs w:val="30"/>
        </w:rPr>
        <w:t>2593.69万元</w:t>
      </w:r>
      <w:r>
        <w:rPr>
          <w:rFonts w:hint="eastAsia" w:ascii="仿宋" w:hAnsi="仿宋" w:eastAsia="仿宋" w:cs="仿宋"/>
          <w:sz w:val="28"/>
          <w:szCs w:val="30"/>
        </w:rPr>
        <w:t>，占收入的94.98%；政府性基金预算财政拨款收入14.70万元，占收入的0.54%；其他收入122.42万元，占比4.48%。</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（1）“三公”经费支出情况：</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（1）“三公”经费支出情况：</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2022年“三公”决算支出为6万元，全部为公务接待支出。2021年支出为1.62万元，2022年较2021年支出增加4.38万元，增长幅度为271.29%，增加的主要原因是公务接待次数增加，从而导致</w:t>
      </w:r>
      <w:r>
        <w:rPr>
          <w:rFonts w:ascii="仿宋" w:hAnsi="仿宋" w:eastAsia="仿宋" w:cs="仿宋"/>
          <w:sz w:val="28"/>
          <w:szCs w:val="30"/>
        </w:rPr>
        <w:t>“</w:t>
      </w:r>
      <w:r>
        <w:rPr>
          <w:rFonts w:hint="eastAsia" w:ascii="仿宋" w:hAnsi="仿宋" w:eastAsia="仿宋" w:cs="仿宋"/>
          <w:sz w:val="28"/>
          <w:szCs w:val="30"/>
        </w:rPr>
        <w:t>三公</w:t>
      </w:r>
      <w:r>
        <w:rPr>
          <w:rFonts w:ascii="仿宋" w:hAnsi="仿宋" w:eastAsia="仿宋" w:cs="仿宋"/>
          <w:sz w:val="28"/>
          <w:szCs w:val="30"/>
        </w:rPr>
        <w:t>”</w:t>
      </w:r>
      <w:r>
        <w:rPr>
          <w:rFonts w:hint="eastAsia" w:ascii="仿宋" w:hAnsi="仿宋" w:eastAsia="仿宋" w:cs="仿宋"/>
          <w:sz w:val="28"/>
          <w:szCs w:val="30"/>
        </w:rPr>
        <w:t>经费也相应增加。</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2022年公务接待费6万元，其中国内接待费6万元，占100%。国内公务接待批次200次，接待人数2000人，人均支出30元。</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（2）会议费支出12.72万元。</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（3）培训费支出4.99万元。</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（4）其他对单位影响较大的支出情况</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无。</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（5）重点经济分类支出中存在的问题及改进措施</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无。</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3.财政拨款收入、支出分析</w:t>
      </w:r>
    </w:p>
    <w:p>
      <w:pPr>
        <w:autoSpaceDE w:val="0"/>
        <w:autoSpaceDN w:val="0"/>
        <w:adjustRightInd w:val="0"/>
        <w:spacing w:line="490" w:lineRule="exact"/>
        <w:ind w:firstLine="640"/>
        <w:rPr>
          <w:rFonts w:ascii="仿宋" w:hAnsi="仿宋" w:eastAsia="仿宋" w:cs="仿宋"/>
          <w:sz w:val="28"/>
          <w:szCs w:val="30"/>
        </w:rPr>
      </w:pPr>
      <w:r>
        <w:rPr>
          <w:rFonts w:hint="eastAsia" w:ascii="仿宋" w:hAnsi="仿宋" w:eastAsia="仿宋" w:cs="仿宋"/>
          <w:sz w:val="28"/>
          <w:szCs w:val="30"/>
        </w:rPr>
        <w:t>2022年财政拨款收入2608.39万元，其中一般公共预算财政拨款收入</w:t>
      </w:r>
      <w:r>
        <w:rPr>
          <w:rFonts w:hint="eastAsia" w:ascii="仿宋" w:hAnsi="Times New Roman" w:eastAsia="仿宋" w:cs="仿宋"/>
          <w:sz w:val="28"/>
          <w:szCs w:val="30"/>
        </w:rPr>
        <w:t>2593.69万元</w:t>
      </w:r>
      <w:r>
        <w:rPr>
          <w:rFonts w:hint="eastAsia" w:ascii="仿宋" w:hAnsi="仿宋" w:eastAsia="仿宋" w:cs="仿宋"/>
          <w:sz w:val="28"/>
          <w:szCs w:val="30"/>
        </w:rPr>
        <w:t>，占收入的99.43%；政府性基金预算财政拨款收入14.70万元，占收入的0.57%。</w:t>
      </w:r>
    </w:p>
    <w:p>
      <w:pPr>
        <w:spacing w:line="490" w:lineRule="exact"/>
        <w:ind w:firstLine="560" w:firstLineChars="200"/>
        <w:rPr>
          <w:rFonts w:ascii="仿宋" w:hAnsi="仿宋" w:eastAsia="仿宋" w:cs="仿宋"/>
          <w:sz w:val="28"/>
          <w:szCs w:val="30"/>
        </w:rPr>
      </w:pPr>
      <w:r>
        <w:rPr>
          <w:rFonts w:hint="eastAsia" w:ascii="仿宋" w:hAnsi="仿宋" w:eastAsia="仿宋" w:cs="仿宋"/>
          <w:sz w:val="28"/>
          <w:szCs w:val="30"/>
        </w:rPr>
        <w:t>2022年财政拨款支出为2608.39万元，其中基本支出2428.39万元,比上年增加122.84万元，增加5.33</w:t>
      </w:r>
      <w:r>
        <w:rPr>
          <w:rFonts w:ascii="仿宋" w:hAnsi="仿宋" w:eastAsia="仿宋" w:cs="仿宋"/>
          <w:sz w:val="28"/>
          <w:szCs w:val="30"/>
        </w:rPr>
        <w:t>%</w:t>
      </w:r>
      <w:r>
        <w:rPr>
          <w:rFonts w:hint="eastAsia" w:ascii="仿宋" w:hAnsi="仿宋" w:eastAsia="仿宋" w:cs="仿宋"/>
          <w:sz w:val="28"/>
          <w:szCs w:val="30"/>
        </w:rPr>
        <w:t>；项目支出180万元,比上年减少170.38万元，减少48.63</w:t>
      </w:r>
      <w:r>
        <w:rPr>
          <w:rFonts w:ascii="仿宋" w:hAnsi="仿宋" w:eastAsia="仿宋" w:cs="仿宋"/>
          <w:sz w:val="28"/>
          <w:szCs w:val="30"/>
        </w:rPr>
        <w:t>%</w:t>
      </w:r>
      <w:r>
        <w:rPr>
          <w:rFonts w:hint="eastAsia" w:ascii="仿宋" w:hAnsi="仿宋" w:eastAsia="仿宋" w:cs="仿宋"/>
          <w:sz w:val="28"/>
          <w:szCs w:val="30"/>
        </w:rPr>
        <w:t>。较2021年预算支出为2655.92万元，减少47.53万元，减少1.79%。减少原因是减少一般性支出（非生产性支出增加）。</w:t>
      </w:r>
    </w:p>
    <w:p>
      <w:pPr>
        <w:spacing w:line="490" w:lineRule="exact"/>
        <w:ind w:firstLine="560" w:firstLineChars="200"/>
        <w:rPr>
          <w:rFonts w:ascii="仿宋" w:hAnsi="仿宋" w:eastAsia="仿宋" w:cs="仿宋"/>
          <w:color w:val="000000" w:themeColor="text1"/>
          <w:sz w:val="28"/>
          <w:szCs w:val="30"/>
        </w:rPr>
      </w:pPr>
      <w:r>
        <w:rPr>
          <w:rFonts w:hint="eastAsia" w:ascii="仿宋" w:hAnsi="仿宋" w:eastAsia="仿宋" w:cs="仿宋"/>
          <w:color w:val="000000" w:themeColor="text1"/>
          <w:sz w:val="28"/>
          <w:szCs w:val="30"/>
        </w:rPr>
        <w:t>（三）年末结转和结余情况</w:t>
      </w:r>
    </w:p>
    <w:p>
      <w:pPr>
        <w:autoSpaceDE w:val="0"/>
        <w:autoSpaceDN w:val="0"/>
        <w:adjustRightInd w:val="0"/>
        <w:spacing w:line="490" w:lineRule="exact"/>
        <w:ind w:firstLine="643"/>
        <w:rPr>
          <w:rFonts w:ascii="仿宋" w:hAnsi="Times New Roman" w:eastAsia="仿宋" w:cs="仿宋"/>
          <w:sz w:val="28"/>
          <w:szCs w:val="30"/>
        </w:rPr>
      </w:pPr>
      <w:r>
        <w:rPr>
          <w:rFonts w:ascii="仿宋" w:hAnsi="Times New Roman" w:eastAsia="仿宋" w:cs="仿宋"/>
          <w:sz w:val="28"/>
          <w:szCs w:val="30"/>
        </w:rPr>
        <w:t>20</w:t>
      </w:r>
      <w:r>
        <w:rPr>
          <w:rFonts w:hint="eastAsia" w:ascii="仿宋" w:hAnsi="Times New Roman" w:eastAsia="仿宋" w:cs="仿宋"/>
          <w:sz w:val="28"/>
          <w:szCs w:val="30"/>
        </w:rPr>
        <w:t>22年，本单位年末结转和结余资金0万元</w:t>
      </w:r>
      <w:r>
        <w:rPr>
          <w:rFonts w:hint="eastAsia" w:ascii="仿宋" w:hAnsi="Times New Roman" w:eastAsia="仿宋" w:cs="仿宋"/>
          <w:sz w:val="28"/>
          <w:szCs w:val="30"/>
          <w:lang w:val="zh-CN"/>
        </w:rPr>
        <w:t>。</w:t>
      </w:r>
    </w:p>
    <w:p>
      <w:pPr>
        <w:spacing w:line="490" w:lineRule="exact"/>
        <w:ind w:firstLine="560" w:firstLineChars="200"/>
        <w:rPr>
          <w:rFonts w:ascii="仿宋" w:hAnsi="仿宋" w:eastAsia="仿宋" w:cs="仿宋"/>
          <w:color w:val="000000" w:themeColor="text1"/>
          <w:sz w:val="28"/>
          <w:szCs w:val="30"/>
        </w:rPr>
      </w:pPr>
      <w:r>
        <w:rPr>
          <w:rFonts w:hint="eastAsia" w:ascii="仿宋" w:hAnsi="仿宋" w:eastAsia="仿宋" w:cs="仿宋"/>
          <w:color w:val="000000" w:themeColor="text1"/>
          <w:sz w:val="28"/>
          <w:szCs w:val="30"/>
        </w:rPr>
        <w:t>（四）当年预算执行中存在问题、原因及改进措施</w:t>
      </w:r>
    </w:p>
    <w:p>
      <w:pPr>
        <w:spacing w:line="490" w:lineRule="exact"/>
        <w:ind w:firstLine="560" w:firstLineChars="200"/>
        <w:rPr>
          <w:rFonts w:ascii="仿宋" w:hAnsi="仿宋" w:eastAsia="仿宋" w:cs="仿宋"/>
          <w:color w:val="000000" w:themeColor="text1"/>
          <w:sz w:val="28"/>
          <w:szCs w:val="30"/>
        </w:rPr>
      </w:pPr>
      <w:r>
        <w:rPr>
          <w:rFonts w:hint="eastAsia" w:ascii="仿宋" w:hAnsi="仿宋" w:eastAsia="仿宋" w:cs="仿宋"/>
          <w:color w:val="000000" w:themeColor="text1"/>
          <w:sz w:val="28"/>
          <w:szCs w:val="30"/>
        </w:rPr>
        <w:t>存在问题：年初预算中项目建设计划不细致、不充分、不全面，致使预算执行过程中资金不足，个别项目没有正常开展。</w:t>
      </w:r>
    </w:p>
    <w:p>
      <w:pPr>
        <w:spacing w:line="490" w:lineRule="exact"/>
        <w:ind w:firstLine="560" w:firstLineChars="200"/>
        <w:rPr>
          <w:rFonts w:ascii="仿宋" w:hAnsi="仿宋" w:eastAsia="仿宋" w:cs="仿宋"/>
          <w:color w:val="000000" w:themeColor="text1"/>
          <w:sz w:val="28"/>
          <w:szCs w:val="30"/>
        </w:rPr>
      </w:pPr>
      <w:r>
        <w:rPr>
          <w:rFonts w:hint="eastAsia" w:ascii="仿宋" w:hAnsi="仿宋" w:eastAsia="仿宋" w:cs="仿宋"/>
          <w:color w:val="000000" w:themeColor="text1"/>
          <w:sz w:val="28"/>
          <w:szCs w:val="30"/>
        </w:rPr>
        <w:t>主要原因：预算编制过程中财务与各职能站办所沟通配合不足，缺乏科学、系统的讨论、研究。</w:t>
      </w:r>
    </w:p>
    <w:p>
      <w:pPr>
        <w:spacing w:line="490" w:lineRule="exact"/>
        <w:ind w:firstLine="560" w:firstLineChars="200"/>
        <w:rPr>
          <w:rFonts w:ascii="仿宋" w:hAnsi="仿宋" w:eastAsia="仿宋" w:cs="仿宋"/>
          <w:color w:val="000000" w:themeColor="text1"/>
          <w:sz w:val="28"/>
          <w:szCs w:val="30"/>
        </w:rPr>
      </w:pPr>
      <w:r>
        <w:rPr>
          <w:rFonts w:hint="eastAsia" w:ascii="仿宋" w:hAnsi="仿宋" w:eastAsia="仿宋" w:cs="仿宋"/>
          <w:color w:val="000000" w:themeColor="text1"/>
          <w:sz w:val="28"/>
          <w:szCs w:val="30"/>
        </w:rPr>
        <w:t>改进措施：全面加强预算编制的学习，组织各职能站办所和财政所积极对接，大力完善预算编制工作。</w:t>
      </w:r>
      <w:bookmarkStart w:id="1" w:name="YS060103"/>
      <w:bookmarkEnd w:id="1"/>
      <w:bookmarkStart w:id="2" w:name="YS060104"/>
      <w:bookmarkEnd w:id="2"/>
    </w:p>
    <w:p>
      <w:pPr>
        <w:pStyle w:val="9"/>
        <w:rPr>
          <w:rFonts w:asciiTheme="minorEastAsia" w:hAnsiTheme="minorEastAsia" w:eastAsiaTheme="minorEastAsia"/>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jc w:val="center"/>
        <w:rPr>
          <w:rFonts w:ascii="黑体" w:eastAsia="黑体" w:cs="黑体"/>
          <w:color w:val="000000"/>
          <w:kern w:val="0"/>
          <w:sz w:val="70"/>
          <w:szCs w:val="70"/>
        </w:rPr>
      </w:pPr>
    </w:p>
    <w:p>
      <w:pPr>
        <w:widowControl/>
        <w:jc w:val="center"/>
        <w:rPr>
          <w:rFonts w:ascii="黑体" w:eastAsia="黑体" w:cs="黑体"/>
          <w:color w:val="000000"/>
          <w:kern w:val="0"/>
          <w:sz w:val="70"/>
          <w:szCs w:val="70"/>
        </w:rPr>
      </w:pPr>
      <w:r>
        <w:rPr>
          <w:rFonts w:ascii="黑体" w:eastAsia="黑体" w:cs="黑体"/>
          <w:color w:val="000000"/>
          <w:kern w:val="0"/>
          <w:sz w:val="70"/>
          <w:szCs w:val="70"/>
        </w:rPr>
        <w:br w:type="page"/>
      </w:r>
    </w:p>
    <w:p>
      <w:pPr>
        <w:widowControl/>
        <w:jc w:val="center"/>
        <w:rPr>
          <w:rFonts w:ascii="黑体" w:eastAsia="黑体" w:cs="黑体"/>
          <w:color w:val="000000"/>
          <w:kern w:val="0"/>
          <w:sz w:val="70"/>
          <w:szCs w:val="70"/>
        </w:rPr>
      </w:pPr>
    </w:p>
    <w:p>
      <w:pPr>
        <w:widowControl/>
        <w:jc w:val="center"/>
        <w:rPr>
          <w:rFonts w:ascii="黑体" w:eastAsia="黑体" w:cs="黑体"/>
          <w:color w:val="000000"/>
          <w:kern w:val="0"/>
          <w:sz w:val="70"/>
          <w:szCs w:val="70"/>
        </w:rPr>
      </w:pPr>
    </w:p>
    <w:p>
      <w:pPr>
        <w:widowControl/>
        <w:jc w:val="center"/>
        <w:rPr>
          <w:rFonts w:ascii="黑体" w:eastAsia="黑体" w:cs="黑体"/>
          <w:color w:val="000000"/>
          <w:kern w:val="0"/>
          <w:sz w:val="70"/>
          <w:szCs w:val="70"/>
        </w:rPr>
      </w:pPr>
    </w:p>
    <w:p>
      <w:pPr>
        <w:widowControl/>
        <w:jc w:val="center"/>
        <w:rPr>
          <w:rFonts w:ascii="黑体" w:eastAsia="黑体" w:cs="黑体"/>
          <w:color w:val="000000"/>
          <w:kern w:val="0"/>
          <w:sz w:val="70"/>
          <w:szCs w:val="70"/>
        </w:rPr>
      </w:pPr>
    </w:p>
    <w:p>
      <w:pPr>
        <w:widowControl/>
        <w:jc w:val="center"/>
        <w:rPr>
          <w:rFonts w:ascii="黑体" w:eastAsia="黑体" w:cs="黑体"/>
          <w:color w:val="000000"/>
          <w:kern w:val="0"/>
          <w:sz w:val="70"/>
          <w:szCs w:val="70"/>
        </w:rPr>
      </w:pPr>
    </w:p>
    <w:p>
      <w:pPr>
        <w:widowControl/>
        <w:jc w:val="center"/>
        <w:rPr>
          <w:rFonts w:ascii="黑体" w:eastAsia="黑体" w:cs="黑体"/>
          <w:color w:val="000000"/>
          <w:kern w:val="0"/>
          <w:sz w:val="70"/>
          <w:szCs w:val="70"/>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adjustRightInd w:val="0"/>
        <w:snapToGrid w:val="0"/>
        <w:spacing w:line="440" w:lineRule="exact"/>
        <w:ind w:firstLine="880" w:firstLineChars="200"/>
        <w:jc w:val="center"/>
        <w:rPr>
          <w:rFonts w:ascii="黑体" w:hAnsi="黑体" w:eastAsia="黑体"/>
          <w:sz w:val="44"/>
          <w:szCs w:val="44"/>
        </w:rPr>
      </w:pPr>
      <w:r>
        <w:rPr>
          <w:rFonts w:hint="eastAsia" w:ascii="黑体" w:hAnsi="黑体" w:eastAsia="黑体"/>
          <w:sz w:val="44"/>
          <w:szCs w:val="44"/>
        </w:rPr>
        <w:t>虞唐镇2022年部门整体支出绩效</w:t>
      </w:r>
    </w:p>
    <w:p>
      <w:pPr>
        <w:adjustRightInd w:val="0"/>
        <w:snapToGrid w:val="0"/>
        <w:spacing w:line="440" w:lineRule="exact"/>
        <w:ind w:firstLine="880" w:firstLineChars="200"/>
        <w:jc w:val="center"/>
        <w:rPr>
          <w:rFonts w:ascii="黑体" w:hAnsi="黑体" w:eastAsia="黑体"/>
          <w:sz w:val="44"/>
          <w:szCs w:val="44"/>
        </w:rPr>
      </w:pPr>
      <w:r>
        <w:rPr>
          <w:rFonts w:hint="eastAsia" w:ascii="黑体" w:hAnsi="黑体" w:eastAsia="黑体"/>
          <w:sz w:val="44"/>
          <w:szCs w:val="44"/>
        </w:rPr>
        <w:t>自评报告</w:t>
      </w:r>
    </w:p>
    <w:p>
      <w:pPr>
        <w:adjustRightInd w:val="0"/>
        <w:snapToGrid w:val="0"/>
        <w:spacing w:line="440" w:lineRule="exact"/>
        <w:ind w:firstLine="640" w:firstLineChars="200"/>
        <w:rPr>
          <w:color w:val="FF0000"/>
          <w:sz w:val="32"/>
          <w:szCs w:val="32"/>
        </w:rPr>
      </w:pPr>
    </w:p>
    <w:p>
      <w:pPr>
        <w:adjustRightInd w:val="0"/>
        <w:snapToGrid w:val="0"/>
        <w:spacing w:line="500" w:lineRule="exact"/>
        <w:ind w:firstLine="640" w:firstLineChars="200"/>
        <w:rPr>
          <w:sz w:val="32"/>
          <w:szCs w:val="32"/>
        </w:rPr>
      </w:pPr>
      <w:r>
        <w:rPr>
          <w:rFonts w:hint="eastAsia"/>
          <w:sz w:val="32"/>
          <w:szCs w:val="32"/>
        </w:rPr>
        <w:t>根据上级文件要求，结合我镇财政工作和预算绩效管理实际情况，现将虞唐镇2022年度部门整体支出情况报告如下：</w:t>
      </w:r>
    </w:p>
    <w:p>
      <w:pPr>
        <w:adjustRightInd w:val="0"/>
        <w:snapToGrid w:val="0"/>
        <w:spacing w:line="500" w:lineRule="exact"/>
        <w:ind w:firstLine="640" w:firstLineChars="200"/>
        <w:rPr>
          <w:sz w:val="32"/>
          <w:szCs w:val="32"/>
        </w:rPr>
      </w:pPr>
      <w:r>
        <w:rPr>
          <w:rFonts w:hint="eastAsia"/>
          <w:b/>
          <w:sz w:val="32"/>
          <w:szCs w:val="32"/>
        </w:rPr>
        <w:t>一、单位基本情况</w:t>
      </w:r>
      <w:r>
        <w:rPr>
          <w:rFonts w:hint="eastAsia"/>
          <w:sz w:val="32"/>
          <w:szCs w:val="32"/>
        </w:rPr>
        <w:t>：</w:t>
      </w:r>
    </w:p>
    <w:p>
      <w:pPr>
        <w:adjustRightInd w:val="0"/>
        <w:snapToGrid w:val="0"/>
        <w:spacing w:line="500" w:lineRule="exact"/>
        <w:ind w:firstLine="640" w:firstLineChars="200"/>
        <w:rPr>
          <w:sz w:val="32"/>
          <w:szCs w:val="32"/>
        </w:rPr>
      </w:pPr>
      <w:r>
        <w:rPr>
          <w:rFonts w:hint="eastAsia"/>
          <w:sz w:val="32"/>
          <w:szCs w:val="32"/>
        </w:rPr>
        <w:t>虞唐镇人民政府位于湖南省湘乡市西南方，下辖14个行政村，1个社区，11个行政事业机构。至2022年12月末，虞唐镇共有编制101人，在职123人，其中行政人员33人，参公事业人员8人，非参公事业人员82人，离退休人员51人，遗属25人。</w:t>
      </w:r>
      <w:r>
        <w:rPr>
          <w:sz w:val="32"/>
          <w:szCs w:val="32"/>
        </w:rPr>
        <w:t xml:space="preserve"> </w:t>
      </w:r>
    </w:p>
    <w:p>
      <w:pPr>
        <w:adjustRightInd w:val="0"/>
        <w:snapToGrid w:val="0"/>
        <w:spacing w:line="500" w:lineRule="exact"/>
        <w:ind w:firstLine="640" w:firstLineChars="200"/>
        <w:rPr>
          <w:sz w:val="32"/>
          <w:szCs w:val="32"/>
        </w:rPr>
      </w:pPr>
      <w:r>
        <w:rPr>
          <w:rFonts w:hint="eastAsia"/>
          <w:sz w:val="32"/>
          <w:szCs w:val="32"/>
        </w:rPr>
        <w:t>虞唐镇镇政府的主要职能如下：一、制定完善本区域发展规划，组织各业生产，推动各业有序良好发展。执行本行政区域内的经济和社会发展计划、预算，管理本行政区域内的经济、教育、科学、文化、卫生、交通、水利、环境保护、招商引资、林业、就业、精准扶贫、体育事业、财政、民政、安全、司法行政、计划生育等行政工作。二、负责本区域内各项公益事业综合性工作，保护合法经济活动，维护社会稳定，提高社会综合治理水平。三、加快乡村基础设施建设，落实各项惠民政策，确保居民增产增收，优化人居环境，加强思想文化建设，加大对各项自然资源的保护力度。四、完成上级交办的其他工作。</w:t>
      </w:r>
    </w:p>
    <w:p>
      <w:pPr>
        <w:autoSpaceDE w:val="0"/>
        <w:autoSpaceDN w:val="0"/>
        <w:adjustRightInd w:val="0"/>
        <w:snapToGrid w:val="0"/>
        <w:spacing w:line="500" w:lineRule="exact"/>
        <w:ind w:firstLine="640" w:firstLineChars="200"/>
        <w:rPr>
          <w:sz w:val="32"/>
          <w:szCs w:val="32"/>
        </w:rPr>
      </w:pPr>
      <w:r>
        <w:rPr>
          <w:rFonts w:hint="eastAsia"/>
          <w:sz w:val="32"/>
          <w:szCs w:val="32"/>
        </w:rPr>
        <w:t>2022年重点工作如下：大力开展招商引资，稳步推进重点项目，推进醴娄高速征收工作和污水处理厂建设，道路铺沥青工程、巩固拓展脱贫攻坚成果同乡村振兴有效衔接，危房改造、厕所革命、水利加固防险工程、疫情防控、综治维稳、安全生产、社会保障、环境卫生整治等。</w:t>
      </w:r>
    </w:p>
    <w:p>
      <w:pPr>
        <w:adjustRightInd w:val="0"/>
        <w:snapToGrid w:val="0"/>
        <w:spacing w:line="480" w:lineRule="exact"/>
        <w:ind w:firstLine="640" w:firstLineChars="200"/>
        <w:rPr>
          <w:b/>
          <w:sz w:val="32"/>
          <w:szCs w:val="32"/>
        </w:rPr>
      </w:pPr>
      <w:r>
        <w:rPr>
          <w:rFonts w:hint="eastAsia"/>
          <w:b/>
          <w:sz w:val="32"/>
          <w:szCs w:val="32"/>
        </w:rPr>
        <w:t>二、部门整体支出管理及使用情况</w:t>
      </w:r>
    </w:p>
    <w:p>
      <w:pPr>
        <w:pStyle w:val="12"/>
        <w:spacing w:line="500" w:lineRule="exact"/>
        <w:ind w:firstLine="640" w:firstLineChars="200"/>
        <w:rPr>
          <w:snapToGrid w:val="0"/>
          <w:sz w:val="32"/>
          <w:szCs w:val="32"/>
        </w:rPr>
      </w:pPr>
      <w:r>
        <w:rPr>
          <w:rFonts w:hint="eastAsia"/>
          <w:snapToGrid w:val="0"/>
          <w:sz w:val="32"/>
          <w:szCs w:val="32"/>
        </w:rPr>
        <w:t>2022年，面临经济发展新常态，经济下行压力持续增大，财政增收面临前所未有的艰难局面，全镇上下抢抓机遇，勇于担当的精神，主动应对逆势而上。</w:t>
      </w:r>
      <w:bookmarkStart w:id="3" w:name="_Toc60821203"/>
      <w:bookmarkStart w:id="4" w:name="_Toc60821254"/>
      <w:bookmarkStart w:id="5" w:name="_Toc60821808"/>
    </w:p>
    <w:p>
      <w:pPr>
        <w:pStyle w:val="12"/>
        <w:spacing w:line="500" w:lineRule="exact"/>
        <w:ind w:firstLine="640" w:firstLineChars="200"/>
        <w:rPr>
          <w:snapToGrid w:val="0"/>
          <w:sz w:val="32"/>
          <w:szCs w:val="32"/>
        </w:rPr>
      </w:pPr>
      <w:r>
        <w:rPr>
          <w:rFonts w:hint="eastAsia"/>
          <w:snapToGrid w:val="0"/>
          <w:sz w:val="32"/>
          <w:szCs w:val="32"/>
        </w:rPr>
        <w:t>2022年，我镇财政总收入3388.2万元，完成年初预算3250万元的104.25%。其中：一般预算收入中全口径税收收入1371万元，其中目录收入入库789万元，总部经济入库582万元，地方总收入542万元，完成年初目标任务450万元的120.37%；非税收入19.62万元，完成年初预算的98.1%；财政补助收入2826.58万元。另非税收入财政户专归集代管资金1225.86万元，村级项目资金专户归集项目资金1148.48万元。</w:t>
      </w:r>
    </w:p>
    <w:p>
      <w:pPr>
        <w:pStyle w:val="12"/>
        <w:spacing w:line="500" w:lineRule="exact"/>
        <w:ind w:firstLine="640" w:firstLineChars="200"/>
        <w:rPr>
          <w:snapToGrid w:val="0"/>
          <w:sz w:val="32"/>
          <w:szCs w:val="32"/>
        </w:rPr>
      </w:pPr>
      <w:r>
        <w:rPr>
          <w:rFonts w:hint="eastAsia"/>
          <w:snapToGrid w:val="0"/>
          <w:sz w:val="32"/>
          <w:szCs w:val="32"/>
        </w:rPr>
        <w:t>2022年一般公共预算支出执行数为2600.89万元，主要科目支出情况是：一般公共服务支出611.39万元（其中人大事务8.72万元，政协事务8.35万元，政府办公厅（室）支出420.04万元，财政事务支出70.51万元，人力资源事务支出2.46万元党委办公厅（室）支出75.39万元，群众团体事务支出25.2万元；公共安全支出50.13万元，文化与体育传媒支出30.57万元，社会保障和就业支出447.36万元，医疗卫生与计划生育支出27.35万元，城乡社区事务支出105.13万元，农林水支出完成972.06万元，其中农业支出154.76万元，林业支出42.29万元，水利70.19万元，乡村振兴127.09万元，农村综合改革570.96万元，其中对村级一事一议的补助支出68万元，对村民委员会和村党支部的补助支出499.96万元；交通运输支出60.67万元；国土资源事务支出47.98万元；住房保障支出完成248.26万元。上解支出561.62万元。</w:t>
      </w:r>
    </w:p>
    <w:p>
      <w:pPr>
        <w:pStyle w:val="12"/>
        <w:spacing w:line="500" w:lineRule="exact"/>
        <w:ind w:firstLine="640" w:firstLineChars="200"/>
        <w:rPr>
          <w:snapToGrid w:val="0"/>
          <w:sz w:val="32"/>
          <w:szCs w:val="32"/>
        </w:rPr>
      </w:pPr>
      <w:r>
        <w:rPr>
          <w:rFonts w:hint="eastAsia"/>
          <w:snapToGrid w:val="0"/>
          <w:sz w:val="32"/>
          <w:szCs w:val="32"/>
        </w:rPr>
        <w:t>另代管资金支出完成1183万元，村级项目资金专户支出1247万元。</w:t>
      </w:r>
    </w:p>
    <w:p>
      <w:pPr>
        <w:pStyle w:val="12"/>
        <w:spacing w:line="440" w:lineRule="exact"/>
        <w:ind w:firstLine="640" w:firstLineChars="200"/>
        <w:rPr>
          <w:sz w:val="32"/>
          <w:szCs w:val="32"/>
        </w:rPr>
      </w:pPr>
      <w:r>
        <w:rPr>
          <w:rFonts w:hint="eastAsia"/>
          <w:sz w:val="32"/>
          <w:szCs w:val="32"/>
        </w:rPr>
        <w:t>（三）政府部门运行情况分析。</w:t>
      </w:r>
      <w:bookmarkEnd w:id="3"/>
      <w:bookmarkEnd w:id="4"/>
      <w:bookmarkEnd w:id="5"/>
    </w:p>
    <w:p>
      <w:pPr>
        <w:autoSpaceDE w:val="0"/>
        <w:autoSpaceDN w:val="0"/>
        <w:adjustRightInd w:val="0"/>
        <w:spacing w:line="490" w:lineRule="exact"/>
        <w:ind w:firstLine="640"/>
        <w:rPr>
          <w:rFonts w:ascii="Arial Unicode MS" w:hAnsi="Arial Unicode MS" w:eastAsia="宋体" w:cs="Arial Unicode MS"/>
          <w:snapToGrid w:val="0"/>
          <w:color w:val="000000"/>
          <w:sz w:val="32"/>
          <w:szCs w:val="32"/>
          <w:u w:color="000000"/>
        </w:rPr>
      </w:pPr>
      <w:r>
        <w:rPr>
          <w:rFonts w:ascii="Arial Unicode MS" w:hAnsi="Arial Unicode MS" w:eastAsia="宋体" w:cs="Arial Unicode MS"/>
          <w:snapToGrid w:val="0"/>
          <w:color w:val="000000"/>
          <w:sz w:val="32"/>
          <w:szCs w:val="32"/>
          <w:u w:color="000000"/>
        </w:rPr>
        <w:t>20</w:t>
      </w:r>
      <w:r>
        <w:rPr>
          <w:rFonts w:hint="eastAsia" w:ascii="Arial Unicode MS" w:hAnsi="Arial Unicode MS" w:eastAsia="宋体" w:cs="Arial Unicode MS"/>
          <w:snapToGrid w:val="0"/>
          <w:color w:val="000000"/>
          <w:sz w:val="32"/>
          <w:szCs w:val="32"/>
          <w:u w:color="000000"/>
        </w:rPr>
        <w:t>22年收入实际完成2730.81万元，比上年增加74.89万元，增加2.82%。主要原因是：财力增加。其中：一般公共预算财政拨款收入完成2593.69万元，比上年减少62.23万元，减少2.34%。；此变化的主要原因：财力减少；政府性基金预算财政拨款收入14.70万元，比上一年增加14.70万元;其他收入122.42万元。</w:t>
      </w:r>
    </w:p>
    <w:p>
      <w:pPr>
        <w:autoSpaceDE w:val="0"/>
        <w:autoSpaceDN w:val="0"/>
        <w:adjustRightInd w:val="0"/>
        <w:spacing w:line="490" w:lineRule="exact"/>
        <w:ind w:firstLine="643"/>
        <w:rPr>
          <w:rFonts w:ascii="Arial Unicode MS" w:hAnsi="Arial Unicode MS" w:eastAsia="宋体" w:cs="Arial Unicode MS"/>
          <w:snapToGrid w:val="0"/>
          <w:color w:val="000000"/>
          <w:sz w:val="32"/>
          <w:szCs w:val="32"/>
          <w:u w:color="000000"/>
        </w:rPr>
      </w:pPr>
      <w:r>
        <w:rPr>
          <w:rFonts w:ascii="Arial Unicode MS" w:hAnsi="Arial Unicode MS" w:eastAsia="宋体" w:cs="Arial Unicode MS"/>
          <w:snapToGrid w:val="0"/>
          <w:color w:val="000000"/>
          <w:sz w:val="32"/>
          <w:szCs w:val="32"/>
          <w:u w:color="000000"/>
        </w:rPr>
        <w:t>20</w:t>
      </w:r>
      <w:r>
        <w:rPr>
          <w:rFonts w:hint="eastAsia" w:ascii="Arial Unicode MS" w:hAnsi="Arial Unicode MS" w:eastAsia="宋体" w:cs="Arial Unicode MS"/>
          <w:snapToGrid w:val="0"/>
          <w:color w:val="000000"/>
          <w:sz w:val="32"/>
          <w:szCs w:val="32"/>
          <w:u w:color="000000"/>
        </w:rPr>
        <w:t>22年，本部门支出2730.81万元，比上年增加74.89万元，增加2.82%。变化的主要原因：增加一般性支出。其中基本支出2550.81万元,比上年增加245.27万元，增加10.64</w:t>
      </w:r>
      <w:r>
        <w:rPr>
          <w:rFonts w:ascii="Arial Unicode MS" w:hAnsi="Arial Unicode MS" w:eastAsia="宋体" w:cs="Arial Unicode MS"/>
          <w:snapToGrid w:val="0"/>
          <w:color w:val="000000"/>
          <w:sz w:val="32"/>
          <w:szCs w:val="32"/>
          <w:u w:color="000000"/>
        </w:rPr>
        <w:t>%</w:t>
      </w:r>
      <w:r>
        <w:rPr>
          <w:rFonts w:hint="eastAsia" w:ascii="Arial Unicode MS" w:hAnsi="Arial Unicode MS" w:eastAsia="宋体" w:cs="Arial Unicode MS"/>
          <w:snapToGrid w:val="0"/>
          <w:color w:val="000000"/>
          <w:sz w:val="32"/>
          <w:szCs w:val="32"/>
          <w:u w:color="000000"/>
        </w:rPr>
        <w:t>；项目支出180万元,比上年减少170.38万元，减少48.63</w:t>
      </w:r>
      <w:r>
        <w:rPr>
          <w:rFonts w:ascii="Arial Unicode MS" w:hAnsi="Arial Unicode MS" w:eastAsia="宋体" w:cs="Arial Unicode MS"/>
          <w:snapToGrid w:val="0"/>
          <w:color w:val="000000"/>
          <w:sz w:val="32"/>
          <w:szCs w:val="32"/>
          <w:u w:color="000000"/>
        </w:rPr>
        <w:t>%</w:t>
      </w:r>
      <w:r>
        <w:rPr>
          <w:rFonts w:hint="eastAsia" w:ascii="Arial Unicode MS" w:hAnsi="Arial Unicode MS" w:eastAsia="宋体" w:cs="Arial Unicode MS"/>
          <w:snapToGrid w:val="0"/>
          <w:color w:val="000000"/>
          <w:sz w:val="32"/>
          <w:szCs w:val="32"/>
          <w:u w:color="000000"/>
        </w:rPr>
        <w:t>。较2021年预算支出为2655.92万元，减少47.53万元，减少1.79%。减少原因是减少一般性支出（非生产性支出增加）。人员经费完成2123.67万元，比上年增加369.54万元，增加21.07</w:t>
      </w:r>
      <w:r>
        <w:rPr>
          <w:rFonts w:ascii="Arial Unicode MS" w:hAnsi="Arial Unicode MS" w:eastAsia="宋体" w:cs="Arial Unicode MS"/>
          <w:snapToGrid w:val="0"/>
          <w:color w:val="000000"/>
          <w:sz w:val="32"/>
          <w:szCs w:val="32"/>
          <w:u w:color="000000"/>
        </w:rPr>
        <w:t>%</w:t>
      </w:r>
      <w:r>
        <w:rPr>
          <w:rFonts w:hint="eastAsia" w:ascii="Arial Unicode MS" w:hAnsi="Arial Unicode MS" w:eastAsia="宋体" w:cs="Arial Unicode MS"/>
          <w:snapToGrid w:val="0"/>
          <w:color w:val="000000"/>
          <w:sz w:val="32"/>
          <w:szCs w:val="32"/>
          <w:u w:color="000000"/>
        </w:rPr>
        <w:t>，变化的主要原因：五险一金等福利调增；公用经费完成427.14万元，比上年减少124.27万元，下降22.54</w:t>
      </w:r>
      <w:r>
        <w:rPr>
          <w:rFonts w:ascii="Arial Unicode MS" w:hAnsi="Arial Unicode MS" w:eastAsia="宋体" w:cs="Arial Unicode MS"/>
          <w:snapToGrid w:val="0"/>
          <w:color w:val="000000"/>
          <w:sz w:val="32"/>
          <w:szCs w:val="32"/>
          <w:u w:color="000000"/>
        </w:rPr>
        <w:t>%</w:t>
      </w:r>
      <w:r>
        <w:rPr>
          <w:rFonts w:hint="eastAsia" w:ascii="Arial Unicode MS" w:hAnsi="Arial Unicode MS" w:eastAsia="宋体" w:cs="Arial Unicode MS"/>
          <w:snapToGrid w:val="0"/>
          <w:color w:val="000000"/>
          <w:sz w:val="32"/>
          <w:szCs w:val="32"/>
          <w:u w:color="000000"/>
        </w:rPr>
        <w:t>，变化的主要原因：一般性支出有所减少。</w:t>
      </w:r>
    </w:p>
    <w:p>
      <w:pPr>
        <w:adjustRightInd w:val="0"/>
        <w:snapToGrid w:val="0"/>
        <w:spacing w:line="500" w:lineRule="exact"/>
        <w:ind w:firstLine="640" w:firstLineChars="200"/>
        <w:rPr>
          <w:rFonts w:ascii="宋体" w:hAnsi="宋体" w:eastAsia="宋体" w:cs="Times New Roman"/>
          <w:b/>
          <w:sz w:val="32"/>
          <w:szCs w:val="32"/>
          <w:lang w:val="zh-CN"/>
        </w:rPr>
      </w:pPr>
      <w:r>
        <w:rPr>
          <w:rFonts w:hint="eastAsia"/>
          <w:b/>
          <w:sz w:val="32"/>
          <w:szCs w:val="32"/>
        </w:rPr>
        <w:t>三、部门整体支出绩效情况</w:t>
      </w:r>
    </w:p>
    <w:p>
      <w:pPr>
        <w:autoSpaceDE w:val="0"/>
        <w:autoSpaceDN w:val="0"/>
        <w:adjustRightInd w:val="0"/>
        <w:snapToGrid w:val="0"/>
        <w:spacing w:line="500" w:lineRule="exact"/>
        <w:ind w:firstLine="640" w:firstLineChars="200"/>
        <w:rPr>
          <w:b/>
          <w:sz w:val="32"/>
          <w:szCs w:val="32"/>
        </w:rPr>
      </w:pPr>
      <w:r>
        <w:rPr>
          <w:rFonts w:hint="eastAsia"/>
          <w:b/>
          <w:sz w:val="32"/>
          <w:szCs w:val="32"/>
        </w:rPr>
        <w:t xml:space="preserve">（一）资金组织实施、管理绩效情况 </w:t>
      </w:r>
    </w:p>
    <w:p>
      <w:pPr>
        <w:adjustRightInd w:val="0"/>
        <w:snapToGrid w:val="0"/>
        <w:spacing w:line="500" w:lineRule="exact"/>
        <w:ind w:firstLine="640" w:firstLineChars="200"/>
        <w:rPr>
          <w:rFonts w:ascii="宋体" w:hAnsi="宋体"/>
          <w:sz w:val="32"/>
          <w:szCs w:val="32"/>
        </w:rPr>
      </w:pPr>
      <w:r>
        <w:rPr>
          <w:rFonts w:hint="eastAsia"/>
          <w:sz w:val="32"/>
          <w:szCs w:val="32"/>
        </w:rPr>
        <w:t>在资金管理上，2022年我镇预算收支平均严格按照预算草案及资金来源严格执行，</w:t>
      </w:r>
      <w:r>
        <w:rPr>
          <w:rFonts w:hint="eastAsia" w:ascii="宋体" w:hAnsi="宋体" w:eastAsia="宋体" w:cs="Times New Roman"/>
          <w:sz w:val="32"/>
          <w:szCs w:val="32"/>
        </w:rPr>
        <w:t>全面落实中央八项规定，</w:t>
      </w:r>
      <w:r>
        <w:rPr>
          <w:rFonts w:hint="eastAsia"/>
          <w:sz w:val="32"/>
          <w:szCs w:val="32"/>
        </w:rPr>
        <w:t>树牢过“紧日子”的思想，</w:t>
      </w:r>
      <w:r>
        <w:rPr>
          <w:rFonts w:hint="eastAsia" w:ascii="宋体" w:hAnsi="宋体" w:eastAsia="宋体" w:cs="Times New Roman"/>
          <w:sz w:val="32"/>
          <w:szCs w:val="32"/>
        </w:rPr>
        <w:t>认真落实各项惠农政策，优化支出结构，保工资、保运转、保基本民生，加大三农、群众工作、人居环境</w:t>
      </w:r>
      <w:r>
        <w:rPr>
          <w:rFonts w:hint="eastAsia" w:ascii="宋体" w:hAnsi="宋体"/>
          <w:sz w:val="32"/>
          <w:szCs w:val="32"/>
        </w:rPr>
        <w:t>卫生</w:t>
      </w:r>
      <w:r>
        <w:rPr>
          <w:rFonts w:hint="eastAsia" w:ascii="宋体" w:hAnsi="宋体" w:eastAsia="宋体" w:cs="Times New Roman"/>
          <w:sz w:val="32"/>
          <w:szCs w:val="32"/>
        </w:rPr>
        <w:t>整治等中心工作投入，确保了干部职工工资补助的按月足额发放，预算收支执行情况比较到位。</w:t>
      </w:r>
    </w:p>
    <w:p>
      <w:pPr>
        <w:adjustRightInd w:val="0"/>
        <w:snapToGrid w:val="0"/>
        <w:spacing w:line="500" w:lineRule="exact"/>
        <w:ind w:firstLine="640" w:firstLineChars="200"/>
        <w:rPr>
          <w:rFonts w:ascii="宋体" w:hAnsi="宋体" w:eastAsia="宋体" w:cs="Times New Roman"/>
          <w:sz w:val="32"/>
          <w:szCs w:val="32"/>
        </w:rPr>
      </w:pPr>
      <w:r>
        <w:rPr>
          <w:rFonts w:hint="eastAsia"/>
          <w:sz w:val="32"/>
          <w:szCs w:val="32"/>
        </w:rPr>
        <w:t>在资金的使用上，继续贯彻执行市委市政府“厉行节约”的相关精神，</w:t>
      </w:r>
      <w:r>
        <w:rPr>
          <w:rFonts w:hint="eastAsia" w:ascii="宋体" w:hAnsi="宋体" w:eastAsia="宋体" w:cs="Times New Roman"/>
          <w:sz w:val="32"/>
          <w:szCs w:val="32"/>
        </w:rPr>
        <w:t>努力克服收支矛盾突出等不利因素的影响，</w:t>
      </w:r>
      <w:r>
        <w:rPr>
          <w:rFonts w:hint="eastAsia"/>
          <w:sz w:val="32"/>
          <w:szCs w:val="32"/>
        </w:rPr>
        <w:t>严格执行收支两条线，</w:t>
      </w:r>
      <w:r>
        <w:rPr>
          <w:rFonts w:hint="eastAsia" w:ascii="宋体" w:hAnsi="宋体" w:eastAsia="宋体" w:cs="Times New Roman"/>
          <w:sz w:val="32"/>
          <w:szCs w:val="32"/>
        </w:rPr>
        <w:t>积极增收节支，</w:t>
      </w:r>
      <w:r>
        <w:rPr>
          <w:rFonts w:hint="eastAsia"/>
          <w:sz w:val="32"/>
          <w:szCs w:val="32"/>
        </w:rPr>
        <w:t>杜绝账外资金，加强对各站办所的财务收支管理，镇财政本着以人为本，量入为出的原则，</w:t>
      </w:r>
      <w:r>
        <w:rPr>
          <w:rFonts w:hint="eastAsia" w:ascii="宋体" w:hAnsi="宋体" w:eastAsia="宋体" w:cs="Times New Roman"/>
          <w:sz w:val="32"/>
          <w:szCs w:val="32"/>
        </w:rPr>
        <w:t>努力降低财政运行成本，增强财政在发展改革中的保障能力</w:t>
      </w:r>
      <w:r>
        <w:rPr>
          <w:rFonts w:hint="eastAsia"/>
          <w:sz w:val="32"/>
          <w:szCs w:val="32"/>
        </w:rPr>
        <w:t>，保证机关的正常运转，稳定了大局</w:t>
      </w:r>
      <w:r>
        <w:rPr>
          <w:rFonts w:hint="eastAsia" w:ascii="宋体" w:hAnsi="宋体"/>
          <w:sz w:val="32"/>
          <w:szCs w:val="32"/>
        </w:rPr>
        <w:t>。</w:t>
      </w:r>
    </w:p>
    <w:p>
      <w:pPr>
        <w:adjustRightInd w:val="0"/>
        <w:snapToGrid w:val="0"/>
        <w:spacing w:line="500" w:lineRule="exact"/>
        <w:ind w:firstLine="640" w:firstLineChars="200"/>
        <w:rPr>
          <w:sz w:val="32"/>
          <w:szCs w:val="32"/>
        </w:rPr>
      </w:pPr>
      <w:r>
        <w:rPr>
          <w:rFonts w:hint="eastAsia" w:ascii="宋体" w:hAnsi="宋体" w:eastAsia="宋体" w:cs="Times New Roman"/>
          <w:b/>
          <w:sz w:val="32"/>
          <w:szCs w:val="32"/>
          <w:lang w:val="zh-CN"/>
        </w:rPr>
        <w:t>（二）</w:t>
      </w:r>
      <w:r>
        <w:rPr>
          <w:rFonts w:hint="eastAsia"/>
          <w:b/>
          <w:sz w:val="32"/>
          <w:szCs w:val="32"/>
        </w:rPr>
        <w:t>绩效目标完成情况</w:t>
      </w:r>
      <w:r>
        <w:rPr>
          <w:rFonts w:hint="eastAsia"/>
          <w:sz w:val="32"/>
          <w:szCs w:val="32"/>
        </w:rPr>
        <w:t>：</w:t>
      </w:r>
    </w:p>
    <w:p>
      <w:pPr>
        <w:adjustRightInd w:val="0"/>
        <w:snapToGrid w:val="0"/>
        <w:spacing w:line="500" w:lineRule="exact"/>
        <w:ind w:firstLine="640" w:firstLineChars="200"/>
        <w:rPr>
          <w:rFonts w:ascii="宋体" w:hAnsi="宋体" w:eastAsia="宋体" w:cs="Times New Roman"/>
          <w:color w:val="000000" w:themeColor="text1"/>
          <w:sz w:val="32"/>
          <w:szCs w:val="32"/>
        </w:rPr>
      </w:pPr>
      <w:r>
        <w:rPr>
          <w:rFonts w:hint="eastAsia" w:ascii="宋体" w:hAnsi="宋体" w:eastAsia="宋体" w:cs="Times New Roman"/>
          <w:color w:val="000000" w:themeColor="text1"/>
          <w:sz w:val="32"/>
          <w:szCs w:val="32"/>
        </w:rPr>
        <w:t>对照年初整体支出绩效目标，经过我镇部门整体支出绩效自评，我镇基本上完成了年初的各项预算绩效目标，具体表现如下。</w:t>
      </w:r>
    </w:p>
    <w:p>
      <w:pPr>
        <w:spacing w:line="560" w:lineRule="exact"/>
        <w:ind w:firstLine="640" w:firstLineChars="200"/>
        <w:rPr>
          <w:sz w:val="32"/>
          <w:szCs w:val="32"/>
        </w:rPr>
      </w:pPr>
      <w:r>
        <w:rPr>
          <w:rFonts w:hint="eastAsia"/>
          <w:sz w:val="32"/>
          <w:szCs w:val="32"/>
        </w:rPr>
        <w:t>1. 全年完成全口径税收1371万元，同比增长97％，其中总部经济税582万元；全年完成固定资产投资4.16亿元；全年完成工业总产值8.9亿元，同比增长20％；全年完成招商引资1.2亿元。</w:t>
      </w:r>
    </w:p>
    <w:p>
      <w:pPr>
        <w:spacing w:line="560" w:lineRule="exact"/>
        <w:ind w:firstLine="640" w:firstLineChars="200"/>
        <w:rPr>
          <w:sz w:val="32"/>
          <w:szCs w:val="32"/>
        </w:rPr>
      </w:pPr>
      <w:r>
        <w:rPr>
          <w:rFonts w:hint="eastAsia"/>
          <w:sz w:val="32"/>
          <w:szCs w:val="32"/>
        </w:rPr>
        <w:t>2. 全年引进企业1家，湖南迈阳医疗器械有限公司，在谈意向企业2家；加快推进在建项目醴娄高速公路、富龙华府房地产项目一、二期、湘乡市竹印轩竹制品公司建成投产，湖南迈阳医疗器械有限公司已开工建设；全年储备项目6个（工业项目4个，农业项目1个，房地产项目1个），总投资额度5.2亿元。</w:t>
      </w:r>
    </w:p>
    <w:p>
      <w:pPr>
        <w:spacing w:line="560" w:lineRule="exact"/>
        <w:ind w:firstLine="640" w:firstLineChars="200"/>
        <w:rPr>
          <w:sz w:val="32"/>
          <w:szCs w:val="32"/>
        </w:rPr>
      </w:pPr>
      <w:r>
        <w:rPr>
          <w:rFonts w:hint="eastAsia"/>
          <w:sz w:val="32"/>
          <w:szCs w:val="32"/>
        </w:rPr>
        <w:t>3.</w:t>
      </w:r>
      <w:r>
        <w:rPr>
          <w:rFonts w:hint="eastAsia" w:ascii="仿宋_GB2312" w:hAnsi="仿宋_GB2312" w:eastAsia="仿宋_GB2312" w:cs="仿宋_GB2312"/>
        </w:rPr>
        <w:t xml:space="preserve"> </w:t>
      </w:r>
      <w:r>
        <w:rPr>
          <w:rFonts w:hint="eastAsia"/>
          <w:sz w:val="32"/>
          <w:szCs w:val="32"/>
        </w:rPr>
        <w:t>严格落实“四个不摘”要求，识别纳入边缘易致贫户、突发困难户、脱贫不稳定户“三类人员”11户33人，落实雨露计划60人，危房改造21户，健康扶贫“四类人员”参保率和慢性病家庭医生签约均达到100%。</w:t>
      </w:r>
    </w:p>
    <w:p>
      <w:pPr>
        <w:spacing w:line="560" w:lineRule="exact"/>
        <w:ind w:firstLine="640" w:firstLineChars="200"/>
        <w:rPr>
          <w:sz w:val="32"/>
          <w:szCs w:val="32"/>
        </w:rPr>
      </w:pPr>
      <w:r>
        <w:rPr>
          <w:rFonts w:hint="eastAsia"/>
          <w:sz w:val="32"/>
          <w:szCs w:val="32"/>
        </w:rPr>
        <w:t>4. 拆除“空心房”5处，取缔垃圾池68个；深入开展自建房安全隐患大排查，共计排查房屋19362栋；厕所革命深入推进，新建户厕50座。</w:t>
      </w:r>
    </w:p>
    <w:p>
      <w:pPr>
        <w:spacing w:line="560" w:lineRule="exact"/>
        <w:ind w:firstLine="640" w:firstLineChars="200"/>
        <w:rPr>
          <w:sz w:val="32"/>
          <w:szCs w:val="32"/>
        </w:rPr>
      </w:pPr>
      <w:r>
        <w:rPr>
          <w:rFonts w:hint="eastAsia"/>
          <w:sz w:val="32"/>
          <w:szCs w:val="32"/>
        </w:rPr>
        <w:t>5.持续推进造林工程，全年新造面积600亩，其中：油茶林200亩，防护林400亩，完成中幼林抚育480亩；完成义务植树12000株；利用喷药、烟剂、无人机等对黄脊竹蝗等虫害进行防治，防治面积达4000多亩；清除松材线虫病疫木228株。严厉打击乱砍滥伐、乱捕滥猎等违法行为，放生野生蛇12条、鸟8只，拆除捕鸟网20多处，查处没收杉木120株。</w:t>
      </w:r>
    </w:p>
    <w:p>
      <w:pPr>
        <w:spacing w:line="560" w:lineRule="exact"/>
        <w:ind w:firstLine="640" w:firstLineChars="200"/>
        <w:rPr>
          <w:sz w:val="32"/>
          <w:szCs w:val="32"/>
        </w:rPr>
      </w:pPr>
      <w:r>
        <w:rPr>
          <w:rFonts w:hint="eastAsia"/>
          <w:sz w:val="32"/>
          <w:szCs w:val="32"/>
        </w:rPr>
        <w:t>6.</w:t>
      </w:r>
      <w:r>
        <w:rPr>
          <w:rFonts w:hint="eastAsia" w:ascii="仿宋_GB2312" w:hAnsi="仿宋_GB2312" w:eastAsia="仿宋_GB2312" w:cs="仿宋_GB2312"/>
        </w:rPr>
        <w:t xml:space="preserve"> </w:t>
      </w:r>
      <w:r>
        <w:rPr>
          <w:rFonts w:hint="eastAsia"/>
          <w:sz w:val="32"/>
          <w:szCs w:val="32"/>
        </w:rPr>
        <w:t>种植一季稻9313亩；全面完成畜禽生产任务，生猪出栏12000头、牛出栏2300头、羊出栏3800头、家禽出栏18.5万羽。大力发展特色产业，培育109个家庭农场、46个农民合作社、7家农业企业等新型经营主体共162家。</w:t>
      </w:r>
    </w:p>
    <w:p>
      <w:pPr>
        <w:spacing w:line="560" w:lineRule="exact"/>
        <w:ind w:firstLine="640" w:firstLineChars="200"/>
        <w:rPr>
          <w:sz w:val="32"/>
          <w:szCs w:val="32"/>
        </w:rPr>
      </w:pPr>
      <w:r>
        <w:rPr>
          <w:rFonts w:hint="eastAsia"/>
          <w:sz w:val="32"/>
          <w:szCs w:val="32"/>
        </w:rPr>
        <w:t>7.</w:t>
      </w:r>
      <w:r>
        <w:rPr>
          <w:rFonts w:hint="eastAsia" w:ascii="仿宋_GB2312" w:hAnsi="仿宋_GB2312" w:eastAsia="仿宋_GB2312" w:cs="仿宋_GB2312"/>
        </w:rPr>
        <w:t xml:space="preserve"> </w:t>
      </w:r>
      <w:r>
        <w:rPr>
          <w:rFonts w:hint="eastAsia"/>
          <w:sz w:val="32"/>
          <w:szCs w:val="32"/>
        </w:rPr>
        <w:t>树立虞唐高跷品牌效应，成功获评“湖南省民间文化艺术之乡”。作为“全国楹联文化名镇”，开展楹联艺术长廊和楹联展厅展览，弘扬传统文化。</w:t>
      </w:r>
    </w:p>
    <w:p>
      <w:pPr>
        <w:spacing w:line="560" w:lineRule="exact"/>
        <w:ind w:firstLine="640" w:firstLineChars="200"/>
        <w:rPr>
          <w:sz w:val="32"/>
          <w:szCs w:val="32"/>
        </w:rPr>
      </w:pPr>
      <w:r>
        <w:rPr>
          <w:rFonts w:hint="eastAsia"/>
          <w:sz w:val="32"/>
          <w:szCs w:val="32"/>
        </w:rPr>
        <w:t>8.</w:t>
      </w:r>
      <w:r>
        <w:rPr>
          <w:rFonts w:hint="eastAsia" w:ascii="仿宋_GB2312" w:hAnsi="仿宋_GB2312" w:eastAsia="仿宋_GB2312" w:cs="仿宋_GB2312"/>
        </w:rPr>
        <w:t xml:space="preserve"> </w:t>
      </w:r>
      <w:r>
        <w:rPr>
          <w:rFonts w:hint="eastAsia"/>
          <w:sz w:val="32"/>
          <w:szCs w:val="32"/>
        </w:rPr>
        <w:t>全年累计接种新冠疫苗8445剂次，上门接种3000余剂次，重点60岁及以上人群第一针接种824人次，第二针418人次。60岁及以上人群完成全程接种3240人次，完成率87.3%。持续做好重点人群管理，总计电话流调1万余条，主动摸排外来返湘4000余人次。</w:t>
      </w:r>
    </w:p>
    <w:p>
      <w:pPr>
        <w:spacing w:line="560" w:lineRule="exact"/>
        <w:ind w:firstLine="640" w:firstLineChars="200"/>
        <w:rPr>
          <w:sz w:val="32"/>
          <w:szCs w:val="32"/>
        </w:rPr>
      </w:pPr>
      <w:r>
        <w:rPr>
          <w:rFonts w:hint="eastAsia"/>
          <w:sz w:val="32"/>
          <w:szCs w:val="32"/>
        </w:rPr>
        <w:t>9.</w:t>
      </w:r>
      <w:r>
        <w:rPr>
          <w:rFonts w:hint="eastAsia" w:ascii="仿宋_GB2312" w:hAnsi="仿宋_GB2312" w:eastAsia="仿宋_GB2312" w:cs="仿宋_GB2312"/>
        </w:rPr>
        <w:t xml:space="preserve"> </w:t>
      </w:r>
      <w:r>
        <w:rPr>
          <w:rFonts w:hint="eastAsia"/>
          <w:sz w:val="32"/>
          <w:szCs w:val="32"/>
        </w:rPr>
        <w:t>组织开展安全生产和消防安全执法检查行动140余次，出动执法人员760余人次，检查各类生产经营单位（场所）239家，发现隐患126家，隐患115处，限期整改106份，现已整改106处，整改率100%，依法取缔查封2起，罚款5000余元。</w:t>
      </w:r>
    </w:p>
    <w:p>
      <w:pPr>
        <w:spacing w:line="560" w:lineRule="exact"/>
        <w:ind w:firstLine="640" w:firstLineChars="200"/>
        <w:rPr>
          <w:sz w:val="32"/>
          <w:szCs w:val="32"/>
        </w:rPr>
      </w:pPr>
      <w:r>
        <w:rPr>
          <w:rFonts w:hint="eastAsia"/>
          <w:sz w:val="32"/>
          <w:szCs w:val="32"/>
        </w:rPr>
        <w:t>10.专职消防队对镇区各门店开展“下店上宅、前店后宅”消防安全检查20余次，排查各门店安全隐患100多处，参与消防应急救援24次。</w:t>
      </w:r>
    </w:p>
    <w:p>
      <w:pPr>
        <w:spacing w:line="560" w:lineRule="exact"/>
        <w:ind w:firstLine="640" w:firstLineChars="200"/>
        <w:rPr>
          <w:sz w:val="32"/>
          <w:szCs w:val="32"/>
        </w:rPr>
      </w:pPr>
      <w:r>
        <w:rPr>
          <w:rFonts w:hint="eastAsia"/>
          <w:sz w:val="32"/>
          <w:szCs w:val="32"/>
        </w:rPr>
        <w:t>11.</w:t>
      </w:r>
      <w:r>
        <w:rPr>
          <w:rFonts w:hint="eastAsia" w:ascii="仿宋_GB2312" w:hAnsi="仿宋_GB2312" w:eastAsia="仿宋_GB2312" w:cs="仿宋_GB2312"/>
        </w:rPr>
        <w:t xml:space="preserve"> </w:t>
      </w:r>
      <w:r>
        <w:rPr>
          <w:rFonts w:hint="eastAsia"/>
          <w:sz w:val="32"/>
          <w:szCs w:val="32"/>
        </w:rPr>
        <w:t>大力开展森林防灭火宣传，入户发放禁火令1万余份，成立15支义务巡逻队，配齐扑救装备器材，镇村参与扑灭秸秆焚烧、森林火情200余次，熊建军同志获评全国森林草原</w:t>
      </w:r>
      <w:r>
        <w:rPr>
          <w:sz w:val="32"/>
          <w:szCs w:val="32"/>
        </w:rPr>
        <w:t>防火工作先进个人</w:t>
      </w:r>
      <w:r>
        <w:rPr>
          <w:rFonts w:hint="eastAsia"/>
          <w:sz w:val="32"/>
          <w:szCs w:val="32"/>
        </w:rPr>
        <w:t>。</w:t>
      </w:r>
    </w:p>
    <w:p>
      <w:pPr>
        <w:spacing w:line="560" w:lineRule="exact"/>
        <w:ind w:firstLine="640" w:firstLineChars="200"/>
        <w:rPr>
          <w:sz w:val="32"/>
          <w:szCs w:val="32"/>
        </w:rPr>
      </w:pPr>
      <w:r>
        <w:rPr>
          <w:rFonts w:hint="eastAsia"/>
          <w:sz w:val="32"/>
          <w:szCs w:val="32"/>
        </w:rPr>
        <w:t>12.</w:t>
      </w:r>
      <w:r>
        <w:rPr>
          <w:rFonts w:hint="eastAsia" w:ascii="仿宋_GB2312" w:hAnsi="仿宋_GB2312" w:eastAsia="仿宋_GB2312" w:cs="仿宋_GB2312"/>
        </w:rPr>
        <w:t xml:space="preserve"> </w:t>
      </w:r>
      <w:r>
        <w:rPr>
          <w:rFonts w:hint="eastAsia"/>
          <w:sz w:val="32"/>
          <w:szCs w:val="32"/>
        </w:rPr>
        <w:t>收集群众诉求53条，化解诉求53条，化解率100%；镇、村两级调解委员会受理并调解纠纷107件，调解成功率97%，其中重大矛盾纠纷5件全部调处到位，提供法律咨询100次。</w:t>
      </w:r>
    </w:p>
    <w:p>
      <w:pPr>
        <w:spacing w:line="560" w:lineRule="exact"/>
        <w:ind w:firstLine="640" w:firstLineChars="200"/>
        <w:rPr>
          <w:sz w:val="32"/>
          <w:szCs w:val="32"/>
        </w:rPr>
      </w:pPr>
      <w:r>
        <w:rPr>
          <w:rFonts w:hint="eastAsia"/>
          <w:sz w:val="32"/>
          <w:szCs w:val="32"/>
        </w:rPr>
        <w:t>13.完善戒毒（康复）人员台账，优化工作制度，对全镇在册吸毒人员157名，现有吸毒对象44名，社康社戒对象10名，中风险对象10名全部管控到位；社区矫正对象无脱管、漏管现象；开展法治宣传8次。</w:t>
      </w:r>
    </w:p>
    <w:p>
      <w:pPr>
        <w:spacing w:line="560" w:lineRule="exact"/>
        <w:ind w:firstLine="640" w:firstLineChars="200"/>
        <w:rPr>
          <w:sz w:val="32"/>
          <w:szCs w:val="32"/>
        </w:rPr>
      </w:pPr>
      <w:r>
        <w:rPr>
          <w:rFonts w:hint="eastAsia"/>
          <w:sz w:val="32"/>
          <w:szCs w:val="32"/>
        </w:rPr>
        <w:t>14.信访形势平稳，确保了“二十大”等特护期稳定，群众满意度再创佳绩，名列湘潭市第六、湘乡市第二。</w:t>
      </w:r>
    </w:p>
    <w:p>
      <w:pPr>
        <w:spacing w:line="560" w:lineRule="exact"/>
        <w:ind w:firstLine="640" w:firstLineChars="200"/>
        <w:rPr>
          <w:sz w:val="32"/>
          <w:szCs w:val="32"/>
        </w:rPr>
      </w:pPr>
      <w:r>
        <w:rPr>
          <w:rFonts w:hint="eastAsia"/>
          <w:sz w:val="32"/>
          <w:szCs w:val="32"/>
        </w:rPr>
        <w:t>15.</w:t>
      </w:r>
      <w:r>
        <w:rPr>
          <w:rFonts w:hint="eastAsia" w:ascii="仿宋_GB2312" w:hAnsi="仿宋_GB2312" w:eastAsia="仿宋_GB2312" w:cs="仿宋_GB2312"/>
        </w:rPr>
        <w:t xml:space="preserve"> </w:t>
      </w:r>
      <w:r>
        <w:rPr>
          <w:rFonts w:hint="eastAsia"/>
          <w:sz w:val="32"/>
          <w:szCs w:val="32"/>
        </w:rPr>
        <w:t>农村劳动力新增转移就业313人，城镇新增转移就业201人；贫困劳动力720人已转移就业551人，稳定就业率为77% ；开发公益性岗位24人；今年新增创业主体26家、农业合作社及农业开发有限公司7家。</w:t>
      </w:r>
    </w:p>
    <w:p>
      <w:pPr>
        <w:spacing w:line="560" w:lineRule="exact"/>
        <w:ind w:firstLine="640" w:firstLineChars="200"/>
        <w:rPr>
          <w:sz w:val="32"/>
          <w:szCs w:val="32"/>
        </w:rPr>
      </w:pPr>
      <w:r>
        <w:rPr>
          <w:rFonts w:hint="eastAsia"/>
          <w:sz w:val="32"/>
          <w:szCs w:val="32"/>
        </w:rPr>
        <w:t>16.城乡居民医保参保率为95%，申报特大疾病医疗救助45人次；全年共计发放低保、特困、高龄、特困护理费、事实无人抚养费等社会救助资金525万余元。</w:t>
      </w:r>
    </w:p>
    <w:p>
      <w:pPr>
        <w:spacing w:line="560" w:lineRule="exact"/>
        <w:ind w:firstLine="640" w:firstLineChars="200"/>
        <w:rPr>
          <w:sz w:val="32"/>
          <w:szCs w:val="32"/>
        </w:rPr>
      </w:pPr>
      <w:r>
        <w:rPr>
          <w:rFonts w:hint="eastAsia"/>
          <w:sz w:val="32"/>
          <w:szCs w:val="32"/>
        </w:rPr>
        <w:t>17.</w:t>
      </w:r>
      <w:r>
        <w:rPr>
          <w:rFonts w:hint="eastAsia" w:ascii="仿宋_GB2312" w:hAnsi="仿宋_GB2312" w:eastAsia="仿宋_GB2312" w:cs="仿宋_GB2312"/>
        </w:rPr>
        <w:t xml:space="preserve"> </w:t>
      </w:r>
      <w:r>
        <w:rPr>
          <w:rFonts w:hint="eastAsia"/>
          <w:sz w:val="32"/>
          <w:szCs w:val="32"/>
        </w:rPr>
        <w:t>实施民生实事项目25个，解决群众急难愁盼的问题85个。</w:t>
      </w:r>
    </w:p>
    <w:p>
      <w:pPr>
        <w:spacing w:line="560" w:lineRule="exact"/>
        <w:ind w:firstLine="640" w:firstLineChars="200"/>
        <w:rPr>
          <w:sz w:val="32"/>
          <w:szCs w:val="32"/>
        </w:rPr>
      </w:pPr>
      <w:r>
        <w:rPr>
          <w:rFonts w:hint="eastAsia"/>
          <w:sz w:val="32"/>
          <w:szCs w:val="32"/>
        </w:rPr>
        <w:t>18.</w:t>
      </w:r>
      <w:r>
        <w:rPr>
          <w:rFonts w:hint="eastAsia" w:ascii="仿宋_GB2312" w:hAnsi="仿宋_GB2312" w:eastAsia="仿宋_GB2312" w:cs="仿宋_GB2312"/>
        </w:rPr>
        <w:t xml:space="preserve"> </w:t>
      </w:r>
      <w:r>
        <w:rPr>
          <w:rFonts w:hint="eastAsia"/>
          <w:sz w:val="32"/>
          <w:szCs w:val="32"/>
        </w:rPr>
        <w:t>政务中心接待群众2100余人次，受理各类项目超过1300多件，办结率达100%。“12345”政务服务热线共受理群众来电116个，除当即答复办理的外，为群众切实解决生产生活困难等问题89个；镇本级、村（社区）通过“互联网+政务服务”一体化平台共受理各类办件6451件，办结6451件，好评评价6412人次。</w:t>
      </w:r>
      <w:r>
        <w:rPr>
          <w:sz w:val="32"/>
          <w:szCs w:val="32"/>
        </w:rPr>
        <w:t xml:space="preserve"> </w:t>
      </w:r>
    </w:p>
    <w:p>
      <w:pPr>
        <w:adjustRightInd w:val="0"/>
        <w:snapToGrid w:val="0"/>
        <w:spacing w:line="500" w:lineRule="exact"/>
        <w:ind w:firstLine="627" w:firstLineChars="196"/>
        <w:rPr>
          <w:b/>
          <w:sz w:val="32"/>
          <w:szCs w:val="32"/>
        </w:rPr>
      </w:pPr>
      <w:r>
        <w:rPr>
          <w:rFonts w:hint="eastAsia"/>
          <w:b/>
          <w:sz w:val="32"/>
          <w:szCs w:val="32"/>
        </w:rPr>
        <w:t>四、存在的问题及相关建议</w:t>
      </w:r>
    </w:p>
    <w:p>
      <w:pPr>
        <w:adjustRightInd w:val="0"/>
        <w:snapToGrid w:val="0"/>
        <w:spacing w:line="500" w:lineRule="exact"/>
        <w:ind w:firstLine="627" w:firstLineChars="196"/>
        <w:rPr>
          <w:b/>
          <w:sz w:val="32"/>
          <w:szCs w:val="32"/>
        </w:rPr>
      </w:pPr>
      <w:r>
        <w:rPr>
          <w:rFonts w:hint="eastAsia"/>
          <w:sz w:val="32"/>
          <w:szCs w:val="32"/>
        </w:rPr>
        <w:t>我镇当前财政困难，后劲不足的局面没有明显改善，</w:t>
      </w:r>
      <w:r>
        <w:rPr>
          <w:rFonts w:hint="eastAsia" w:ascii="宋体" w:hAnsi="宋体" w:eastAsia="宋体" w:cs="Times New Roman"/>
          <w:sz w:val="32"/>
          <w:szCs w:val="32"/>
        </w:rPr>
        <w:t>社会治安综合治理、群众工作、信访维稳、人居环境整治等因偶然性大所以预算超标。</w:t>
      </w:r>
      <w:r>
        <w:rPr>
          <w:rFonts w:hint="eastAsia"/>
          <w:sz w:val="32"/>
          <w:szCs w:val="32"/>
        </w:rPr>
        <w:t>我镇</w:t>
      </w:r>
      <w:r>
        <w:rPr>
          <w:rFonts w:hint="eastAsia" w:ascii="宋体" w:hAnsi="宋体" w:eastAsia="宋体" w:cs="Times New Roman"/>
          <w:sz w:val="32"/>
          <w:szCs w:val="32"/>
        </w:rPr>
        <w:t>积极践行新发展理念，</w:t>
      </w:r>
      <w:r>
        <w:rPr>
          <w:rFonts w:hint="eastAsia" w:ascii="宋体" w:hAnsi="宋体"/>
          <w:sz w:val="32"/>
          <w:szCs w:val="32"/>
        </w:rPr>
        <w:t>坚持稳中求进</w:t>
      </w:r>
      <w:r>
        <w:rPr>
          <w:rFonts w:hint="eastAsia" w:ascii="宋体" w:hAnsi="宋体" w:eastAsia="宋体" w:cs="Times New Roman"/>
          <w:sz w:val="32"/>
          <w:szCs w:val="32"/>
        </w:rPr>
        <w:t>总基调，量入为出，勤俭节约；注重重点，突出绩效；科学规范，强化约束；牢固树立过“紧日子”的思想，与时俱进，开拓创新，勤奋努力，进一步制定完善相关的规章制度，</w:t>
      </w:r>
      <w:r>
        <w:rPr>
          <w:rFonts w:hint="eastAsia" w:ascii="宋体" w:hAnsi="宋体" w:eastAsia="宋体" w:cs="Times New Roman"/>
          <w:sz w:val="32"/>
          <w:szCs w:val="32"/>
          <w:lang w:val="zh-CN"/>
        </w:rPr>
        <w:t>加强资金的管理，</w:t>
      </w:r>
      <w:r>
        <w:rPr>
          <w:rFonts w:hint="eastAsia" w:ascii="宋体" w:hAnsi="宋体" w:eastAsia="宋体" w:cs="Times New Roman"/>
          <w:sz w:val="32"/>
          <w:szCs w:val="32"/>
        </w:rPr>
        <w:t>严格控制各项支出，</w:t>
      </w:r>
      <w:r>
        <w:rPr>
          <w:rFonts w:hint="eastAsia" w:ascii="宋体" w:hAnsi="宋体" w:eastAsia="宋体" w:cs="Times New Roman"/>
          <w:sz w:val="32"/>
          <w:szCs w:val="32"/>
          <w:lang w:val="zh-CN"/>
        </w:rPr>
        <w:t>确保资金用到实处；同时要加强对资金来源的跟踪问效服务和监督，</w:t>
      </w:r>
      <w:r>
        <w:rPr>
          <w:rFonts w:hint="eastAsia" w:ascii="宋体" w:hAnsi="宋体" w:eastAsia="宋体" w:cs="Times New Roman"/>
          <w:sz w:val="32"/>
          <w:szCs w:val="32"/>
        </w:rPr>
        <w:t>力争管好用活各项财政资金，切实做到花钱必问效、无效必问责，推进我镇工作更上一个新台阶。</w:t>
      </w:r>
    </w:p>
    <w:p>
      <w:pPr>
        <w:pStyle w:val="10"/>
        <w:adjustRightInd w:val="0"/>
        <w:snapToGrid w:val="0"/>
        <w:spacing w:line="500" w:lineRule="exact"/>
        <w:ind w:left="720" w:firstLine="640"/>
        <w:rPr>
          <w:sz w:val="32"/>
          <w:szCs w:val="32"/>
        </w:rPr>
      </w:pPr>
    </w:p>
    <w:p>
      <w:pPr>
        <w:adjustRightInd w:val="0"/>
        <w:snapToGrid w:val="0"/>
        <w:spacing w:line="500" w:lineRule="exact"/>
        <w:ind w:right="640"/>
        <w:jc w:val="right"/>
        <w:rPr>
          <w:sz w:val="32"/>
          <w:szCs w:val="32"/>
        </w:rPr>
      </w:pPr>
      <w:r>
        <w:rPr>
          <w:rFonts w:hint="eastAsia"/>
          <w:sz w:val="32"/>
          <w:szCs w:val="32"/>
        </w:rPr>
        <w:t>湘乡市虞唐镇绩效自评组</w:t>
      </w:r>
    </w:p>
    <w:p>
      <w:pPr>
        <w:pStyle w:val="10"/>
        <w:adjustRightInd w:val="0"/>
        <w:snapToGrid w:val="0"/>
        <w:spacing w:line="500" w:lineRule="exact"/>
        <w:ind w:left="720" w:firstLine="640"/>
        <w:rPr>
          <w:sz w:val="32"/>
          <w:szCs w:val="32"/>
        </w:rPr>
      </w:pPr>
      <w:r>
        <w:rPr>
          <w:rFonts w:hint="eastAsia"/>
          <w:sz w:val="32"/>
          <w:szCs w:val="32"/>
        </w:rPr>
        <w:t xml:space="preserve">                     </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31FAD"/>
    <w:rsid w:val="00036E12"/>
    <w:rsid w:val="000415B7"/>
    <w:rsid w:val="00041E3F"/>
    <w:rsid w:val="0004337F"/>
    <w:rsid w:val="00055DAA"/>
    <w:rsid w:val="00061F7B"/>
    <w:rsid w:val="000658A3"/>
    <w:rsid w:val="00074155"/>
    <w:rsid w:val="00081A7C"/>
    <w:rsid w:val="000873EF"/>
    <w:rsid w:val="000A3F69"/>
    <w:rsid w:val="000B6F5A"/>
    <w:rsid w:val="000C45B4"/>
    <w:rsid w:val="00103957"/>
    <w:rsid w:val="00124A1F"/>
    <w:rsid w:val="00132243"/>
    <w:rsid w:val="00152C6D"/>
    <w:rsid w:val="00162D39"/>
    <w:rsid w:val="00165D0F"/>
    <w:rsid w:val="001678BD"/>
    <w:rsid w:val="00182373"/>
    <w:rsid w:val="00187070"/>
    <w:rsid w:val="001A67DB"/>
    <w:rsid w:val="001C3C29"/>
    <w:rsid w:val="001D51E5"/>
    <w:rsid w:val="001E080D"/>
    <w:rsid w:val="001E53D0"/>
    <w:rsid w:val="001F0C3B"/>
    <w:rsid w:val="00202C14"/>
    <w:rsid w:val="00202C82"/>
    <w:rsid w:val="00214427"/>
    <w:rsid w:val="00220DA9"/>
    <w:rsid w:val="00223768"/>
    <w:rsid w:val="00226CB7"/>
    <w:rsid w:val="002401DC"/>
    <w:rsid w:val="00264552"/>
    <w:rsid w:val="00264EF9"/>
    <w:rsid w:val="00265724"/>
    <w:rsid w:val="0027426B"/>
    <w:rsid w:val="00283A74"/>
    <w:rsid w:val="002A6044"/>
    <w:rsid w:val="002E0A30"/>
    <w:rsid w:val="00306BE9"/>
    <w:rsid w:val="003130C4"/>
    <w:rsid w:val="00316C4B"/>
    <w:rsid w:val="0032192B"/>
    <w:rsid w:val="003479BD"/>
    <w:rsid w:val="00357FAC"/>
    <w:rsid w:val="0037197D"/>
    <w:rsid w:val="003768D5"/>
    <w:rsid w:val="00387490"/>
    <w:rsid w:val="003C121A"/>
    <w:rsid w:val="003C4197"/>
    <w:rsid w:val="003C47E6"/>
    <w:rsid w:val="003C4FC2"/>
    <w:rsid w:val="003E2331"/>
    <w:rsid w:val="004167E5"/>
    <w:rsid w:val="00416E61"/>
    <w:rsid w:val="004218B7"/>
    <w:rsid w:val="0042790C"/>
    <w:rsid w:val="004506F9"/>
    <w:rsid w:val="00461040"/>
    <w:rsid w:val="004717A2"/>
    <w:rsid w:val="00473DF3"/>
    <w:rsid w:val="00487911"/>
    <w:rsid w:val="00491741"/>
    <w:rsid w:val="004B0CEE"/>
    <w:rsid w:val="004C79B9"/>
    <w:rsid w:val="004D3679"/>
    <w:rsid w:val="004F5215"/>
    <w:rsid w:val="00500E5F"/>
    <w:rsid w:val="005122EF"/>
    <w:rsid w:val="0051441A"/>
    <w:rsid w:val="00517C33"/>
    <w:rsid w:val="00517D5F"/>
    <w:rsid w:val="00521AF2"/>
    <w:rsid w:val="00523644"/>
    <w:rsid w:val="0054069E"/>
    <w:rsid w:val="00544866"/>
    <w:rsid w:val="00553B5B"/>
    <w:rsid w:val="005767CC"/>
    <w:rsid w:val="00590D9F"/>
    <w:rsid w:val="0059363B"/>
    <w:rsid w:val="00595D26"/>
    <w:rsid w:val="005A74E6"/>
    <w:rsid w:val="005B3B99"/>
    <w:rsid w:val="005B404E"/>
    <w:rsid w:val="005D4D55"/>
    <w:rsid w:val="005E2CFB"/>
    <w:rsid w:val="005F2103"/>
    <w:rsid w:val="005F3D1C"/>
    <w:rsid w:val="0060104B"/>
    <w:rsid w:val="0062378F"/>
    <w:rsid w:val="00630A30"/>
    <w:rsid w:val="00641842"/>
    <w:rsid w:val="00651EEC"/>
    <w:rsid w:val="00677937"/>
    <w:rsid w:val="00686673"/>
    <w:rsid w:val="00691E8C"/>
    <w:rsid w:val="006A22C4"/>
    <w:rsid w:val="006A348B"/>
    <w:rsid w:val="006A351B"/>
    <w:rsid w:val="006B0422"/>
    <w:rsid w:val="006B742F"/>
    <w:rsid w:val="006C1B53"/>
    <w:rsid w:val="006D7730"/>
    <w:rsid w:val="006E5284"/>
    <w:rsid w:val="006F3EB5"/>
    <w:rsid w:val="00700262"/>
    <w:rsid w:val="00702E34"/>
    <w:rsid w:val="00704395"/>
    <w:rsid w:val="00710FE7"/>
    <w:rsid w:val="00717621"/>
    <w:rsid w:val="00717AFE"/>
    <w:rsid w:val="00720FF1"/>
    <w:rsid w:val="00727A53"/>
    <w:rsid w:val="00787B42"/>
    <w:rsid w:val="007C4539"/>
    <w:rsid w:val="007D02AC"/>
    <w:rsid w:val="007E77D3"/>
    <w:rsid w:val="007F05F2"/>
    <w:rsid w:val="007F3657"/>
    <w:rsid w:val="00807572"/>
    <w:rsid w:val="00812ED5"/>
    <w:rsid w:val="008277D9"/>
    <w:rsid w:val="00830639"/>
    <w:rsid w:val="00830969"/>
    <w:rsid w:val="0084478C"/>
    <w:rsid w:val="0086638C"/>
    <w:rsid w:val="008A3E8D"/>
    <w:rsid w:val="008B66E2"/>
    <w:rsid w:val="008C09C4"/>
    <w:rsid w:val="008E7867"/>
    <w:rsid w:val="00903C9A"/>
    <w:rsid w:val="00911BE6"/>
    <w:rsid w:val="009237C4"/>
    <w:rsid w:val="00944C48"/>
    <w:rsid w:val="00950252"/>
    <w:rsid w:val="009532B4"/>
    <w:rsid w:val="0095642B"/>
    <w:rsid w:val="00967F5D"/>
    <w:rsid w:val="009A0F95"/>
    <w:rsid w:val="009B3ADF"/>
    <w:rsid w:val="009C3B52"/>
    <w:rsid w:val="009E6817"/>
    <w:rsid w:val="009E6E9A"/>
    <w:rsid w:val="00A01D2B"/>
    <w:rsid w:val="00A06D23"/>
    <w:rsid w:val="00A42218"/>
    <w:rsid w:val="00A55A34"/>
    <w:rsid w:val="00A70249"/>
    <w:rsid w:val="00A70B02"/>
    <w:rsid w:val="00A71D9F"/>
    <w:rsid w:val="00A92E9F"/>
    <w:rsid w:val="00AA0B4E"/>
    <w:rsid w:val="00AA174B"/>
    <w:rsid w:val="00AE331F"/>
    <w:rsid w:val="00B03C62"/>
    <w:rsid w:val="00B23BF6"/>
    <w:rsid w:val="00B33BEA"/>
    <w:rsid w:val="00B37BED"/>
    <w:rsid w:val="00B37D08"/>
    <w:rsid w:val="00B57C9F"/>
    <w:rsid w:val="00B63572"/>
    <w:rsid w:val="00B845B3"/>
    <w:rsid w:val="00B85D8B"/>
    <w:rsid w:val="00B87A13"/>
    <w:rsid w:val="00BB24FF"/>
    <w:rsid w:val="00BB4A40"/>
    <w:rsid w:val="00BC1525"/>
    <w:rsid w:val="00BD6C3E"/>
    <w:rsid w:val="00BE3674"/>
    <w:rsid w:val="00C02251"/>
    <w:rsid w:val="00C10681"/>
    <w:rsid w:val="00C3049A"/>
    <w:rsid w:val="00C31B1E"/>
    <w:rsid w:val="00C77645"/>
    <w:rsid w:val="00C96C04"/>
    <w:rsid w:val="00CE04C3"/>
    <w:rsid w:val="00CE76A0"/>
    <w:rsid w:val="00D148C6"/>
    <w:rsid w:val="00D17A8A"/>
    <w:rsid w:val="00D27879"/>
    <w:rsid w:val="00D415BA"/>
    <w:rsid w:val="00D44AAF"/>
    <w:rsid w:val="00D63780"/>
    <w:rsid w:val="00D644EE"/>
    <w:rsid w:val="00D75489"/>
    <w:rsid w:val="00DD06FF"/>
    <w:rsid w:val="00DD5FE9"/>
    <w:rsid w:val="00E00C7A"/>
    <w:rsid w:val="00E209CF"/>
    <w:rsid w:val="00E37D6C"/>
    <w:rsid w:val="00E55618"/>
    <w:rsid w:val="00E55B68"/>
    <w:rsid w:val="00E67BE6"/>
    <w:rsid w:val="00E8683C"/>
    <w:rsid w:val="00EA2B72"/>
    <w:rsid w:val="00F11042"/>
    <w:rsid w:val="00F74360"/>
    <w:rsid w:val="00FB3E05"/>
    <w:rsid w:val="00FB462F"/>
    <w:rsid w:val="00FE16FA"/>
    <w:rsid w:val="00FE328A"/>
    <w:rsid w:val="00FE6269"/>
    <w:rsid w:val="00FF0F58"/>
    <w:rsid w:val="00FF5CD6"/>
    <w:rsid w:val="61582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 w:type="paragraph" w:customStyle="1" w:styleId="12">
    <w:name w:val="正文 A"/>
    <w:qFormat/>
    <w:uiPriority w:val="0"/>
    <w:pPr>
      <w:widowControl w:val="0"/>
      <w:jc w:val="both"/>
    </w:pPr>
    <w:rPr>
      <w:rFonts w:ascii="Arial Unicode MS" w:hAnsi="Arial Unicode MS" w:eastAsia="宋体"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DEB26-EC7A-4AB1-8F15-FC4D13A95DD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2684</Words>
  <Characters>15303</Characters>
  <Lines>127</Lines>
  <Paragraphs>35</Paragraphs>
  <TotalTime>2834</TotalTime>
  <ScaleCrop>false</ScaleCrop>
  <LinksUpToDate>false</LinksUpToDate>
  <CharactersWithSpaces>17952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慕  希</cp:lastModifiedBy>
  <cp:lastPrinted>2022-07-27T12:55:00Z</cp:lastPrinted>
  <dcterms:modified xsi:type="dcterms:W3CDTF">2023-12-01T08:06:52Z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6EFC24FBC63248668534C6C57E882673_13</vt:lpwstr>
  </property>
</Properties>
</file>