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400" w:lineRule="exact"/>
        <w:ind w:firstLine="7840" w:firstLineChars="28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B</w:t>
      </w:r>
      <w:r>
        <w:rPr>
          <w:rFonts w:hint="eastAsia" w:ascii="仿宋_GB2312" w:eastAsia="仿宋_GB2312"/>
          <w:sz w:val="28"/>
        </w:rPr>
        <w:t>类</w:t>
      </w:r>
    </w:p>
    <w:p>
      <w:pPr>
        <w:numPr>
          <w:ilvl w:val="0"/>
          <w:numId w:val="0"/>
        </w:numPr>
        <w:spacing w:line="400" w:lineRule="exact"/>
        <w:ind w:firstLine="7840" w:firstLineChars="2800"/>
        <w:rPr>
          <w:rFonts w:hint="eastAsia" w:ascii="仿宋_GB2312" w:eastAsia="仿宋_GB2312"/>
          <w:sz w:val="28"/>
          <w:lang w:eastAsia="zh-CN"/>
        </w:rPr>
      </w:pPr>
      <w:r>
        <w:rPr>
          <w:rFonts w:hint="eastAsia" w:ascii="仿宋_GB2312" w:eastAsia="仿宋_GB2312"/>
          <w:sz w:val="28"/>
          <w:lang w:eastAsia="zh-CN"/>
        </w:rPr>
        <w:t>公开</w:t>
      </w:r>
    </w:p>
    <w:p>
      <w:pPr>
        <w:jc w:val="center"/>
        <w:rPr>
          <w:rFonts w:hint="eastAsia" w:ascii="宋体" w:hAnsi="宋体"/>
          <w:sz w:val="72"/>
          <w:szCs w:val="72"/>
          <w:lang w:eastAsia="zh-CN"/>
        </w:rPr>
      </w:pPr>
    </w:p>
    <w:p>
      <w:pPr>
        <w:rPr>
          <w:rFonts w:hint="eastAsia" w:eastAsia="仿宋_GB2312"/>
          <w:sz w:val="32"/>
        </w:rPr>
      </w:pPr>
    </w:p>
    <w:p>
      <w:pPr>
        <w:spacing w:line="400" w:lineRule="exact"/>
        <w:ind w:left="0" w:leftChars="0" w:right="0" w:rightChars="0" w:firstLine="0" w:firstLineChars="0"/>
        <w:jc w:val="center"/>
        <w:rPr>
          <w:rFonts w:hint="eastAsia" w:eastAsia="仿宋_GB2312"/>
          <w:sz w:val="32"/>
          <w:lang w:eastAsia="zh-CN"/>
        </w:rPr>
      </w:pPr>
    </w:p>
    <w:p>
      <w:pPr>
        <w:spacing w:line="400" w:lineRule="exact"/>
        <w:ind w:left="0" w:leftChars="0" w:right="0" w:rightChars="0" w:firstLine="0" w:firstLineChars="0"/>
        <w:jc w:val="center"/>
        <w:rPr>
          <w:rFonts w:hint="eastAsia" w:eastAsia="仿宋_GB2312"/>
          <w:sz w:val="32"/>
          <w:lang w:eastAsia="zh-CN"/>
        </w:rPr>
      </w:pPr>
    </w:p>
    <w:p>
      <w:pPr>
        <w:spacing w:line="400" w:lineRule="exact"/>
        <w:ind w:left="0" w:leftChars="0" w:right="0" w:rightChars="0" w:firstLine="0" w:firstLineChars="0"/>
        <w:jc w:val="center"/>
        <w:rPr>
          <w:rFonts w:hint="eastAsia" w:ascii="仿宋_GB2312" w:eastAsia="仿宋_GB2312"/>
          <w:sz w:val="28"/>
        </w:rPr>
      </w:pPr>
      <w:r>
        <w:rPr>
          <w:rFonts w:hint="eastAsia" w:eastAsia="仿宋_GB2312"/>
          <w:sz w:val="32"/>
          <w:lang w:eastAsia="zh-CN"/>
        </w:rPr>
        <w:t>提案复</w:t>
      </w:r>
      <w:r>
        <w:rPr>
          <w:rFonts w:hint="eastAsia" w:ascii="仿宋_GB2312" w:eastAsia="仿宋_GB2312"/>
          <w:sz w:val="32"/>
        </w:rPr>
        <w:t>字</w:t>
      </w:r>
      <w:r>
        <w:rPr>
          <w:rFonts w:hint="eastAsia" w:ascii="仿宋_GB2312" w:eastAsia="仿宋_GB2312"/>
          <w:sz w:val="32"/>
          <w:lang w:eastAsia="zh-CN"/>
        </w:rPr>
        <w:t>〔</w:t>
      </w:r>
      <w:r>
        <w:rPr>
          <w:rFonts w:hint="eastAsia" w:ascii="仿宋_GB2312" w:eastAsia="仿宋_GB2312"/>
          <w:sz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lang w:eastAsia="zh-CN"/>
        </w:rPr>
        <w:t>〕</w:t>
      </w:r>
      <w:r>
        <w:rPr>
          <w:rFonts w:hint="eastAsia" w:ascii="仿宋_GB2312" w:eastAsia="仿宋_GB2312"/>
          <w:sz w:val="32"/>
          <w:lang w:val="en-US" w:eastAsia="zh-CN"/>
        </w:rPr>
        <w:t>3</w:t>
      </w:r>
      <w:r>
        <w:rPr>
          <w:rFonts w:hint="eastAsia" w:ascii="仿宋_GB2312" w:eastAsia="仿宋_GB2312"/>
          <w:sz w:val="32"/>
        </w:rPr>
        <w:t>号</w:t>
      </w:r>
    </w:p>
    <w:p>
      <w:pPr>
        <w:jc w:val="center"/>
        <w:rPr>
          <w:rFonts w:hint="eastAsia" w:ascii="黑体" w:eastAsia="黑体"/>
          <w:sz w:val="36"/>
          <w:lang w:eastAsia="zh-CN"/>
        </w:rPr>
      </w:pPr>
    </w:p>
    <w:p>
      <w:pPr>
        <w:jc w:val="center"/>
        <w:rPr>
          <w:rFonts w:hint="eastAsia" w:ascii="黑体" w:eastAsia="黑体"/>
          <w:sz w:val="36"/>
        </w:rPr>
      </w:pPr>
      <w:bookmarkStart w:id="0" w:name="_GoBack"/>
      <w:r>
        <w:rPr>
          <w:rFonts w:hint="eastAsia" w:ascii="黑体" w:eastAsia="黑体"/>
          <w:sz w:val="36"/>
          <w:lang w:eastAsia="zh-CN"/>
        </w:rPr>
        <w:t>关于市政协九</w:t>
      </w:r>
      <w:r>
        <w:rPr>
          <w:rFonts w:hint="eastAsia" w:ascii="黑体" w:eastAsia="黑体"/>
          <w:sz w:val="36"/>
        </w:rPr>
        <w:t>届</w:t>
      </w:r>
      <w:r>
        <w:rPr>
          <w:rFonts w:hint="eastAsia" w:ascii="黑体" w:eastAsia="黑体"/>
          <w:sz w:val="36"/>
          <w:lang w:eastAsia="zh-CN"/>
        </w:rPr>
        <w:t>二</w:t>
      </w:r>
      <w:r>
        <w:rPr>
          <w:rFonts w:hint="eastAsia" w:ascii="黑体" w:eastAsia="黑体"/>
          <w:sz w:val="36"/>
        </w:rPr>
        <w:t>次会议第</w:t>
      </w:r>
      <w:r>
        <w:rPr>
          <w:rFonts w:hint="eastAsia" w:ascii="黑体" w:eastAsia="黑体"/>
          <w:sz w:val="36"/>
          <w:lang w:val="en-US" w:eastAsia="zh-CN"/>
        </w:rPr>
        <w:t>00025</w:t>
      </w:r>
      <w:r>
        <w:rPr>
          <w:rFonts w:hint="eastAsia" w:ascii="黑体" w:eastAsia="黑体"/>
          <w:sz w:val="36"/>
        </w:rPr>
        <w:t>号</w:t>
      </w:r>
      <w:r>
        <w:rPr>
          <w:rFonts w:hint="eastAsia" w:ascii="黑体" w:eastAsia="黑体"/>
          <w:sz w:val="36"/>
          <w:lang w:eastAsia="zh-CN"/>
        </w:rPr>
        <w:t>提案</w:t>
      </w:r>
      <w:r>
        <w:rPr>
          <w:rFonts w:hint="eastAsia" w:ascii="黑体" w:eastAsia="黑体"/>
          <w:sz w:val="36"/>
        </w:rPr>
        <w:t>的答复</w:t>
      </w:r>
    </w:p>
    <w:bookmarkEnd w:id="0"/>
    <w:p>
      <w:pPr>
        <w:rPr>
          <w:rFonts w:hint="eastAsia" w:eastAsia="黑体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尊敬的刘见芬委员：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您提出的《推动公共法律服务进园区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的提案》收悉，现答复如下：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我局2022年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在湘乡市经开区建立了公共法律服务站，进一步加强了三级公共法律服务机构及园区的规范化建设，同时借助如法网、12348法律援助热线等方式，努力形成上下贯通、功能完备、整体联动的公共法律服务实体平台和网络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近年来，湘乡市司法局遵循“法治是最好的营商环境”理念，以升级公共法律服务为抓手，进一步发挥律师专业作用，持续优化法治化营商环境，切实保护市场主体合法权益。今年我局开展“千所联千企”专项活动，组织律师主动上门与园区企业、民营企业对接联系，按各自擅长领域，通过定点、定时、定服务方向的方式为企业开展法律咨询、法治宣传、提出优化发展环境建议、法治体检等法律服务，实现法律服务与企业需求的精准匹配、有效对接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4月以来，湖南省湘乡市司法局共组织律师深入8家企业开展法律咨询，为企业开展法治体检2次，提供优化发展环境法律意见建议16条，开展法治宣传3场，发放宣传资料700余份。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下一步，我局将以习近平新时代中国特色社会主义思想为指导，贯彻落实习近平法治思想，不断提升工作能力质效，为全市经济社会高质量发展提供坚强有力的法治保障。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一是加强公共法律服务工作保障。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积极争取党委政府重视，切实维护公共法律服务三级平台运转。切实加大财政投入，确保公共法律服务能够办事、能办成事。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二是在维护社会大局稳定上抓严抓实。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进一步整合人民调解力量，深入开展矛盾纠纷隐患、婚恋家庭纠纷排查化解专项行动，抓好诉源治理工作，积极探索新形势下矛盾纠纷多元化解的新方法，提升人民调解的社会公信力和影响力。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三是在提升法律服务品质上做优做强。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围绕市委、市政府的重大事项决策和市内的重点项目、重大工程、重大事项，主动提供优质高效的法律服务。紧贴人民群众的法律服务需求，通过开展“我为群众办实事”活动等形式，解决人民群众“急、难、愁、盼”的困难和问题。开展公共法律服务进园区、进企业（项目）活动，持续优化营商环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感谢您对司法行政工作的关心和支持。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湘乡市司法局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760" w:firstLineChars="18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2023年5月29日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40" w:firstLineChars="17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>熊亚中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许媛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18573207188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sectPr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NTljNzdmYWIyZjZjN2M0YzI3OTE0OTU3Mzk4NTcifQ=="/>
  </w:docVars>
  <w:rsids>
    <w:rsidRoot w:val="2B3370D9"/>
    <w:rsid w:val="2B3370D9"/>
    <w:rsid w:val="6E6A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rPr>
      <w:rFonts w:ascii="Times New Roman" w:hAnsi="Times New Roman" w:eastAsia="宋体" w:cs="Times New Roman"/>
    </w:rPr>
  </w:style>
  <w:style w:type="paragraph" w:styleId="3">
    <w:name w:val="toc 1"/>
    <w:basedOn w:val="1"/>
    <w:next w:val="1"/>
    <w:unhideWhenUsed/>
    <w:qFormat/>
    <w:uiPriority w:val="39"/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2023-05-31T00:12:00Z</dcterms:created>
  <dc:creator>Administrator</dc:creator>
  <cp:lastModifiedBy>Administrator</cp:lastModifiedBy>
  <dcterms:modified xsi:type="dcterms:W3CDTF">2023-05-31T00:21:44Z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C73614D630A94406A40A8BA54916C49B_11</vt:lpwstr>
  </property>
</Properties>
</file>