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line="720" w:lineRule="auto"/>
        <w:ind w:firstLine="0"/>
        <w:jc w:val="left"/>
        <w:rPr>
          <w:rFonts w:hint="eastAsia" w:ascii="宋体" w:eastAsia="宋体" w:cs="宋体"/>
          <w:color w:val="auto"/>
          <w:sz w:val="24"/>
          <w:szCs w:val="24"/>
        </w:rPr>
      </w:pPr>
      <w:r>
        <w:rPr>
          <w:rFonts w:hint="eastAsia" w:ascii="宋体" w:eastAsia="宋体" w:cs="宋体"/>
          <w:color w:val="auto"/>
          <w:sz w:val="24"/>
          <w:szCs w:val="24"/>
        </w:rPr>
        <w:t>湖南早熟油菜优势特色产业集群</w:t>
      </w:r>
    </w:p>
    <w:p>
      <w:pPr>
        <w:keepNext w:val="0"/>
        <w:keepLines w:val="0"/>
        <w:pageBreakBefore w:val="0"/>
        <w:widowControl w:val="0"/>
        <w:kinsoku/>
        <w:wordWrap/>
        <w:overflowPunct/>
        <w:topLinePunct w:val="0"/>
        <w:autoSpaceDE/>
        <w:autoSpaceDN/>
        <w:bidi w:val="0"/>
        <w:adjustRightInd/>
        <w:snapToGrid/>
        <w:spacing w:line="440" w:lineRule="exact"/>
        <w:textAlignment w:val="auto"/>
        <w:rPr>
          <w:b/>
          <w:bCs/>
          <w:sz w:val="52"/>
          <w:szCs w:val="52"/>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eastAsia="宋体" w:cs="宋体"/>
          <w:b/>
          <w:bCs/>
          <w:sz w:val="44"/>
          <w:szCs w:val="44"/>
          <w:lang w:val="en-US" w:eastAsia="zh-CN"/>
        </w:rPr>
      </w:pPr>
      <w:r>
        <w:rPr>
          <w:rFonts w:hint="eastAsia" w:ascii="宋体" w:eastAsia="宋体" w:cs="宋体"/>
          <w:b/>
          <w:bCs/>
          <w:sz w:val="44"/>
          <w:szCs w:val="44"/>
          <w:lang w:val="en-US" w:eastAsia="zh-CN"/>
        </w:rPr>
        <w:t>湘乡市</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eastAsia="宋体" w:cs="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eastAsia="宋体" w:cs="宋体"/>
          <w:b/>
          <w:bCs/>
          <w:sz w:val="44"/>
          <w:szCs w:val="44"/>
          <w:lang w:val="en-US" w:eastAsia="zh-CN"/>
        </w:rPr>
      </w:pPr>
      <w:r>
        <w:rPr>
          <w:rFonts w:hint="eastAsia" w:ascii="宋体" w:eastAsia="宋体" w:cs="宋体"/>
          <w:b/>
          <w:bCs/>
          <w:sz w:val="44"/>
          <w:szCs w:val="44"/>
          <w:lang w:val="en-US" w:eastAsia="zh-CN"/>
        </w:rPr>
        <w:t>早熟油菜优势特色产业集群2024年度</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eastAsia="宋体" w:cs="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eastAsia="宋体" w:cs="宋体"/>
          <w:b/>
          <w:bCs/>
          <w:sz w:val="44"/>
          <w:szCs w:val="44"/>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eastAsia="宋体" w:cs="宋体"/>
          <w:b/>
          <w:bCs/>
          <w:sz w:val="48"/>
          <w:szCs w:val="48"/>
          <w:lang w:val="en-US" w:eastAsia="zh-CN"/>
        </w:rPr>
      </w:pPr>
      <w:r>
        <w:rPr>
          <w:rFonts w:hint="eastAsia" w:ascii="宋体" w:eastAsia="宋体" w:cs="宋体"/>
          <w:b/>
          <w:bCs/>
          <w:sz w:val="48"/>
          <w:szCs w:val="48"/>
          <w:lang w:val="en-US" w:eastAsia="zh-CN"/>
        </w:rPr>
        <w:t>续</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eastAsia="宋体" w:cs="宋体"/>
          <w:b/>
          <w:bCs/>
          <w:sz w:val="48"/>
          <w:szCs w:val="48"/>
          <w:lang w:val="en-US" w:eastAsia="zh-CN"/>
        </w:rPr>
      </w:pPr>
    </w:p>
    <w:p>
      <w:pPr>
        <w:pStyle w:val="2"/>
        <w:rPr>
          <w:rFonts w:hint="eastAsia"/>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eastAsia="宋体" w:cs="宋体"/>
          <w:b/>
          <w:bCs/>
          <w:sz w:val="48"/>
          <w:szCs w:val="48"/>
          <w:lang w:val="en-US" w:eastAsia="zh-CN"/>
        </w:rPr>
      </w:pPr>
      <w:r>
        <w:rPr>
          <w:rFonts w:hint="eastAsia" w:ascii="宋体" w:eastAsia="宋体" w:cs="宋体"/>
          <w:b/>
          <w:bCs/>
          <w:sz w:val="48"/>
          <w:szCs w:val="48"/>
          <w:lang w:val="en-US" w:eastAsia="zh-CN"/>
        </w:rPr>
        <w:t>建</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eastAsia="宋体" w:cs="宋体"/>
          <w:b/>
          <w:bCs/>
          <w:sz w:val="48"/>
          <w:szCs w:val="48"/>
          <w:lang w:val="en-US" w:eastAsia="zh-CN"/>
        </w:rPr>
      </w:pPr>
    </w:p>
    <w:p>
      <w:pPr>
        <w:pStyle w:val="2"/>
        <w:rPr>
          <w:rFonts w:hint="eastAsia"/>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eastAsia="宋体" w:cs="宋体"/>
          <w:b/>
          <w:bCs/>
          <w:sz w:val="48"/>
          <w:szCs w:val="48"/>
          <w:lang w:val="en-US" w:eastAsia="zh-CN"/>
        </w:rPr>
      </w:pPr>
      <w:r>
        <w:rPr>
          <w:rFonts w:hint="eastAsia" w:ascii="宋体" w:eastAsia="宋体" w:cs="宋体"/>
          <w:b/>
          <w:bCs/>
          <w:sz w:val="48"/>
          <w:szCs w:val="48"/>
          <w:lang w:val="en-US" w:eastAsia="zh-CN"/>
        </w:rPr>
        <w:t>方</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eastAsia="宋体" w:cs="宋体"/>
          <w:b/>
          <w:bCs/>
          <w:sz w:val="48"/>
          <w:szCs w:val="48"/>
          <w:lang w:val="en-US" w:eastAsia="zh-CN"/>
        </w:rPr>
      </w:pPr>
    </w:p>
    <w:p>
      <w:pPr>
        <w:pStyle w:val="2"/>
        <w:rPr>
          <w:rFonts w:hint="eastAsia"/>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eastAsia="宋体" w:cs="宋体"/>
          <w:b/>
          <w:bCs/>
          <w:sz w:val="48"/>
          <w:szCs w:val="48"/>
          <w:lang w:val="en-US" w:eastAsia="zh-CN"/>
        </w:rPr>
      </w:pPr>
      <w:r>
        <w:rPr>
          <w:rFonts w:hint="eastAsia" w:ascii="宋体" w:eastAsia="宋体" w:cs="宋体"/>
          <w:b/>
          <w:bCs/>
          <w:sz w:val="48"/>
          <w:szCs w:val="48"/>
          <w:lang w:val="en-US" w:eastAsia="zh-CN"/>
        </w:rPr>
        <w:t>案</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eastAsia="宋体" w:cs="宋体"/>
          <w:b/>
          <w:bCs/>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eastAsia="宋体" w:cs="宋体"/>
          <w:b/>
          <w:bCs/>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cs="宋体"/>
          <w:b/>
          <w:bCs/>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cs="宋体"/>
          <w:b/>
          <w:bCs/>
          <w:sz w:val="36"/>
          <w:szCs w:val="36"/>
          <w:lang w:val="en-US" w:eastAsia="zh-CN"/>
        </w:rPr>
      </w:pPr>
      <w:r>
        <w:rPr>
          <w:rFonts w:hint="eastAsia" w:ascii="宋体" w:cs="宋体"/>
          <w:b/>
          <w:bCs/>
          <w:sz w:val="36"/>
          <w:szCs w:val="36"/>
          <w:lang w:val="en-US" w:eastAsia="zh-CN"/>
        </w:rPr>
        <w:t>湖南省湘乡市</w:t>
      </w:r>
    </w:p>
    <w:p>
      <w:pPr>
        <w:keepNext w:val="0"/>
        <w:keepLines w:val="0"/>
        <w:pageBreakBefore w:val="0"/>
        <w:widowControl w:val="0"/>
        <w:kinsoku/>
        <w:wordWrap/>
        <w:overflowPunct/>
        <w:topLinePunct w:val="0"/>
        <w:autoSpaceDE/>
        <w:autoSpaceDN/>
        <w:bidi w:val="0"/>
        <w:adjustRightInd/>
        <w:snapToGrid/>
        <w:spacing w:line="440" w:lineRule="exact"/>
        <w:ind w:firstLine="2891" w:firstLineChars="800"/>
        <w:jc w:val="both"/>
        <w:textAlignment w:val="auto"/>
        <w:rPr>
          <w:rFonts w:hint="eastAsia" w:ascii="宋体" w:cs="宋体"/>
          <w:b/>
          <w:bCs/>
          <w:sz w:val="36"/>
          <w:szCs w:val="36"/>
          <w:lang w:val="en-US" w:eastAsia="zh-CN"/>
        </w:rPr>
      </w:pPr>
      <w:r>
        <w:rPr>
          <w:rFonts w:hint="eastAsia" w:ascii="宋体" w:cs="宋体"/>
          <w:b/>
          <w:bCs/>
          <w:sz w:val="36"/>
          <w:szCs w:val="36"/>
          <w:lang w:val="en-US" w:eastAsia="zh-CN"/>
        </w:rPr>
        <w:t>2024年2月21日</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cs="宋体"/>
          <w:b/>
          <w:bCs/>
          <w:sz w:val="36"/>
          <w:szCs w:val="36"/>
          <w:lang w:val="en-US" w:eastAsia="zh-CN"/>
        </w:rPr>
      </w:pPr>
    </w:p>
    <w:p>
      <w:pPr>
        <w:pStyle w:val="4"/>
        <w:keepNext/>
        <w:keepLines/>
        <w:pageBreakBefore w:val="0"/>
        <w:widowControl w:val="0"/>
        <w:kinsoku/>
        <w:wordWrap/>
        <w:overflowPunct/>
        <w:topLinePunct w:val="0"/>
        <w:autoSpaceDE/>
        <w:autoSpaceDN/>
        <w:bidi w:val="0"/>
        <w:adjustRightInd/>
        <w:snapToGrid/>
        <w:spacing w:line="540" w:lineRule="atLeast"/>
        <w:ind w:firstLine="643" w:firstLineChars="200"/>
        <w:textAlignment w:val="auto"/>
        <w:rPr>
          <w:rFonts w:hint="eastAsia" w:ascii="仿宋_GB2312" w:eastAsia="仿宋_GB2312" w:cs="Arial"/>
          <w:b/>
          <w:bCs/>
          <w:kern w:val="2"/>
          <w:sz w:val="32"/>
          <w:szCs w:val="32"/>
          <w:lang w:val="en-US" w:eastAsia="zh-CN" w:bidi="ar-SA"/>
        </w:rPr>
      </w:pPr>
      <w:r>
        <w:rPr>
          <w:rFonts w:hint="eastAsia" w:ascii="仿宋_GB2312" w:eastAsia="仿宋_GB2312" w:cs="Arial"/>
          <w:b/>
          <w:bCs/>
          <w:kern w:val="2"/>
          <w:sz w:val="32"/>
          <w:szCs w:val="32"/>
          <w:lang w:val="en-US" w:eastAsia="zh-CN" w:bidi="ar-SA"/>
        </w:rPr>
        <w:t>一、前期建设成效</w:t>
      </w:r>
    </w:p>
    <w:p>
      <w:pPr>
        <w:ind w:firstLine="560"/>
        <w:rPr>
          <w:rFonts w:hint="eastAsia" w:ascii="仿宋_GB2312" w:eastAsia="仿宋_GB2312"/>
          <w:sz w:val="32"/>
          <w:szCs w:val="32"/>
        </w:rPr>
      </w:pPr>
      <w:r>
        <w:rPr>
          <w:rFonts w:ascii="仿宋_GB2312" w:eastAsia="仿宋_GB2312" w:cs="仿宋_GB2312"/>
          <w:color w:val="000000"/>
          <w:kern w:val="0"/>
          <w:sz w:val="32"/>
          <w:szCs w:val="32"/>
          <w:lang w:val="en-US" w:eastAsia="zh-CN"/>
        </w:rPr>
        <w:t>湘乡市位于湖南省中部，辖3乡15镇4个街道办事处，297个村，38个社区居委会，人口约92.72万，总面积1966.21平方公里。</w:t>
      </w:r>
      <w:r>
        <w:rPr>
          <w:rFonts w:hint="eastAsia" w:ascii="仿宋_GB2312" w:eastAsia="仿宋_GB2312" w:cs="仿宋_GB2312"/>
          <w:color w:val="000000"/>
          <w:kern w:val="0"/>
          <w:sz w:val="32"/>
          <w:szCs w:val="32"/>
          <w:lang w:val="en-US" w:eastAsia="zh-CN"/>
        </w:rPr>
        <w:t>获评湖南省粮食生产先进县、湖南省全面小康经济强县、湖南省县域经济十强县等荣誉称号。湘乡市委、市政府历来重视粮油生产，常年油菜种植面积达22万多亩，总产量2万吨以上。全市</w:t>
      </w:r>
      <w:r>
        <w:rPr>
          <w:rFonts w:ascii="仿宋_GB2312" w:eastAsia="仿宋_GB2312" w:cs="仿宋_GB2312"/>
          <w:color w:val="000000"/>
          <w:kern w:val="0"/>
          <w:sz w:val="32"/>
          <w:szCs w:val="32"/>
          <w:lang w:val="en-US" w:eastAsia="zh-CN"/>
        </w:rPr>
        <w:t>共有涉及油菜生产、加工、销售龙头企业、专业合作组织、家庭农场等经营主体485家</w:t>
      </w:r>
      <w:r>
        <w:rPr>
          <w:rFonts w:hint="eastAsia" w:ascii="仿宋_GB2312" w:eastAsia="仿宋_GB2312" w:cs="仿宋_GB2312"/>
          <w:color w:val="000000"/>
          <w:kern w:val="0"/>
          <w:sz w:val="32"/>
          <w:szCs w:val="32"/>
          <w:lang w:val="en-US" w:eastAsia="zh-CN"/>
        </w:rPr>
        <w:t>，各类</w:t>
      </w:r>
      <w:r>
        <w:rPr>
          <w:rFonts w:eastAsia="仿宋_GB2312"/>
          <w:sz w:val="32"/>
          <w:szCs w:val="32"/>
        </w:rPr>
        <w:t>油菜加工企业186家，油脂加工能力6万吨以上，规模植物油油脂加工企业5家，年加工油脂5500吨以上，油脂总产值达1.9亿元</w:t>
      </w:r>
      <w:r>
        <w:rPr>
          <w:rFonts w:hint="eastAsia" w:eastAsia="仿宋_GB2312"/>
          <w:sz w:val="32"/>
          <w:szCs w:val="32"/>
          <w:lang w:eastAsia="zh-CN"/>
        </w:rPr>
        <w:t>，</w:t>
      </w:r>
      <w:r>
        <w:rPr>
          <w:rFonts w:hint="eastAsia" w:ascii="仿宋_GB2312" w:eastAsia="仿宋_GB2312" w:cs="仿宋_GB2312"/>
          <w:color w:val="000000"/>
          <w:kern w:val="0"/>
          <w:sz w:val="32"/>
          <w:szCs w:val="32"/>
          <w:lang w:val="en-US" w:eastAsia="zh-CN"/>
        </w:rPr>
        <w:t>逐步形成了菜籽油全产业链模式，菜籽油产业实现高质量发展。根据《湖南省农业农村厅</w:t>
      </w:r>
      <w:r>
        <w:rPr>
          <w:rFonts w:hint="eastAsia" w:eastAsia="仿宋_GB2312"/>
          <w:sz w:val="32"/>
          <w:szCs w:val="32"/>
        </w:rPr>
        <w:t>、</w:t>
      </w:r>
      <w:r>
        <w:rPr>
          <w:rFonts w:hint="eastAsia" w:ascii="仿宋_GB2312" w:eastAsia="仿宋_GB2312" w:cs="仿宋_GB2312"/>
          <w:color w:val="000000"/>
          <w:kern w:val="0"/>
          <w:sz w:val="32"/>
          <w:szCs w:val="32"/>
          <w:lang w:val="en-US" w:eastAsia="zh-CN"/>
        </w:rPr>
        <w:t>湖南省财政厅关于印发&lt;湖南优势特色产业集群2022年建设实施方案&gt;的通知》（湘农联[2022]79号）文件精神，</w:t>
      </w:r>
      <w:r>
        <w:rPr>
          <w:rFonts w:eastAsia="仿宋_GB2312"/>
          <w:sz w:val="32"/>
          <w:szCs w:val="32"/>
        </w:rPr>
        <w:t>湘乡市</w:t>
      </w:r>
      <w:r>
        <w:rPr>
          <w:rFonts w:hint="eastAsia" w:eastAsia="仿宋_GB2312"/>
          <w:sz w:val="32"/>
          <w:szCs w:val="32"/>
          <w:lang w:val="en-US" w:eastAsia="zh-CN"/>
        </w:rPr>
        <w:t>2022年重点支持4家中小规模企业产地加工提升升级；同步推进建设1个绿色高质高效示范基地共1500亩；打造1个农旅融合示范基地，建设12000亩油菜示范基地和造型景观带；培育“嘉宝源”产品品牌，扩大市场知名度。建设主体有湘</w:t>
      </w:r>
      <w:r>
        <w:rPr>
          <w:rFonts w:hint="eastAsia" w:eastAsia="仿宋_GB2312"/>
          <w:sz w:val="32"/>
          <w:szCs w:val="32"/>
        </w:rPr>
        <w:t>乡市永嘉农业开发有限公司、湘乡市</w:t>
      </w:r>
      <w:r>
        <w:rPr>
          <w:rFonts w:hint="eastAsia" w:eastAsia="仿宋_GB2312"/>
          <w:sz w:val="32"/>
          <w:szCs w:val="32"/>
          <w:lang w:eastAsia="zh-CN"/>
        </w:rPr>
        <w:t>湘辉农机服务</w:t>
      </w:r>
      <w:r>
        <w:rPr>
          <w:rFonts w:hint="eastAsia" w:eastAsia="仿宋_GB2312"/>
          <w:sz w:val="32"/>
          <w:szCs w:val="32"/>
        </w:rPr>
        <w:t>专业合作社、湖南楚山宝农业发展有限公司、湖南辉煌生态农业综合开发有限公司、湘乡市金石镇国常食用油加工厂、湖南省虞塘镇裕康食用油加工厂</w:t>
      </w:r>
      <w:r>
        <w:rPr>
          <w:rFonts w:hint="eastAsia" w:eastAsia="仿宋_GB2312"/>
          <w:sz w:val="32"/>
          <w:szCs w:val="32"/>
          <w:lang w:eastAsia="zh-CN"/>
        </w:rPr>
        <w:t>、湘乡市人民政府等</w:t>
      </w:r>
      <w:r>
        <w:rPr>
          <w:rFonts w:hint="eastAsia" w:eastAsia="仿宋_GB2312"/>
          <w:sz w:val="32"/>
          <w:szCs w:val="32"/>
          <w:lang w:val="en-US" w:eastAsia="zh-CN"/>
        </w:rPr>
        <w:t>7家单位。</w:t>
      </w:r>
      <w:r>
        <w:rPr>
          <w:rFonts w:hint="eastAsia" w:ascii="仿宋_GB2312" w:eastAsia="仿宋_GB2312"/>
          <w:sz w:val="32"/>
          <w:szCs w:val="32"/>
        </w:rPr>
        <w:t>项目</w:t>
      </w:r>
      <w:r>
        <w:rPr>
          <w:rFonts w:ascii="仿宋_GB2312" w:eastAsia="仿宋_GB2312"/>
          <w:sz w:val="32"/>
          <w:szCs w:val="32"/>
        </w:rPr>
        <w:t>资金</w:t>
      </w:r>
      <w:r>
        <w:rPr>
          <w:rFonts w:hint="eastAsia" w:ascii="仿宋_GB2312" w:eastAsia="仿宋_GB2312"/>
          <w:sz w:val="32"/>
          <w:szCs w:val="32"/>
        </w:rPr>
        <w:t>3075万元，其中：中央财政资金600万元，省级财政配套资金50万元，地方整合和自筹资金2425万元</w:t>
      </w:r>
      <w:r>
        <w:rPr>
          <w:rFonts w:hint="eastAsia" w:ascii="Times New Roman" w:hAnsi="Times New Roman" w:eastAsia="仿宋_GB2312" w:cs="Times New Roman"/>
          <w:sz w:val="32"/>
          <w:szCs w:val="40"/>
          <w:lang w:eastAsia="zh-CN"/>
        </w:rPr>
        <w:t>。我市</w:t>
      </w:r>
      <w:r>
        <w:rPr>
          <w:rFonts w:ascii="仿宋_GB2312" w:eastAsia="仿宋_GB2312" w:cs="仿宋_GB2312"/>
          <w:color w:val="000000"/>
          <w:kern w:val="0"/>
          <w:sz w:val="32"/>
          <w:szCs w:val="32"/>
          <w:lang w:val="en-US" w:eastAsia="zh-CN"/>
        </w:rPr>
        <w:t>早熟油菜优势特色产业集群项目采取</w:t>
      </w:r>
      <w:r>
        <w:rPr>
          <w:rFonts w:ascii="Times New Roman" w:hAnsi="Times New Roman" w:eastAsia="宋体" w:cs="Times New Roman"/>
          <w:color w:val="000000"/>
          <w:kern w:val="0"/>
          <w:sz w:val="32"/>
          <w:szCs w:val="32"/>
          <w:lang w:val="en-US" w:eastAsia="zh-CN"/>
        </w:rPr>
        <w:t>“</w:t>
      </w:r>
      <w:r>
        <w:rPr>
          <w:rFonts w:ascii="仿宋_GB2312" w:eastAsia="仿宋_GB2312" w:cs="仿宋_GB2312"/>
          <w:color w:val="000000"/>
          <w:kern w:val="0"/>
          <w:sz w:val="32"/>
          <w:szCs w:val="32"/>
          <w:lang w:val="en-US" w:eastAsia="zh-CN"/>
        </w:rPr>
        <w:t>全市推进，重点布局</w:t>
      </w:r>
      <w:r>
        <w:rPr>
          <w:rFonts w:ascii="Times New Roman" w:hAnsi="Times New Roman" w:eastAsia="宋体" w:cs="Times New Roman"/>
          <w:color w:val="000000"/>
          <w:kern w:val="0"/>
          <w:sz w:val="32"/>
          <w:szCs w:val="32"/>
          <w:lang w:val="en-US" w:eastAsia="zh-CN"/>
        </w:rPr>
        <w:t>”</w:t>
      </w:r>
      <w:r>
        <w:rPr>
          <w:rFonts w:ascii="仿宋_GB2312" w:eastAsia="仿宋_GB2312" w:cs="仿宋_GB2312"/>
          <w:color w:val="000000"/>
          <w:kern w:val="0"/>
          <w:sz w:val="32"/>
          <w:szCs w:val="32"/>
          <w:lang w:val="en-US" w:eastAsia="zh-CN"/>
        </w:rPr>
        <w:t xml:space="preserve">的原则，实施地点覆盖全市 </w:t>
      </w:r>
      <w:r>
        <w:rPr>
          <w:rFonts w:ascii="Times New Roman" w:hAnsi="Times New Roman" w:eastAsia="宋体" w:cs="Times New Roman"/>
          <w:color w:val="000000"/>
          <w:kern w:val="0"/>
          <w:sz w:val="32"/>
          <w:szCs w:val="32"/>
          <w:lang w:val="en-US" w:eastAsia="zh-CN"/>
        </w:rPr>
        <w:t xml:space="preserve">22 </w:t>
      </w:r>
      <w:r>
        <w:rPr>
          <w:rFonts w:ascii="仿宋_GB2312" w:eastAsia="仿宋_GB2312" w:cs="仿宋_GB2312"/>
          <w:color w:val="000000"/>
          <w:kern w:val="0"/>
          <w:sz w:val="32"/>
          <w:szCs w:val="32"/>
          <w:lang w:val="en-US" w:eastAsia="zh-CN"/>
        </w:rPr>
        <w:t>个乡镇（街道）。主要从标准化生产基地建设、加工能力提升、产业融合发展、品牌体系构建等方面建设实施。</w:t>
      </w:r>
      <w:r>
        <w:rPr>
          <w:rFonts w:hint="eastAsia" w:ascii="Times New Roman" w:hAnsi="Times New Roman" w:eastAsia="仿宋_GB2312" w:cs="Times New Roman"/>
          <w:sz w:val="32"/>
          <w:szCs w:val="40"/>
          <w:lang w:eastAsia="zh-CN"/>
        </w:rPr>
        <w:t>到目前为止，</w:t>
      </w:r>
      <w:r>
        <w:rPr>
          <w:rFonts w:ascii="仿宋_GB2312" w:eastAsia="仿宋_GB2312"/>
          <w:sz w:val="32"/>
          <w:szCs w:val="32"/>
        </w:rPr>
        <w:t>湘乡市湘辉农机服务专业合作社</w:t>
      </w:r>
      <w:r>
        <w:rPr>
          <w:rFonts w:hint="eastAsia" w:ascii="仿宋_GB2312" w:eastAsia="仿宋_GB2312"/>
          <w:sz w:val="32"/>
          <w:szCs w:val="32"/>
        </w:rPr>
        <w:t>实施</w:t>
      </w:r>
      <w:r>
        <w:rPr>
          <w:rFonts w:hint="eastAsia" w:ascii="宋体" w:eastAsia="宋体" w:cs="宋体"/>
          <w:sz w:val="28"/>
          <w:szCs w:val="28"/>
          <w:lang w:bidi="en-US"/>
        </w:rPr>
        <w:t>的</w:t>
      </w:r>
      <w:r>
        <w:rPr>
          <w:rFonts w:ascii="Times New Roman" w:hAnsi="Times New Roman" w:eastAsia="仿宋_GB2312"/>
          <w:sz w:val="32"/>
          <w:szCs w:val="40"/>
        </w:rPr>
        <w:t>绿色高</w:t>
      </w:r>
      <w:r>
        <w:rPr>
          <w:rFonts w:hint="eastAsia" w:ascii="Times New Roman" w:hAnsi="Times New Roman" w:eastAsia="仿宋_GB2312" w:cs="Times New Roman"/>
          <w:sz w:val="32"/>
          <w:szCs w:val="40"/>
        </w:rPr>
        <w:t>质高效示范基地子项目</w:t>
      </w:r>
      <w:r>
        <w:rPr>
          <w:rFonts w:hint="eastAsia" w:ascii="Times New Roman" w:hAnsi="Times New Roman" w:eastAsia="仿宋_GB2312" w:cs="Times New Roman"/>
          <w:sz w:val="32"/>
          <w:szCs w:val="40"/>
          <w:lang w:eastAsia="zh-CN"/>
        </w:rPr>
        <w:t>，</w:t>
      </w:r>
      <w:r>
        <w:rPr>
          <w:rFonts w:ascii="仿宋_GB2312" w:eastAsia="仿宋_GB2312"/>
          <w:sz w:val="32"/>
          <w:szCs w:val="32"/>
        </w:rPr>
        <w:t>湖南楚山宝农业发展有限公司</w:t>
      </w:r>
      <w:r>
        <w:rPr>
          <w:rFonts w:hint="eastAsia" w:ascii="仿宋_GB2312" w:eastAsia="仿宋_GB2312"/>
          <w:sz w:val="32"/>
          <w:szCs w:val="32"/>
        </w:rPr>
        <w:t>、</w:t>
      </w:r>
      <w:r>
        <w:rPr>
          <w:rFonts w:ascii="仿宋_GB2312" w:eastAsia="仿宋_GB2312"/>
          <w:sz w:val="32"/>
          <w:szCs w:val="32"/>
        </w:rPr>
        <w:t>湖南辉煌生态农业综合开发有限公司</w:t>
      </w:r>
      <w:r>
        <w:rPr>
          <w:rFonts w:hint="eastAsia" w:ascii="仿宋_GB2312" w:eastAsia="仿宋_GB2312"/>
          <w:sz w:val="32"/>
          <w:szCs w:val="32"/>
        </w:rPr>
        <w:t>、</w:t>
      </w:r>
      <w:r>
        <w:rPr>
          <w:rFonts w:ascii="仿宋_GB2312" w:eastAsia="仿宋_GB2312"/>
          <w:sz w:val="32"/>
          <w:szCs w:val="32"/>
        </w:rPr>
        <w:t>湖南省虞塘镇食用油加工厂</w:t>
      </w:r>
      <w:r>
        <w:rPr>
          <w:rFonts w:hint="eastAsia" w:ascii="仿宋_GB2312" w:eastAsia="仿宋_GB2312"/>
          <w:sz w:val="32"/>
          <w:szCs w:val="32"/>
        </w:rPr>
        <w:t>共四家主体实施的项目己通过三方审计</w:t>
      </w:r>
      <w:r>
        <w:rPr>
          <w:rFonts w:hint="eastAsia" w:ascii="仿宋_GB2312" w:eastAsia="仿宋_GB2312"/>
          <w:sz w:val="32"/>
          <w:szCs w:val="32"/>
          <w:lang w:eastAsia="zh-CN"/>
        </w:rPr>
        <w:t>、</w:t>
      </w:r>
      <w:r>
        <w:rPr>
          <w:rFonts w:hint="eastAsia" w:ascii="仿宋_GB2312" w:eastAsia="仿宋_GB2312"/>
          <w:sz w:val="32"/>
          <w:szCs w:val="32"/>
        </w:rPr>
        <w:t>县级验收</w:t>
      </w:r>
      <w:r>
        <w:rPr>
          <w:rFonts w:hint="eastAsia" w:ascii="仿宋_GB2312" w:eastAsia="仿宋_GB2312"/>
          <w:sz w:val="32"/>
          <w:szCs w:val="32"/>
          <w:lang w:eastAsia="zh-CN"/>
        </w:rPr>
        <w:t>和市级复核，完成</w:t>
      </w:r>
      <w:r>
        <w:rPr>
          <w:rFonts w:hint="eastAsia" w:ascii="仿宋_GB2312" w:eastAsia="仿宋_GB2312"/>
          <w:sz w:val="32"/>
          <w:szCs w:val="32"/>
        </w:rPr>
        <w:t>项目</w:t>
      </w:r>
      <w:r>
        <w:rPr>
          <w:rFonts w:ascii="仿宋_GB2312" w:eastAsia="仿宋_GB2312"/>
          <w:sz w:val="32"/>
          <w:szCs w:val="32"/>
        </w:rPr>
        <w:t>资金</w:t>
      </w:r>
      <w:r>
        <w:rPr>
          <w:rFonts w:hint="eastAsia" w:ascii="仿宋_GB2312" w:eastAsia="仿宋_GB2312"/>
          <w:sz w:val="32"/>
          <w:szCs w:val="32"/>
          <w:lang w:val="en-US" w:eastAsia="zh-CN"/>
        </w:rPr>
        <w:t>1345</w:t>
      </w:r>
      <w:r>
        <w:rPr>
          <w:rFonts w:hint="eastAsia" w:ascii="仿宋_GB2312" w:eastAsia="仿宋_GB2312"/>
          <w:sz w:val="32"/>
          <w:szCs w:val="32"/>
        </w:rPr>
        <w:t>万元</w:t>
      </w:r>
      <w:r>
        <w:rPr>
          <w:rFonts w:hint="eastAsia" w:ascii="仿宋_GB2312" w:eastAsia="仿宋_GB2312"/>
          <w:sz w:val="32"/>
          <w:szCs w:val="32"/>
          <w:lang w:eastAsia="zh-CN"/>
        </w:rPr>
        <w:t>。</w:t>
      </w:r>
      <w:r>
        <w:rPr>
          <w:rFonts w:ascii="仿宋_GB2312" w:eastAsia="仿宋_GB2312"/>
          <w:sz w:val="32"/>
          <w:szCs w:val="32"/>
        </w:rPr>
        <w:t>湘乡市永嘉农业开发有限公司</w:t>
      </w:r>
      <w:r>
        <w:rPr>
          <w:rFonts w:hint="eastAsia" w:ascii="仿宋_GB2312" w:eastAsia="仿宋_GB2312"/>
          <w:sz w:val="32"/>
          <w:szCs w:val="32"/>
        </w:rPr>
        <w:t>承担实施的</w:t>
      </w:r>
      <w:r>
        <w:rPr>
          <w:rFonts w:ascii="仿宋_GB2312" w:eastAsia="仿宋_GB2312"/>
          <w:sz w:val="32"/>
          <w:szCs w:val="32"/>
          <w:lang w:val="en-US" w:eastAsia="zh-CN"/>
        </w:rPr>
        <w:t>品牌体系建设</w:t>
      </w:r>
      <w:r>
        <w:rPr>
          <w:rFonts w:hint="eastAsia" w:ascii="仿宋_GB2312" w:eastAsia="仿宋_GB2312"/>
          <w:sz w:val="32"/>
          <w:szCs w:val="32"/>
        </w:rPr>
        <w:t>子项目</w:t>
      </w:r>
      <w:r>
        <w:rPr>
          <w:rFonts w:hint="eastAsia" w:ascii="仿宋_GB2312" w:eastAsia="仿宋_GB2312"/>
          <w:sz w:val="32"/>
          <w:szCs w:val="32"/>
          <w:lang w:val="en-US" w:eastAsia="zh-CN"/>
        </w:rPr>
        <w:t>,</w:t>
      </w:r>
      <w:r>
        <w:rPr>
          <w:rFonts w:hint="eastAsia" w:ascii="仿宋_GB2312" w:eastAsia="仿宋_GB2312"/>
          <w:sz w:val="32"/>
          <w:szCs w:val="32"/>
        </w:rPr>
        <w:t>项目</w:t>
      </w:r>
      <w:r>
        <w:rPr>
          <w:rFonts w:ascii="仿宋_GB2312" w:eastAsia="仿宋_GB2312"/>
          <w:sz w:val="32"/>
          <w:szCs w:val="32"/>
        </w:rPr>
        <w:t>资金</w:t>
      </w:r>
      <w:r>
        <w:rPr>
          <w:rFonts w:hint="eastAsia" w:ascii="仿宋_GB2312" w:eastAsia="仿宋_GB2312"/>
          <w:sz w:val="32"/>
          <w:szCs w:val="32"/>
          <w:lang w:val="en-US" w:eastAsia="zh-CN"/>
        </w:rPr>
        <w:t>550</w:t>
      </w:r>
      <w:r>
        <w:rPr>
          <w:rFonts w:hint="eastAsia" w:ascii="仿宋_GB2312" w:eastAsia="仿宋_GB2312"/>
          <w:sz w:val="32"/>
          <w:szCs w:val="32"/>
        </w:rPr>
        <w:t>万元</w:t>
      </w:r>
      <w:r>
        <w:rPr>
          <w:rFonts w:hint="eastAsia" w:ascii="仿宋_GB2312" w:eastAsia="仿宋_GB2312"/>
          <w:sz w:val="32"/>
          <w:szCs w:val="32"/>
          <w:lang w:val="en-US" w:eastAsia="zh-CN"/>
        </w:rPr>
        <w:t>,</w:t>
      </w:r>
      <w:r>
        <w:rPr>
          <w:rFonts w:hint="eastAsia" w:ascii="仿宋_GB2312" w:eastAsia="仿宋_GB2312"/>
          <w:sz w:val="32"/>
          <w:szCs w:val="32"/>
        </w:rPr>
        <w:t>其中：中央财政资金</w:t>
      </w:r>
      <w:r>
        <w:rPr>
          <w:rFonts w:hint="eastAsia" w:ascii="仿宋_GB2312" w:eastAsia="仿宋_GB2312"/>
          <w:sz w:val="32"/>
          <w:szCs w:val="32"/>
          <w:lang w:val="en-US" w:eastAsia="zh-CN"/>
        </w:rPr>
        <w:t>100</w:t>
      </w:r>
      <w:r>
        <w:rPr>
          <w:rFonts w:hint="eastAsia" w:ascii="仿宋_GB2312" w:eastAsia="仿宋_GB2312"/>
          <w:sz w:val="32"/>
          <w:szCs w:val="32"/>
        </w:rPr>
        <w:t>万元，地方整合和自筹资金</w:t>
      </w:r>
      <w:r>
        <w:rPr>
          <w:rFonts w:hint="eastAsia" w:ascii="仿宋_GB2312" w:eastAsia="仿宋_GB2312"/>
          <w:sz w:val="32"/>
          <w:szCs w:val="32"/>
          <w:lang w:val="en-US" w:eastAsia="zh-CN"/>
        </w:rPr>
        <w:t>450</w:t>
      </w:r>
      <w:r>
        <w:rPr>
          <w:rFonts w:hint="eastAsia" w:ascii="仿宋_GB2312" w:eastAsia="仿宋_GB2312"/>
          <w:sz w:val="32"/>
          <w:szCs w:val="32"/>
        </w:rPr>
        <w:t>万元</w:t>
      </w:r>
      <w:r>
        <w:rPr>
          <w:rFonts w:hint="eastAsia" w:ascii="仿宋_GB2312" w:eastAsia="仿宋_GB2312"/>
          <w:sz w:val="32"/>
          <w:szCs w:val="32"/>
          <w:lang w:val="en-US" w:eastAsia="zh-CN"/>
        </w:rPr>
        <w:t>,</w:t>
      </w:r>
      <w:r>
        <w:rPr>
          <w:rFonts w:hint="eastAsia" w:ascii="仿宋_GB2312" w:eastAsia="仿宋_GB2312"/>
          <w:sz w:val="32"/>
          <w:szCs w:val="32"/>
        </w:rPr>
        <w:t>因</w:t>
      </w:r>
      <w:r>
        <w:rPr>
          <w:rFonts w:hint="eastAsia" w:ascii="Times New Roman" w:hAnsi="Times New Roman" w:eastAsia="仿宋_GB2312" w:cs="Times New Roman"/>
          <w:sz w:val="32"/>
          <w:szCs w:val="40"/>
        </w:rPr>
        <w:t>达不到验收要求正在整改中</w:t>
      </w:r>
      <w:r>
        <w:rPr>
          <w:rFonts w:hint="eastAsia" w:ascii="Times New Roman" w:hAnsi="Times New Roman" w:eastAsia="仿宋_GB2312" w:cs="Times New Roman"/>
          <w:sz w:val="32"/>
          <w:szCs w:val="40"/>
          <w:lang w:eastAsia="zh-CN"/>
        </w:rPr>
        <w:t>。</w:t>
      </w:r>
      <w:r>
        <w:rPr>
          <w:rFonts w:ascii="仿宋_GB2312" w:eastAsia="仿宋_GB2312"/>
          <w:sz w:val="32"/>
          <w:szCs w:val="32"/>
        </w:rPr>
        <w:t>湘乡市金石镇国常食用油加工厂</w:t>
      </w:r>
      <w:r>
        <w:rPr>
          <w:rFonts w:hint="eastAsia" w:ascii="仿宋_GB2312" w:eastAsia="仿宋_GB2312"/>
          <w:sz w:val="32"/>
          <w:szCs w:val="32"/>
        </w:rPr>
        <w:t>承担实施的</w:t>
      </w:r>
      <w:r>
        <w:rPr>
          <w:rFonts w:hint="eastAsia" w:ascii="Times New Roman" w:hAnsi="Times New Roman" w:eastAsia="仿宋_GB2312" w:cs="Times New Roman"/>
          <w:sz w:val="32"/>
          <w:szCs w:val="40"/>
        </w:rPr>
        <w:t>产地加工提质升级子项目</w:t>
      </w:r>
      <w:r>
        <w:rPr>
          <w:rFonts w:hint="eastAsia" w:ascii="Times New Roman" w:hAnsi="Times New Roman" w:eastAsia="仿宋_GB2312" w:cs="Times New Roman"/>
          <w:sz w:val="32"/>
          <w:szCs w:val="40"/>
          <w:lang w:val="en-US" w:eastAsia="zh-CN"/>
        </w:rPr>
        <w:t>,</w:t>
      </w:r>
      <w:r>
        <w:rPr>
          <w:rFonts w:hint="eastAsia" w:ascii="仿宋_GB2312" w:eastAsia="仿宋_GB2312"/>
          <w:sz w:val="32"/>
          <w:szCs w:val="32"/>
        </w:rPr>
        <w:t>项目</w:t>
      </w:r>
      <w:r>
        <w:rPr>
          <w:rFonts w:ascii="仿宋_GB2312" w:eastAsia="仿宋_GB2312"/>
          <w:sz w:val="32"/>
          <w:szCs w:val="32"/>
        </w:rPr>
        <w:t>资金</w:t>
      </w:r>
      <w:r>
        <w:rPr>
          <w:rFonts w:hint="eastAsia" w:ascii="仿宋_GB2312" w:eastAsia="仿宋_GB2312"/>
          <w:sz w:val="32"/>
          <w:szCs w:val="32"/>
          <w:lang w:val="en-US" w:eastAsia="zh-CN"/>
        </w:rPr>
        <w:t>280</w:t>
      </w:r>
      <w:r>
        <w:rPr>
          <w:rFonts w:hint="eastAsia" w:ascii="仿宋_GB2312" w:eastAsia="仿宋_GB2312"/>
          <w:sz w:val="32"/>
          <w:szCs w:val="32"/>
        </w:rPr>
        <w:t>万元</w:t>
      </w:r>
      <w:r>
        <w:rPr>
          <w:rFonts w:hint="eastAsia" w:ascii="仿宋_GB2312" w:eastAsia="仿宋_GB2312"/>
          <w:sz w:val="32"/>
          <w:szCs w:val="32"/>
          <w:lang w:val="en-US" w:eastAsia="zh-CN"/>
        </w:rPr>
        <w:t>,</w:t>
      </w:r>
      <w:r>
        <w:rPr>
          <w:rFonts w:hint="eastAsia" w:ascii="仿宋_GB2312" w:eastAsia="仿宋_GB2312"/>
          <w:sz w:val="32"/>
          <w:szCs w:val="32"/>
        </w:rPr>
        <w:t>其中：中央财政资金</w:t>
      </w:r>
      <w:r>
        <w:rPr>
          <w:rFonts w:hint="eastAsia" w:ascii="仿宋_GB2312" w:eastAsia="仿宋_GB2312"/>
          <w:sz w:val="32"/>
          <w:szCs w:val="32"/>
          <w:lang w:val="en-US" w:eastAsia="zh-CN"/>
        </w:rPr>
        <w:t>50</w:t>
      </w:r>
      <w:r>
        <w:rPr>
          <w:rFonts w:hint="eastAsia" w:ascii="仿宋_GB2312" w:eastAsia="仿宋_GB2312"/>
          <w:sz w:val="32"/>
          <w:szCs w:val="32"/>
        </w:rPr>
        <w:t>万元，省级财政配套资金5万元，地方整合和自筹资金</w:t>
      </w:r>
      <w:r>
        <w:rPr>
          <w:rFonts w:hint="eastAsia" w:ascii="仿宋_GB2312" w:eastAsia="仿宋_GB2312"/>
          <w:sz w:val="32"/>
          <w:szCs w:val="32"/>
          <w:lang w:val="en-US" w:eastAsia="zh-CN"/>
        </w:rPr>
        <w:t>225</w:t>
      </w:r>
      <w:r>
        <w:rPr>
          <w:rFonts w:hint="eastAsia" w:ascii="仿宋_GB2312" w:eastAsia="仿宋_GB2312"/>
          <w:sz w:val="32"/>
          <w:szCs w:val="32"/>
        </w:rPr>
        <w:t>万元</w:t>
      </w:r>
      <w:r>
        <w:rPr>
          <w:rFonts w:hint="eastAsia" w:ascii="仿宋_GB2312" w:eastAsia="仿宋_GB2312"/>
          <w:sz w:val="32"/>
          <w:szCs w:val="32"/>
          <w:lang w:val="en-US" w:eastAsia="zh-CN"/>
        </w:rPr>
        <w:t>,</w:t>
      </w:r>
      <w:r>
        <w:rPr>
          <w:rFonts w:hint="eastAsia" w:ascii="Times New Roman" w:hAnsi="Times New Roman" w:eastAsia="仿宋_GB2312" w:cs="Times New Roman"/>
          <w:sz w:val="32"/>
          <w:szCs w:val="40"/>
        </w:rPr>
        <w:t>因经济困难放弃实施</w:t>
      </w:r>
      <w:r>
        <w:rPr>
          <w:rFonts w:hint="eastAsia" w:ascii="仿宋_GB2312" w:eastAsia="仿宋_GB2312"/>
          <w:sz w:val="32"/>
          <w:szCs w:val="32"/>
          <w:lang w:val="en-US" w:eastAsia="zh-CN"/>
        </w:rPr>
        <w:t>,</w:t>
      </w:r>
      <w:r>
        <w:rPr>
          <w:rFonts w:hint="eastAsia" w:ascii="Times New Roman" w:hAnsi="Times New Roman" w:eastAsia="仿宋_GB2312" w:cs="Times New Roman"/>
          <w:sz w:val="32"/>
          <w:szCs w:val="40"/>
          <w:lang w:eastAsia="zh-CN"/>
        </w:rPr>
        <w:t>于</w:t>
      </w:r>
      <w:r>
        <w:rPr>
          <w:rFonts w:hint="eastAsia" w:ascii="仿宋_GB2312" w:eastAsia="仿宋_GB2312"/>
          <w:sz w:val="32"/>
          <w:szCs w:val="32"/>
          <w:lang w:eastAsia="zh-CN"/>
        </w:rPr>
        <w:t>2023年7月向上级申请变更为</w:t>
      </w:r>
      <w:r>
        <w:rPr>
          <w:rFonts w:hint="eastAsia" w:ascii="仿宋_GB2312" w:eastAsia="仿宋_GB2312"/>
          <w:sz w:val="32"/>
          <w:szCs w:val="32"/>
          <w:lang w:val="en-US" w:eastAsia="zh-CN"/>
        </w:rPr>
        <w:t>湖南省江山沁园农业综合开发有限公司在2023年实施</w:t>
      </w:r>
      <w:r>
        <w:rPr>
          <w:rFonts w:hint="eastAsia" w:ascii="仿宋_GB2312" w:eastAsia="仿宋_GB2312"/>
          <w:sz w:val="32"/>
          <w:szCs w:val="32"/>
          <w:lang w:eastAsia="zh-CN"/>
        </w:rPr>
        <w:t>（待上级批复）</w:t>
      </w:r>
      <w:r>
        <w:rPr>
          <w:rFonts w:hint="eastAsia" w:ascii="Times New Roman" w:hAnsi="Times New Roman" w:eastAsia="仿宋_GB2312" w:cs="Times New Roman"/>
          <w:sz w:val="32"/>
          <w:szCs w:val="40"/>
          <w:lang w:eastAsia="zh-CN"/>
        </w:rPr>
        <w:t>。</w:t>
      </w:r>
      <w:r>
        <w:rPr>
          <w:rFonts w:hint="eastAsia" w:ascii="仿宋_GB2312" w:eastAsia="仿宋_GB2312"/>
          <w:sz w:val="32"/>
          <w:szCs w:val="32"/>
        </w:rPr>
        <w:t>湘乡市人民政府承担实施的油菜花节</w:t>
      </w:r>
      <w:r>
        <w:rPr>
          <w:rFonts w:hint="eastAsia" w:ascii="仿宋_GB2312" w:eastAsia="仿宋_GB2312"/>
          <w:sz w:val="32"/>
          <w:szCs w:val="32"/>
          <w:lang w:val="en-US" w:eastAsia="zh-CN"/>
        </w:rPr>
        <w:t>,</w:t>
      </w:r>
      <w:r>
        <w:rPr>
          <w:rFonts w:hint="eastAsia" w:ascii="仿宋_GB2312" w:eastAsia="仿宋_GB2312"/>
          <w:sz w:val="32"/>
          <w:szCs w:val="32"/>
        </w:rPr>
        <w:t>项目</w:t>
      </w:r>
      <w:r>
        <w:rPr>
          <w:rFonts w:ascii="仿宋_GB2312" w:eastAsia="仿宋_GB2312"/>
          <w:sz w:val="32"/>
          <w:szCs w:val="32"/>
        </w:rPr>
        <w:t>资金</w:t>
      </w:r>
      <w:r>
        <w:rPr>
          <w:rFonts w:hint="eastAsia" w:ascii="仿宋_GB2312" w:eastAsia="仿宋_GB2312"/>
          <w:sz w:val="32"/>
          <w:szCs w:val="32"/>
          <w:lang w:val="en-US" w:eastAsia="zh-CN"/>
        </w:rPr>
        <w:t>900</w:t>
      </w:r>
      <w:r>
        <w:rPr>
          <w:rFonts w:hint="eastAsia" w:ascii="仿宋_GB2312" w:eastAsia="仿宋_GB2312"/>
          <w:sz w:val="32"/>
          <w:szCs w:val="32"/>
        </w:rPr>
        <w:t>万元</w:t>
      </w:r>
      <w:r>
        <w:rPr>
          <w:rFonts w:hint="eastAsia" w:ascii="仿宋_GB2312" w:eastAsia="仿宋_GB2312"/>
          <w:sz w:val="32"/>
          <w:szCs w:val="32"/>
          <w:lang w:val="en-US" w:eastAsia="zh-CN"/>
        </w:rPr>
        <w:t>,</w:t>
      </w:r>
      <w:r>
        <w:rPr>
          <w:rFonts w:hint="eastAsia" w:ascii="仿宋_GB2312" w:eastAsia="仿宋_GB2312"/>
          <w:sz w:val="32"/>
          <w:szCs w:val="32"/>
        </w:rPr>
        <w:t>其中：中央财政资金</w:t>
      </w:r>
      <w:r>
        <w:rPr>
          <w:rFonts w:hint="eastAsia" w:ascii="仿宋_GB2312" w:eastAsia="仿宋_GB2312"/>
          <w:sz w:val="32"/>
          <w:szCs w:val="32"/>
          <w:lang w:val="en-US" w:eastAsia="zh-CN"/>
        </w:rPr>
        <w:t>200</w:t>
      </w:r>
      <w:r>
        <w:rPr>
          <w:rFonts w:hint="eastAsia" w:ascii="仿宋_GB2312" w:eastAsia="仿宋_GB2312"/>
          <w:sz w:val="32"/>
          <w:szCs w:val="32"/>
        </w:rPr>
        <w:t>万元，省级财政配套资金</w:t>
      </w:r>
      <w:r>
        <w:rPr>
          <w:rFonts w:hint="eastAsia" w:ascii="仿宋_GB2312" w:eastAsia="仿宋_GB2312"/>
          <w:sz w:val="32"/>
          <w:szCs w:val="32"/>
          <w:lang w:val="en-US" w:eastAsia="zh-CN"/>
        </w:rPr>
        <w:t>20</w:t>
      </w:r>
      <w:r>
        <w:rPr>
          <w:rFonts w:hint="eastAsia" w:ascii="仿宋_GB2312" w:eastAsia="仿宋_GB2312"/>
          <w:sz w:val="32"/>
          <w:szCs w:val="32"/>
        </w:rPr>
        <w:t>万元，地方整合和自筹资金</w:t>
      </w:r>
      <w:r>
        <w:rPr>
          <w:rFonts w:hint="eastAsia" w:ascii="仿宋_GB2312" w:eastAsia="仿宋_GB2312"/>
          <w:sz w:val="32"/>
          <w:szCs w:val="32"/>
          <w:lang w:val="en-US" w:eastAsia="zh-CN"/>
        </w:rPr>
        <w:t>680</w:t>
      </w:r>
      <w:r>
        <w:rPr>
          <w:rFonts w:hint="eastAsia" w:ascii="仿宋_GB2312" w:eastAsia="仿宋_GB2312"/>
          <w:sz w:val="32"/>
          <w:szCs w:val="32"/>
        </w:rPr>
        <w:t>万元</w:t>
      </w:r>
      <w:r>
        <w:rPr>
          <w:rFonts w:hint="eastAsia" w:ascii="仿宋_GB2312" w:eastAsia="仿宋_GB2312"/>
          <w:sz w:val="32"/>
          <w:szCs w:val="32"/>
          <w:lang w:val="en-US" w:eastAsia="zh-CN"/>
        </w:rPr>
        <w:t>,</w:t>
      </w:r>
      <w:r>
        <w:rPr>
          <w:rFonts w:hint="eastAsia" w:ascii="仿宋_GB2312" w:eastAsia="仿宋_GB2312"/>
          <w:sz w:val="32"/>
          <w:szCs w:val="32"/>
        </w:rPr>
        <w:t>因遇恶劣</w:t>
      </w:r>
      <w:r>
        <w:rPr>
          <w:rFonts w:hint="eastAsia" w:ascii="仿宋_GB2312" w:eastAsia="仿宋_GB2312"/>
          <w:sz w:val="32"/>
          <w:szCs w:val="32"/>
          <w:lang w:eastAsia="zh-CN"/>
        </w:rPr>
        <w:t>天</w:t>
      </w:r>
      <w:r>
        <w:rPr>
          <w:rFonts w:hint="eastAsia" w:ascii="仿宋_GB2312" w:eastAsia="仿宋_GB2312"/>
          <w:sz w:val="32"/>
          <w:szCs w:val="32"/>
        </w:rPr>
        <w:t>气</w:t>
      </w:r>
      <w:r>
        <w:rPr>
          <w:rFonts w:hint="eastAsia" w:ascii="仿宋_GB2312" w:eastAsia="仿宋_GB2312"/>
          <w:sz w:val="32"/>
          <w:szCs w:val="32"/>
          <w:lang w:eastAsia="zh-CN"/>
        </w:rPr>
        <w:t>油菜长势长相差</w:t>
      </w:r>
      <w:r>
        <w:rPr>
          <w:rFonts w:hint="eastAsia" w:ascii="仿宋_GB2312" w:eastAsia="仿宋_GB2312"/>
          <w:sz w:val="32"/>
          <w:szCs w:val="32"/>
        </w:rPr>
        <w:t>放</w:t>
      </w:r>
      <w:r>
        <w:rPr>
          <w:rFonts w:hint="eastAsia" w:ascii="Times New Roman" w:hAnsi="Times New Roman" w:eastAsia="仿宋_GB2312" w:cs="Times New Roman"/>
          <w:sz w:val="32"/>
          <w:szCs w:val="40"/>
        </w:rPr>
        <w:t>弃实施</w:t>
      </w:r>
      <w:r>
        <w:rPr>
          <w:rFonts w:hint="eastAsia" w:ascii="Times New Roman" w:hAnsi="Times New Roman" w:eastAsia="仿宋_GB2312" w:cs="Times New Roman"/>
          <w:sz w:val="32"/>
          <w:szCs w:val="40"/>
          <w:lang w:eastAsia="zh-CN"/>
        </w:rPr>
        <w:t>，于</w:t>
      </w:r>
      <w:r>
        <w:rPr>
          <w:rFonts w:hint="eastAsia" w:ascii="仿宋_GB2312" w:eastAsia="仿宋_GB2312"/>
          <w:sz w:val="32"/>
          <w:szCs w:val="32"/>
          <w:lang w:eastAsia="zh-CN"/>
        </w:rPr>
        <w:t>2023年7月向上级申请了变更</w:t>
      </w:r>
      <w:r>
        <w:rPr>
          <w:rFonts w:hint="eastAsia" w:ascii="仿宋_GB2312" w:eastAsia="仿宋_GB2312"/>
          <w:sz w:val="32"/>
          <w:szCs w:val="32"/>
          <w:lang w:val="en-US" w:eastAsia="zh-CN"/>
        </w:rPr>
        <w:t>,</w:t>
      </w:r>
      <w:r>
        <w:rPr>
          <w:rFonts w:hint="eastAsia" w:ascii="仿宋_GB2312" w:eastAsia="仿宋_GB2312"/>
          <w:sz w:val="32"/>
          <w:szCs w:val="32"/>
          <w:lang w:eastAsia="zh-CN"/>
        </w:rPr>
        <w:t>由湘乡市金石镇政府在2023年实施（待上级批复）</w:t>
      </w:r>
      <w:r>
        <w:rPr>
          <w:rFonts w:hint="eastAsia" w:ascii="Times New Roman" w:hAnsi="Times New Roman" w:eastAsia="仿宋_GB2312" w:cs="Times New Roman"/>
          <w:sz w:val="32"/>
          <w:szCs w:val="40"/>
          <w:lang w:eastAsia="zh-CN"/>
        </w:rPr>
        <w:t>。</w:t>
      </w:r>
      <w:r>
        <w:rPr>
          <w:rFonts w:hint="eastAsia" w:ascii="仿宋_GB2312" w:eastAsia="仿宋_GB2312"/>
          <w:sz w:val="32"/>
          <w:szCs w:val="32"/>
          <w:lang w:val="en-US" w:eastAsia="zh-CN"/>
        </w:rPr>
        <w:t>通过项目实施，提高农民种植油菜的积极性，</w:t>
      </w:r>
      <w:r>
        <w:rPr>
          <w:rFonts w:ascii="仿宋_GB2312" w:eastAsia="仿宋_GB2312"/>
          <w:sz w:val="32"/>
          <w:szCs w:val="32"/>
          <w:lang w:val="en-US" w:eastAsia="zh-CN"/>
        </w:rPr>
        <w:t>油菜绿色高质高效示范基地和油菜</w:t>
      </w:r>
      <w:r>
        <w:rPr>
          <w:rFonts w:hint="eastAsia" w:ascii="仿宋_GB2312" w:eastAsia="仿宋_GB2312"/>
          <w:sz w:val="32"/>
          <w:szCs w:val="32"/>
          <w:lang w:val="en-US" w:eastAsia="zh-CN"/>
        </w:rPr>
        <w:t>加工厂带动能力强，示范作用大，</w:t>
      </w:r>
      <w:r>
        <w:rPr>
          <w:rFonts w:hint="eastAsia" w:ascii="仿宋_GB2312" w:eastAsia="仿宋_GB2312"/>
          <w:sz w:val="32"/>
          <w:szCs w:val="32"/>
        </w:rPr>
        <w:t>通过示范带动促进了全市油菜稳产高产</w:t>
      </w:r>
      <w:r>
        <w:rPr>
          <w:rFonts w:hint="eastAsia" w:ascii="仿宋_GB2312" w:eastAsia="仿宋_GB2312"/>
          <w:sz w:val="32"/>
          <w:szCs w:val="32"/>
          <w:lang w:eastAsia="zh-CN"/>
        </w:rPr>
        <w:t>，</w:t>
      </w:r>
      <w:r>
        <w:rPr>
          <w:rFonts w:hint="eastAsia" w:ascii="仿宋_GB2312" w:eastAsia="仿宋_GB2312"/>
          <w:sz w:val="32"/>
          <w:szCs w:val="32"/>
        </w:rPr>
        <w:t>农民增收</w:t>
      </w:r>
      <w:r>
        <w:rPr>
          <w:rFonts w:hint="eastAsia" w:ascii="仿宋_GB2312" w:eastAsia="仿宋_GB2312"/>
          <w:sz w:val="32"/>
          <w:szCs w:val="32"/>
          <w:lang w:eastAsia="zh-CN"/>
        </w:rPr>
        <w:t>，</w:t>
      </w:r>
      <w:r>
        <w:rPr>
          <w:rFonts w:hint="eastAsia" w:ascii="仿宋_GB2312" w:eastAsia="仿宋_GB2312"/>
          <w:sz w:val="32"/>
          <w:szCs w:val="32"/>
          <w:lang w:val="en-US" w:eastAsia="zh-CN"/>
        </w:rPr>
        <w:t>农业增效</w:t>
      </w:r>
      <w:r>
        <w:rPr>
          <w:rFonts w:hint="eastAsia" w:ascii="仿宋_GB2312" w:eastAsia="仿宋_GB2312"/>
          <w:sz w:val="32"/>
          <w:szCs w:val="32"/>
        </w:rPr>
        <w:t>。取得了较好的</w:t>
      </w:r>
      <w:r>
        <w:rPr>
          <w:rFonts w:ascii="Times New Roman" w:hAnsi="Times New Roman" w:eastAsia="仿宋_GB2312" w:cs="Times New Roman"/>
          <w:sz w:val="32"/>
          <w:szCs w:val="40"/>
          <w:lang w:val="en-US" w:eastAsia="zh-CN"/>
        </w:rPr>
        <w:t>社会效益和经济效益</w:t>
      </w:r>
      <w:r>
        <w:rPr>
          <w:rFonts w:hint="eastAsia" w:ascii="仿宋_GB2312" w:eastAsia="仿宋_GB2312"/>
          <w:sz w:val="32"/>
          <w:szCs w:val="32"/>
        </w:rPr>
        <w:t>。</w:t>
      </w:r>
    </w:p>
    <w:p>
      <w:pPr>
        <w:pStyle w:val="4"/>
        <w:keepNext/>
        <w:keepLines/>
        <w:pageBreakBefore w:val="0"/>
        <w:widowControl w:val="0"/>
        <w:kinsoku/>
        <w:wordWrap/>
        <w:overflowPunct/>
        <w:topLinePunct w:val="0"/>
        <w:autoSpaceDE/>
        <w:autoSpaceDN/>
        <w:bidi w:val="0"/>
        <w:adjustRightInd/>
        <w:snapToGrid/>
        <w:spacing w:line="540" w:lineRule="atLeast"/>
        <w:ind w:firstLine="643" w:firstLineChars="200"/>
        <w:textAlignment w:val="auto"/>
        <w:rPr>
          <w:rFonts w:hint="eastAsia" w:ascii="仿宋_GB2312" w:eastAsia="仿宋_GB2312" w:cs="Arial"/>
          <w:b/>
          <w:bCs/>
          <w:kern w:val="2"/>
          <w:sz w:val="32"/>
          <w:szCs w:val="32"/>
          <w:lang w:val="en-US" w:eastAsia="zh-CN" w:bidi="ar-SA"/>
        </w:rPr>
      </w:pPr>
      <w:r>
        <w:rPr>
          <w:rFonts w:hint="eastAsia" w:ascii="仿宋_GB2312" w:eastAsia="仿宋_GB2312" w:cs="Arial"/>
          <w:b/>
          <w:bCs/>
          <w:kern w:val="2"/>
          <w:sz w:val="32"/>
          <w:szCs w:val="32"/>
          <w:lang w:val="en-US" w:eastAsia="zh-CN" w:bidi="ar-SA"/>
        </w:rPr>
        <w:t>二、功能布局</w:t>
      </w:r>
    </w:p>
    <w:p>
      <w:pPr>
        <w:ind w:firstLine="56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湘乡早熟油菜优势特色产业集群布局原则是</w:t>
      </w:r>
      <w:r>
        <w:rPr>
          <w:rFonts w:ascii="宋体" w:eastAsia="宋体" w:cs="宋体"/>
          <w:sz w:val="28"/>
          <w:szCs w:val="28"/>
          <w:lang w:val="en-US" w:eastAsia="zh-CN" w:bidi="en-US"/>
        </w:rPr>
        <w:t>：</w:t>
      </w:r>
      <w:r>
        <w:rPr>
          <w:rFonts w:ascii="Times New Roman" w:hAnsi="Times New Roman" w:eastAsia="仿宋_GB2312" w:cs="Times New Roman"/>
          <w:sz w:val="32"/>
          <w:szCs w:val="40"/>
          <w:lang w:val="en-US" w:eastAsia="zh-CN"/>
        </w:rPr>
        <w:t>各乡镇（街道）依照油菜产业基础和资源优势，围绕优势互补、突出错位发展，进一步优化功能分工，将集群建设区按照生产、加工、物流、技术研发、公共服务于一体的全产业链各功能板块进行合理分工，把点状经济、块状经济变成链状经济，促进全市油菜产业集群集聚发展。</w:t>
      </w:r>
    </w:p>
    <w:p>
      <w:pPr>
        <w:ind w:firstLine="560"/>
        <w:rPr>
          <w:rFonts w:ascii="Times New Roman" w:hAnsi="Times New Roman" w:eastAsia="仿宋_GB2312" w:cs="Times New Roman"/>
          <w:sz w:val="32"/>
          <w:szCs w:val="40"/>
          <w:lang w:val="en-US" w:eastAsia="zh-CN"/>
        </w:rPr>
      </w:pPr>
      <w:r>
        <w:rPr>
          <w:rFonts w:hint="eastAsia" w:ascii="Times New Roman" w:hAnsi="Times New Roman" w:eastAsia="仿宋_GB2312" w:cs="Times New Roman"/>
          <w:sz w:val="32"/>
          <w:szCs w:val="40"/>
          <w:lang w:val="en-US" w:eastAsia="zh-CN"/>
        </w:rPr>
        <w:t>2022年湖南早熟油菜优势特色产业集群项目</w:t>
      </w:r>
      <w:r>
        <w:rPr>
          <w:rFonts w:ascii="Times New Roman" w:hAnsi="Times New Roman" w:eastAsia="仿宋_GB2312" w:cs="Times New Roman"/>
          <w:sz w:val="32"/>
          <w:szCs w:val="40"/>
          <w:lang w:val="en-US" w:eastAsia="zh-CN"/>
        </w:rPr>
        <w:t>布局如下：</w:t>
      </w:r>
    </w:p>
    <w:p>
      <w:pPr>
        <w:ind w:firstLine="560"/>
        <w:rPr>
          <w:rFonts w:ascii="Times New Roman" w:hAnsi="Times New Roman" w:eastAsia="仿宋_GB2312" w:cs="Times New Roman"/>
          <w:sz w:val="32"/>
          <w:szCs w:val="40"/>
          <w:lang w:val="en-US" w:eastAsia="zh-CN"/>
        </w:rPr>
      </w:pPr>
      <w:r>
        <w:rPr>
          <w:rFonts w:hint="eastAsia" w:ascii="Times New Roman" w:hAnsi="Times New Roman" w:eastAsia="仿宋_GB2312" w:cs="Times New Roman"/>
          <w:sz w:val="32"/>
          <w:szCs w:val="40"/>
          <w:lang w:val="en-US" w:eastAsia="zh-CN"/>
        </w:rPr>
        <w:t>1.</w:t>
      </w:r>
      <w:r>
        <w:rPr>
          <w:rFonts w:ascii="Times New Roman" w:hAnsi="Times New Roman" w:eastAsia="仿宋_GB2312" w:cs="Times New Roman"/>
          <w:sz w:val="32"/>
          <w:szCs w:val="40"/>
          <w:lang w:val="en-US" w:eastAsia="zh-CN"/>
        </w:rPr>
        <w:t>生产功能区：根据油菜种植传统习惯及未来发展潜力分析，布局在全市22个乡镇（街道）</w:t>
      </w:r>
      <w:r>
        <w:rPr>
          <w:rFonts w:hint="eastAsia" w:ascii="Times New Roman" w:hAnsi="Times New Roman" w:eastAsia="仿宋_GB2312" w:cs="Times New Roman"/>
          <w:sz w:val="32"/>
          <w:szCs w:val="40"/>
          <w:lang w:val="en-US" w:eastAsia="zh-CN"/>
        </w:rPr>
        <w:t>，</w:t>
      </w:r>
      <w:r>
        <w:rPr>
          <w:rFonts w:ascii="Times New Roman" w:hAnsi="Times New Roman" w:eastAsia="仿宋_GB2312" w:cs="Times New Roman"/>
          <w:sz w:val="32"/>
          <w:szCs w:val="40"/>
          <w:lang w:val="en-US" w:eastAsia="zh-CN"/>
        </w:rPr>
        <w:t>示范基地在潭市镇。</w:t>
      </w:r>
    </w:p>
    <w:p>
      <w:pPr>
        <w:ind w:firstLine="560"/>
        <w:rPr>
          <w:rFonts w:ascii="Times New Roman" w:hAnsi="Times New Roman" w:eastAsia="仿宋_GB2312" w:cs="Times New Roman"/>
          <w:sz w:val="32"/>
          <w:szCs w:val="40"/>
          <w:lang w:val="en-US" w:eastAsia="zh-CN"/>
        </w:rPr>
      </w:pPr>
      <w:r>
        <w:rPr>
          <w:rFonts w:hint="eastAsia" w:ascii="Times New Roman" w:hAnsi="Times New Roman" w:eastAsia="仿宋_GB2312" w:cs="Times New Roman"/>
          <w:sz w:val="32"/>
          <w:szCs w:val="40"/>
          <w:lang w:val="en-US" w:eastAsia="zh-CN"/>
        </w:rPr>
        <w:t>2.</w:t>
      </w:r>
      <w:r>
        <w:rPr>
          <w:rFonts w:ascii="Times New Roman" w:hAnsi="Times New Roman" w:eastAsia="仿宋_GB2312" w:cs="Times New Roman"/>
          <w:sz w:val="32"/>
          <w:szCs w:val="40"/>
          <w:lang w:val="en-US" w:eastAsia="zh-CN"/>
        </w:rPr>
        <w:t>加工功能区：根据产业集聚现状及龙头企业分布情况，布局在湘乡市壶天镇、龙洞镇、虞唐镇等区域。</w:t>
      </w:r>
    </w:p>
    <w:p>
      <w:pPr>
        <w:ind w:left="420" w:leftChars="200" w:firstLine="320" w:firstLineChars="100"/>
        <w:rPr>
          <w:rFonts w:ascii="Times New Roman" w:hAnsi="Times New Roman" w:eastAsia="仿宋_GB2312" w:cs="Times New Roman"/>
          <w:sz w:val="32"/>
          <w:szCs w:val="40"/>
          <w:lang w:val="en-US" w:eastAsia="zh-CN"/>
        </w:rPr>
      </w:pPr>
      <w:r>
        <w:rPr>
          <w:rFonts w:hint="eastAsia" w:ascii="Times New Roman" w:hAnsi="Times New Roman" w:eastAsia="仿宋_GB2312" w:cs="Times New Roman"/>
          <w:sz w:val="32"/>
          <w:szCs w:val="40"/>
          <w:lang w:val="en-US" w:eastAsia="zh-CN"/>
        </w:rPr>
        <w:t>2024年续建项目</w:t>
      </w:r>
      <w:r>
        <w:rPr>
          <w:rFonts w:ascii="Times New Roman" w:hAnsi="Times New Roman" w:eastAsia="仿宋_GB2312" w:cs="Times New Roman"/>
          <w:sz w:val="32"/>
          <w:szCs w:val="40"/>
          <w:lang w:val="en-US" w:eastAsia="zh-CN"/>
        </w:rPr>
        <w:t>：</w:t>
      </w:r>
    </w:p>
    <w:p>
      <w:pPr>
        <w:ind w:firstLine="560"/>
        <w:rPr>
          <w:rFonts w:hint="eastAsia"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湘乡市荣桥农机服务专业合作社</w:t>
      </w:r>
      <w:r>
        <w:rPr>
          <w:rFonts w:hint="eastAsia" w:ascii="Times New Roman" w:hAnsi="Times New Roman" w:eastAsia="仿宋_GB2312" w:cs="Times New Roman"/>
          <w:sz w:val="32"/>
          <w:szCs w:val="40"/>
          <w:lang w:val="en-US" w:eastAsia="zh-CN"/>
        </w:rPr>
        <w:t>承担实施的</w:t>
      </w:r>
      <w:r>
        <w:rPr>
          <w:rFonts w:ascii="Times New Roman" w:hAnsi="Times New Roman" w:eastAsia="仿宋_GB2312" w:cs="Times New Roman"/>
          <w:sz w:val="32"/>
          <w:szCs w:val="40"/>
          <w:lang w:val="en-US" w:eastAsia="zh-CN"/>
        </w:rPr>
        <w:t>绿色高</w:t>
      </w:r>
      <w:r>
        <w:rPr>
          <w:rFonts w:hint="eastAsia" w:ascii="Times New Roman" w:hAnsi="Times New Roman" w:eastAsia="仿宋_GB2312" w:cs="Times New Roman"/>
          <w:sz w:val="32"/>
          <w:szCs w:val="40"/>
          <w:lang w:val="en-US" w:eastAsia="zh-CN"/>
        </w:rPr>
        <w:t>质高效示范基地子项目。</w:t>
      </w:r>
      <w:r>
        <w:rPr>
          <w:rFonts w:ascii="Times New Roman" w:hAnsi="Times New Roman" w:eastAsia="仿宋_GB2312" w:cs="Times New Roman"/>
          <w:sz w:val="32"/>
          <w:szCs w:val="40"/>
          <w:lang w:val="en-US" w:eastAsia="zh-CN"/>
        </w:rPr>
        <w:t>布局在湘乡市泉塘镇双江村</w:t>
      </w:r>
      <w:r>
        <w:rPr>
          <w:rFonts w:hint="eastAsia" w:ascii="Times New Roman" w:hAnsi="Times New Roman" w:eastAsia="仿宋_GB2312" w:cs="Times New Roman"/>
          <w:sz w:val="32"/>
          <w:szCs w:val="40"/>
          <w:lang w:val="en-US" w:eastAsia="zh-CN"/>
        </w:rPr>
        <w:t>，</w:t>
      </w:r>
      <w:r>
        <w:rPr>
          <w:rFonts w:ascii="Times New Roman" w:hAnsi="Times New Roman" w:eastAsia="仿宋_GB2312" w:cs="Times New Roman"/>
          <w:sz w:val="32"/>
          <w:szCs w:val="40"/>
          <w:lang w:val="en-US" w:eastAsia="zh-CN"/>
        </w:rPr>
        <w:t>项目建设地</w:t>
      </w:r>
      <w:r>
        <w:rPr>
          <w:rFonts w:hint="eastAsia" w:ascii="Times New Roman" w:hAnsi="Times New Roman" w:eastAsia="仿宋_GB2312" w:cs="Times New Roman"/>
          <w:sz w:val="32"/>
          <w:szCs w:val="40"/>
          <w:lang w:val="en-US" w:eastAsia="zh-CN"/>
        </w:rPr>
        <w:t>点</w:t>
      </w:r>
      <w:r>
        <w:rPr>
          <w:rFonts w:ascii="Times New Roman" w:hAnsi="Times New Roman" w:eastAsia="仿宋_GB2312" w:cs="Times New Roman"/>
          <w:sz w:val="32"/>
          <w:szCs w:val="40"/>
          <w:lang w:val="en-US" w:eastAsia="zh-CN"/>
        </w:rPr>
        <w:t>地处</w:t>
      </w:r>
      <w:r>
        <w:rPr>
          <w:rFonts w:ascii="Times New Roman" w:hAnsi="Times New Roman" w:eastAsia="仿宋_GB2312" w:cs="Times New Roman"/>
          <w:sz w:val="32"/>
          <w:szCs w:val="40"/>
          <w:lang w:val="en-US" w:eastAsia="zh-CN"/>
        </w:rPr>
        <w:fldChar w:fldCharType="begin"/>
      </w:r>
      <w:r>
        <w:instrText xml:space="preserve">HYPERLINK "https://baike.baidu.com/item/%E6%B9%98%E4%B9%A1%E5%B8%82/5906119"</w:instrText>
      </w:r>
      <w:r>
        <w:rPr>
          <w:rFonts w:ascii="Times New Roman" w:hAnsi="Times New Roman" w:eastAsia="仿宋_GB2312" w:cs="Times New Roman"/>
          <w:sz w:val="32"/>
          <w:szCs w:val="40"/>
          <w:lang w:val="en-US" w:eastAsia="zh-CN"/>
        </w:rPr>
        <w:fldChar w:fldCharType="separate"/>
      </w:r>
      <w:r>
        <w:rPr>
          <w:rFonts w:ascii="Times New Roman" w:hAnsi="Times New Roman" w:eastAsia="仿宋_GB2312" w:cs="Times New Roman"/>
          <w:sz w:val="32"/>
          <w:szCs w:val="40"/>
          <w:lang w:val="en-US" w:eastAsia="zh-CN"/>
        </w:rPr>
        <w:t>湘乡市</w:t>
      </w:r>
      <w:r>
        <w:rPr>
          <w:rFonts w:ascii="Times New Roman" w:hAnsi="Times New Roman" w:eastAsia="仿宋_GB2312" w:cs="Times New Roman"/>
          <w:sz w:val="32"/>
          <w:szCs w:val="40"/>
          <w:lang w:val="en-US" w:eastAsia="zh-CN"/>
        </w:rPr>
        <w:fldChar w:fldCharType="end"/>
      </w:r>
      <w:r>
        <w:rPr>
          <w:rFonts w:ascii="Times New Roman" w:hAnsi="Times New Roman" w:eastAsia="仿宋_GB2312" w:cs="Times New Roman"/>
          <w:sz w:val="32"/>
          <w:szCs w:val="40"/>
          <w:lang w:val="en-US" w:eastAsia="zh-CN"/>
        </w:rPr>
        <w:t>中部，项目区境内县乡</w:t>
      </w:r>
      <w:r>
        <w:rPr>
          <w:rFonts w:hint="eastAsia" w:ascii="Times New Roman" w:hAnsi="Times New Roman" w:eastAsia="仿宋_GB2312" w:cs="Times New Roman"/>
          <w:sz w:val="32"/>
          <w:szCs w:val="40"/>
          <w:lang w:val="en-US" w:eastAsia="zh-CN"/>
        </w:rPr>
        <w:t>公路</w:t>
      </w:r>
      <w:r>
        <w:rPr>
          <w:rFonts w:ascii="Times New Roman" w:hAnsi="Times New Roman" w:eastAsia="仿宋_GB2312" w:cs="Times New Roman"/>
          <w:sz w:val="32"/>
          <w:szCs w:val="40"/>
          <w:lang w:val="en-US" w:eastAsia="zh-CN"/>
        </w:rPr>
        <w:t>四通八达,交通便利，完全可满足该项目建设和建成后运转的需要。</w:t>
      </w:r>
    </w:p>
    <w:p>
      <w:pPr>
        <w:pStyle w:val="4"/>
        <w:keepNext/>
        <w:keepLines/>
        <w:pageBreakBefore w:val="0"/>
        <w:widowControl w:val="0"/>
        <w:kinsoku/>
        <w:wordWrap/>
        <w:overflowPunct/>
        <w:topLinePunct w:val="0"/>
        <w:autoSpaceDE/>
        <w:autoSpaceDN/>
        <w:bidi w:val="0"/>
        <w:adjustRightInd/>
        <w:snapToGrid/>
        <w:spacing w:line="540" w:lineRule="atLeast"/>
        <w:ind w:firstLine="643" w:firstLineChars="200"/>
        <w:textAlignment w:val="auto"/>
        <w:rPr>
          <w:rFonts w:hint="eastAsia" w:ascii="仿宋_GB2312" w:eastAsia="仿宋_GB2312" w:cs="Arial"/>
          <w:b/>
          <w:bCs/>
          <w:kern w:val="2"/>
          <w:sz w:val="32"/>
          <w:szCs w:val="32"/>
          <w:lang w:val="en-US" w:eastAsia="zh-CN" w:bidi="ar-SA"/>
        </w:rPr>
      </w:pPr>
      <w:r>
        <w:rPr>
          <w:rFonts w:hint="eastAsia" w:ascii="仿宋_GB2312" w:eastAsia="仿宋_GB2312" w:cs="Arial"/>
          <w:b/>
          <w:bCs/>
          <w:kern w:val="2"/>
          <w:sz w:val="32"/>
          <w:szCs w:val="32"/>
          <w:lang w:val="en-US" w:eastAsia="zh-CN" w:bidi="ar-SA"/>
        </w:rPr>
        <w:t>三、思路目标</w:t>
      </w:r>
    </w:p>
    <w:p>
      <w:pPr>
        <w:ind w:firstLine="640" w:firstLineChars="200"/>
        <w:rPr>
          <w:rFonts w:ascii="Times New Roman" w:hAnsi="Times New Roman" w:eastAsia="仿宋_GB2312" w:cs="Times New Roman"/>
          <w:sz w:val="32"/>
          <w:szCs w:val="40"/>
          <w:lang w:val="en-US" w:eastAsia="zh-CN"/>
        </w:rPr>
      </w:pPr>
      <w:r>
        <w:rPr>
          <w:rFonts w:hint="eastAsia" w:ascii="Times New Roman" w:hAnsi="Times New Roman" w:eastAsia="仿宋_GB2312" w:cs="Times New Roman"/>
          <w:sz w:val="32"/>
          <w:szCs w:val="40"/>
          <w:lang w:val="en-US" w:eastAsia="zh-CN"/>
        </w:rPr>
        <w:t>1.</w:t>
      </w:r>
      <w:r>
        <w:rPr>
          <w:rFonts w:ascii="Times New Roman" w:hAnsi="Times New Roman" w:eastAsia="仿宋_GB2312" w:cs="Times New Roman"/>
          <w:sz w:val="32"/>
          <w:szCs w:val="40"/>
          <w:lang w:val="en-US" w:eastAsia="zh-CN"/>
        </w:rPr>
        <w:t>发展思路</w:t>
      </w:r>
    </w:p>
    <w:p>
      <w:pPr>
        <w:ind w:firstLine="640" w:firstLineChars="20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以习近平新时代中国特色社会主义思想为指导，深入贯彻党的</w:t>
      </w:r>
      <w:r>
        <w:rPr>
          <w:rFonts w:hint="eastAsia" w:ascii="宋体" w:eastAsia="宋体" w:cs="宋体"/>
          <w:sz w:val="28"/>
          <w:szCs w:val="28"/>
          <w:lang w:bidi="en-US"/>
        </w:rPr>
        <w:t>二</w:t>
      </w:r>
      <w:r>
        <w:rPr>
          <w:rFonts w:ascii="Times New Roman" w:hAnsi="Times New Roman" w:eastAsia="仿宋_GB2312" w:cs="Times New Roman"/>
          <w:sz w:val="32"/>
          <w:szCs w:val="40"/>
          <w:lang w:val="en-US" w:eastAsia="zh-CN"/>
        </w:rPr>
        <w:t>十大和历届全会精神，践行新发展理念，湘乡市以发展早熟油菜优势特色产业为主导，促进油菜产、加、贮、运、销等全产业链发展；以“提品质、树品牌、增效益”为发展思路，因地制宜，在确保湘乡市粮食等其他大宗农产品安全的前提下，重点突出优势区域，优势品种，延长产业链条、加强科技创新、加快品牌培育，建立利益联结机制为发展方向，竭力提升农田产出能力，促进油菜产业集群化持续发展。</w:t>
      </w:r>
    </w:p>
    <w:p>
      <w:pPr>
        <w:ind w:firstLine="640" w:firstLineChars="200"/>
        <w:rPr>
          <w:rFonts w:ascii="Times New Roman" w:hAnsi="Times New Roman" w:eastAsia="仿宋_GB2312" w:cs="Times New Roman"/>
          <w:sz w:val="32"/>
          <w:szCs w:val="40"/>
          <w:lang w:val="en-US" w:eastAsia="zh-CN"/>
        </w:rPr>
      </w:pPr>
      <w:bookmarkStart w:id="0" w:name="_Toc1712212634"/>
      <w:r>
        <w:rPr>
          <w:rFonts w:hint="eastAsia" w:ascii="Times New Roman" w:hAnsi="Times New Roman" w:eastAsia="仿宋_GB2312" w:cs="Times New Roman"/>
          <w:sz w:val="32"/>
          <w:szCs w:val="40"/>
          <w:lang w:val="en-US" w:eastAsia="zh-CN"/>
        </w:rPr>
        <w:t>2.</w:t>
      </w:r>
      <w:r>
        <w:rPr>
          <w:rFonts w:ascii="Times New Roman" w:hAnsi="Times New Roman" w:eastAsia="仿宋_GB2312" w:cs="Times New Roman"/>
          <w:sz w:val="32"/>
          <w:szCs w:val="40"/>
          <w:lang w:val="en-US" w:eastAsia="zh-CN"/>
        </w:rPr>
        <w:t xml:space="preserve"> 发展目标</w:t>
      </w:r>
      <w:bookmarkEnd w:id="0"/>
    </w:p>
    <w:p>
      <w:pPr>
        <w:ind w:firstLine="320" w:firstLineChars="10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（1）总体目标</w:t>
      </w:r>
    </w:p>
    <w:p>
      <w:pPr>
        <w:ind w:firstLine="640" w:firstLineChars="20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通过早熟油菜优势特色产业集群项目的实施主要围绕科技创新能力提升、标准化生产基地建设、新型主体培育、加工能力提升、产业融合发展、品牌体系构建六大方面的建设，稳定全市油菜作物种植面积，提高油菜作物良种普及率，提高油菜作物单产和品质，树立湘乡市油菜品牌形象，加强新型农业经营主体与农户建立紧密的利益联结机制，带动农民持续增收，实现湘乡市油菜产业又快又好发展。</w:t>
      </w:r>
    </w:p>
    <w:p>
      <w:pPr>
        <w:ind w:firstLine="320" w:firstLineChars="10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（2）具体目标</w:t>
      </w:r>
    </w:p>
    <w:p>
      <w:pPr>
        <w:ind w:firstLine="640" w:firstLineChars="20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一是产品供给保障能力进一步提升。到2024年，油菜种植面积达2</w:t>
      </w:r>
      <w:r>
        <w:rPr>
          <w:rFonts w:hint="eastAsia" w:ascii="Times New Roman" w:hAnsi="Times New Roman" w:eastAsia="仿宋_GB2312" w:cs="Times New Roman"/>
          <w:sz w:val="32"/>
          <w:szCs w:val="40"/>
          <w:lang w:val="en-US" w:eastAsia="zh-CN"/>
        </w:rPr>
        <w:t>2.6</w:t>
      </w:r>
      <w:r>
        <w:rPr>
          <w:rFonts w:ascii="Times New Roman" w:hAnsi="Times New Roman" w:eastAsia="仿宋_GB2312" w:cs="Times New Roman"/>
          <w:sz w:val="32"/>
          <w:szCs w:val="40"/>
          <w:lang w:val="en-US" w:eastAsia="zh-CN"/>
        </w:rPr>
        <w:t>万亩以上，单产1</w:t>
      </w:r>
      <w:r>
        <w:rPr>
          <w:rFonts w:hint="eastAsia" w:ascii="Times New Roman" w:hAnsi="Times New Roman" w:eastAsia="仿宋_GB2312" w:cs="Times New Roman"/>
          <w:sz w:val="32"/>
          <w:szCs w:val="40"/>
          <w:lang w:val="en-US" w:eastAsia="zh-CN"/>
        </w:rPr>
        <w:t>0</w:t>
      </w:r>
      <w:r>
        <w:rPr>
          <w:rFonts w:ascii="Times New Roman" w:hAnsi="Times New Roman" w:eastAsia="仿宋_GB2312" w:cs="Times New Roman"/>
          <w:sz w:val="32"/>
          <w:szCs w:val="40"/>
          <w:lang w:val="en-US" w:eastAsia="zh-CN"/>
        </w:rPr>
        <w:t>0公斤/亩</w:t>
      </w:r>
      <w:r>
        <w:rPr>
          <w:rFonts w:hint="eastAsia" w:ascii="Times New Roman" w:hAnsi="Times New Roman" w:eastAsia="仿宋_GB2312" w:cs="Times New Roman"/>
          <w:sz w:val="32"/>
          <w:szCs w:val="40"/>
          <w:lang w:val="en-US" w:eastAsia="zh-CN"/>
        </w:rPr>
        <w:t>以上</w:t>
      </w:r>
      <w:r>
        <w:rPr>
          <w:rFonts w:ascii="Times New Roman" w:hAnsi="Times New Roman" w:eastAsia="仿宋_GB2312" w:cs="Times New Roman"/>
          <w:sz w:val="32"/>
          <w:szCs w:val="40"/>
          <w:lang w:val="en-US" w:eastAsia="zh-CN"/>
        </w:rPr>
        <w:t>，</w:t>
      </w:r>
      <w:r>
        <w:rPr>
          <w:rFonts w:hint="eastAsia" w:ascii="Times New Roman" w:hAnsi="Times New Roman" w:eastAsia="仿宋_GB2312" w:cs="Times New Roman"/>
          <w:sz w:val="32"/>
          <w:szCs w:val="40"/>
          <w:lang w:val="en-US" w:eastAsia="zh-CN"/>
        </w:rPr>
        <w:t>油</w:t>
      </w:r>
      <w:r>
        <w:rPr>
          <w:rFonts w:ascii="Times New Roman" w:hAnsi="Times New Roman" w:eastAsia="仿宋_GB2312" w:cs="Times New Roman"/>
          <w:sz w:val="32"/>
          <w:szCs w:val="40"/>
          <w:lang w:val="en-US" w:eastAsia="zh-CN"/>
        </w:rPr>
        <w:t>菜籽总产</w:t>
      </w:r>
      <w:r>
        <w:rPr>
          <w:rFonts w:hint="eastAsia" w:ascii="Times New Roman" w:hAnsi="Times New Roman" w:eastAsia="仿宋_GB2312" w:cs="Times New Roman"/>
          <w:sz w:val="32"/>
          <w:szCs w:val="40"/>
          <w:lang w:val="en-US" w:eastAsia="zh-CN"/>
        </w:rPr>
        <w:t>达2.26万</w:t>
      </w:r>
      <w:r>
        <w:rPr>
          <w:rFonts w:ascii="Times New Roman" w:hAnsi="Times New Roman" w:eastAsia="仿宋_GB2312" w:cs="Times New Roman"/>
          <w:sz w:val="32"/>
          <w:szCs w:val="40"/>
          <w:lang w:val="en-US" w:eastAsia="zh-CN"/>
        </w:rPr>
        <w:t>吨，油菜综合产值由4.68亿元增加到</w:t>
      </w:r>
      <w:r>
        <w:rPr>
          <w:rFonts w:hint="eastAsia" w:ascii="Times New Roman" w:hAnsi="Times New Roman" w:eastAsia="仿宋_GB2312" w:cs="Times New Roman"/>
          <w:sz w:val="32"/>
          <w:szCs w:val="40"/>
          <w:lang w:val="en-US" w:eastAsia="zh-CN"/>
        </w:rPr>
        <w:t>5</w:t>
      </w:r>
      <w:r>
        <w:rPr>
          <w:rFonts w:ascii="Times New Roman" w:hAnsi="Times New Roman" w:eastAsia="仿宋_GB2312" w:cs="Times New Roman"/>
          <w:sz w:val="32"/>
          <w:szCs w:val="40"/>
          <w:lang w:val="en-US" w:eastAsia="zh-CN"/>
        </w:rPr>
        <w:t>.0亿元以上。</w:t>
      </w:r>
    </w:p>
    <w:p>
      <w:pPr>
        <w:ind w:firstLine="640" w:firstLineChars="20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二是产业链竞争能力进一步提升。到2024年底，油菜作物良种普及率达100%，农作物耕种收综合机械化率达到82%，继续加大对专业技术人员的培训力度，专业技术培训达2.0万人次。二品一标农产品认证数达13个，继续稳定省级及以上知名品牌（商标）2 个，农产品质量安全监测合格率、农产品质量安全追溯管理比例均达到100%。</w:t>
      </w:r>
    </w:p>
    <w:p>
      <w:pPr>
        <w:ind w:firstLine="640" w:firstLineChars="20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三是产业辐射带动能力进一步提升。大力发挥龙头企业的引领作用，促进资源深度开发、延伸产业链、丰富业态类型、完善利益联结机制。到2024年，省级龙头企业个数达到2个，农业产业化联合体7个，市级以上农业产业化龙头企业5个，带动订单从业人员2.5万人以上，农民人均可支配收入达到</w:t>
      </w:r>
      <w:r>
        <w:rPr>
          <w:rFonts w:hint="eastAsia" w:ascii="Times New Roman" w:hAnsi="Times New Roman" w:eastAsia="仿宋_GB2312" w:cs="Times New Roman"/>
          <w:sz w:val="32"/>
          <w:szCs w:val="40"/>
          <w:lang w:val="en-US" w:eastAsia="zh-CN"/>
        </w:rPr>
        <w:t>2.68</w:t>
      </w:r>
      <w:r>
        <w:rPr>
          <w:rFonts w:ascii="Times New Roman" w:hAnsi="Times New Roman" w:eastAsia="仿宋_GB2312" w:cs="Times New Roman"/>
          <w:sz w:val="32"/>
          <w:szCs w:val="40"/>
          <w:lang w:val="en-US" w:eastAsia="zh-CN"/>
        </w:rPr>
        <w:t>万元，农民增收致富能力持续增强。</w:t>
      </w:r>
    </w:p>
    <w:p>
      <w:pPr>
        <w:ind w:left="0" w:firstLine="640" w:firstLineChars="200"/>
        <w:rPr>
          <w:rFonts w:hint="eastAsia" w:ascii="Times New Roman" w:hAnsi="Times New Roman" w:eastAsia="仿宋_GB2312" w:cs="Times New Roman"/>
          <w:sz w:val="32"/>
          <w:szCs w:val="40"/>
          <w:lang w:val="en-US" w:eastAsia="zh-CN"/>
        </w:rPr>
      </w:pPr>
      <w:r>
        <w:rPr>
          <w:rFonts w:hint="eastAsia" w:ascii="Times New Roman" w:hAnsi="Times New Roman" w:eastAsia="仿宋_GB2312" w:cs="Times New Roman"/>
          <w:bCs w:val="0"/>
          <w:kern w:val="2"/>
          <w:sz w:val="32"/>
          <w:szCs w:val="40"/>
          <w:lang w:val="en-US" w:eastAsia="zh-CN" w:bidi="ar-SA"/>
        </w:rPr>
        <w:t>四、建设内容和资金使用</w:t>
      </w:r>
    </w:p>
    <w:p>
      <w:pPr>
        <w:ind w:left="0" w:firstLine="640" w:firstLineChars="200"/>
        <w:rPr>
          <w:rFonts w:ascii="Times New Roman" w:hAnsi="Times New Roman" w:eastAsia="仿宋_GB2312" w:cs="Times New Roman"/>
          <w:sz w:val="32"/>
          <w:szCs w:val="40"/>
          <w:lang w:val="en-US" w:eastAsia="zh-CN"/>
        </w:rPr>
      </w:pPr>
      <w:r>
        <w:rPr>
          <w:rFonts w:hint="eastAsia" w:ascii="Times New Roman" w:hAnsi="Times New Roman" w:eastAsia="仿宋_GB2312" w:cs="Times New Roman"/>
          <w:sz w:val="32"/>
          <w:szCs w:val="40"/>
          <w:lang w:val="en-US" w:eastAsia="zh-CN"/>
        </w:rPr>
        <w:t>2024年建设内容</w:t>
      </w:r>
      <w:r>
        <w:rPr>
          <w:rFonts w:ascii="Times New Roman" w:hAnsi="Times New Roman" w:eastAsia="仿宋_GB2312" w:cs="Times New Roman"/>
          <w:kern w:val="2"/>
          <w:sz w:val="32"/>
          <w:szCs w:val="40"/>
          <w:lang w:val="en-US" w:eastAsia="zh-CN" w:bidi="ar-SA"/>
        </w:rPr>
        <w:t>：</w:t>
      </w:r>
      <w:r>
        <w:rPr>
          <w:rFonts w:ascii="Times New Roman" w:hAnsi="Times New Roman" w:eastAsia="仿宋_GB2312" w:cs="Times New Roman"/>
          <w:sz w:val="32"/>
          <w:szCs w:val="40"/>
          <w:lang w:val="en-US" w:eastAsia="zh-CN"/>
        </w:rPr>
        <w:t>湘乡市荣桥农机服务专业合作社绿色高质高效示范基地建设</w:t>
      </w:r>
      <w:r>
        <w:rPr>
          <w:rFonts w:hint="eastAsia" w:ascii="Times New Roman" w:hAnsi="Times New Roman" w:eastAsia="仿宋_GB2312" w:cs="Times New Roman"/>
          <w:sz w:val="32"/>
          <w:szCs w:val="40"/>
          <w:lang w:val="en-US" w:eastAsia="zh-CN"/>
        </w:rPr>
        <w:t>子</w:t>
      </w:r>
      <w:r>
        <w:rPr>
          <w:rFonts w:ascii="Times New Roman" w:hAnsi="Times New Roman" w:eastAsia="仿宋_GB2312" w:cs="Times New Roman"/>
          <w:sz w:val="32"/>
          <w:szCs w:val="40"/>
          <w:lang w:val="en-US" w:eastAsia="zh-CN"/>
        </w:rPr>
        <w:t>项目。</w:t>
      </w:r>
      <w:r>
        <w:rPr>
          <w:rFonts w:hint="eastAsia" w:ascii="仿宋_GB2312" w:eastAsia="仿宋_GB2312"/>
          <w:sz w:val="32"/>
          <w:szCs w:val="32"/>
        </w:rPr>
        <w:t>项目</w:t>
      </w:r>
      <w:r>
        <w:rPr>
          <w:rFonts w:ascii="仿宋_GB2312" w:eastAsia="仿宋_GB2312"/>
          <w:sz w:val="32"/>
          <w:szCs w:val="32"/>
        </w:rPr>
        <w:t>资</w:t>
      </w:r>
      <w:r>
        <w:rPr>
          <w:rFonts w:hint="eastAsia" w:ascii="仿宋_GB2312" w:eastAsia="仿宋_GB2312"/>
          <w:sz w:val="32"/>
          <w:szCs w:val="32"/>
        </w:rPr>
        <w:t>金</w:t>
      </w:r>
      <w:r>
        <w:rPr>
          <w:rFonts w:hint="eastAsia" w:ascii="仿宋_GB2312" w:eastAsia="仿宋_GB2312"/>
          <w:sz w:val="32"/>
          <w:szCs w:val="32"/>
          <w:lang w:val="en-US" w:eastAsia="zh-CN"/>
        </w:rPr>
        <w:t>500</w:t>
      </w:r>
      <w:r>
        <w:rPr>
          <w:rFonts w:hint="eastAsia" w:ascii="仿宋_GB2312" w:eastAsia="仿宋_GB2312"/>
          <w:sz w:val="32"/>
          <w:szCs w:val="32"/>
        </w:rPr>
        <w:t>万元，其中：中央财政资金</w:t>
      </w:r>
      <w:r>
        <w:rPr>
          <w:rFonts w:hint="eastAsia" w:ascii="仿宋_GB2312" w:eastAsia="仿宋_GB2312"/>
          <w:sz w:val="32"/>
          <w:szCs w:val="32"/>
          <w:lang w:val="en-US" w:eastAsia="zh-CN"/>
        </w:rPr>
        <w:t>1</w:t>
      </w:r>
      <w:r>
        <w:rPr>
          <w:rFonts w:hint="eastAsia" w:ascii="仿宋_GB2312" w:eastAsia="仿宋_GB2312"/>
          <w:sz w:val="32"/>
          <w:szCs w:val="32"/>
        </w:rPr>
        <w:t>00万</w:t>
      </w:r>
      <w:r>
        <w:rPr>
          <w:rFonts w:hint="eastAsia" w:ascii="Times New Roman" w:hAnsi="Times New Roman" w:eastAsia="仿宋_GB2312" w:cs="Times New Roman"/>
          <w:bCs/>
          <w:kern w:val="2"/>
          <w:sz w:val="32"/>
          <w:szCs w:val="40"/>
          <w:lang w:val="en-US" w:eastAsia="zh-CN" w:bidi="ar-SA"/>
        </w:rPr>
        <w:t>元，地方整合和自筹资金400万元</w:t>
      </w:r>
      <w:r>
        <w:rPr>
          <w:rFonts w:ascii="Times New Roman" w:hAnsi="Times New Roman" w:eastAsia="仿宋_GB2312" w:cs="Times New Roman"/>
          <w:bCs/>
          <w:kern w:val="2"/>
          <w:sz w:val="32"/>
          <w:szCs w:val="40"/>
          <w:lang w:val="en-US" w:eastAsia="zh-CN" w:bidi="ar-SA"/>
        </w:rPr>
        <w:t>。建设地点：湘乡市泉塘镇双江村</w:t>
      </w:r>
      <w:r>
        <w:rPr>
          <w:rFonts w:hint="eastAsia" w:ascii="Times New Roman" w:hAnsi="Times New Roman" w:eastAsia="仿宋_GB2312" w:cs="Times New Roman"/>
          <w:bCs/>
          <w:kern w:val="2"/>
          <w:sz w:val="32"/>
          <w:szCs w:val="40"/>
          <w:lang w:val="en-US" w:eastAsia="zh-CN" w:bidi="ar-SA"/>
        </w:rPr>
        <w:t>。</w:t>
      </w:r>
      <w:r>
        <w:rPr>
          <w:rFonts w:ascii="Times New Roman" w:hAnsi="Times New Roman" w:eastAsia="仿宋_GB2312" w:cs="Times New Roman"/>
          <w:bCs/>
          <w:kern w:val="2"/>
          <w:sz w:val="32"/>
          <w:szCs w:val="40"/>
          <w:lang w:val="en-US" w:eastAsia="zh-CN" w:bidi="ar-SA"/>
        </w:rPr>
        <w:t>该项目建</w:t>
      </w:r>
      <w:r>
        <w:rPr>
          <w:rFonts w:ascii="Times New Roman" w:hAnsi="Times New Roman" w:eastAsia="仿宋_GB2312" w:cs="Times New Roman"/>
          <w:sz w:val="32"/>
          <w:szCs w:val="40"/>
          <w:lang w:val="en-US" w:eastAsia="zh-CN"/>
        </w:rPr>
        <w:t>设绿色高质高效示范基地1500亩，主要建设内容</w:t>
      </w:r>
      <w:r>
        <w:rPr>
          <w:rFonts w:hint="eastAsia" w:ascii="Times New Roman" w:hAnsi="Times New Roman" w:eastAsia="仿宋_GB2312" w:cs="Times New Roman"/>
          <w:sz w:val="32"/>
          <w:szCs w:val="40"/>
          <w:lang w:val="en-US" w:eastAsia="zh-CN"/>
        </w:rPr>
        <w:t>包括</w:t>
      </w:r>
      <w:r>
        <w:rPr>
          <w:rFonts w:ascii="Times New Roman" w:hAnsi="Times New Roman" w:eastAsia="仿宋_GB2312" w:cs="Times New Roman"/>
          <w:sz w:val="32"/>
          <w:szCs w:val="40"/>
          <w:lang w:val="en-US" w:eastAsia="zh-CN"/>
        </w:rPr>
        <w:t>为示范基地提供良种、专用硼肥、</w:t>
      </w:r>
      <w:r>
        <w:rPr>
          <w:rFonts w:hint="eastAsia" w:ascii="Times New Roman" w:hAnsi="Times New Roman" w:eastAsia="仿宋_GB2312" w:cs="Times New Roman"/>
          <w:sz w:val="32"/>
          <w:szCs w:val="40"/>
          <w:lang w:val="en-US" w:eastAsia="zh-CN"/>
        </w:rPr>
        <w:t>复合</w:t>
      </w:r>
      <w:r>
        <w:rPr>
          <w:rFonts w:ascii="Times New Roman" w:hAnsi="Times New Roman" w:eastAsia="仿宋_GB2312" w:cs="Times New Roman"/>
          <w:sz w:val="32"/>
          <w:szCs w:val="40"/>
          <w:lang w:val="en-US" w:eastAsia="zh-CN"/>
        </w:rPr>
        <w:t>肥，进行绿色防控及其他社会化服务，完善配套基地道路、排灌水渠、灌溉山塘等设施，购置农机具以及进行系列技术推广服务等。详见下表</w:t>
      </w:r>
      <w:r>
        <w:rPr>
          <w:rFonts w:hint="eastAsia" w:ascii="Times New Roman" w:hAnsi="Times New Roman" w:eastAsia="仿宋_GB2312" w:cs="Times New Roman"/>
          <w:sz w:val="32"/>
          <w:szCs w:val="40"/>
          <w:lang w:val="en-US" w:eastAsia="zh-CN"/>
        </w:rPr>
        <w:t>1</w:t>
      </w:r>
      <w:r>
        <w:rPr>
          <w:rFonts w:ascii="Times New Roman" w:hAnsi="Times New Roman" w:eastAsia="仿宋_GB2312" w:cs="Times New Roman"/>
          <w:sz w:val="32"/>
          <w:szCs w:val="40"/>
          <w:lang w:val="en-US" w:eastAsia="zh-CN"/>
        </w:rPr>
        <w:t>。</w:t>
      </w:r>
    </w:p>
    <w:p>
      <w:pPr>
        <w:pStyle w:val="4"/>
        <w:jc w:val="center"/>
        <w:rPr>
          <w:rFonts w:hint="eastAsia" w:ascii="黑体" w:eastAsia="黑体" w:cs="黑体"/>
          <w:color w:val="auto"/>
          <w:sz w:val="32"/>
          <w:szCs w:val="32"/>
        </w:rPr>
      </w:pPr>
      <w:r>
        <w:rPr>
          <w:rFonts w:hint="eastAsia" w:ascii="黑体" w:eastAsia="黑体" w:cs="黑体"/>
          <w:color w:val="auto"/>
          <w:sz w:val="32"/>
          <w:szCs w:val="32"/>
        </w:rPr>
        <w:t>表</w:t>
      </w:r>
      <w:r>
        <w:rPr>
          <w:rFonts w:hint="eastAsia" w:ascii="黑体" w:eastAsia="黑体" w:cs="黑体"/>
          <w:color w:val="auto"/>
          <w:sz w:val="32"/>
          <w:szCs w:val="32"/>
          <w:lang w:val="en-US" w:eastAsia="zh-CN"/>
        </w:rPr>
        <w:t xml:space="preserve">1  </w:t>
      </w:r>
      <w:r>
        <w:rPr>
          <w:rFonts w:hint="eastAsia" w:ascii="黑体" w:eastAsia="黑体" w:cs="黑体"/>
          <w:color w:val="auto"/>
          <w:sz w:val="32"/>
          <w:szCs w:val="32"/>
        </w:rPr>
        <w:t>绿色高质高效示范基地建设内容表</w:t>
      </w:r>
    </w:p>
    <w:tbl>
      <w:tblPr>
        <w:tblStyle w:val="1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98"/>
        <w:gridCol w:w="3731"/>
        <w:gridCol w:w="1598"/>
        <w:gridCol w:w="15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序号</w:t>
            </w:r>
          </w:p>
        </w:tc>
        <w:tc>
          <w:tcPr>
            <w:tcW w:w="2188"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建设内容</w:t>
            </w:r>
          </w:p>
        </w:tc>
        <w:tc>
          <w:tcPr>
            <w:tcW w:w="937"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单位</w:t>
            </w:r>
          </w:p>
        </w:tc>
        <w:tc>
          <w:tcPr>
            <w:tcW w:w="937"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规模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937" w:type="pct"/>
            <w:vMerge w:val="continue"/>
            <w:tcBorders>
              <w:top w:val="single" w:color="000000" w:sz="4" w:space="0"/>
              <w:left w:val="single" w:color="000000" w:sz="4" w:space="0"/>
              <w:bottom w:val="single" w:color="000000" w:sz="4" w:space="0"/>
              <w:right w:val="single" w:color="000000" w:sz="4" w:space="0"/>
            </w:tcBorders>
            <w:noWrap/>
            <w:vAlign w:val="center"/>
          </w:tcPr>
          <w:p/>
        </w:tc>
        <w:tc>
          <w:tcPr>
            <w:tcW w:w="2188" w:type="pct"/>
            <w:vMerge w:val="continue"/>
            <w:tcBorders>
              <w:top w:val="single" w:color="000000" w:sz="4" w:space="0"/>
              <w:left w:val="single" w:color="000000" w:sz="4" w:space="0"/>
              <w:bottom w:val="single" w:color="000000" w:sz="4" w:space="0"/>
              <w:right w:val="single" w:color="000000" w:sz="4" w:space="0"/>
            </w:tcBorders>
            <w:noWrap/>
            <w:vAlign w:val="center"/>
          </w:tcPr>
          <w:p/>
        </w:tc>
        <w:tc>
          <w:tcPr>
            <w:tcW w:w="937" w:type="pct"/>
            <w:vMerge w:val="continue"/>
            <w:tcBorders>
              <w:top w:val="single" w:color="000000" w:sz="4" w:space="0"/>
              <w:left w:val="single" w:color="000000" w:sz="4" w:space="0"/>
              <w:bottom w:val="single" w:color="000000" w:sz="4" w:space="0"/>
              <w:right w:val="single" w:color="000000" w:sz="4" w:space="0"/>
            </w:tcBorders>
            <w:noWrap/>
            <w:vAlign w:val="center"/>
          </w:tcPr>
          <w:p/>
        </w:tc>
        <w:tc>
          <w:tcPr>
            <w:tcW w:w="937" w:type="pct"/>
            <w:vMerge w:val="continue"/>
            <w:tcBorders>
              <w:top w:val="single" w:color="000000" w:sz="4" w:space="0"/>
              <w:left w:val="single" w:color="000000" w:sz="4" w:space="0"/>
              <w:bottom w:val="single" w:color="000000" w:sz="4" w:space="0"/>
              <w:right w:val="single" w:color="000000" w:sz="4" w:space="0"/>
            </w:tcBorders>
            <w:noWrap/>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1</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生产补贴</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Regular" w:hAnsi="Times New Roman Regular" w:eastAsia="宋体" w:cs="Times New Roman Regular"/>
                <w:b/>
                <w:bCs/>
                <w:i w:val="0"/>
                <w:iCs w:val="0"/>
                <w:color w:val="auto"/>
                <w:sz w:val="24"/>
                <w:szCs w:val="24"/>
                <w:u w:val="none"/>
              </w:rPr>
            </w:pPr>
          </w:p>
        </w:tc>
        <w:tc>
          <w:tcPr>
            <w:tcW w:w="937"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Regular" w:hAnsi="Times New Roman Regular" w:eastAsia="宋体" w:cs="Times New Roman Regular"/>
                <w:b/>
                <w:bCs/>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1.1</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油菜良种补贴</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公斤</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hint="eastAsia" w:ascii="Times New Roman Regular" w:hAnsi="Times New Roman Regular" w:eastAsia="宋体" w:cs="Times New Roman Regular"/>
                <w:i w:val="0"/>
                <w:iCs w:val="0"/>
                <w:color w:val="auto"/>
                <w:kern w:val="0"/>
                <w:sz w:val="24"/>
                <w:szCs w:val="24"/>
                <w:u w:val="none"/>
                <w:lang w:val="en-US" w:eastAsia="zh-CN"/>
              </w:rPr>
              <w:t>1.2</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hint="eastAsia" w:ascii="Times New Roman" w:hAnsi="Times New Roman" w:eastAsia="宋体" w:cs="Times New Roman"/>
                <w:b w:val="0"/>
                <w:bCs w:val="0"/>
                <w:i w:val="0"/>
                <w:iCs w:val="0"/>
                <w:color w:val="auto"/>
                <w:kern w:val="0"/>
                <w:sz w:val="24"/>
                <w:szCs w:val="24"/>
                <w:u w:val="none"/>
                <w:lang w:val="en-US" w:eastAsia="zh-CN"/>
              </w:rPr>
              <w:t>土地流转</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ascii="Times New Roman Regular" w:hAnsi="Times New Roman Regular" w:eastAsia="宋体" w:cs="Times New Roman Regular"/>
                <w:i w:val="0"/>
                <w:iCs w:val="0"/>
                <w:color w:val="auto"/>
                <w:kern w:val="0"/>
                <w:sz w:val="24"/>
                <w:szCs w:val="24"/>
                <w:u w:val="none"/>
                <w:lang w:val="en-US" w:eastAsia="zh-CN"/>
              </w:rPr>
              <w:t>亩</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hint="eastAsia" w:ascii="Times New Roman Regular" w:hAnsi="Times New Roman Regular" w:eastAsia="宋体" w:cs="Times New Roman Regular"/>
                <w:i w:val="0"/>
                <w:iCs w:val="0"/>
                <w:color w:val="auto"/>
                <w:kern w:val="0"/>
                <w:sz w:val="24"/>
                <w:szCs w:val="24"/>
                <w:u w:val="none"/>
                <w:lang w:val="en-US" w:eastAsia="zh-CN"/>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1.</w:t>
            </w:r>
            <w:r>
              <w:rPr>
                <w:rFonts w:hint="eastAsia" w:ascii="Times New Roman Regular" w:hAnsi="Times New Roman Regular" w:eastAsia="宋体" w:cs="Times New Roman Regular"/>
                <w:i w:val="0"/>
                <w:iCs w:val="0"/>
                <w:color w:val="auto"/>
                <w:kern w:val="0"/>
                <w:sz w:val="24"/>
                <w:szCs w:val="24"/>
                <w:u w:val="none"/>
                <w:lang w:val="en-US" w:eastAsia="zh-CN"/>
              </w:rPr>
              <w:t>3</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油菜专用硼肥补贴</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公斤</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hint="eastAsia" w:ascii="Times New Roman Regular" w:hAnsi="Times New Roman Regular" w:eastAsia="宋体" w:cs="Times New Roman Regular"/>
                <w:i w:val="0"/>
                <w:iCs w:val="0"/>
                <w:color w:val="auto"/>
                <w:kern w:val="0"/>
                <w:sz w:val="24"/>
                <w:szCs w:val="24"/>
                <w:u w:val="none"/>
                <w:lang w:val="en-US" w:eastAsia="zh-CN"/>
              </w:rPr>
              <w:t>1.4</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hint="eastAsia" w:ascii="Times New Roman" w:hAnsi="Times New Roman" w:eastAsia="宋体" w:cs="Times New Roman"/>
                <w:b w:val="0"/>
                <w:bCs w:val="0"/>
                <w:i w:val="0"/>
                <w:iCs w:val="0"/>
                <w:color w:val="auto"/>
                <w:kern w:val="0"/>
                <w:sz w:val="24"/>
                <w:szCs w:val="24"/>
                <w:u w:val="none"/>
                <w:lang w:val="en-US" w:eastAsia="zh-CN"/>
              </w:rPr>
              <w:t>复合肥</w:t>
            </w:r>
            <w:r>
              <w:rPr>
                <w:rStyle w:val="15"/>
                <w:rFonts w:ascii="Times New Roman Regular" w:hAnsi="Times New Roman Regular" w:cs="Times New Roman Regular"/>
                <w:color w:val="auto"/>
                <w:lang w:val="en-US" w:eastAsia="zh-CN"/>
              </w:rPr>
              <w:t>补贴</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ascii="Times New Roman Regular" w:hAnsi="Times New Roman Regular" w:eastAsia="宋体" w:cs="Times New Roman Regular"/>
                <w:i w:val="0"/>
                <w:iCs w:val="0"/>
                <w:color w:val="auto"/>
                <w:kern w:val="0"/>
                <w:sz w:val="24"/>
                <w:szCs w:val="24"/>
                <w:u w:val="none"/>
                <w:lang w:val="en-US" w:eastAsia="zh-CN"/>
              </w:rPr>
              <w:t>吨</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hint="eastAsia" w:ascii="Times New Roman Regular" w:hAnsi="Times New Roman Regular" w:eastAsia="宋体" w:cs="Times New Roman Regular"/>
                <w:i w:val="0"/>
                <w:iCs w:val="0"/>
                <w:color w:val="auto"/>
                <w:kern w:val="0"/>
                <w:sz w:val="24"/>
                <w:szCs w:val="24"/>
                <w:u w:val="none"/>
                <w:lang w:val="en-US" w:eastAsia="zh-CN"/>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1.</w:t>
            </w:r>
            <w:r>
              <w:rPr>
                <w:rFonts w:hint="eastAsia" w:ascii="Times New Roman Regular" w:hAnsi="Times New Roman Regular" w:eastAsia="宋体" w:cs="Times New Roman Regular"/>
                <w:i w:val="0"/>
                <w:iCs w:val="0"/>
                <w:color w:val="auto"/>
                <w:kern w:val="0"/>
                <w:sz w:val="24"/>
                <w:szCs w:val="24"/>
                <w:u w:val="none"/>
                <w:lang w:val="en-US" w:eastAsia="zh-CN"/>
              </w:rPr>
              <w:t>5</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 xml:space="preserve">  </w:t>
            </w:r>
            <w:r>
              <w:rPr>
                <w:rStyle w:val="15"/>
                <w:rFonts w:ascii="Times New Roman Regular" w:hAnsi="Times New Roman Regular" w:cs="Times New Roman Regular"/>
                <w:color w:val="auto"/>
                <w:lang w:val="en-US" w:eastAsia="zh-CN"/>
              </w:rPr>
              <w:t>社会化服务补贴</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亩</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1.</w:t>
            </w:r>
            <w:r>
              <w:rPr>
                <w:rFonts w:hint="eastAsia" w:ascii="Times New Roman Regular" w:hAnsi="Times New Roman Regular" w:eastAsia="宋体" w:cs="Times New Roman Regular"/>
                <w:i w:val="0"/>
                <w:iCs w:val="0"/>
                <w:color w:val="auto"/>
                <w:kern w:val="0"/>
                <w:sz w:val="24"/>
                <w:szCs w:val="24"/>
                <w:u w:val="none"/>
                <w:lang w:val="en-US" w:eastAsia="zh-CN"/>
              </w:rPr>
              <w:t>6</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绿色防控</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亩</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2</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基础设施提升</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亩</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Regular" w:hAnsi="Times New Roman Regular" w:eastAsia="宋体" w:cs="Times New Roman Regular"/>
                <w:b/>
                <w:bCs/>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2.1</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机耕道改造</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米</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lang w:val="en-US"/>
              </w:rPr>
            </w:pPr>
            <w:r>
              <w:rPr>
                <w:rFonts w:hint="eastAsia" w:ascii="Times New Roman Regular" w:hAnsi="Times New Roman Regular" w:eastAsia="宋体" w:cs="Times New Roman Regular"/>
                <w:i w:val="0"/>
                <w:iCs w:val="0"/>
                <w:color w:val="auto"/>
                <w:kern w:val="0"/>
                <w:sz w:val="24"/>
                <w:szCs w:val="24"/>
                <w:u w:val="none"/>
                <w:lang w:val="en-US" w:eastAsia="zh-CN"/>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2.2</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排灌渠道改造</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米</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lang w:val="en-US"/>
              </w:rPr>
            </w:pPr>
            <w:r>
              <w:rPr>
                <w:rFonts w:hint="eastAsia" w:ascii="Times New Roman Regular" w:hAnsi="Times New Roman Regular" w:eastAsia="宋体" w:cs="Times New Roman Regular"/>
                <w:i w:val="0"/>
                <w:iCs w:val="0"/>
                <w:color w:val="auto"/>
                <w:kern w:val="0"/>
                <w:sz w:val="24"/>
                <w:szCs w:val="24"/>
                <w:u w:val="none"/>
                <w:lang w:val="en-US" w:eastAsia="zh-CN"/>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2.3</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灌溉山塘改造</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座</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hint="eastAsia" w:ascii="Times New Roman Regular" w:hAnsi="Times New Roman Regular" w:eastAsia="宋体" w:cs="Times New Roman Regular"/>
                <w:i w:val="0"/>
                <w:iCs w:val="0"/>
                <w:color w:val="auto"/>
                <w:kern w:val="0"/>
                <w:sz w:val="24"/>
                <w:szCs w:val="24"/>
                <w:u w:val="none"/>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3</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农机具购置</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Regular" w:hAnsi="Times New Roman Regular" w:eastAsia="宋体" w:cs="Times New Roman Regular"/>
                <w:b/>
                <w:bCs/>
                <w:i w:val="0"/>
                <w:iCs w:val="0"/>
                <w:color w:val="auto"/>
                <w:sz w:val="24"/>
                <w:szCs w:val="24"/>
                <w:u w:val="none"/>
              </w:rPr>
            </w:pPr>
          </w:p>
        </w:tc>
        <w:tc>
          <w:tcPr>
            <w:tcW w:w="937"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Regular" w:hAnsi="Times New Roman Regular" w:eastAsia="宋体" w:cs="Times New Roman Regular"/>
                <w:b/>
                <w:bCs/>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3.1</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cs="Times New Roman"/>
                <w:color w:val="auto"/>
                <w:kern w:val="0"/>
                <w:sz w:val="22"/>
                <w:szCs w:val="22"/>
              </w:rPr>
              <w:t>油菜直播机</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1"/>
                <w:szCs w:val="21"/>
                <w:u w:val="none"/>
                <w:lang w:val="en-US" w:eastAsia="zh-CN"/>
              </w:rPr>
              <w:t>台</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hint="eastAsia" w:ascii="Times New Roman" w:hAnsi="Times New Roman" w:eastAsia="宋体" w:cs="Times New Roman"/>
                <w:i w:val="0"/>
                <w:iCs w:val="0"/>
                <w:color w:val="auto"/>
                <w:kern w:val="0"/>
                <w:sz w:val="24"/>
                <w:szCs w:val="24"/>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3.2</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油菜移栽机</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台</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hint="eastAsia" w:ascii="宋体" w:eastAsia="宋体" w:cs="宋体"/>
                <w:i w:val="0"/>
                <w:iCs w:val="0"/>
                <w:color w:val="auto"/>
                <w:kern w:val="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3.3</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拖拉机</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台</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hint="eastAsia" w:ascii="宋体" w:eastAsia="宋体" w:cs="宋体"/>
                <w:i w:val="0"/>
                <w:iCs w:val="0"/>
                <w:color w:val="auto"/>
                <w:kern w:val="0"/>
                <w:sz w:val="24"/>
                <w:szCs w:val="24"/>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3.4</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植保</w:t>
            </w:r>
            <w:bookmarkStart w:id="4" w:name="_GoBack"/>
            <w:bookmarkEnd w:id="4"/>
            <w:r>
              <w:rPr>
                <w:rFonts w:ascii="Times New Roman Regular" w:hAnsi="Times New Roman Regular" w:eastAsia="宋体" w:cs="Times New Roman Regular"/>
                <w:i w:val="0"/>
                <w:iCs w:val="0"/>
                <w:color w:val="auto"/>
                <w:kern w:val="0"/>
                <w:sz w:val="24"/>
                <w:szCs w:val="24"/>
                <w:u w:val="none"/>
                <w:lang w:val="en-US" w:eastAsia="zh-CN"/>
              </w:rPr>
              <w:t>无人机</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台</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hint="eastAsia" w:ascii="宋体" w:eastAsia="宋体" w:cs="宋体"/>
                <w:i w:val="0"/>
                <w:iCs w:val="0"/>
                <w:color w:val="auto"/>
                <w:kern w:val="0"/>
                <w:sz w:val="24"/>
                <w:szCs w:val="24"/>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hint="eastAsia" w:ascii="Times New Roman Regular" w:hAnsi="Times New Roman Regular" w:eastAsia="宋体" w:cs="Times New Roman Regular"/>
                <w:i w:val="0"/>
                <w:iCs w:val="0"/>
                <w:color w:val="auto"/>
                <w:kern w:val="0"/>
                <w:sz w:val="24"/>
                <w:szCs w:val="24"/>
                <w:u w:val="none"/>
                <w:lang w:val="en-US" w:eastAsia="zh-CN"/>
              </w:rPr>
              <w:t>3.5</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ascii="Times New Roman Regular" w:hAnsi="Times New Roman Regular" w:eastAsia="宋体" w:cs="Times New Roman Regular"/>
                <w:i w:val="0"/>
                <w:iCs w:val="0"/>
                <w:color w:val="auto"/>
                <w:kern w:val="0"/>
                <w:sz w:val="24"/>
                <w:szCs w:val="24"/>
                <w:u w:val="none"/>
                <w:lang w:val="en-US" w:eastAsia="zh-CN"/>
              </w:rPr>
              <w:t>油菜烘干机</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ascii="Times New Roman Regular" w:hAnsi="Times New Roman Regular" w:eastAsia="宋体" w:cs="Times New Roman Regular"/>
                <w:i w:val="0"/>
                <w:iCs w:val="0"/>
                <w:color w:val="auto"/>
                <w:kern w:val="0"/>
                <w:sz w:val="24"/>
                <w:szCs w:val="24"/>
                <w:u w:val="none"/>
                <w:lang w:val="en-US" w:eastAsia="zh-CN"/>
              </w:rPr>
              <w:t>台</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eastAsia="宋体" w:cs="宋体"/>
                <w:i w:val="0"/>
                <w:iCs w:val="0"/>
                <w:color w:val="auto"/>
                <w:kern w:val="0"/>
                <w:sz w:val="24"/>
                <w:szCs w:val="24"/>
                <w:u w:val="none"/>
                <w:lang w:val="en-US" w:eastAsia="zh-CN"/>
              </w:rPr>
            </w:pPr>
            <w:r>
              <w:rPr>
                <w:rFonts w:hint="eastAsia" w:ascii="宋体" w:eastAsia="宋体" w:cs="宋体"/>
                <w:i w:val="0"/>
                <w:iCs w:val="0"/>
                <w:color w:val="auto"/>
                <w:kern w:val="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hint="eastAsia" w:ascii="Times New Roman Regular" w:hAnsi="Times New Roman Regular" w:eastAsia="宋体" w:cs="Times New Roman Regular"/>
                <w:i w:val="0"/>
                <w:iCs w:val="0"/>
                <w:color w:val="auto"/>
                <w:kern w:val="0"/>
                <w:sz w:val="24"/>
                <w:szCs w:val="24"/>
                <w:u w:val="none"/>
                <w:lang w:val="en-US" w:eastAsia="zh-CN"/>
              </w:rPr>
              <w:t>3.6</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ascii="Times New Roman Regular" w:hAnsi="Times New Roman Regular" w:eastAsia="宋体" w:cs="Times New Roman Regular"/>
                <w:i w:val="0"/>
                <w:iCs w:val="0"/>
                <w:color w:val="auto"/>
                <w:kern w:val="0"/>
                <w:sz w:val="24"/>
                <w:szCs w:val="24"/>
                <w:u w:val="none"/>
                <w:lang w:val="en-US" w:eastAsia="zh-CN"/>
              </w:rPr>
              <w:t>旋耕机</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kern w:val="0"/>
                <w:sz w:val="24"/>
                <w:szCs w:val="24"/>
                <w:u w:val="none"/>
                <w:lang w:val="en-US" w:eastAsia="zh-CN"/>
              </w:rPr>
            </w:pPr>
            <w:r>
              <w:rPr>
                <w:rFonts w:ascii="Times New Roman Regular" w:hAnsi="Times New Roman Regular" w:eastAsia="宋体" w:cs="Times New Roman Regular"/>
                <w:i w:val="0"/>
                <w:iCs w:val="0"/>
                <w:color w:val="auto"/>
                <w:kern w:val="0"/>
                <w:sz w:val="24"/>
                <w:szCs w:val="24"/>
                <w:u w:val="none"/>
                <w:lang w:val="en-US" w:eastAsia="zh-CN"/>
              </w:rPr>
              <w:t>台</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eastAsia="宋体" w:cs="宋体"/>
                <w:i w:val="0"/>
                <w:iCs w:val="0"/>
                <w:color w:val="auto"/>
                <w:kern w:val="0"/>
                <w:sz w:val="24"/>
                <w:szCs w:val="24"/>
                <w:u w:val="none"/>
                <w:lang w:val="en-US" w:eastAsia="zh-CN"/>
              </w:rPr>
            </w:pPr>
            <w:r>
              <w:rPr>
                <w:rFonts w:hint="eastAsia" w:ascii="宋体" w:eastAsia="宋体" w:cs="宋体"/>
                <w:i w:val="0"/>
                <w:iCs w:val="0"/>
                <w:color w:val="auto"/>
                <w:kern w:val="0"/>
                <w:sz w:val="24"/>
                <w:szCs w:val="24"/>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4</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Times New Roman Regular" w:hAnsi="Times New Roman Regular" w:eastAsia="宋体" w:cs="Times New Roman Regular"/>
                <w:b/>
                <w:bCs/>
                <w:i w:val="0"/>
                <w:iCs w:val="0"/>
                <w:color w:val="auto"/>
                <w:sz w:val="24"/>
                <w:szCs w:val="24"/>
                <w:u w:val="none"/>
              </w:rPr>
            </w:pPr>
            <w:r>
              <w:rPr>
                <w:rFonts w:ascii="Times New Roman Regular" w:hAnsi="Times New Roman Regular" w:eastAsia="宋体" w:cs="Times New Roman Regular"/>
                <w:b/>
                <w:bCs/>
                <w:i w:val="0"/>
                <w:iCs w:val="0"/>
                <w:color w:val="auto"/>
                <w:kern w:val="0"/>
                <w:sz w:val="24"/>
                <w:szCs w:val="24"/>
                <w:u w:val="none"/>
                <w:lang w:val="en-US" w:eastAsia="zh-CN"/>
              </w:rPr>
              <w:t>技术推广服务</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Regular" w:hAnsi="Times New Roman Regular" w:eastAsia="宋体" w:cs="Times New Roman Regular"/>
                <w:i w:val="0"/>
                <w:iCs w:val="0"/>
                <w:color w:val="auto"/>
                <w:sz w:val="24"/>
                <w:szCs w:val="24"/>
                <w:u w:val="none"/>
              </w:rPr>
            </w:pPr>
          </w:p>
        </w:tc>
        <w:tc>
          <w:tcPr>
            <w:tcW w:w="937"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Regular" w:hAnsi="Times New Roman Regular" w:eastAsia="宋体" w:cs="Times New Roman Regular"/>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4.1</w:t>
            </w:r>
          </w:p>
        </w:tc>
        <w:tc>
          <w:tcPr>
            <w:tcW w:w="21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ascii="Times New Roman Regular" w:hAnsi="Times New Roman Regular" w:eastAsia="宋体" w:cs="Times New Roman Regular"/>
                <w:i w:val="0"/>
                <w:iCs w:val="0"/>
                <w:color w:val="auto"/>
                <w:sz w:val="24"/>
                <w:szCs w:val="24"/>
                <w:u w:val="none"/>
              </w:rPr>
            </w:pPr>
            <w:r>
              <w:rPr>
                <w:rFonts w:hint="eastAsia" w:ascii="Times New Roman Regular" w:hAnsi="Times New Roman Regular" w:eastAsia="宋体" w:cs="Times New Roman Regular"/>
                <w:i w:val="0"/>
                <w:iCs w:val="0"/>
                <w:color w:val="auto"/>
                <w:kern w:val="0"/>
                <w:sz w:val="24"/>
                <w:szCs w:val="24"/>
                <w:u w:val="none"/>
                <w:lang w:val="en-US" w:eastAsia="zh-CN"/>
              </w:rPr>
              <w:t>技术培训</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项</w:t>
            </w:r>
          </w:p>
        </w:tc>
        <w:tc>
          <w:tcPr>
            <w:tcW w:w="93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Times New Roman Regular" w:hAnsi="Times New Roman Regular" w:eastAsia="宋体" w:cs="Times New Roman Regular"/>
                <w:i w:val="0"/>
                <w:iCs w:val="0"/>
                <w:color w:val="auto"/>
                <w:sz w:val="24"/>
                <w:szCs w:val="24"/>
                <w:u w:val="none"/>
              </w:rPr>
            </w:pPr>
            <w:r>
              <w:rPr>
                <w:rFonts w:ascii="Times New Roman Regular" w:hAnsi="Times New Roman Regular" w:eastAsia="宋体" w:cs="Times New Roman Regular"/>
                <w:i w:val="0"/>
                <w:iCs w:val="0"/>
                <w:color w:val="auto"/>
                <w:kern w:val="0"/>
                <w:sz w:val="24"/>
                <w:szCs w:val="24"/>
                <w:u w:val="none"/>
                <w:lang w:val="en-US" w:eastAsia="zh-CN"/>
              </w:rPr>
              <w:t>1</w:t>
            </w:r>
          </w:p>
        </w:tc>
      </w:tr>
    </w:tbl>
    <w:p>
      <w:pPr>
        <w:ind w:firstLine="640" w:firstLineChars="20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湘乡市荣桥农机服务专业合作社绿色高质高效示范基地建设项目总投资500万元，其中申请中央财政资金100万元，地方整合资金50万元，自筹资金350万元。（</w:t>
      </w:r>
      <w:r>
        <w:rPr>
          <w:rFonts w:ascii="Times New Roman" w:hAnsi="Times New Roman" w:eastAsia="仿宋_GB2312" w:cs="Times New Roman"/>
          <w:sz w:val="32"/>
          <w:szCs w:val="40"/>
          <w:lang w:val="en-US"/>
        </w:rPr>
        <w:t>生产补贴</w:t>
      </w:r>
      <w:r>
        <w:rPr>
          <w:rFonts w:ascii="Times New Roman" w:hAnsi="Times New Roman" w:eastAsia="仿宋_GB2312" w:cs="Times New Roman"/>
          <w:sz w:val="32"/>
          <w:szCs w:val="40"/>
          <w:lang w:val="en-US" w:eastAsia="zh-CN"/>
        </w:rPr>
        <w:t>投资1</w:t>
      </w:r>
      <w:r>
        <w:rPr>
          <w:rFonts w:hint="eastAsia" w:ascii="Times New Roman" w:hAnsi="Times New Roman" w:eastAsia="仿宋_GB2312" w:cs="Times New Roman"/>
          <w:sz w:val="32"/>
          <w:szCs w:val="40"/>
          <w:lang w:val="en-US" w:eastAsia="zh-CN"/>
        </w:rPr>
        <w:t>34</w:t>
      </w:r>
      <w:r>
        <w:rPr>
          <w:rFonts w:ascii="Times New Roman" w:hAnsi="Times New Roman" w:eastAsia="仿宋_GB2312" w:cs="Times New Roman"/>
          <w:sz w:val="32"/>
          <w:szCs w:val="40"/>
          <w:lang w:val="en-US" w:eastAsia="zh-CN"/>
        </w:rPr>
        <w:t>万元，基础设施提升投资</w:t>
      </w:r>
      <w:r>
        <w:rPr>
          <w:rFonts w:hint="eastAsia" w:ascii="Times New Roman" w:hAnsi="Times New Roman" w:eastAsia="仿宋_GB2312" w:cs="Times New Roman"/>
          <w:sz w:val="32"/>
          <w:szCs w:val="40"/>
          <w:lang w:val="en-US" w:eastAsia="zh-CN"/>
        </w:rPr>
        <w:t>268</w:t>
      </w:r>
      <w:r>
        <w:rPr>
          <w:rFonts w:ascii="Times New Roman" w:hAnsi="Times New Roman" w:eastAsia="仿宋_GB2312" w:cs="Times New Roman"/>
          <w:sz w:val="32"/>
          <w:szCs w:val="40"/>
          <w:lang w:val="en-US" w:eastAsia="zh-CN"/>
        </w:rPr>
        <w:t>万元，农机具购置</w:t>
      </w:r>
      <w:r>
        <w:rPr>
          <w:rFonts w:hint="eastAsia" w:ascii="Times New Roman" w:hAnsi="Times New Roman" w:eastAsia="仿宋_GB2312" w:cs="Times New Roman"/>
          <w:sz w:val="32"/>
          <w:szCs w:val="40"/>
          <w:lang w:val="en-US" w:eastAsia="zh-CN"/>
        </w:rPr>
        <w:t>97</w:t>
      </w:r>
      <w:r>
        <w:rPr>
          <w:rFonts w:ascii="Times New Roman" w:hAnsi="Times New Roman" w:eastAsia="仿宋_GB2312" w:cs="Times New Roman"/>
          <w:sz w:val="32"/>
          <w:szCs w:val="40"/>
          <w:lang w:val="en-US" w:eastAsia="zh-CN"/>
        </w:rPr>
        <w:t>万元，技术推广服务</w:t>
      </w:r>
      <w:r>
        <w:rPr>
          <w:rFonts w:hint="eastAsia" w:ascii="Times New Roman" w:hAnsi="Times New Roman" w:eastAsia="仿宋_GB2312" w:cs="Times New Roman"/>
          <w:sz w:val="32"/>
          <w:szCs w:val="40"/>
          <w:lang w:val="en-US" w:eastAsia="zh-CN"/>
        </w:rPr>
        <w:t>1</w:t>
      </w:r>
      <w:r>
        <w:rPr>
          <w:rFonts w:ascii="Times New Roman" w:hAnsi="Times New Roman" w:eastAsia="仿宋_GB2312" w:cs="Times New Roman"/>
          <w:sz w:val="32"/>
          <w:szCs w:val="40"/>
          <w:lang w:val="en-US" w:eastAsia="zh-CN"/>
        </w:rPr>
        <w:t>万元。）详见下表</w:t>
      </w:r>
      <w:r>
        <w:rPr>
          <w:rFonts w:hint="eastAsia" w:ascii="Times New Roman" w:hAnsi="Times New Roman" w:eastAsia="仿宋_GB2312" w:cs="Times New Roman"/>
          <w:sz w:val="32"/>
          <w:szCs w:val="40"/>
          <w:lang w:val="en-US" w:eastAsia="zh-CN"/>
        </w:rPr>
        <w:t>2</w:t>
      </w:r>
      <w:r>
        <w:rPr>
          <w:rFonts w:ascii="Times New Roman" w:hAnsi="Times New Roman" w:eastAsia="仿宋_GB2312" w:cs="Times New Roman"/>
          <w:sz w:val="32"/>
          <w:szCs w:val="40"/>
          <w:lang w:val="en-US" w:eastAsia="zh-CN"/>
        </w:rPr>
        <w:t>。</w:t>
      </w:r>
    </w:p>
    <w:p>
      <w:pPr>
        <w:pStyle w:val="4"/>
        <w:jc w:val="center"/>
        <w:rPr>
          <w:rFonts w:ascii="Times New Roman Regular" w:hAnsi="Times New Roman Regular" w:cs="Times New Roman Regular"/>
          <w:color w:val="auto"/>
          <w:sz w:val="32"/>
          <w:szCs w:val="32"/>
        </w:rPr>
      </w:pPr>
      <w:r>
        <w:rPr>
          <w:rFonts w:ascii="Times New Roman Regular" w:hAnsi="Times New Roman Regular" w:cs="Times New Roman Regular"/>
          <w:color w:val="auto"/>
          <w:sz w:val="32"/>
          <w:szCs w:val="32"/>
        </w:rPr>
        <w:t xml:space="preserve"> 绿色高质高效示范基地建设项目投资估算表</w:t>
      </w:r>
    </w:p>
    <w:tbl>
      <w:tblPr>
        <w:tblStyle w:val="1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92"/>
        <w:gridCol w:w="1999"/>
        <w:gridCol w:w="815"/>
        <w:gridCol w:w="768"/>
        <w:gridCol w:w="1044"/>
        <w:gridCol w:w="745"/>
        <w:gridCol w:w="860"/>
        <w:gridCol w:w="908"/>
        <w:gridCol w:w="7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序号</w:t>
            </w:r>
          </w:p>
        </w:tc>
        <w:tc>
          <w:tcPr>
            <w:tcW w:w="1172"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建设内容</w:t>
            </w:r>
          </w:p>
        </w:tc>
        <w:tc>
          <w:tcPr>
            <w:tcW w:w="477"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单位</w:t>
            </w:r>
          </w:p>
        </w:tc>
        <w:tc>
          <w:tcPr>
            <w:tcW w:w="450"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规模</w:t>
            </w:r>
          </w:p>
        </w:tc>
        <w:tc>
          <w:tcPr>
            <w:tcW w:w="612"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单价（元）</w:t>
            </w:r>
          </w:p>
        </w:tc>
        <w:tc>
          <w:tcPr>
            <w:tcW w:w="1940" w:type="pct"/>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投资（万元）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vMerge w:val="continue"/>
            <w:tcBorders>
              <w:top w:val="single" w:color="000000" w:sz="4" w:space="0"/>
              <w:left w:val="single" w:color="000000" w:sz="4" w:space="0"/>
              <w:bottom w:val="single" w:color="000000" w:sz="4" w:space="0"/>
              <w:right w:val="single" w:color="000000" w:sz="4" w:space="0"/>
            </w:tcBorders>
            <w:noWrap/>
            <w:vAlign w:val="center"/>
          </w:tcPr>
          <w:p>
            <w:pPr>
              <w:rPr>
                <w:rFonts w:hint="eastAsia" w:asciiTheme="minorEastAsia" w:hAnsiTheme="minorEastAsia" w:eastAsiaTheme="minorEastAsia" w:cstheme="minorEastAsia"/>
                <w:sz w:val="24"/>
                <w:szCs w:val="24"/>
              </w:rPr>
            </w:pPr>
          </w:p>
        </w:tc>
        <w:tc>
          <w:tcPr>
            <w:tcW w:w="1172" w:type="pct"/>
            <w:vMerge w:val="continue"/>
            <w:tcBorders>
              <w:top w:val="single" w:color="000000" w:sz="4" w:space="0"/>
              <w:left w:val="single" w:color="000000" w:sz="4" w:space="0"/>
              <w:bottom w:val="single" w:color="000000" w:sz="4" w:space="0"/>
              <w:right w:val="single" w:color="000000" w:sz="4" w:space="0"/>
            </w:tcBorders>
            <w:noWrap/>
            <w:vAlign w:val="center"/>
          </w:tcPr>
          <w:p>
            <w:pPr>
              <w:rPr>
                <w:rFonts w:hint="eastAsia" w:asciiTheme="minorEastAsia" w:hAnsiTheme="minorEastAsia" w:eastAsiaTheme="minorEastAsia" w:cstheme="minorEastAsia"/>
                <w:sz w:val="24"/>
                <w:szCs w:val="24"/>
              </w:rPr>
            </w:pPr>
          </w:p>
        </w:tc>
        <w:tc>
          <w:tcPr>
            <w:tcW w:w="477" w:type="pct"/>
            <w:vMerge w:val="continue"/>
            <w:tcBorders>
              <w:top w:val="single" w:color="000000" w:sz="4" w:space="0"/>
              <w:left w:val="single" w:color="000000" w:sz="4" w:space="0"/>
              <w:bottom w:val="single" w:color="000000" w:sz="4" w:space="0"/>
              <w:right w:val="single" w:color="000000" w:sz="4" w:space="0"/>
            </w:tcBorders>
            <w:noWrap/>
            <w:vAlign w:val="center"/>
          </w:tcPr>
          <w:p>
            <w:pPr>
              <w:rPr>
                <w:rFonts w:hint="eastAsia" w:asciiTheme="minorEastAsia" w:hAnsiTheme="minorEastAsia" w:eastAsiaTheme="minorEastAsia" w:cstheme="minorEastAsia"/>
                <w:sz w:val="24"/>
                <w:szCs w:val="24"/>
              </w:rPr>
            </w:pPr>
          </w:p>
        </w:tc>
        <w:tc>
          <w:tcPr>
            <w:tcW w:w="450" w:type="pct"/>
            <w:vMerge w:val="continue"/>
            <w:tcBorders>
              <w:top w:val="single" w:color="000000" w:sz="4" w:space="0"/>
              <w:left w:val="single" w:color="000000" w:sz="4" w:space="0"/>
              <w:bottom w:val="single" w:color="000000" w:sz="4" w:space="0"/>
              <w:right w:val="single" w:color="000000" w:sz="4" w:space="0"/>
            </w:tcBorders>
            <w:noWrap/>
            <w:vAlign w:val="center"/>
          </w:tcPr>
          <w:p>
            <w:pPr>
              <w:rPr>
                <w:rFonts w:hint="eastAsia" w:asciiTheme="minorEastAsia" w:hAnsiTheme="minorEastAsia" w:eastAsiaTheme="minorEastAsia" w:cstheme="minorEastAsia"/>
                <w:sz w:val="24"/>
                <w:szCs w:val="24"/>
              </w:rPr>
            </w:pPr>
          </w:p>
        </w:tc>
        <w:tc>
          <w:tcPr>
            <w:tcW w:w="612" w:type="pct"/>
            <w:vMerge w:val="continue"/>
            <w:tcBorders>
              <w:top w:val="single" w:color="000000" w:sz="4" w:space="0"/>
              <w:left w:val="single" w:color="000000" w:sz="4" w:space="0"/>
              <w:bottom w:val="single" w:color="000000" w:sz="4" w:space="0"/>
              <w:right w:val="single" w:color="000000" w:sz="4" w:space="0"/>
            </w:tcBorders>
            <w:noWrap/>
            <w:vAlign w:val="center"/>
          </w:tcPr>
          <w:p>
            <w:pPr>
              <w:rPr>
                <w:rFonts w:hint="eastAsia" w:asciiTheme="minorEastAsia" w:hAnsiTheme="minorEastAsia" w:eastAsiaTheme="minorEastAsia" w:cstheme="minorEastAsia"/>
                <w:sz w:val="24"/>
                <w:szCs w:val="24"/>
              </w:rPr>
            </w:pP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合计</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中央财政资金</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地方配套资金</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自筹资金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1</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生产补贴</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spacing w:line="240" w:lineRule="auto"/>
              <w:jc w:val="center"/>
              <w:rPr>
                <w:rFonts w:hint="eastAsia" w:asciiTheme="minorEastAsia" w:hAnsiTheme="minorEastAsia" w:eastAsiaTheme="minorEastAsia" w:cstheme="minorEastAsia"/>
                <w:b/>
                <w:bCs/>
                <w:i w:val="0"/>
                <w:iCs w:val="0"/>
                <w:color w:val="auto"/>
                <w:sz w:val="24"/>
                <w:szCs w:val="24"/>
                <w:u w:val="none"/>
              </w:rPr>
            </w:pPr>
          </w:p>
        </w:tc>
        <w:tc>
          <w:tcPr>
            <w:tcW w:w="450"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heme="minorEastAsia" w:hAnsiTheme="minorEastAsia" w:eastAsiaTheme="minorEastAsia" w:cstheme="minorEastAsia"/>
                <w:b/>
                <w:bCs/>
                <w:i w:val="0"/>
                <w:iCs w:val="0"/>
                <w:color w:val="auto"/>
                <w:sz w:val="24"/>
                <w:szCs w:val="24"/>
                <w:u w:val="none"/>
              </w:rPr>
            </w:pPr>
          </w:p>
        </w:tc>
        <w:tc>
          <w:tcPr>
            <w:tcW w:w="61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heme="minorEastAsia" w:hAnsiTheme="minorEastAsia" w:eastAsiaTheme="minorEastAsia" w:cstheme="minorEastAsia"/>
                <w:b/>
                <w:bCs/>
                <w:i w:val="0"/>
                <w:iCs w:val="0"/>
                <w:color w:val="auto"/>
                <w:sz w:val="24"/>
                <w:szCs w:val="24"/>
                <w:u w:val="none"/>
              </w:rPr>
            </w:pP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both"/>
              <w:textAlignment w:val="center"/>
              <w:rPr>
                <w:rFonts w:hint="eastAsia" w:asciiTheme="minorEastAsia" w:hAnsiTheme="minorEastAsia" w:eastAsiaTheme="minorEastAsia" w:cstheme="minorEastAsia"/>
                <w:b/>
                <w:bCs/>
                <w:i w:val="0"/>
                <w:iCs w:val="0"/>
                <w:color w:val="auto"/>
                <w:sz w:val="24"/>
                <w:szCs w:val="24"/>
                <w:u w:val="none"/>
                <w:lang w:val="en-US"/>
              </w:rPr>
            </w:pPr>
            <w:r>
              <w:rPr>
                <w:rFonts w:hint="eastAsia" w:asciiTheme="minorEastAsia" w:hAnsiTheme="minorEastAsia" w:eastAsiaTheme="minorEastAsia" w:cstheme="minorEastAsia"/>
                <w:b/>
                <w:bCs/>
                <w:i w:val="0"/>
                <w:iCs w:val="0"/>
                <w:color w:val="auto"/>
                <w:kern w:val="0"/>
                <w:sz w:val="24"/>
                <w:szCs w:val="24"/>
                <w:u w:val="none"/>
                <w:lang w:val="en-US" w:eastAsia="zh-CN"/>
              </w:rPr>
              <w:t>134</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both"/>
              <w:textAlignment w:val="center"/>
              <w:rPr>
                <w:rFonts w:hint="eastAsia" w:asciiTheme="minorEastAsia" w:hAnsiTheme="minorEastAsia" w:eastAsiaTheme="minorEastAsia" w:cstheme="minorEastAsia"/>
                <w:b/>
                <w:bCs/>
                <w:i w:val="0"/>
                <w:iCs w:val="0"/>
                <w:color w:val="auto"/>
                <w:sz w:val="24"/>
                <w:szCs w:val="24"/>
                <w:u w:val="none"/>
                <w:lang w:val="en-US"/>
              </w:rPr>
            </w:pPr>
            <w:r>
              <w:rPr>
                <w:rFonts w:hint="eastAsia" w:asciiTheme="minorEastAsia" w:hAnsiTheme="minorEastAsia" w:eastAsiaTheme="minorEastAsia" w:cstheme="minorEastAsia"/>
                <w:b/>
                <w:bCs/>
                <w:i w:val="0"/>
                <w:iCs w:val="0"/>
                <w:color w:val="auto"/>
                <w:kern w:val="0"/>
                <w:sz w:val="24"/>
                <w:szCs w:val="24"/>
                <w:u w:val="none"/>
                <w:lang w:val="en-US" w:eastAsia="zh-CN"/>
              </w:rPr>
              <w:t>55</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firstLine="0"/>
              <w:jc w:val="both"/>
              <w:textAlignment w:val="center"/>
              <w:rPr>
                <w:rFonts w:hint="eastAsia" w:asciiTheme="minorEastAsia" w:hAnsiTheme="minorEastAsia" w:eastAsiaTheme="minorEastAsia" w:cstheme="minorEastAsia"/>
                <w:b/>
                <w:bCs/>
                <w:i w:val="0"/>
                <w:iCs w:val="0"/>
                <w:color w:val="auto"/>
                <w:sz w:val="24"/>
                <w:szCs w:val="24"/>
                <w:u w:val="none"/>
                <w:lang w:val="en-US"/>
              </w:rPr>
            </w:pPr>
            <w:r>
              <w:rPr>
                <w:rFonts w:hint="eastAsia" w:asciiTheme="minorEastAsia" w:hAnsiTheme="minorEastAsia" w:eastAsiaTheme="minorEastAsia" w:cstheme="minorEastAsia"/>
                <w:b/>
                <w:bCs/>
                <w:i w:val="0"/>
                <w:iCs w:val="0"/>
                <w:color w:val="auto"/>
                <w:kern w:val="0"/>
                <w:sz w:val="24"/>
                <w:szCs w:val="24"/>
                <w:u w:val="none"/>
                <w:lang w:val="en-US" w:eastAsia="zh-CN"/>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1.1</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油菜良种补贴</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公斤</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600</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50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3</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1.2</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b w:val="0"/>
                <w:bCs w:val="0"/>
                <w:i w:val="0"/>
                <w:iCs w:val="0"/>
                <w:color w:val="auto"/>
                <w:kern w:val="0"/>
                <w:sz w:val="24"/>
                <w:szCs w:val="24"/>
                <w:u w:val="none"/>
                <w:lang w:val="en-US" w:eastAsia="zh-CN"/>
              </w:rPr>
              <w:t>土地流转</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亩</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1500</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100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15</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1.3</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油菜专用硼肥补贴</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公斤</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2000</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10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2</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1.4</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b w:val="0"/>
                <w:bCs w:val="0"/>
                <w:i w:val="0"/>
                <w:iCs w:val="0"/>
                <w:color w:val="auto"/>
                <w:kern w:val="0"/>
                <w:sz w:val="24"/>
                <w:szCs w:val="24"/>
                <w:u w:val="none"/>
                <w:lang w:val="en-US" w:eastAsia="zh-CN"/>
              </w:rPr>
              <w:t>复合肥</w:t>
            </w:r>
            <w:r>
              <w:rPr>
                <w:rFonts w:hint="eastAsia" w:asciiTheme="minorEastAsia" w:hAnsiTheme="minorEastAsia" w:eastAsiaTheme="minorEastAsia" w:cstheme="minorEastAsia"/>
                <w:i w:val="0"/>
                <w:iCs w:val="0"/>
                <w:color w:val="auto"/>
                <w:kern w:val="0"/>
                <w:sz w:val="24"/>
                <w:szCs w:val="24"/>
                <w:u w:val="none"/>
                <w:lang w:val="en-US" w:eastAsia="zh-CN"/>
              </w:rPr>
              <w:t>补贴</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吨</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75</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3200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24</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1.5</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社会化服务补贴</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亩</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1500</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400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60</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40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1.6</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绿色防控</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亩</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1500</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200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30</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15</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2</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基础设施提升</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center"/>
              <w:rPr>
                <w:rFonts w:hint="eastAsia" w:asciiTheme="minorEastAsia" w:hAnsiTheme="minorEastAsia" w:eastAsiaTheme="minorEastAsia" w:cstheme="minorEastAsia"/>
                <w:b/>
                <w:bCs/>
                <w:i w:val="0"/>
                <w:iCs w:val="0"/>
                <w:color w:val="auto"/>
                <w:sz w:val="24"/>
                <w:szCs w:val="24"/>
                <w:u w:val="none"/>
              </w:rPr>
            </w:pP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b/>
                <w:bCs/>
                <w:i w:val="0"/>
                <w:iCs w:val="0"/>
                <w:color w:val="auto"/>
                <w:sz w:val="24"/>
                <w:szCs w:val="24"/>
                <w:u w:val="none"/>
              </w:rPr>
            </w:pP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b/>
                <w:bCs/>
                <w:i w:val="0"/>
                <w:iCs w:val="0"/>
                <w:color w:val="auto"/>
                <w:sz w:val="24"/>
                <w:szCs w:val="24"/>
                <w:u w:val="none"/>
                <w:lang w:val="en-US"/>
              </w:rPr>
            </w:pPr>
            <w:r>
              <w:rPr>
                <w:rFonts w:hint="eastAsia" w:asciiTheme="minorEastAsia" w:hAnsiTheme="minorEastAsia" w:eastAsiaTheme="minorEastAsia" w:cstheme="minorEastAsia"/>
                <w:b/>
                <w:bCs/>
                <w:i w:val="0"/>
                <w:iCs w:val="0"/>
                <w:color w:val="auto"/>
                <w:kern w:val="0"/>
                <w:sz w:val="24"/>
                <w:szCs w:val="24"/>
                <w:u w:val="none"/>
                <w:lang w:val="en-US" w:eastAsia="zh-CN"/>
              </w:rPr>
              <w:t>268</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b/>
                <w:bCs/>
                <w:i w:val="0"/>
                <w:iCs w:val="0"/>
                <w:color w:val="auto"/>
                <w:sz w:val="24"/>
                <w:szCs w:val="24"/>
                <w:u w:val="none"/>
                <w:lang w:val="en-US"/>
              </w:rPr>
            </w:pPr>
            <w:r>
              <w:rPr>
                <w:rFonts w:hint="eastAsia" w:asciiTheme="minorEastAsia" w:hAnsiTheme="minorEastAsia" w:eastAsiaTheme="minorEastAsia" w:cstheme="minorEastAsia"/>
                <w:b/>
                <w:bCs/>
                <w:i w:val="0"/>
                <w:iCs w:val="0"/>
                <w:color w:val="auto"/>
                <w:kern w:val="0"/>
                <w:sz w:val="24"/>
                <w:szCs w:val="24"/>
                <w:u w:val="none"/>
                <w:lang w:val="en-US" w:eastAsia="zh-CN"/>
              </w:rPr>
              <w:t>45</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b/>
                <w:bCs/>
                <w:i w:val="0"/>
                <w:iCs w:val="0"/>
                <w:color w:val="auto"/>
                <w:sz w:val="24"/>
                <w:szCs w:val="24"/>
                <w:u w:val="none"/>
                <w:lang w:val="en-US"/>
              </w:rPr>
            </w:pPr>
            <w:r>
              <w:rPr>
                <w:rFonts w:hint="eastAsia" w:asciiTheme="minorEastAsia" w:hAnsiTheme="minorEastAsia" w:eastAsiaTheme="minorEastAsia" w:cstheme="minorEastAsia"/>
                <w:b/>
                <w:bCs/>
                <w:i w:val="0"/>
                <w:iCs w:val="0"/>
                <w:color w:val="auto"/>
                <w:kern w:val="0"/>
                <w:sz w:val="24"/>
                <w:szCs w:val="24"/>
                <w:u w:val="none"/>
                <w:lang w:val="en-US" w:eastAsia="zh-CN"/>
              </w:rPr>
              <w:t>28</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b/>
                <w:bCs/>
                <w:i w:val="0"/>
                <w:iCs w:val="0"/>
                <w:color w:val="auto"/>
                <w:sz w:val="24"/>
                <w:szCs w:val="24"/>
                <w:u w:val="none"/>
                <w:lang w:val="en-US"/>
              </w:rPr>
            </w:pPr>
            <w:r>
              <w:rPr>
                <w:rFonts w:hint="eastAsia" w:asciiTheme="minorEastAsia" w:hAnsiTheme="minorEastAsia" w:eastAsiaTheme="minorEastAsia" w:cstheme="minorEastAsia"/>
                <w:b/>
                <w:bCs/>
                <w:i w:val="0"/>
                <w:iCs w:val="0"/>
                <w:color w:val="auto"/>
                <w:kern w:val="0"/>
                <w:sz w:val="24"/>
                <w:szCs w:val="24"/>
                <w:u w:val="none"/>
                <w:lang w:val="en-US" w:eastAsia="zh-CN"/>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2.1</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机耕道改造</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米</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2400</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400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96</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sz w:val="24"/>
                <w:szCs w:val="24"/>
                <w:u w:val="none"/>
                <w:lang w:val="en-US" w:eastAsia="zh-CN"/>
              </w:rPr>
              <w:t>10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10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2.2</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排灌渠道改造</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米</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2300</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400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92</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35</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10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2.3</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灌溉山塘改造</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座</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8</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100000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80</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center"/>
              <w:rPr>
                <w:rFonts w:hint="eastAsia" w:asciiTheme="minorEastAsia" w:hAnsiTheme="minorEastAsia" w:eastAsiaTheme="minorEastAsia" w:cstheme="minorEastAsia"/>
                <w:i w:val="0"/>
                <w:iCs w:val="0"/>
                <w:color w:val="auto"/>
                <w:sz w:val="24"/>
                <w:szCs w:val="24"/>
                <w:u w:val="none"/>
                <w:lang w:val="en-US" w:eastAsia="zh-CN"/>
              </w:rPr>
            </w:pP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8</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3</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农机具购置</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spacing w:line="240" w:lineRule="auto"/>
              <w:jc w:val="center"/>
              <w:rPr>
                <w:rFonts w:hint="eastAsia" w:asciiTheme="minorEastAsia" w:hAnsiTheme="minorEastAsia" w:eastAsiaTheme="minorEastAsia" w:cstheme="minorEastAsia"/>
                <w:b/>
                <w:bCs/>
                <w:i w:val="0"/>
                <w:iCs w:val="0"/>
                <w:color w:val="auto"/>
                <w:sz w:val="24"/>
                <w:szCs w:val="24"/>
                <w:u w:val="none"/>
              </w:rPr>
            </w:pP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center"/>
              <w:rPr>
                <w:rFonts w:hint="eastAsia" w:asciiTheme="minorEastAsia" w:hAnsiTheme="minorEastAsia" w:eastAsiaTheme="minorEastAsia" w:cstheme="minorEastAsia"/>
                <w:b/>
                <w:bCs/>
                <w:i w:val="0"/>
                <w:iCs w:val="0"/>
                <w:color w:val="auto"/>
                <w:sz w:val="24"/>
                <w:szCs w:val="24"/>
                <w:u w:val="none"/>
              </w:rPr>
            </w:pP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center"/>
              <w:rPr>
                <w:rFonts w:hint="eastAsia" w:asciiTheme="minorEastAsia" w:hAnsiTheme="minorEastAsia" w:eastAsiaTheme="minorEastAsia" w:cstheme="minorEastAsia"/>
                <w:b/>
                <w:bCs/>
                <w:i w:val="0"/>
                <w:iCs w:val="0"/>
                <w:color w:val="auto"/>
                <w:sz w:val="24"/>
                <w:szCs w:val="24"/>
                <w:u w:val="none"/>
              </w:rPr>
            </w:pP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b/>
                <w:bCs/>
                <w:i w:val="0"/>
                <w:iCs w:val="0"/>
                <w:color w:val="auto"/>
                <w:sz w:val="24"/>
                <w:szCs w:val="24"/>
                <w:u w:val="none"/>
                <w:lang w:val="en-US"/>
              </w:rPr>
            </w:pPr>
            <w:r>
              <w:rPr>
                <w:rFonts w:hint="eastAsia" w:asciiTheme="minorEastAsia" w:hAnsiTheme="minorEastAsia" w:eastAsiaTheme="minorEastAsia" w:cstheme="minorEastAsia"/>
                <w:b/>
                <w:bCs/>
                <w:i w:val="0"/>
                <w:iCs w:val="0"/>
                <w:color w:val="auto"/>
                <w:kern w:val="0"/>
                <w:sz w:val="24"/>
                <w:szCs w:val="24"/>
                <w:u w:val="none"/>
                <w:lang w:val="en-US" w:eastAsia="zh-CN"/>
              </w:rPr>
              <w:t>97</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b/>
                <w:bCs/>
                <w:i w:val="0"/>
                <w:iCs w:val="0"/>
                <w:color w:val="auto"/>
                <w:sz w:val="24"/>
                <w:szCs w:val="24"/>
                <w:u w:val="none"/>
                <w:lang w:val="en-US"/>
              </w:rPr>
            </w:pPr>
            <w:r>
              <w:rPr>
                <w:rFonts w:hint="eastAsia" w:asciiTheme="minorEastAsia" w:hAnsiTheme="minorEastAsia" w:eastAsiaTheme="minorEastAsia" w:cstheme="minorEastAsia"/>
                <w:b/>
                <w:bCs/>
                <w:i w:val="0"/>
                <w:iCs w:val="0"/>
                <w:color w:val="auto"/>
                <w:kern w:val="0"/>
                <w:sz w:val="24"/>
                <w:szCs w:val="24"/>
                <w:u w:val="none"/>
                <w:lang w:val="en-US" w:eastAsia="zh-CN" w:bidi="ar"/>
              </w:rPr>
              <w:t>22</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b/>
                <w:bCs/>
                <w:i w:val="0"/>
                <w:iCs w:val="0"/>
                <w:color w:val="auto"/>
                <w:sz w:val="24"/>
                <w:szCs w:val="24"/>
                <w:u w:val="none"/>
                <w:lang w:val="en-US" w:eastAsia="zh-CN"/>
              </w:rPr>
            </w:pPr>
            <w:r>
              <w:rPr>
                <w:rFonts w:hint="eastAsia" w:asciiTheme="minorEastAsia" w:hAnsiTheme="minorEastAsia" w:eastAsiaTheme="minorEastAsia" w:cstheme="minorEastAsia"/>
                <w:b/>
                <w:bCs/>
                <w:i w:val="0"/>
                <w:iCs w:val="0"/>
                <w:color w:val="auto"/>
                <w:sz w:val="24"/>
                <w:szCs w:val="24"/>
                <w:u w:val="none"/>
                <w:lang w:val="en-US" w:eastAsia="zh-CN"/>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3.1</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color w:val="auto"/>
                <w:kern w:val="0"/>
                <w:sz w:val="24"/>
                <w:szCs w:val="24"/>
              </w:rPr>
              <w:t>油菜直播机</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台</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4</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20000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8</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left"/>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ind w:left="0" w:leftChars="0" w:firstLine="0" w:firstLineChars="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1</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3.2</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油菜移栽机</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台</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1</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140000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14</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left"/>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2</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3.3</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轮式拖拉机</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台</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2</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100000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20</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left"/>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4</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3.4</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植保无人机</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台</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2</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50000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10</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left"/>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4</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3.5</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油菜烘干机</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台</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1</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150000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15</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left"/>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bidi="ar"/>
              </w:rPr>
              <w:t>5</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3.6</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旋耕机</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台</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3</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100000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rPr>
              <w:t>30</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left"/>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bidi="ar"/>
              </w:rPr>
              <w:t>6</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leftChars="0" w:firstLine="0" w:firstLineChars="0"/>
              <w:jc w:val="both"/>
              <w:textAlignment w:val="center"/>
              <w:rPr>
                <w:rFonts w:hint="eastAsia" w:asciiTheme="minorEastAsia" w:hAnsiTheme="minorEastAsia" w:eastAsiaTheme="minorEastAsia" w:cstheme="minorEastAsia"/>
                <w:i w:val="0"/>
                <w:iCs w:val="0"/>
                <w:color w:val="auto"/>
                <w:kern w:val="0"/>
                <w:sz w:val="24"/>
                <w:szCs w:val="24"/>
                <w:u w:val="none"/>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4</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技术推广服务</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spacing w:line="240" w:lineRule="auto"/>
              <w:jc w:val="center"/>
              <w:rPr>
                <w:rFonts w:hint="eastAsia" w:asciiTheme="minorEastAsia" w:hAnsiTheme="minorEastAsia" w:eastAsiaTheme="minorEastAsia" w:cstheme="minorEastAsia"/>
                <w:i w:val="0"/>
                <w:iCs w:val="0"/>
                <w:color w:val="auto"/>
                <w:sz w:val="24"/>
                <w:szCs w:val="24"/>
                <w:u w:val="none"/>
              </w:rPr>
            </w:pP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center"/>
              <w:rPr>
                <w:rFonts w:hint="eastAsia" w:asciiTheme="minorEastAsia" w:hAnsiTheme="minorEastAsia" w:eastAsiaTheme="minorEastAsia" w:cstheme="minorEastAsia"/>
                <w:i w:val="0"/>
                <w:iCs w:val="0"/>
                <w:color w:val="auto"/>
                <w:sz w:val="24"/>
                <w:szCs w:val="24"/>
                <w:u w:val="none"/>
              </w:rPr>
            </w:pP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center"/>
              <w:rPr>
                <w:rFonts w:hint="eastAsia" w:asciiTheme="minorEastAsia" w:hAnsiTheme="minorEastAsia" w:eastAsiaTheme="minorEastAsia" w:cstheme="minorEastAsia"/>
                <w:i w:val="0"/>
                <w:iCs w:val="0"/>
                <w:color w:val="auto"/>
                <w:sz w:val="24"/>
                <w:szCs w:val="24"/>
                <w:u w:val="none"/>
              </w:rPr>
            </w:pP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1</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4.1</w:t>
            </w: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技术培训</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项</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1</w:t>
            </w: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lang w:val="en-US"/>
              </w:rPr>
            </w:pPr>
            <w:r>
              <w:rPr>
                <w:rFonts w:hint="eastAsia" w:asciiTheme="minorEastAsia" w:hAnsiTheme="minorEastAsia" w:eastAsiaTheme="minorEastAsia" w:cstheme="minorEastAsia"/>
                <w:i w:val="0"/>
                <w:iCs w:val="0"/>
                <w:color w:val="auto"/>
                <w:kern w:val="0"/>
                <w:sz w:val="24"/>
                <w:szCs w:val="24"/>
                <w:u w:val="none"/>
                <w:lang w:val="en-US" w:eastAsia="zh-CN"/>
              </w:rPr>
              <w:t>10000</w:t>
            </w: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1</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both"/>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both"/>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kern w:val="0"/>
                <w:sz w:val="24"/>
                <w:szCs w:val="24"/>
                <w:u w:val="none"/>
                <w:lang w:val="en-US" w:eastAsia="zh-CN"/>
              </w:rPr>
            </w:pPr>
          </w:p>
        </w:tc>
        <w:tc>
          <w:tcPr>
            <w:tcW w:w="117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b/>
                <w:bCs/>
                <w:i w:val="0"/>
                <w:iCs w:val="0"/>
                <w:color w:val="auto"/>
                <w:kern w:val="0"/>
                <w:sz w:val="24"/>
                <w:szCs w:val="24"/>
                <w:u w:val="none"/>
                <w:lang w:val="en-US"/>
              </w:rPr>
            </w:pPr>
            <w:r>
              <w:rPr>
                <w:rFonts w:hint="eastAsia" w:asciiTheme="minorEastAsia" w:hAnsiTheme="minorEastAsia" w:eastAsiaTheme="minorEastAsia" w:cstheme="minorEastAsia"/>
                <w:b/>
                <w:bCs/>
                <w:i w:val="0"/>
                <w:iCs w:val="0"/>
                <w:color w:val="auto"/>
                <w:kern w:val="0"/>
                <w:sz w:val="24"/>
                <w:szCs w:val="24"/>
                <w:u w:val="none"/>
                <w:lang w:val="en-US"/>
              </w:rPr>
              <w:t>合计</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spacing w:line="240" w:lineRule="auto"/>
              <w:ind w:left="0" w:firstLine="0"/>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rPr>
            </w:pPr>
          </w:p>
        </w:tc>
        <w:tc>
          <w:tcPr>
            <w:tcW w:w="45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center"/>
              <w:rPr>
                <w:rFonts w:hint="eastAsia" w:asciiTheme="minorEastAsia" w:hAnsiTheme="minorEastAsia" w:eastAsiaTheme="minorEastAsia" w:cstheme="minorEastAsia"/>
                <w:i w:val="0"/>
                <w:iCs w:val="0"/>
                <w:color w:val="auto"/>
                <w:kern w:val="0"/>
                <w:sz w:val="24"/>
                <w:szCs w:val="24"/>
                <w:u w:val="none"/>
                <w:lang w:val="en-US" w:eastAsia="zh-CN"/>
              </w:rPr>
            </w:pPr>
          </w:p>
        </w:tc>
        <w:tc>
          <w:tcPr>
            <w:tcW w:w="61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snapToGrid w:val="0"/>
              <w:jc w:val="center"/>
              <w:rPr>
                <w:rFonts w:hint="eastAsia" w:asciiTheme="minorEastAsia" w:hAnsiTheme="minorEastAsia" w:eastAsiaTheme="minorEastAsia" w:cstheme="minorEastAsia"/>
                <w:i w:val="0"/>
                <w:iCs w:val="0"/>
                <w:color w:val="auto"/>
                <w:kern w:val="0"/>
                <w:sz w:val="24"/>
                <w:szCs w:val="24"/>
                <w:u w:val="none"/>
                <w:lang w:val="en-US" w:eastAsia="zh-CN"/>
              </w:rPr>
            </w:pPr>
          </w:p>
        </w:tc>
        <w:tc>
          <w:tcPr>
            <w:tcW w:w="4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center"/>
              <w:textAlignment w:val="center"/>
              <w:rPr>
                <w:rFonts w:hint="eastAsia" w:asciiTheme="minorEastAsia" w:hAnsiTheme="minorEastAsia" w:eastAsiaTheme="minorEastAsia" w:cstheme="minorEastAsia"/>
                <w:i w:val="0"/>
                <w:iCs w:val="0"/>
                <w:color w:val="auto"/>
                <w:kern w:val="0"/>
                <w:sz w:val="24"/>
                <w:szCs w:val="24"/>
                <w:u w:val="none"/>
                <w:lang w:eastAsia="zh-CN"/>
              </w:rPr>
            </w:pPr>
            <w:r>
              <w:rPr>
                <w:rFonts w:hint="eastAsia" w:asciiTheme="minorEastAsia" w:hAnsiTheme="minorEastAsia" w:eastAsiaTheme="minorEastAsia" w:cstheme="minorEastAsia"/>
                <w:b/>
                <w:bCs/>
                <w:i w:val="0"/>
                <w:iCs w:val="0"/>
                <w:color w:val="auto"/>
                <w:kern w:val="0"/>
                <w:sz w:val="24"/>
                <w:szCs w:val="24"/>
                <w:u w:val="none"/>
                <w:lang w:eastAsia="zh-CN"/>
              </w:rPr>
              <w:t>500</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center"/>
              <w:textAlignment w:val="center"/>
              <w:rPr>
                <w:rFonts w:hint="eastAsia" w:asciiTheme="minorEastAsia" w:hAnsiTheme="minorEastAsia" w:eastAsiaTheme="minorEastAsia" w:cstheme="minorEastAsia"/>
                <w:b/>
                <w:bCs/>
                <w:i w:val="0"/>
                <w:iCs w:val="0"/>
                <w:color w:val="auto"/>
                <w:kern w:val="0"/>
                <w:sz w:val="24"/>
                <w:szCs w:val="24"/>
                <w:u w:val="none"/>
                <w:lang w:eastAsia="zh-CN"/>
              </w:rPr>
            </w:pPr>
            <w:r>
              <w:rPr>
                <w:rFonts w:hint="eastAsia" w:asciiTheme="minorEastAsia" w:hAnsiTheme="minorEastAsia" w:eastAsiaTheme="minorEastAsia" w:cstheme="minorEastAsia"/>
                <w:b/>
                <w:bCs/>
                <w:i w:val="0"/>
                <w:iCs w:val="0"/>
                <w:color w:val="auto"/>
                <w:kern w:val="0"/>
                <w:sz w:val="24"/>
                <w:szCs w:val="24"/>
                <w:u w:val="none"/>
                <w:lang w:eastAsia="zh-CN"/>
              </w:rPr>
              <w:t>100</w:t>
            </w:r>
          </w:p>
        </w:tc>
        <w:tc>
          <w:tcPr>
            <w:tcW w:w="5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center"/>
              <w:textAlignment w:val="center"/>
              <w:rPr>
                <w:rFonts w:hint="eastAsia" w:asciiTheme="minorEastAsia" w:hAnsiTheme="minorEastAsia" w:eastAsiaTheme="minorEastAsia" w:cstheme="minorEastAsia"/>
                <w:b/>
                <w:bCs/>
                <w:i w:val="0"/>
                <w:iCs w:val="0"/>
                <w:color w:val="auto"/>
                <w:kern w:val="0"/>
                <w:sz w:val="24"/>
                <w:szCs w:val="24"/>
                <w:u w:val="none"/>
                <w:lang w:eastAsia="zh-CN"/>
              </w:rPr>
            </w:pPr>
            <w:r>
              <w:rPr>
                <w:rFonts w:hint="eastAsia" w:asciiTheme="minorEastAsia" w:hAnsiTheme="minorEastAsia" w:eastAsiaTheme="minorEastAsia" w:cstheme="minorEastAsia"/>
                <w:b/>
                <w:bCs/>
                <w:i w:val="0"/>
                <w:iCs w:val="0"/>
                <w:color w:val="auto"/>
                <w:kern w:val="0"/>
                <w:sz w:val="24"/>
                <w:szCs w:val="24"/>
                <w:u w:val="none"/>
                <w:lang w:eastAsia="zh-CN"/>
              </w:rPr>
              <w:t>50</w:t>
            </w:r>
          </w:p>
        </w:tc>
        <w:tc>
          <w:tcPr>
            <w:tcW w:w="46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snapToGrid w:val="0"/>
              <w:ind w:left="0" w:firstLine="0"/>
              <w:jc w:val="center"/>
              <w:textAlignment w:val="center"/>
              <w:rPr>
                <w:rFonts w:hint="eastAsia" w:asciiTheme="minorEastAsia" w:hAnsiTheme="minorEastAsia" w:eastAsiaTheme="minorEastAsia" w:cstheme="minorEastAsia"/>
                <w:b/>
                <w:bCs/>
                <w:i w:val="0"/>
                <w:iCs w:val="0"/>
                <w:color w:val="auto"/>
                <w:kern w:val="0"/>
                <w:sz w:val="24"/>
                <w:szCs w:val="24"/>
                <w:u w:val="none"/>
                <w:lang w:val="en-US" w:eastAsia="zh-CN"/>
              </w:rPr>
            </w:pPr>
            <w:r>
              <w:rPr>
                <w:rFonts w:hint="eastAsia" w:asciiTheme="minorEastAsia" w:hAnsiTheme="minorEastAsia" w:eastAsiaTheme="minorEastAsia" w:cstheme="minorEastAsia"/>
                <w:b/>
                <w:bCs/>
                <w:i w:val="0"/>
                <w:iCs w:val="0"/>
                <w:color w:val="auto"/>
                <w:kern w:val="0"/>
                <w:sz w:val="24"/>
                <w:szCs w:val="24"/>
                <w:u w:val="none"/>
                <w:lang w:val="en-US" w:eastAsia="zh-CN"/>
              </w:rPr>
              <w:t>350</w:t>
            </w:r>
          </w:p>
        </w:tc>
      </w:tr>
    </w:tbl>
    <w:p>
      <w:pPr>
        <w:ind w:firstLine="640" w:firstLineChars="200"/>
        <w:rPr>
          <w:rFonts w:hint="eastAsia"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湘乡市荣桥农机服务专业合作社绿色高质高效示范基地建设</w:t>
      </w:r>
      <w:r>
        <w:rPr>
          <w:rFonts w:hint="eastAsia" w:ascii="Times New Roman" w:hAnsi="Times New Roman" w:eastAsia="仿宋_GB2312" w:cs="Times New Roman"/>
          <w:sz w:val="32"/>
          <w:szCs w:val="40"/>
          <w:lang w:val="en-US" w:eastAsia="zh-CN"/>
        </w:rPr>
        <w:t>子</w:t>
      </w:r>
      <w:r>
        <w:rPr>
          <w:rFonts w:ascii="Times New Roman" w:hAnsi="Times New Roman" w:eastAsia="仿宋_GB2312" w:cs="Times New Roman"/>
          <w:sz w:val="32"/>
          <w:szCs w:val="40"/>
          <w:lang w:val="en-US" w:eastAsia="zh-CN"/>
        </w:rPr>
        <w:t>项目已纳入集群项目总体实施方案项目库，且未纳入2022年度省级实施方案的子项目</w:t>
      </w:r>
      <w:r>
        <w:rPr>
          <w:rFonts w:hint="eastAsia" w:ascii="Times New Roman" w:hAnsi="Times New Roman" w:eastAsia="仿宋_GB2312" w:cs="Times New Roman"/>
          <w:sz w:val="32"/>
          <w:szCs w:val="40"/>
          <w:lang w:val="en-US" w:eastAsia="zh-CN"/>
        </w:rPr>
        <w:t>。</w:t>
      </w:r>
    </w:p>
    <w:p>
      <w:pPr>
        <w:ind w:firstLine="640" w:firstLineChars="200"/>
        <w:rPr>
          <w:rFonts w:ascii="Times New Roman" w:hAnsi="Times New Roman" w:eastAsia="仿宋_GB2312" w:cs="Times New Roman"/>
          <w:sz w:val="32"/>
          <w:szCs w:val="40"/>
          <w:lang w:val="en-US" w:eastAsia="zh-CN"/>
        </w:rPr>
      </w:pPr>
      <w:r>
        <w:rPr>
          <w:rFonts w:hint="eastAsia" w:ascii="Times New Roman" w:hAnsi="Times New Roman" w:eastAsia="仿宋_GB2312" w:cs="Times New Roman"/>
          <w:sz w:val="32"/>
          <w:szCs w:val="40"/>
          <w:lang w:val="en-US" w:eastAsia="zh-CN"/>
        </w:rPr>
        <w:t>五、效益分析</w:t>
      </w:r>
      <w:bookmarkStart w:id="1" w:name="_Toc23326"/>
      <w:r>
        <w:rPr>
          <w:rFonts w:ascii="Times New Roman" w:hAnsi="Times New Roman" w:eastAsia="仿宋_GB2312" w:cs="Times New Roman"/>
          <w:sz w:val="32"/>
          <w:szCs w:val="40"/>
          <w:lang w:val="en-US" w:eastAsia="zh-CN"/>
        </w:rPr>
        <w:t>经济效益</w:t>
      </w:r>
    </w:p>
    <w:p>
      <w:pPr>
        <w:ind w:firstLine="640" w:firstLineChars="200"/>
        <w:rPr>
          <w:rFonts w:ascii="Times New Roman" w:hAnsi="Times New Roman" w:eastAsia="仿宋_GB2312" w:cs="Times New Roman"/>
          <w:sz w:val="32"/>
          <w:szCs w:val="40"/>
          <w:lang w:val="en-US" w:eastAsia="zh-CN"/>
        </w:rPr>
      </w:pPr>
      <w:r>
        <w:rPr>
          <w:rFonts w:hint="eastAsia" w:ascii="Times New Roman" w:hAnsi="Times New Roman" w:eastAsia="仿宋_GB2312" w:cs="Times New Roman"/>
          <w:sz w:val="32"/>
          <w:szCs w:val="40"/>
          <w:lang w:val="en-US" w:eastAsia="zh-CN"/>
        </w:rPr>
        <w:t>1.</w:t>
      </w:r>
      <w:r>
        <w:rPr>
          <w:rFonts w:ascii="Times New Roman" w:hAnsi="Times New Roman" w:eastAsia="仿宋_GB2312" w:cs="Times New Roman"/>
          <w:sz w:val="32"/>
          <w:szCs w:val="40"/>
          <w:lang w:val="en-US" w:eastAsia="zh-CN"/>
        </w:rPr>
        <w:t>经济效益</w:t>
      </w:r>
    </w:p>
    <w:p>
      <w:pPr>
        <w:ind w:firstLine="640" w:firstLineChars="20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通过建设绿色高质高效示范基地，采用“稻-稻-油”“稻-再生稻-油”等种植模式，推广应用全程机械化作业，预计目标应达到再生稻头季亩产65</w:t>
      </w:r>
      <w:r>
        <w:rPr>
          <w:rFonts w:hint="eastAsia" w:ascii="Times New Roman" w:hAnsi="Times New Roman" w:eastAsia="仿宋_GB2312" w:cs="Times New Roman"/>
          <w:sz w:val="32"/>
          <w:szCs w:val="40"/>
          <w:lang w:val="en-US" w:eastAsia="zh-CN"/>
        </w:rPr>
        <w:t>0</w:t>
      </w:r>
      <w:r>
        <w:rPr>
          <w:rFonts w:ascii="Times New Roman" w:hAnsi="Times New Roman" w:eastAsia="仿宋_GB2312" w:cs="Times New Roman"/>
          <w:sz w:val="32"/>
          <w:szCs w:val="40"/>
          <w:lang w:val="en-US" w:eastAsia="zh-CN"/>
        </w:rPr>
        <w:t>公斤、再生季产量</w:t>
      </w:r>
      <w:r>
        <w:rPr>
          <w:rFonts w:hint="eastAsia" w:ascii="Times New Roman" w:hAnsi="Times New Roman" w:eastAsia="仿宋_GB2312" w:cs="Times New Roman"/>
          <w:sz w:val="32"/>
          <w:szCs w:val="40"/>
          <w:lang w:val="en-US" w:eastAsia="zh-CN"/>
        </w:rPr>
        <w:t>2</w:t>
      </w:r>
      <w:r>
        <w:rPr>
          <w:rFonts w:ascii="Times New Roman" w:hAnsi="Times New Roman" w:eastAsia="仿宋_GB2312" w:cs="Times New Roman"/>
          <w:sz w:val="32"/>
          <w:szCs w:val="40"/>
          <w:lang w:val="en-US" w:eastAsia="zh-CN"/>
        </w:rPr>
        <w:t>50公斤</w:t>
      </w:r>
      <w:r>
        <w:rPr>
          <w:rFonts w:hint="eastAsia" w:ascii="Times New Roman" w:hAnsi="Times New Roman" w:eastAsia="仿宋_GB2312" w:cs="Times New Roman"/>
          <w:sz w:val="32"/>
          <w:szCs w:val="40"/>
          <w:lang w:val="en-US" w:eastAsia="zh-CN"/>
        </w:rPr>
        <w:t>（或双季稻产量1000公斤）</w:t>
      </w:r>
      <w:r>
        <w:rPr>
          <w:rFonts w:ascii="Times New Roman" w:hAnsi="Times New Roman" w:eastAsia="仿宋_GB2312" w:cs="Times New Roman"/>
          <w:sz w:val="32"/>
          <w:szCs w:val="40"/>
          <w:lang w:val="en-US" w:eastAsia="zh-CN"/>
        </w:rPr>
        <w:t>、油菜籽产量110公斤，亩平节本增效增收约</w:t>
      </w:r>
      <w:r>
        <w:rPr>
          <w:rFonts w:hint="eastAsia" w:ascii="Times New Roman" w:hAnsi="Times New Roman" w:eastAsia="仿宋_GB2312" w:cs="Times New Roman"/>
          <w:sz w:val="32"/>
          <w:szCs w:val="40"/>
          <w:lang w:val="en-US" w:eastAsia="zh-CN"/>
        </w:rPr>
        <w:t>4</w:t>
      </w:r>
      <w:r>
        <w:rPr>
          <w:rFonts w:ascii="Times New Roman" w:hAnsi="Times New Roman" w:eastAsia="仿宋_GB2312" w:cs="Times New Roman"/>
          <w:sz w:val="32"/>
          <w:szCs w:val="40"/>
          <w:lang w:val="en-US" w:eastAsia="zh-CN"/>
        </w:rPr>
        <w:t>00元，共节本增收60万元以上。</w:t>
      </w:r>
    </w:p>
    <w:p>
      <w:pPr>
        <w:ind w:firstLine="640" w:firstLineChars="200"/>
        <w:rPr>
          <w:rFonts w:ascii="Times New Roman" w:hAnsi="Times New Roman" w:eastAsia="仿宋_GB2312" w:cs="Times New Roman"/>
          <w:sz w:val="32"/>
          <w:szCs w:val="40"/>
          <w:lang w:val="en-US" w:eastAsia="zh-CN"/>
        </w:rPr>
      </w:pPr>
      <w:r>
        <w:rPr>
          <w:rFonts w:hint="eastAsia" w:ascii="Times New Roman" w:hAnsi="Times New Roman" w:eastAsia="仿宋_GB2312" w:cs="Times New Roman"/>
          <w:sz w:val="32"/>
          <w:szCs w:val="40"/>
          <w:lang w:val="en-US" w:eastAsia="zh-CN"/>
        </w:rPr>
        <w:t>2.</w:t>
      </w:r>
      <w:r>
        <w:rPr>
          <w:rFonts w:ascii="Times New Roman" w:hAnsi="Times New Roman" w:eastAsia="仿宋_GB2312" w:cs="Times New Roman"/>
          <w:sz w:val="32"/>
          <w:szCs w:val="40"/>
          <w:lang w:val="en-US" w:eastAsia="zh-CN"/>
        </w:rPr>
        <w:t>社会效益</w:t>
      </w:r>
    </w:p>
    <w:p>
      <w:pPr>
        <w:ind w:firstLine="640" w:firstLineChars="20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一是项目实施后，田间道路、排灌渠等设施得到改善，为油菜全程机械化生产、产品轻松入仓提供便利条件，有效减轻劳动强度，大幅提高油菜生产效率。</w:t>
      </w:r>
    </w:p>
    <w:p>
      <w:pPr>
        <w:ind w:firstLine="640" w:firstLineChars="200"/>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二是通过建设油菜绿色高质高效生产基地，集成推广一套油菜绿色高质高效标准化生产技术模式，通过示范带动，促进全市油菜稳产高产、节本增效。</w:t>
      </w:r>
    </w:p>
    <w:p>
      <w:pPr>
        <w:ind w:firstLine="640" w:firstLineChars="200"/>
        <w:rPr>
          <w:rFonts w:ascii="Times New Roman" w:hAnsi="Times New Roman" w:eastAsia="仿宋_GB2312" w:cs="Times New Roman"/>
          <w:sz w:val="32"/>
          <w:szCs w:val="40"/>
          <w:lang w:val="en-US" w:eastAsia="zh-CN"/>
        </w:rPr>
      </w:pPr>
      <w:r>
        <w:rPr>
          <w:rFonts w:hint="eastAsia" w:ascii="Times New Roman" w:hAnsi="Times New Roman" w:eastAsia="仿宋_GB2312" w:cs="Times New Roman"/>
          <w:sz w:val="32"/>
          <w:szCs w:val="40"/>
          <w:lang w:val="en-US" w:eastAsia="zh-CN"/>
        </w:rPr>
        <w:t>3.</w:t>
      </w:r>
      <w:r>
        <w:rPr>
          <w:rFonts w:ascii="Times New Roman" w:hAnsi="Times New Roman" w:eastAsia="仿宋_GB2312" w:cs="Times New Roman"/>
          <w:sz w:val="32"/>
          <w:szCs w:val="40"/>
          <w:lang w:val="en-US" w:eastAsia="zh-CN"/>
        </w:rPr>
        <w:t>生态效益</w:t>
      </w:r>
    </w:p>
    <w:p>
      <w:pPr>
        <w:pStyle w:val="4"/>
        <w:keepNext/>
        <w:keepLines/>
        <w:pageBreakBefore w:val="0"/>
        <w:widowControl w:val="0"/>
        <w:kinsoku/>
        <w:wordWrap/>
        <w:overflowPunct/>
        <w:topLinePunct w:val="0"/>
        <w:autoSpaceDE/>
        <w:autoSpaceDN/>
        <w:bidi w:val="0"/>
        <w:adjustRightInd/>
        <w:snapToGrid/>
        <w:spacing w:line="540" w:lineRule="atLeast"/>
        <w:ind w:firstLine="640" w:firstLineChars="200"/>
        <w:textAlignment w:val="auto"/>
        <w:rPr>
          <w:rFonts w:ascii="Times New Roman" w:hAnsi="Times New Roman" w:eastAsia="仿宋_GB2312" w:cs="Times New Roman"/>
          <w:sz w:val="32"/>
          <w:szCs w:val="40"/>
          <w:lang w:val="en-US" w:eastAsia="zh-CN"/>
        </w:rPr>
      </w:pPr>
      <w:r>
        <w:rPr>
          <w:rFonts w:ascii="Times New Roman" w:hAnsi="Times New Roman" w:eastAsia="仿宋_GB2312" w:cs="Times New Roman"/>
          <w:sz w:val="32"/>
          <w:szCs w:val="40"/>
          <w:lang w:val="en-US" w:eastAsia="zh-CN"/>
        </w:rPr>
        <w:t>项目实施能够辐射带动湘乡市油菜种植，油菜是重要的油料作物，也是十分高效的重金属修复作物，大力发展油菜可降低土壤中重金属元素和有害物质积累，对土壤有净化和培肥作用。通过扩大“稻-稻-油”“稻-再生稻-油”种植面积，恢复部分旱地种植油菜，可以推进冬闲田的利用，有效利用耕地资源，减少冬季水土流失，保护生态环境。</w:t>
      </w:r>
    </w:p>
    <w:p>
      <w:pPr>
        <w:keepNext w:val="0"/>
        <w:keepLines w:val="0"/>
        <w:pageBreakBefore w:val="0"/>
        <w:widowControl w:val="0"/>
        <w:numPr>
          <w:ilvl w:val="0"/>
          <w:numId w:val="2"/>
        </w:numPr>
        <w:kinsoku/>
        <w:wordWrap/>
        <w:overflowPunct/>
        <w:topLinePunct w:val="0"/>
        <w:autoSpaceDE/>
        <w:autoSpaceDN/>
        <w:bidi w:val="0"/>
        <w:adjustRightInd w:val="0"/>
        <w:snapToGrid w:val="0"/>
        <w:spacing w:beforeAutospacing="0" w:after="0" w:line="600" w:lineRule="exact"/>
        <w:ind w:left="0" w:firstLine="800" w:firstLineChars="250"/>
        <w:jc w:val="both"/>
        <w:textAlignment w:val="auto"/>
        <w:rPr>
          <w:rFonts w:hint="eastAsia" w:ascii="Times New Roman" w:hAnsi="Times New Roman" w:eastAsia="仿宋_GB2312" w:cs="Times New Roman"/>
          <w:bCs w:val="0"/>
          <w:kern w:val="2"/>
          <w:sz w:val="32"/>
          <w:szCs w:val="40"/>
          <w:lang w:val="en-US" w:eastAsia="zh-CN" w:bidi="ar-SA"/>
        </w:rPr>
      </w:pPr>
      <w:r>
        <w:rPr>
          <w:rFonts w:hint="eastAsia" w:ascii="Times New Roman" w:hAnsi="Times New Roman" w:eastAsia="仿宋_GB2312" w:cs="Times New Roman"/>
          <w:bCs w:val="0"/>
          <w:kern w:val="2"/>
          <w:sz w:val="32"/>
          <w:szCs w:val="40"/>
          <w:lang w:val="en-US" w:eastAsia="zh-CN" w:bidi="ar-SA"/>
        </w:rPr>
        <w:t>保障措施</w:t>
      </w:r>
    </w:p>
    <w:p>
      <w:pPr>
        <w:keepNext w:val="0"/>
        <w:keepLines w:val="0"/>
        <w:pageBreakBefore w:val="0"/>
        <w:widowControl w:val="0"/>
        <w:kinsoku/>
        <w:wordWrap/>
        <w:overflowPunct/>
        <w:topLinePunct w:val="0"/>
        <w:autoSpaceDE/>
        <w:autoSpaceDN/>
        <w:bidi w:val="0"/>
        <w:adjustRightInd w:val="0"/>
        <w:snapToGrid w:val="0"/>
        <w:spacing w:beforeAutospacing="0" w:after="0" w:line="600" w:lineRule="exact"/>
        <w:ind w:left="0" w:firstLine="640" w:firstLineChars="200"/>
        <w:jc w:val="both"/>
        <w:textAlignment w:val="auto"/>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 xml:space="preserve">1.加强组织领导 </w:t>
      </w:r>
    </w:p>
    <w:p>
      <w:pPr>
        <w:keepNext w:val="0"/>
        <w:keepLines w:val="0"/>
        <w:pageBreakBefore w:val="0"/>
        <w:widowControl/>
        <w:kinsoku/>
        <w:wordWrap/>
        <w:overflowPunct/>
        <w:topLinePunct w:val="0"/>
        <w:autoSpaceDE/>
        <w:autoSpaceDN/>
        <w:bidi w:val="0"/>
        <w:adjustRightInd/>
        <w:snapToGrid/>
        <w:spacing w:beforeAutospacing="0" w:after="0" w:line="600" w:lineRule="exact"/>
        <w:ind w:left="0" w:firstLine="640" w:firstLineChars="200"/>
        <w:jc w:val="both"/>
        <w:textAlignment w:val="auto"/>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市农业农村局成立湘乡市实施湖南早熟油菜优势特色产业集群建设项目工作领导小组，局长任领导小组组长，分管负责人为副组长,成员为局农业技术推广中心、种植业管理股、财务股、乡村产业发展股、发展规划股等股室和单位负责同志，主要负责早熟油菜优势特色产业集群项目建设实施方案制定、中期指导管理，出台早熟油菜优势特色产业集群项目建设资金管理和绩效管理办法，协调指导、调度评估、监督检查早熟油菜产业集群项目建设工作。</w:t>
      </w:r>
    </w:p>
    <w:p>
      <w:pPr>
        <w:keepNext w:val="0"/>
        <w:keepLines w:val="0"/>
        <w:pageBreakBefore w:val="0"/>
        <w:widowControl/>
        <w:kinsoku/>
        <w:wordWrap/>
        <w:overflowPunct/>
        <w:topLinePunct w:val="0"/>
        <w:autoSpaceDE/>
        <w:autoSpaceDN/>
        <w:bidi w:val="0"/>
        <w:adjustRightInd/>
        <w:snapToGrid/>
        <w:spacing w:beforeAutospacing="0" w:after="0" w:line="600" w:lineRule="exact"/>
        <w:ind w:left="0" w:firstLine="640" w:firstLineChars="200"/>
        <w:jc w:val="both"/>
        <w:textAlignment w:val="auto"/>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2.健全管理措施</w:t>
      </w:r>
    </w:p>
    <w:p>
      <w:pPr>
        <w:keepNext w:val="0"/>
        <w:keepLines w:val="0"/>
        <w:pageBreakBefore w:val="0"/>
        <w:widowControl/>
        <w:kinsoku/>
        <w:wordWrap/>
        <w:overflowPunct/>
        <w:topLinePunct w:val="0"/>
        <w:autoSpaceDE/>
        <w:autoSpaceDN/>
        <w:bidi w:val="0"/>
        <w:adjustRightInd/>
        <w:snapToGrid/>
        <w:spacing w:beforeAutospacing="0" w:after="0" w:line="600" w:lineRule="exact"/>
        <w:ind w:left="0" w:firstLine="640" w:firstLineChars="200"/>
        <w:jc w:val="both"/>
        <w:textAlignment w:val="auto"/>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根据项目实际情况，通过建立和完善项目管理制度，使项目管理制度化、规范化。具体为：</w:t>
      </w:r>
    </w:p>
    <w:p>
      <w:pPr>
        <w:keepNext w:val="0"/>
        <w:keepLines w:val="0"/>
        <w:pageBreakBefore w:val="0"/>
        <w:widowControl/>
        <w:kinsoku/>
        <w:wordWrap/>
        <w:overflowPunct/>
        <w:topLinePunct w:val="0"/>
        <w:autoSpaceDE/>
        <w:autoSpaceDN/>
        <w:bidi w:val="0"/>
        <w:spacing w:beforeAutospacing="0" w:after="0" w:line="600" w:lineRule="exact"/>
        <w:ind w:firstLine="640" w:firstLineChars="200"/>
        <w:jc w:val="left"/>
        <w:textAlignment w:val="auto"/>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（1）项目验收和资金拔付</w:t>
      </w:r>
    </w:p>
    <w:p>
      <w:pPr>
        <w:keepNext w:val="0"/>
        <w:keepLines w:val="0"/>
        <w:pageBreakBefore w:val="0"/>
        <w:widowControl/>
        <w:kinsoku/>
        <w:wordWrap/>
        <w:overflowPunct/>
        <w:topLinePunct w:val="0"/>
        <w:autoSpaceDE/>
        <w:autoSpaceDN/>
        <w:bidi w:val="0"/>
        <w:spacing w:beforeAutospacing="0" w:after="0" w:line="600" w:lineRule="exact"/>
        <w:ind w:firstLine="640" w:firstLineChars="200"/>
        <w:jc w:val="both"/>
        <w:textAlignment w:val="auto"/>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项目建设实行“先建后补”的方式，由项目实施主体按照早熟油菜优势特色产业集群建设</w:t>
      </w:r>
      <w:r>
        <w:rPr>
          <w:rFonts w:hint="eastAsia" w:ascii="Times New Roman" w:hAnsi="Times New Roman" w:eastAsia="仿宋_GB2312" w:cs="Times New Roman"/>
          <w:bCs/>
          <w:kern w:val="2"/>
          <w:sz w:val="32"/>
          <w:szCs w:val="40"/>
          <w:lang w:val="en-US" w:bidi="ar-SA"/>
        </w:rPr>
        <w:t>项目</w:t>
      </w:r>
      <w:r>
        <w:rPr>
          <w:rFonts w:hint="eastAsia" w:ascii="Times New Roman" w:hAnsi="Times New Roman" w:eastAsia="仿宋_GB2312" w:cs="Times New Roman"/>
          <w:bCs/>
          <w:kern w:val="2"/>
          <w:sz w:val="32"/>
          <w:szCs w:val="40"/>
          <w:lang w:val="en-US" w:eastAsia="zh-CN" w:bidi="ar-SA"/>
        </w:rPr>
        <w:t xml:space="preserve">规定的各项要求自行采购和建设。为切实提高财政资金使用效益，并通过中央财政集中资金引导，有效带动社会资本加大投入，引导和撬动金融资本和社会资本参与建设，提高产业发展的内在活力和竞争力。中央资金不得用于建设楼堂馆所、市政道路,不得列支管理费，不得大量用于购买生产资料、发展休闲农业;不得与烘干机等农机购置补贴等其它中央财政转移支付资金有交叉重复。子项目竣工后，由子项目实施主体自行聘请具有资质的第三方审计机构进行评审，评审合格并出具审计报告后向市农业农村局提出项目验收申请，市农业农村局收到验收申请后组织财政部门按照完工一个、验收一个的要求，及时对建设完成的具体项目进行验收,加快推进项目整体建设进度。市级验收完成后，形成市级验收报告，并向湘潭市申请复核验收。市级工程结算实行质量否决，限期整改。项目复核验收通过后向市财政局报送验收资料，申请拨付资金。   </w:t>
      </w:r>
    </w:p>
    <w:p>
      <w:pPr>
        <w:keepNext w:val="0"/>
        <w:keepLines w:val="0"/>
        <w:pageBreakBefore w:val="0"/>
        <w:widowControl/>
        <w:kinsoku/>
        <w:wordWrap/>
        <w:overflowPunct/>
        <w:topLinePunct w:val="0"/>
        <w:autoSpaceDE/>
        <w:autoSpaceDN/>
        <w:bidi w:val="0"/>
        <w:spacing w:beforeAutospacing="0" w:after="0" w:line="600" w:lineRule="exact"/>
        <w:ind w:firstLine="640" w:firstLineChars="200"/>
        <w:jc w:val="left"/>
        <w:textAlignment w:val="auto"/>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（2）严格资金管理</w:t>
      </w:r>
    </w:p>
    <w:p>
      <w:pPr>
        <w:keepNext w:val="0"/>
        <w:keepLines w:val="0"/>
        <w:pageBreakBefore w:val="0"/>
        <w:widowControl/>
        <w:kinsoku/>
        <w:wordWrap/>
        <w:overflowPunct/>
        <w:topLinePunct w:val="0"/>
        <w:autoSpaceDE/>
        <w:autoSpaceDN/>
        <w:bidi w:val="0"/>
        <w:spacing w:beforeAutospacing="0" w:after="0" w:line="600" w:lineRule="exact"/>
        <w:ind w:firstLine="640" w:firstLineChars="200"/>
        <w:jc w:val="left"/>
        <w:textAlignment w:val="auto"/>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该项目建设资金属国家奖励资金。为确保项目顺利实施，一方面要保证资金落实到位；另一方面加强财政资金管理，做到专款专用，杜绝截留和挪用事件的发生。</w:t>
      </w:r>
    </w:p>
    <w:p>
      <w:pPr>
        <w:keepNext w:val="0"/>
        <w:keepLines w:val="0"/>
        <w:pageBreakBefore w:val="0"/>
        <w:widowControl/>
        <w:kinsoku/>
        <w:wordWrap/>
        <w:overflowPunct/>
        <w:topLinePunct w:val="0"/>
        <w:autoSpaceDE/>
        <w:autoSpaceDN/>
        <w:bidi w:val="0"/>
        <w:spacing w:beforeAutospacing="0" w:after="0" w:line="600" w:lineRule="exact"/>
        <w:ind w:firstLine="640" w:firstLineChars="200"/>
        <w:jc w:val="left"/>
        <w:textAlignment w:val="auto"/>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（3）加强部门协调配合</w:t>
      </w:r>
    </w:p>
    <w:p>
      <w:pPr>
        <w:keepNext w:val="0"/>
        <w:keepLines w:val="0"/>
        <w:pageBreakBefore w:val="0"/>
        <w:widowControl/>
        <w:kinsoku/>
        <w:wordWrap/>
        <w:overflowPunct/>
        <w:topLinePunct w:val="0"/>
        <w:autoSpaceDE/>
        <w:autoSpaceDN/>
        <w:bidi w:val="0"/>
        <w:spacing w:beforeAutospacing="0" w:after="0" w:line="600" w:lineRule="exact"/>
        <w:ind w:firstLine="640" w:firstLineChars="200"/>
        <w:jc w:val="both"/>
        <w:textAlignment w:val="auto"/>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各相关单位和部门增强服务意识，千方百计为项目实施主体提供优质高效服务。农业部门负责实施方案制定,技术指导,项目管理。财政部门及时落实相关专项经费和补贴资金拨付工作，尽可能加大奖补力度。农村信用社等银信部门尽可能地帮助农民解决资金困难；农机、供销等其他涉农部门根据各自职能，尽心尽力为项目实施做好服务工作。</w:t>
      </w:r>
    </w:p>
    <w:p>
      <w:pPr>
        <w:pStyle w:val="4"/>
        <w:keepNext w:val="0"/>
        <w:keepLines w:val="0"/>
        <w:pageBreakBefore w:val="0"/>
        <w:widowControl w:val="0"/>
        <w:kinsoku/>
        <w:wordWrap/>
        <w:overflowPunct/>
        <w:topLinePunct w:val="0"/>
        <w:bidi w:val="0"/>
        <w:snapToGrid w:val="0"/>
        <w:spacing w:beforeAutospacing="0" w:after="0" w:line="600" w:lineRule="exact"/>
        <w:ind w:firstLine="640" w:firstLineChars="200"/>
        <w:jc w:val="both"/>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3.强化资金保障</w:t>
      </w:r>
    </w:p>
    <w:p>
      <w:pPr>
        <w:keepNext w:val="0"/>
        <w:keepLines w:val="0"/>
        <w:pageBreakBefore w:val="0"/>
        <w:widowControl w:val="0"/>
        <w:kinsoku/>
        <w:wordWrap/>
        <w:overflowPunct/>
        <w:topLinePunct w:val="0"/>
        <w:autoSpaceDE w:val="0"/>
        <w:autoSpaceDN w:val="0"/>
        <w:bidi w:val="0"/>
        <w:adjustRightInd w:val="0"/>
        <w:snapToGrid w:val="0"/>
        <w:spacing w:beforeAutospacing="0" w:after="0" w:line="600" w:lineRule="exact"/>
        <w:ind w:firstLine="640" w:firstLineChars="200"/>
        <w:jc w:val="both"/>
        <w:rPr>
          <w:rFonts w:hint="eastAsia" w:ascii="Times New Roman" w:hAnsi="Times New Roman" w:eastAsia="仿宋_GB2312" w:cs="Times New Roman"/>
          <w:bCs/>
          <w:kern w:val="2"/>
          <w:sz w:val="32"/>
          <w:szCs w:val="40"/>
          <w:lang w:val="en-US" w:eastAsia="zh-CN" w:bidi="ar-SA"/>
        </w:rPr>
      </w:pPr>
      <w:r>
        <w:rPr>
          <w:rFonts w:hint="eastAsia" w:ascii="Times New Roman" w:hAnsi="Times New Roman" w:eastAsia="仿宋_GB2312" w:cs="Times New Roman"/>
          <w:bCs/>
          <w:kern w:val="2"/>
          <w:sz w:val="32"/>
          <w:szCs w:val="40"/>
          <w:lang w:val="en-US" w:eastAsia="zh-CN" w:bidi="ar-SA"/>
        </w:rPr>
        <w:t>建立与早熟油菜优势特色产业集群相适应的财政支农政策体系。建立农业投入稳定增长机制，优化投入结构，重点支持早熟油菜优势特色产业集群项目的建设，发挥财政投入对早熟油菜产业发展的促进作用。发挥财政资金撬动效应，吸引社会资金、金融资本、政府贷款贴息投入。</w:t>
      </w:r>
    </w:p>
    <w:p>
      <w:pPr>
        <w:keepNext w:val="0"/>
        <w:keepLines w:val="0"/>
        <w:pageBreakBefore w:val="0"/>
        <w:widowControl w:val="0"/>
        <w:kinsoku/>
        <w:wordWrap/>
        <w:overflowPunct/>
        <w:topLinePunct w:val="0"/>
        <w:autoSpaceDE/>
        <w:autoSpaceDN/>
        <w:bidi w:val="0"/>
        <w:adjustRightInd/>
        <w:snapToGrid/>
        <w:spacing w:beforeAutospacing="0" w:after="0" w:line="600" w:lineRule="exact"/>
        <w:ind w:left="0" w:firstLine="640" w:firstLineChars="200"/>
        <w:jc w:val="both"/>
        <w:textAlignment w:val="auto"/>
        <w:rPr>
          <w:rFonts w:hint="eastAsia" w:ascii="Times New Roman" w:hAnsi="Times New Roman" w:eastAsia="仿宋_GB2312" w:cs="Times New Roman"/>
          <w:bCs/>
          <w:kern w:val="2"/>
          <w:sz w:val="32"/>
          <w:szCs w:val="40"/>
          <w:lang w:val="en-US" w:eastAsia="zh-CN" w:bidi="ar-SA"/>
        </w:rPr>
      </w:pPr>
      <w:bookmarkStart w:id="2" w:name="_Toc2560"/>
      <w:bookmarkStart w:id="3" w:name="_Toc1205160332"/>
      <w:r>
        <w:rPr>
          <w:rFonts w:hint="eastAsia" w:ascii="Times New Roman" w:hAnsi="Times New Roman" w:eastAsia="仿宋_GB2312" w:cs="Times New Roman"/>
          <w:bCs/>
          <w:kern w:val="2"/>
          <w:sz w:val="32"/>
          <w:szCs w:val="40"/>
          <w:lang w:val="en-US" w:eastAsia="zh-CN" w:bidi="ar-SA"/>
        </w:rPr>
        <w:t>4.抓好技术服务</w:t>
      </w:r>
      <w:bookmarkEnd w:id="2"/>
      <w:bookmarkEnd w:id="3"/>
    </w:p>
    <w:p>
      <w:pPr>
        <w:pStyle w:val="4"/>
        <w:keepNext/>
        <w:keepLines/>
        <w:pageBreakBefore w:val="0"/>
        <w:widowControl w:val="0"/>
        <w:kinsoku/>
        <w:wordWrap/>
        <w:overflowPunct/>
        <w:topLinePunct w:val="0"/>
        <w:autoSpaceDE/>
        <w:autoSpaceDN/>
        <w:bidi w:val="0"/>
        <w:adjustRightInd/>
        <w:snapToGrid/>
        <w:spacing w:line="540" w:lineRule="atLeast"/>
        <w:ind w:firstLine="640" w:firstLineChars="200"/>
        <w:textAlignment w:val="auto"/>
        <w:rPr>
          <w:rFonts w:hint="eastAsia" w:ascii="Times New Roman" w:hAnsi="Times New Roman" w:eastAsia="仿宋_GB2312" w:cs="Times New Roman"/>
          <w:bCs/>
          <w:kern w:val="2"/>
          <w:sz w:val="32"/>
          <w:szCs w:val="40"/>
          <w:lang w:val="en-US" w:eastAsia="zh-CN" w:bidi="ar-SA"/>
        </w:rPr>
        <w:sectPr>
          <w:pgSz w:w="11906" w:h="16838"/>
          <w:pgMar w:top="1020" w:right="1797" w:bottom="1318" w:left="1797" w:header="851" w:footer="992" w:gutter="0"/>
          <w:pgNumType w:start="1"/>
          <w:cols w:space="720" w:num="1"/>
          <w:docGrid w:type="lines" w:linePitch="312" w:charSpace="0"/>
        </w:sectPr>
      </w:pPr>
      <w:r>
        <w:rPr>
          <w:rFonts w:hint="eastAsia" w:ascii="Times New Roman" w:hAnsi="Times New Roman" w:eastAsia="仿宋_GB2312" w:cs="Times New Roman"/>
          <w:bCs/>
          <w:kern w:val="2"/>
          <w:sz w:val="32"/>
          <w:szCs w:val="40"/>
          <w:lang w:val="en-US" w:eastAsia="zh-CN" w:bidi="ar-SA"/>
        </w:rPr>
        <w:t>一是加快新品种、新技术推广，重点推广“双低”油菜新品种和油菜轻简化栽培，统防统治，制定优质油菜标准化生产技术规程，实现良种良法相配套。二是加强技术培训，成立技术专家组，到项目实施主体开展技术指导服务，帮助企业加强管理。三是扎实开展高产创建，认真做好高产创建示范工作，示范推广全程机械化、病虫害统防统治等技术，集中展示新品种新技术，不断扩大高产创建示范带动作用，促进地区平衡增产。充分调动农民和基层单位发展油菜生产的积极性。</w:t>
      </w:r>
    </w:p>
    <w:bookmarkEnd w:id="1"/>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ascii="宋体" w:cs="宋体"/>
          <w:b/>
          <w:bCs/>
          <w:sz w:val="32"/>
          <w:szCs w:val="32"/>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Times New Roman Regular">
    <w:altName w:val="Times New Roman"/>
    <w:panose1 w:val="020206030504050203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0"/>
      <w:jc w:val="right"/>
    </w:pPr>
    <w:r>
      <w:rPr>
        <w:rStyle w:val="14"/>
        <w:rFonts w:hint="eastAsia"/>
        <w:sz w:val="28"/>
        <w:szCs w:val="28"/>
      </w:rPr>
      <w:t>—</w:t>
    </w:r>
    <w:r>
      <w:rPr>
        <w:rStyle w:val="14"/>
        <w:sz w:val="28"/>
        <w:szCs w:val="28"/>
      </w:rPr>
      <w:fldChar w:fldCharType="begin"/>
    </w:r>
    <w:r>
      <w:rPr>
        <w:rStyle w:val="14"/>
        <w:sz w:val="28"/>
        <w:szCs w:val="28"/>
      </w:rPr>
      <w:instrText xml:space="preserve">PAGE  </w:instrText>
    </w:r>
    <w:r>
      <w:rPr>
        <w:sz w:val="28"/>
        <w:szCs w:val="28"/>
      </w:rPr>
      <w:fldChar w:fldCharType="separate"/>
    </w:r>
    <w:r>
      <w:rPr>
        <w:rStyle w:val="14"/>
        <w:sz w:val="28"/>
        <w:szCs w:val="28"/>
      </w:rPr>
      <w:t>11</w:t>
    </w:r>
    <w:r>
      <w:rPr>
        <w:sz w:val="28"/>
        <w:szCs w:val="28"/>
      </w:rPr>
      <w:fldChar w:fldCharType="end"/>
    </w:r>
    <w:r>
      <w:rPr>
        <w:rStyle w:val="14"/>
        <w:rFonts w:hint="eastAsia"/>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6F1CD0"/>
    <w:multiLevelType w:val="singleLevel"/>
    <w:tmpl w:val="556F1CD0"/>
    <w:lvl w:ilvl="0" w:tentative="0">
      <w:start w:val="6"/>
      <w:numFmt w:val="chineseCounting"/>
      <w:suff w:val="nothing"/>
      <w:lvlText w:val="%1、"/>
      <w:lvlJc w:val="left"/>
      <w:pPr>
        <w:ind w:left="0" w:firstLine="0"/>
      </w:pPr>
      <w:rPr>
        <w:rFonts w:hint="eastAsia"/>
      </w:rPr>
    </w:lvl>
  </w:abstractNum>
  <w:abstractNum w:abstractNumId="1">
    <w:nsid w:val="61A6503D"/>
    <w:multiLevelType w:val="multilevel"/>
    <w:tmpl w:val="61A6503D"/>
    <w:lvl w:ilvl="0" w:tentative="0">
      <w:start w:val="1"/>
      <w:numFmt w:val="chineseCounting"/>
      <w:suff w:val="nothing"/>
      <w:lvlText w:val="第%1章  "/>
      <w:lvlJc w:val="left"/>
      <w:pPr>
        <w:ind w:left="2977" w:hanging="425"/>
      </w:pPr>
      <w:rPr>
        <w:rFonts w:hint="eastAsia" w:ascii="Times New Roman" w:hAnsi="Times New Roman" w:eastAsia="黑体" w:cs="楷体"/>
        <w:sz w:val="36"/>
        <w:szCs w:val="36"/>
      </w:rPr>
    </w:lvl>
    <w:lvl w:ilvl="1" w:tentative="0">
      <w:start w:val="1"/>
      <w:numFmt w:val="decimal"/>
      <w:isLgl/>
      <w:suff w:val="space"/>
      <w:lvlText w:val="%1.%2"/>
      <w:legacy w:legacy="1" w:legacySpace="0" w:legacyIndent="0"/>
      <w:lvlJc w:val="left"/>
      <w:pPr>
        <w:ind w:left="0" w:firstLine="0"/>
      </w:pPr>
      <w:rPr>
        <w:rFonts w:hint="eastAsia" w:ascii="Times New Roman" w:hAnsi="Times New Roman" w:cs="楷体"/>
        <w:b w:val="0"/>
        <w:bCs w:val="0"/>
        <w:i w:val="0"/>
        <w:iCs w:val="0"/>
        <w:caps w:val="0"/>
        <w:smallCaps w:val="0"/>
        <w:strike w:val="0"/>
        <w:dstrike w:val="0"/>
        <w:snapToGrid w:val="0"/>
        <w:vanish w:val="0"/>
        <w:color w:val="000000"/>
        <w:spacing w:val="0"/>
        <w:w w:val="100"/>
        <w:kern w:val="0"/>
        <w:position w:val="0"/>
        <w:szCs w:val="2"/>
        <w:u w:val="none"/>
        <w:vertAlign w:val="baseline"/>
      </w:rPr>
    </w:lvl>
    <w:lvl w:ilvl="2" w:tentative="0">
      <w:start w:val="1"/>
      <w:numFmt w:val="decimal"/>
      <w:pStyle w:val="5"/>
      <w:isLgl/>
      <w:suff w:val="space"/>
      <w:lvlText w:val="%1.%2.%3"/>
      <w:legacy w:legacy="1" w:legacySpace="0" w:legacyIndent="0"/>
      <w:lvlJc w:val="left"/>
      <w:pPr>
        <w:ind w:left="0" w:firstLine="0"/>
      </w:pPr>
      <w:rPr>
        <w:rFonts w:hint="eastAsia" w:ascii="Times New Roman" w:hAnsi="Times New Roman" w:eastAsia="宋体" w:cs="仿宋"/>
        <w:sz w:val="28"/>
        <w:szCs w:val="28"/>
      </w:rPr>
    </w:lvl>
    <w:lvl w:ilvl="3" w:tentative="0">
      <w:start w:val="1"/>
      <w:numFmt w:val="decimal"/>
      <w:isLgl/>
      <w:suff w:val="nothing"/>
      <w:lvlText w:val="%1.%2.%3.%4"/>
      <w:legacy w:legacy="1" w:legacySpace="0" w:legacyIndent="567"/>
      <w:lvlJc w:val="left"/>
      <w:pPr>
        <w:ind w:left="0" w:firstLine="567"/>
      </w:pPr>
      <w:rPr>
        <w:rFonts w:hint="eastAsia" w:ascii="Times New Roman" w:hAnsi="Times New Roman" w:eastAsia="宋体" w:cs="仿宋"/>
        <w:b w:val="0"/>
        <w:bCs w:val="0"/>
        <w:i w:val="0"/>
        <w:iCs w:val="0"/>
        <w:caps w:val="0"/>
        <w:smallCaps w:val="0"/>
        <w:strike w:val="0"/>
        <w:dstrike w:val="0"/>
        <w:snapToGrid w:val="0"/>
        <w:vanish w:val="0"/>
        <w:color w:val="000000"/>
        <w:spacing w:val="0"/>
        <w:w w:val="100"/>
        <w:kern w:val="0"/>
        <w:position w:val="0"/>
        <w:szCs w:val="2"/>
        <w:u w:val="none"/>
        <w:vertAlign w:val="baseline"/>
      </w:rPr>
    </w:lvl>
    <w:lvl w:ilvl="4" w:tentative="0">
      <w:start w:val="1"/>
      <w:numFmt w:val="decimal"/>
      <w:lvlText w:val="%1.%2.%3.%4.%5."/>
      <w:lvlJc w:val="left"/>
      <w:pPr>
        <w:ind w:left="2495" w:hanging="895"/>
      </w:pPr>
      <w:rPr>
        <w:rFonts w:hint="eastAsia"/>
      </w:rPr>
    </w:lvl>
    <w:lvl w:ilvl="5" w:tentative="0">
      <w:start w:val="1"/>
      <w:numFmt w:val="decimal"/>
      <w:lvlText w:val="%1.%2.%3.%4.%5.%6."/>
      <w:lvlJc w:val="left"/>
      <w:pPr>
        <w:ind w:left="3136" w:hanging="1136"/>
      </w:pPr>
      <w:rPr>
        <w:rFonts w:hint="eastAsia"/>
      </w:rPr>
    </w:lvl>
    <w:lvl w:ilvl="6" w:tentative="0">
      <w:start w:val="1"/>
      <w:numFmt w:val="decimal"/>
      <w:lvlText w:val="%1.%2.%3.%4.%5.%6.%7."/>
      <w:lvlJc w:val="left"/>
      <w:pPr>
        <w:ind w:left="3673" w:hanging="1273"/>
      </w:pPr>
      <w:rPr>
        <w:rFonts w:hint="eastAsia"/>
      </w:rPr>
    </w:lvl>
    <w:lvl w:ilvl="7" w:tentative="0">
      <w:start w:val="1"/>
      <w:numFmt w:val="decimal"/>
      <w:lvlText w:val="%1.%2.%3.%4.%5.%6.%7.%8."/>
      <w:lvlJc w:val="left"/>
      <w:pPr>
        <w:ind w:left="4218" w:hanging="1418"/>
      </w:pPr>
      <w:rPr>
        <w:rFonts w:hint="eastAsia"/>
      </w:rPr>
    </w:lvl>
    <w:lvl w:ilvl="8" w:tentative="0">
      <w:start w:val="1"/>
      <w:numFmt w:val="decimal"/>
      <w:lvlText w:val="%1.%2.%3.%4.%5.%6.%7.%8.%9."/>
      <w:lvlJc w:val="left"/>
      <w:pPr>
        <w:ind w:left="4648" w:hanging="1448"/>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doNotUseIndentAsNumberingTabStop/>
    <w:compatSetting w:name="compatibilityMode" w:uri="http://schemas.microsoft.com/office/word" w:val="14"/>
  </w:compat>
  <w:docVars>
    <w:docVar w:name="commondata" w:val="eyJoZGlkIjoiY2RjOTk3YmYyYzhjNzZjODEwZDBjYmRjYmM3ZTFiNzgifQ=="/>
  </w:docVars>
  <w:rsids>
    <w:rsidRoot w:val="00000000"/>
    <w:rsid w:val="0C9D444F"/>
    <w:rsid w:val="149F0C18"/>
    <w:rsid w:val="1D3A5FA0"/>
    <w:rsid w:val="2D2A393B"/>
    <w:rsid w:val="2FDB716E"/>
    <w:rsid w:val="4D6B6EF4"/>
    <w:rsid w:val="62145A44"/>
    <w:rsid w:val="7A081E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Arial"/>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rPr>
  </w:style>
  <w:style w:type="paragraph" w:styleId="4">
    <w:name w:val="heading 2"/>
    <w:basedOn w:val="1"/>
    <w:next w:val="1"/>
    <w:autoRedefine/>
    <w:uiPriority w:val="0"/>
    <w:pPr>
      <w:keepNext/>
      <w:keepLines/>
      <w:widowControl w:val="0"/>
      <w:outlineLvl w:val="1"/>
    </w:pPr>
    <w:rPr>
      <w:rFonts w:eastAsia="黑体"/>
      <w:bCs/>
      <w:szCs w:val="32"/>
    </w:rPr>
  </w:style>
  <w:style w:type="paragraph" w:styleId="5">
    <w:name w:val="heading 3"/>
    <w:basedOn w:val="1"/>
    <w:next w:val="1"/>
    <w:autoRedefine/>
    <w:qFormat/>
    <w:uiPriority w:val="0"/>
    <w:pPr>
      <w:numPr>
        <w:ilvl w:val="2"/>
        <w:numId w:val="1"/>
      </w:numPr>
      <w:ind w:left="0" w:firstLine="0"/>
      <w:outlineLvl w:val="2"/>
    </w:pPr>
    <w:rPr>
      <w:rFonts w:eastAsia="黑体"/>
      <w:bCs/>
      <w:szCs w:val="32"/>
    </w:rPr>
  </w:style>
  <w:style w:type="character" w:default="1" w:styleId="13">
    <w:name w:val="Default Paragraph Font"/>
    <w:autoRedefine/>
    <w:uiPriority w:val="0"/>
  </w:style>
  <w:style w:type="table" w:default="1" w:styleId="12">
    <w:name w:val="Normal Table"/>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spacing w:line="240" w:lineRule="atLeast"/>
      <w:jc w:val="left"/>
    </w:pPr>
    <w:rPr>
      <w:sz w:val="18"/>
      <w:szCs w:val="18"/>
    </w:rPr>
  </w:style>
  <w:style w:type="paragraph" w:styleId="6">
    <w:name w:val="Body Text"/>
    <w:basedOn w:val="1"/>
    <w:next w:val="7"/>
    <w:autoRedefine/>
    <w:qFormat/>
    <w:uiPriority w:val="0"/>
    <w:pPr>
      <w:spacing w:after="120"/>
    </w:pPr>
  </w:style>
  <w:style w:type="paragraph" w:styleId="7">
    <w:name w:val="Title"/>
    <w:basedOn w:val="1"/>
    <w:next w:val="1"/>
    <w:autoRedefine/>
    <w:qFormat/>
    <w:uiPriority w:val="0"/>
    <w:pPr>
      <w:pBdr>
        <w:bottom w:val="single" w:color="auto" w:sz="4" w:space="1"/>
      </w:pBdr>
      <w:spacing w:line="240" w:lineRule="auto"/>
      <w:contextualSpacing/>
    </w:pPr>
    <w:rPr>
      <w:rFonts w:ascii="Cambria" w:hAnsi="Cambria" w:eastAsia="宋体" w:cs="Times New Roman"/>
      <w:spacing w:val="5"/>
      <w:sz w:val="52"/>
      <w:szCs w:val="52"/>
    </w:rPr>
  </w:style>
  <w:style w:type="paragraph" w:styleId="8">
    <w:name w:val="Body Text Indent"/>
    <w:basedOn w:val="1"/>
    <w:next w:val="2"/>
    <w:autoRedefine/>
    <w:qFormat/>
    <w:uiPriority w:val="0"/>
    <w:pPr>
      <w:spacing w:after="120"/>
      <w:ind w:left="200" w:leftChars="200"/>
    </w:pPr>
  </w:style>
  <w:style w:type="paragraph" w:styleId="9">
    <w:name w:val="Block Text"/>
    <w:basedOn w:val="1"/>
    <w:autoRedefine/>
    <w:qFormat/>
    <w:uiPriority w:val="0"/>
    <w:pPr>
      <w:spacing w:after="120"/>
      <w:ind w:left="700" w:leftChars="700" w:right="700" w:rightChars="700"/>
    </w:pPr>
  </w:style>
  <w:style w:type="paragraph" w:styleId="10">
    <w:name w:val="toc 6"/>
    <w:next w:val="1"/>
    <w:autoRedefine/>
    <w:qFormat/>
    <w:uiPriority w:val="0"/>
    <w:pPr>
      <w:wordWrap w:val="0"/>
      <w:ind w:left="1700"/>
      <w:jc w:val="both"/>
    </w:pPr>
    <w:rPr>
      <w:rFonts w:ascii="Calibri" w:hAnsi="Calibri" w:eastAsia="宋体" w:cs="Times New Roman"/>
      <w:sz w:val="21"/>
      <w:szCs w:val="22"/>
      <w:lang w:val="en-US" w:eastAsia="zh-CN" w:bidi="ar-SA"/>
    </w:rPr>
  </w:style>
  <w:style w:type="paragraph" w:styleId="11">
    <w:name w:val="Body Text First Indent 2"/>
    <w:basedOn w:val="8"/>
    <w:autoRedefine/>
    <w:qFormat/>
    <w:uiPriority w:val="0"/>
    <w:pPr>
      <w:ind w:firstLine="200" w:firstLineChars="200"/>
    </w:pPr>
  </w:style>
  <w:style w:type="character" w:styleId="14">
    <w:name w:val="page number"/>
    <w:basedOn w:val="13"/>
    <w:autoRedefine/>
    <w:qFormat/>
    <w:uiPriority w:val="0"/>
  </w:style>
  <w:style w:type="character" w:customStyle="1" w:styleId="15">
    <w:name w:val="font31"/>
    <w:basedOn w:val="13"/>
    <w:autoRedefine/>
    <w:qFormat/>
    <w:uiPriority w:val="0"/>
    <w:rPr>
      <w:rFonts w:asci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13</Pages>
  <Words>4998</Words>
  <Characters>5399</Characters>
  <Lines>521</Lines>
  <Paragraphs>318</Paragraphs>
  <TotalTime>2</TotalTime>
  <ScaleCrop>false</ScaleCrop>
  <LinksUpToDate>false</LinksUpToDate>
  <CharactersWithSpaces>5412</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2024-02-18T12:55:00Z</dcterms:created>
  <dc:creator>dell</dc:creator>
  <cp:lastModifiedBy>dell</cp:lastModifiedBy>
  <dcterms:modified xsi:type="dcterms:W3CDTF">2024-02-25T21:18:38Z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5AEE7D5785FD4A5095C197ABF1CE0AA2_13</vt:lpwstr>
  </property>
</Properties>
</file>