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center"/>
        <w:rPr>
          <w:rFonts w:ascii="Tahoma" w:hAnsi="Tahoma" w:eastAsia="Tahoma" w:cs="Tahoma"/>
          <w:sz w:val="22"/>
          <w:szCs w:val="2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shd w:val="clear" w:fill="FFFFFF"/>
        </w:rPr>
        <w:t>湘乡市壶天镇2023年政府信息公开工作年度报告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center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本年度报告根据《中华人民共和国政府信息公开条例》(下称“《条例》”)和《湘乡市政府信息年度报告制度》(下称“《制度》”)的要求，综合壶天镇本级政府信息工作情况编制而成。2023年，我镇认真贯彻落实《条例》，层层分解落实2023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(一)强化组织领导，确保责任落实。始终把做好政府信息公开工作列入重要议事日程，认真研究，明确思路和工作重点，做到年初有计划，年终有总结。注重加强对政府信息公开工作的组织领导，明确专人负责政府网站信息公开日常工作，加强对工作人员的学习培训，确保了我镇政府信息公开工作的有序开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(二) 建立长效机制，加强监督检查。把政府信息公开工作列入绩效考评和年度工作目标考核内容。政务公开领导小组办公室对政务公开工作定期开展自查，检查政务公开程序是否规范，已公开的信息分类是否准确、信息发布是否及时，并对查摆问题逐一进行通报，督促整改，确保政府信息公开工作落到实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(三)加强载体建设，注重简明实用。按照《条例》规定，结合新版政府门户网页的全新目录分类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二、主动公开政府信息情况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49"/>
        <w:gridCol w:w="1722"/>
        <w:gridCol w:w="1817"/>
        <w:gridCol w:w="192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60" w:type="dxa"/>
            <w:gridSpan w:val="4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本年制发件数</w:t>
            </w:r>
          </w:p>
        </w:tc>
        <w:tc>
          <w:tcPr>
            <w:tcW w:w="19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本年废止件数</w:t>
            </w:r>
          </w:p>
        </w:tc>
        <w:tc>
          <w:tcPr>
            <w:tcW w:w="208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60" w:type="dxa"/>
            <w:gridSpan w:val="4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行政许可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333333"/>
              </w:rPr>
              <w:t>106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60" w:type="dxa"/>
            <w:gridSpan w:val="4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行政处罚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行政强制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60" w:type="dxa"/>
            <w:gridSpan w:val="4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行政事业性收费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三、收到和处理政府信息公开申请情况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829"/>
        <w:gridCol w:w="2461"/>
        <w:gridCol w:w="491"/>
        <w:gridCol w:w="667"/>
        <w:gridCol w:w="620"/>
        <w:gridCol w:w="644"/>
        <w:gridCol w:w="573"/>
        <w:gridCol w:w="632"/>
        <w:gridCol w:w="6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gridSpan w:val="3"/>
            <w:vMerge w:val="restart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50" w:type="dxa"/>
            <w:gridSpan w:val="7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gridSpan w:val="3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自然人</w:t>
            </w:r>
          </w:p>
        </w:tc>
        <w:tc>
          <w:tcPr>
            <w:tcW w:w="3645" w:type="dxa"/>
            <w:gridSpan w:val="5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gridSpan w:val="3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科研机构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社会公益组织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法律服务机构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gridSpan w:val="3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gridSpan w:val="3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restart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三、本年度办理结果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0 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333333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（三）不予公开</w:t>
            </w: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（四）无法提供</w:t>
            </w: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（五）不予处理</w:t>
            </w: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（六）其他处理</w:t>
            </w: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80" w:type="dxa"/>
            <w:gridSpan w:val="3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四、政府信息公开行政复议、行政诉讼情况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545"/>
        <w:gridCol w:w="545"/>
        <w:gridCol w:w="545"/>
        <w:gridCol w:w="545"/>
        <w:gridCol w:w="566"/>
        <w:gridCol w:w="534"/>
        <w:gridCol w:w="566"/>
        <w:gridCol w:w="566"/>
        <w:gridCol w:w="534"/>
        <w:gridCol w:w="588"/>
        <w:gridCol w:w="566"/>
        <w:gridCol w:w="556"/>
        <w:gridCol w:w="567"/>
        <w:gridCol w:w="54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00" w:type="dxa"/>
            <w:gridSpan w:val="5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行政复议</w:t>
            </w:r>
          </w:p>
        </w:tc>
        <w:tc>
          <w:tcPr>
            <w:tcW w:w="6795" w:type="dxa"/>
            <w:gridSpan w:val="10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restart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3360" w:type="dxa"/>
            <w:gridSpan w:val="5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(一)主要问题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2.公开形式的便民性需要进一步提高。为群众和企业服务意识不够，适合农村等群众查阅的公开形式不够丰富。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1、以社会需求为导向，深化政府信息公开内容。继续重点推进与社会发展和群众生活密切相关的政府信息公开，进一步及时、规范做好公文类政府信息公开工作，以政府信息公开带动办事公开，以办事公开带动便民服务，进一步推动政府信息公开与网上办事和电子政务工作的结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、以《条例》落实为抓手，探索政府信息公开渠道。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3、以服务群众为目的，加强政府信息公开基础性工作。加强新闻宣传，提高公众对政府信息公开的知晓率和参与度；加强政府信息公开业务学习和培训，注重横向联系的沟通协调机制，不断提升政府信息公开整体工作水平；加强政府信息公开各项保障措施，丰富政府信息公开监督、检查、考核手段，进一步健全和完善政府信息公开体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hd w:val="clear" w:fill="FFFFFF"/>
        <w:snapToGrid/>
        <w:spacing w:before="0" w:beforeAutospacing="0" w:after="0" w:afterAutospacing="0" w:line="30" w:lineRule="atLeast"/>
        <w:ind w:left="0" w:right="0" w:firstLine="480"/>
        <w:jc w:val="both"/>
        <w:rPr>
          <w:rFonts w:hint="default" w:ascii="Tahoma" w:hAnsi="Tahoma" w:eastAsia="Tahoma" w:cs="Tahoma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0000000"/>
    <w:rsid w:val="1F75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2024-03-25T01:39:19Z</dcterms:created>
  <dc:creator>Ganwei</dc:creator>
  <cp:lastModifiedBy>ωёi゛</cp:lastModifiedBy>
  <dcterms:modified xsi:type="dcterms:W3CDTF">2024-03-25T01:39:36Z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77A523F8C886408299C6C76808EB41B7_12</vt:lpwstr>
  </property>
</Properties>
</file>